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07BB" w14:textId="77777777" w:rsidR="00997F29" w:rsidRDefault="00015F5A" w:rsidP="00997F29">
      <w:pPr>
        <w:pStyle w:val="QPPHeading3"/>
      </w:pPr>
      <w:bookmarkStart w:id="0" w:name="_GoBack"/>
      <w:bookmarkEnd w:id="0"/>
      <w:r>
        <w:t>9.3</w:t>
      </w:r>
      <w:r w:rsidR="00210674">
        <w:t>.</w:t>
      </w:r>
      <w:r w:rsidR="003327A6">
        <w:t>7</w:t>
      </w:r>
      <w:r w:rsidR="00416102">
        <w:t xml:space="preserve"> </w:t>
      </w:r>
      <w:r w:rsidR="009B3118" w:rsidRPr="00D77C45">
        <w:t>Dwelling house</w:t>
      </w:r>
      <w:r w:rsidR="00997F29" w:rsidRPr="00D77C45">
        <w:t xml:space="preserve"> </w:t>
      </w:r>
      <w:r w:rsidR="00997F29" w:rsidRPr="00D23DF0">
        <w:t>code</w:t>
      </w:r>
    </w:p>
    <w:p w14:paraId="19B144DD" w14:textId="77777777" w:rsidR="00997F29" w:rsidRPr="00CC0C47" w:rsidRDefault="00015F5A" w:rsidP="00CC0C47">
      <w:pPr>
        <w:pStyle w:val="QPPHeading4"/>
      </w:pPr>
      <w:r>
        <w:t>9</w:t>
      </w:r>
      <w:r w:rsidR="00997F29" w:rsidRPr="00CC0C47">
        <w:t>.</w:t>
      </w:r>
      <w:r>
        <w:t>3</w:t>
      </w:r>
      <w:r w:rsidR="00210674" w:rsidRPr="00CC0C47">
        <w:t>.</w:t>
      </w:r>
      <w:r w:rsidR="003327A6">
        <w:t>7</w:t>
      </w:r>
      <w:r w:rsidR="00673CF2">
        <w:t>.1</w:t>
      </w:r>
      <w:r w:rsidR="00416102">
        <w:t xml:space="preserve"> </w:t>
      </w:r>
      <w:r w:rsidR="00997F29" w:rsidRPr="00CC0C47">
        <w:t>Application</w:t>
      </w:r>
    </w:p>
    <w:p w14:paraId="40AB810A" w14:textId="77777777" w:rsidR="00C7743F" w:rsidRPr="00C7743F" w:rsidRDefault="00C7743F" w:rsidP="00C7743F">
      <w:pPr>
        <w:pStyle w:val="QPPBulletPoint1"/>
      </w:pPr>
      <w:r w:rsidRPr="00C7743F">
        <w:t>This code applies to assessing a material change of use</w:t>
      </w:r>
      <w:r w:rsidR="00247DDD">
        <w:t xml:space="preserve"> or building work</w:t>
      </w:r>
      <w:r w:rsidRPr="00C7743F">
        <w:t xml:space="preserve"> if:</w:t>
      </w:r>
    </w:p>
    <w:p w14:paraId="0E8243AA" w14:textId="004DC53F" w:rsidR="00D20F7F" w:rsidRDefault="00D20F7F" w:rsidP="00C7743F">
      <w:pPr>
        <w:pStyle w:val="QPPBulletpoint2"/>
      </w:pPr>
      <w:r>
        <w:t>accepted development subject to compliance with identified requirements, where acceptable outcomes of this code are identified requirements in a table of assessment for a material change of use (</w:t>
      </w:r>
      <w:r w:rsidRPr="00AD2E17">
        <w:t>section 5.5</w:t>
      </w:r>
      <w:r>
        <w:t>),</w:t>
      </w:r>
      <w:r w:rsidR="004B073D">
        <w:t xml:space="preserve"> </w:t>
      </w:r>
      <w:r w:rsidR="004B073D" w:rsidRPr="004B073D">
        <w:t>building work (</w:t>
      </w:r>
      <w:r w:rsidR="004B073D" w:rsidRPr="00AD2E17">
        <w:t>section 5.7</w:t>
      </w:r>
      <w:r w:rsidR="004B073D" w:rsidRPr="004B073D">
        <w:t>),</w:t>
      </w:r>
      <w:r>
        <w:t xml:space="preserve"> a neighbourhood plan (</w:t>
      </w:r>
      <w:r w:rsidRPr="00AD2E17">
        <w:t>section 5.9</w:t>
      </w:r>
      <w:r>
        <w:t xml:space="preserve">), or an overlay </w:t>
      </w:r>
      <w:r w:rsidRPr="00C7743F">
        <w:t>(</w:t>
      </w:r>
      <w:r w:rsidRPr="00AD2E17">
        <w:t>section 5.10</w:t>
      </w:r>
      <w:r>
        <w:t>); or</w:t>
      </w:r>
    </w:p>
    <w:p w14:paraId="366A7ADE" w14:textId="2828EAE3" w:rsidR="00C7743F" w:rsidRPr="00C7743F" w:rsidRDefault="00C7743F" w:rsidP="00C7743F">
      <w:pPr>
        <w:pStyle w:val="QPPBulletpoint2"/>
      </w:pPr>
      <w:r>
        <w:t xml:space="preserve">assessable </w:t>
      </w:r>
      <w:r w:rsidRPr="00C7743F">
        <w:t xml:space="preserve">development where this code is an applicable code identified in the assessment </w:t>
      </w:r>
      <w:r w:rsidR="00DD0F3E">
        <w:t>benchmarks</w:t>
      </w:r>
      <w:r w:rsidR="00DD0F3E" w:rsidRPr="00C7743F">
        <w:t xml:space="preserve"> </w:t>
      </w:r>
      <w:r w:rsidRPr="00C7743F">
        <w:t>column of a table of assessment for a material change of use (</w:t>
      </w:r>
      <w:r w:rsidRPr="00AD2E17">
        <w:t>section 5.5</w:t>
      </w:r>
      <w:r w:rsidRPr="00C7743F">
        <w:t>)</w:t>
      </w:r>
      <w:r>
        <w:t>,</w:t>
      </w:r>
      <w:r w:rsidR="004B073D">
        <w:t xml:space="preserve"> </w:t>
      </w:r>
      <w:r w:rsidR="004B073D" w:rsidRPr="004B073D">
        <w:t>building work (</w:t>
      </w:r>
      <w:r w:rsidR="004B073D" w:rsidRPr="00AD2E17">
        <w:t>section 5.7</w:t>
      </w:r>
      <w:r w:rsidR="004B073D" w:rsidRPr="004B073D">
        <w:t>),</w:t>
      </w:r>
      <w:r w:rsidRPr="00C7743F">
        <w:t xml:space="preserve"> a neighbourhood plan (</w:t>
      </w:r>
      <w:r w:rsidRPr="00AD2E17">
        <w:t>section 5.</w:t>
      </w:r>
      <w:r w:rsidR="00B21F67" w:rsidRPr="00AD2E17">
        <w:t>9</w:t>
      </w:r>
      <w:r w:rsidRPr="00C7743F">
        <w:t>)</w:t>
      </w:r>
      <w:r>
        <w:t xml:space="preserve"> or an overlay </w:t>
      </w:r>
      <w:r w:rsidRPr="00C7743F">
        <w:t>(</w:t>
      </w:r>
      <w:r w:rsidRPr="00AD2E17">
        <w:t>section 5.10</w:t>
      </w:r>
      <w:r>
        <w:t>)</w:t>
      </w:r>
      <w:r w:rsidRPr="00C7743F">
        <w:t>;</w:t>
      </w:r>
      <w:r w:rsidR="00A23CF7">
        <w:t xml:space="preserve"> or</w:t>
      </w:r>
    </w:p>
    <w:p w14:paraId="2DF873A3" w14:textId="180F3249" w:rsidR="00C7743F" w:rsidRPr="00C7743F" w:rsidRDefault="00C7743F" w:rsidP="009D7DC0">
      <w:pPr>
        <w:pStyle w:val="QPPBulletpoint2"/>
      </w:pPr>
      <w:r w:rsidRPr="00C7743F">
        <w:t xml:space="preserve">impact assessable development for </w:t>
      </w:r>
      <w:r>
        <w:t xml:space="preserve">a </w:t>
      </w:r>
      <w:r w:rsidRPr="00AD2E17">
        <w:t>dwelling house</w:t>
      </w:r>
      <w:r>
        <w:t xml:space="preserve"> if not on a </w:t>
      </w:r>
      <w:r w:rsidRPr="00AD2E17">
        <w:t>small lot</w:t>
      </w:r>
      <w:r>
        <w:t xml:space="preserve"> or </w:t>
      </w:r>
      <w:r w:rsidR="005C4779">
        <w:t>a</w:t>
      </w:r>
      <w:r>
        <w:t xml:space="preserve"> use </w:t>
      </w:r>
      <w:r w:rsidRPr="00C7743F">
        <w:t>of a similar na</w:t>
      </w:r>
      <w:r w:rsidR="009D7DC0">
        <w:t>ture.</w:t>
      </w:r>
    </w:p>
    <w:p w14:paraId="2F78F7A7" w14:textId="761F0840" w:rsidR="00C7743F" w:rsidRPr="00C7743F" w:rsidRDefault="00C7743F" w:rsidP="00C7743F">
      <w:pPr>
        <w:pStyle w:val="QPPBulletPoint1"/>
      </w:pPr>
      <w:r w:rsidRPr="00C7743F">
        <w:t xml:space="preserve">When using this code, reference should be made to </w:t>
      </w:r>
      <w:r w:rsidRPr="00AD2E17">
        <w:t>section 1.5</w:t>
      </w:r>
      <w:r w:rsidRPr="00C7743F">
        <w:t xml:space="preserve"> and </w:t>
      </w:r>
      <w:r w:rsidRPr="00AD2E17">
        <w:t>section 5.3.3</w:t>
      </w:r>
      <w:r w:rsidRPr="00C7743F">
        <w:t>.</w:t>
      </w:r>
    </w:p>
    <w:p w14:paraId="4EC1876D" w14:textId="77777777" w:rsidR="00DD0F3E" w:rsidRPr="00DD0F3E" w:rsidRDefault="00DD0F3E" w:rsidP="00DD0F3E">
      <w:pPr>
        <w:pStyle w:val="QPPEditorsNoteStyle1"/>
      </w:pPr>
      <w:r w:rsidRPr="00DD0F3E">
        <w:t xml:space="preserve">Note—The following purpose, overall outcomes, performance outcomes and acceptable outcomes comprise the assessment benchmarks of this code. </w:t>
      </w:r>
    </w:p>
    <w:p w14:paraId="71753E8E" w14:textId="7B3EE5CB" w:rsidR="002A192D" w:rsidRDefault="00DF3D56" w:rsidP="002A192D">
      <w:pPr>
        <w:pStyle w:val="QPPEditorsNoteStyle1"/>
      </w:pPr>
      <w:r w:rsidRPr="00A15408">
        <w:t>Note—</w:t>
      </w:r>
      <w:r w:rsidR="002A192D">
        <w:t xml:space="preserve">Where </w:t>
      </w:r>
      <w:r w:rsidR="00C7743F">
        <w:t xml:space="preserve">a </w:t>
      </w:r>
      <w:r w:rsidR="00C7743F" w:rsidRPr="00AD2E17">
        <w:t>dwelling house</w:t>
      </w:r>
      <w:r w:rsidR="00C7743F">
        <w:t xml:space="preserve"> </w:t>
      </w:r>
      <w:r w:rsidR="002A192D">
        <w:t>on a</w:t>
      </w:r>
      <w:r w:rsidR="00827949">
        <w:t xml:space="preserve"> </w:t>
      </w:r>
      <w:r w:rsidR="00827949" w:rsidRPr="00AD2E17">
        <w:t>small lot</w:t>
      </w:r>
      <w:r w:rsidR="002A192D" w:rsidRPr="00506C12">
        <w:t xml:space="preserve">, the </w:t>
      </w:r>
      <w:r w:rsidR="002A192D" w:rsidRPr="00AD2E17">
        <w:t>Dwelling house (small lot) code</w:t>
      </w:r>
      <w:r w:rsidR="002A192D" w:rsidRPr="00506C12">
        <w:t xml:space="preserve"> applies.</w:t>
      </w:r>
    </w:p>
    <w:p w14:paraId="39EDC53F" w14:textId="23C20154" w:rsidR="00062079" w:rsidRDefault="00062079" w:rsidP="00062079">
      <w:pPr>
        <w:pStyle w:val="QPPEditorsNoteStyle1"/>
      </w:pPr>
      <w:r w:rsidRPr="00A15408">
        <w:t xml:space="preserve">Note—Where the </w:t>
      </w:r>
      <w:r w:rsidR="00C7743F">
        <w:t>land</w:t>
      </w:r>
      <w:r w:rsidRPr="00A15408">
        <w:t xml:space="preserve"> is </w:t>
      </w:r>
      <w:r w:rsidR="00C7743F">
        <w:t xml:space="preserve">identified </w:t>
      </w:r>
      <w:r w:rsidRPr="00A15408">
        <w:t>in a</w:t>
      </w:r>
      <w:r w:rsidR="00C7743F">
        <w:t>n</w:t>
      </w:r>
      <w:r w:rsidRPr="00A15408">
        <w:t xml:space="preserve"> overlay </w:t>
      </w:r>
      <w:r w:rsidR="00C7743F">
        <w:t>such as the</w:t>
      </w:r>
      <w:r w:rsidRPr="00A15408">
        <w:t xml:space="preserve"> </w:t>
      </w:r>
      <w:r w:rsidRPr="00AD2E17">
        <w:t>Bushfire overlay</w:t>
      </w:r>
      <w:r w:rsidR="00107700" w:rsidRPr="00AD2E17">
        <w:t xml:space="preserve"> map</w:t>
      </w:r>
      <w:r w:rsidR="00C7743F">
        <w:t>,</w:t>
      </w:r>
      <w:r w:rsidRPr="00A15408">
        <w:t xml:space="preserve"> </w:t>
      </w:r>
      <w:r w:rsidRPr="00AD2E17">
        <w:t>Flood overlay</w:t>
      </w:r>
      <w:r w:rsidR="00107700" w:rsidRPr="00AD2E17">
        <w:t xml:space="preserve"> map</w:t>
      </w:r>
      <w:r w:rsidR="00C7743F">
        <w:t>,</w:t>
      </w:r>
      <w:r w:rsidRPr="00A15408">
        <w:t xml:space="preserve"> </w:t>
      </w:r>
      <w:r w:rsidRPr="00AD2E17">
        <w:t>Landslide overlay</w:t>
      </w:r>
      <w:r w:rsidR="00107700" w:rsidRPr="00AD2E17">
        <w:t xml:space="preserve"> map</w:t>
      </w:r>
      <w:r w:rsidR="00C7743F">
        <w:t>,</w:t>
      </w:r>
      <w:r w:rsidRPr="00A15408">
        <w:t xml:space="preserve"> </w:t>
      </w:r>
      <w:r w:rsidRPr="00AD2E17">
        <w:t>Significant landscape trees overlay</w:t>
      </w:r>
      <w:r w:rsidR="00107700" w:rsidRPr="00AD2E17">
        <w:t xml:space="preserve"> map</w:t>
      </w:r>
      <w:r w:rsidR="00D10D1C">
        <w:t xml:space="preserve"> or </w:t>
      </w:r>
      <w:r w:rsidRPr="00AD2E17">
        <w:t>Waterway corridor</w:t>
      </w:r>
      <w:r w:rsidR="00A23CF7" w:rsidRPr="00AD2E17">
        <w:t>s</w:t>
      </w:r>
      <w:r w:rsidRPr="00AD2E17">
        <w:t xml:space="preserve"> overlay</w:t>
      </w:r>
      <w:r w:rsidR="00107700" w:rsidRPr="00AD2E17">
        <w:t xml:space="preserve"> map</w:t>
      </w:r>
      <w:r w:rsidR="00C7743F">
        <w:t>,</w:t>
      </w:r>
      <w:r w:rsidRPr="00A15408">
        <w:t xml:space="preserve"> additional provisions relating to that overlay also apply. For example, minimum floor levels for</w:t>
      </w:r>
      <w:r w:rsidR="00D10D1C">
        <w:t xml:space="preserve"> a</w:t>
      </w:r>
      <w:r w:rsidRPr="00A15408">
        <w:t xml:space="preserve"> </w:t>
      </w:r>
      <w:r w:rsidRPr="00AD2E17">
        <w:t>dwelling house</w:t>
      </w:r>
      <w:r w:rsidRPr="00A15408">
        <w:t xml:space="preserve"> on</w:t>
      </w:r>
      <w:r w:rsidR="00D10D1C">
        <w:t xml:space="preserve"> a site</w:t>
      </w:r>
      <w:r w:rsidRPr="00A15408">
        <w:t xml:space="preserve"> subject to certain types</w:t>
      </w:r>
      <w:r>
        <w:t xml:space="preserve"> of flooding,</w:t>
      </w:r>
      <w:r w:rsidRPr="00AB760E">
        <w:t xml:space="preserve"> are </w:t>
      </w:r>
      <w:r w:rsidR="00C7743F">
        <w:t xml:space="preserve">identified </w:t>
      </w:r>
      <w:r w:rsidRPr="00AB760E">
        <w:t xml:space="preserve">in </w:t>
      </w:r>
      <w:r w:rsidRPr="00A15408">
        <w:t xml:space="preserve">the </w:t>
      </w:r>
      <w:r w:rsidRPr="00AD2E17">
        <w:t>Flood overlay code</w:t>
      </w:r>
      <w:r>
        <w:t>.</w:t>
      </w:r>
    </w:p>
    <w:p w14:paraId="71B4DEDF" w14:textId="77777777" w:rsidR="00700E2B" w:rsidRDefault="00700E2B">
      <w:pPr>
        <w:pStyle w:val="QPPEditorsNoteStyle1"/>
      </w:pPr>
      <w:r>
        <w:t>Note</w:t>
      </w:r>
      <w:r w:rsidRPr="00A15408">
        <w:t>—</w:t>
      </w:r>
      <w:r>
        <w:t xml:space="preserve">Where the site is located may be subject to a zone, zone precinct, </w:t>
      </w:r>
      <w:r w:rsidR="00B60E2A">
        <w:t>n</w:t>
      </w:r>
      <w:r>
        <w:t xml:space="preserve">eighbourhood </w:t>
      </w:r>
      <w:r w:rsidR="00B60E2A">
        <w:t>p</w:t>
      </w:r>
      <w:r>
        <w:t>lan or overlay, these may vary the outcomes identified in this code and to the extent that thes</w:t>
      </w:r>
      <w:r w:rsidR="003B7581">
        <w:t>e vary, those outcomes prevail.</w:t>
      </w:r>
    </w:p>
    <w:p w14:paraId="42D6FAD0" w14:textId="77777777" w:rsidR="00700E2B" w:rsidRPr="00700E2B" w:rsidRDefault="00700E2B">
      <w:pPr>
        <w:pStyle w:val="QPPEditorsNoteStyle1"/>
      </w:pPr>
      <w:r>
        <w:t>Note</w:t>
      </w:r>
      <w:r w:rsidRPr="00A15408">
        <w:t>—</w:t>
      </w:r>
      <w:r>
        <w:t xml:space="preserve">Preliminary approvals or development </w:t>
      </w:r>
      <w:r w:rsidR="00F06105">
        <w:t xml:space="preserve">approval </w:t>
      </w:r>
      <w:r>
        <w:t>for other aspects of development can vary the outcomes of this code and to the extent that thes</w:t>
      </w:r>
      <w:r w:rsidR="003B7581">
        <w:t>e vary, those outcomes prevail.</w:t>
      </w:r>
    </w:p>
    <w:p w14:paraId="4C60C352" w14:textId="44926A0E" w:rsidR="00950136" w:rsidRDefault="00950136" w:rsidP="00C7743F">
      <w:pPr>
        <w:pStyle w:val="QPPEditorsNoteStyle1"/>
      </w:pPr>
      <w:r>
        <w:t>Editor’s note</w:t>
      </w:r>
      <w:r w:rsidRPr="00D23DF0">
        <w:t>—</w:t>
      </w:r>
      <w:r>
        <w:t xml:space="preserve">Depositing or allowing sediment or other water contaminants to wash or move into roadways, stormwater pipes and waterways without taking appropriate steps to prevent this occurring, is a breach of the </w:t>
      </w:r>
      <w:r w:rsidR="00D4029B" w:rsidRPr="00AD2E17">
        <w:rPr>
          <w:i/>
        </w:rPr>
        <w:t>Environmental Protection Act 1994</w:t>
      </w:r>
      <w:r>
        <w:t xml:space="preserve">. Penalties apply including fines and prosecution. Additional information, including best practice guidelines for controlling stormwater pollution from building sites, can be found in the SEQ </w:t>
      </w:r>
      <w:r w:rsidRPr="00765330">
        <w:t>Healthy Waterways - Water by Design</w:t>
      </w:r>
      <w:r>
        <w:t xml:space="preserve"> program’s Erosion and Sediment Control factsheets.</w:t>
      </w:r>
    </w:p>
    <w:p w14:paraId="3731FEC0" w14:textId="77777777" w:rsidR="009761E8" w:rsidRDefault="008462EA">
      <w:pPr>
        <w:pStyle w:val="QPPEditorsNoteStyle1"/>
      </w:pPr>
      <w:r w:rsidRPr="003675F0">
        <w:t xml:space="preserve">Editor’s note—For a proposal to be </w:t>
      </w:r>
      <w:r w:rsidR="00DD0F3E">
        <w:t>accepted development</w:t>
      </w:r>
      <w:r w:rsidR="00D20F7F" w:rsidRPr="00D20F7F">
        <w:t xml:space="preserve"> </w:t>
      </w:r>
      <w:r w:rsidR="00D20F7F">
        <w:t>subject to compliance with identified requirements</w:t>
      </w:r>
      <w:r w:rsidRPr="003675F0">
        <w:t xml:space="preserve">, it must meet all the </w:t>
      </w:r>
      <w:r w:rsidR="00DD0F3E">
        <w:t>identified acceptable</w:t>
      </w:r>
      <w:r w:rsidRPr="003675F0">
        <w:t xml:space="preserve"> outcomes of this code and any other applicable code. Where it does not meet all </w:t>
      </w:r>
      <w:r w:rsidR="00DD0F3E">
        <w:t>identified acceptable</w:t>
      </w:r>
      <w:r w:rsidRPr="003675F0">
        <w:t xml:space="preserve"> outcomes, the proposal becomes assessable development and a develop</w:t>
      </w:r>
      <w:r w:rsidRPr="00C43905">
        <w:t xml:space="preserve">ment application is required. Where a development application is triggered, only the specific acceptable outcomes that the proposal fails to meet need to be assessed against the </w:t>
      </w:r>
      <w:r w:rsidRPr="00E431DA">
        <w:t>corresponding assessable acceptable outcomes or performance outcomes</w:t>
      </w:r>
      <w:r w:rsidR="00DD0F3E">
        <w:t xml:space="preserve"> and relevant overall outcomes</w:t>
      </w:r>
      <w:r w:rsidRPr="00E431DA">
        <w:t xml:space="preserve">. Other </w:t>
      </w:r>
      <w:r w:rsidR="00DD0F3E">
        <w:t>identified acceptable</w:t>
      </w:r>
      <w:r w:rsidRPr="00E431DA">
        <w:t xml:space="preserve"> outcomes that are met are not</w:t>
      </w:r>
      <w:r w:rsidR="009761E8">
        <w:t xml:space="preserve"> </w:t>
      </w:r>
      <w:r w:rsidRPr="00E431DA">
        <w:t>assessed as part of the development application</w:t>
      </w:r>
      <w:r w:rsidR="008E4D78">
        <w:t>.</w:t>
      </w:r>
    </w:p>
    <w:p w14:paraId="1406DD0D" w14:textId="77777777" w:rsidR="009761E8" w:rsidRPr="00C1673F" w:rsidRDefault="009E14CB" w:rsidP="00C479E7">
      <w:pPr>
        <w:pStyle w:val="QPPHeading4"/>
      </w:pPr>
      <w:r w:rsidRPr="00C1673F">
        <w:t>9.3.</w:t>
      </w:r>
      <w:r w:rsidR="003327A6">
        <w:t>7</w:t>
      </w:r>
      <w:r w:rsidRPr="00C1673F">
        <w:t>.2 Purpose</w:t>
      </w:r>
    </w:p>
    <w:p w14:paraId="665AF245" w14:textId="77777777" w:rsidR="00997F29" w:rsidRPr="00D23DF0" w:rsidRDefault="00ED0F51" w:rsidP="00F7665A">
      <w:pPr>
        <w:pStyle w:val="QPPBulletPoint1"/>
        <w:numPr>
          <w:ilvl w:val="0"/>
          <w:numId w:val="7"/>
        </w:numPr>
      </w:pPr>
      <w:r>
        <w:t xml:space="preserve">The purpose of </w:t>
      </w:r>
      <w:r w:rsidRPr="00506C12">
        <w:t>the Dwelling house code</w:t>
      </w:r>
      <w:r>
        <w:t xml:space="preserve"> is </w:t>
      </w:r>
      <w:r w:rsidR="00250A41">
        <w:t xml:space="preserve">to </w:t>
      </w:r>
      <w:r w:rsidR="00270F1D">
        <w:t>assess the suitability of</w:t>
      </w:r>
      <w:r w:rsidR="00270F1D" w:rsidRPr="00DE3430">
        <w:t xml:space="preserve"> development </w:t>
      </w:r>
      <w:r w:rsidR="00216D66">
        <w:t>to which this code applies</w:t>
      </w:r>
      <w:r w:rsidR="00333605" w:rsidRPr="00640BFB">
        <w:t>.</w:t>
      </w:r>
    </w:p>
    <w:p w14:paraId="4A0D23E6" w14:textId="77777777" w:rsidR="00997F29" w:rsidRPr="00D23DF0" w:rsidRDefault="00997F29" w:rsidP="00F271DB">
      <w:pPr>
        <w:pStyle w:val="QPPBulletPoint1"/>
      </w:pPr>
      <w:r w:rsidRPr="00D23DF0">
        <w:t>The purpose of the</w:t>
      </w:r>
      <w:r w:rsidR="00F513E5">
        <w:t xml:space="preserve"> </w:t>
      </w:r>
      <w:r w:rsidRPr="00D23DF0">
        <w:t>code will be achieved through the following overall outcomes</w:t>
      </w:r>
      <w:r w:rsidR="00106F02">
        <w:t>:</w:t>
      </w:r>
    </w:p>
    <w:p w14:paraId="7526F86E" w14:textId="7DA42CB5" w:rsidR="00ED0F51" w:rsidRPr="00506C12" w:rsidRDefault="00277CBA" w:rsidP="00F7665A">
      <w:pPr>
        <w:pStyle w:val="QPPBulletpoint2"/>
        <w:numPr>
          <w:ilvl w:val="0"/>
          <w:numId w:val="11"/>
        </w:numPr>
      </w:pPr>
      <w:r>
        <w:t xml:space="preserve">Development </w:t>
      </w:r>
      <w:r w:rsidR="00216D66">
        <w:t>ensures</w:t>
      </w:r>
      <w:r>
        <w:t xml:space="preserve"> that a</w:t>
      </w:r>
      <w:r w:rsidR="00ED0F51" w:rsidRPr="00506C12">
        <w:t xml:space="preserve"> </w:t>
      </w:r>
      <w:r w:rsidR="0067164C" w:rsidRPr="00AD2E17">
        <w:t>dwelling house</w:t>
      </w:r>
      <w:r w:rsidR="00ED0F51" w:rsidRPr="00506C12">
        <w:t xml:space="preserve">, including a habitable building on the </w:t>
      </w:r>
      <w:r w:rsidR="003D70AD" w:rsidRPr="00AD2E17">
        <w:t>site</w:t>
      </w:r>
      <w:r w:rsidR="003D70AD" w:rsidRPr="00506C12">
        <w:t>,</w:t>
      </w:r>
      <w:r w:rsidR="00ED0F51" w:rsidRPr="00506C12">
        <w:t xml:space="preserve"> </w:t>
      </w:r>
      <w:r>
        <w:t>is</w:t>
      </w:r>
      <w:r w:rsidR="00ED0F51" w:rsidRPr="00506C12">
        <w:t xml:space="preserve"> occupied by the same single </w:t>
      </w:r>
      <w:r w:rsidR="00ED0F51" w:rsidRPr="00AD2E17">
        <w:t>household</w:t>
      </w:r>
      <w:r w:rsidR="00333605">
        <w:t>.</w:t>
      </w:r>
    </w:p>
    <w:p w14:paraId="731597E8" w14:textId="560F3735" w:rsidR="00ED0F51" w:rsidRPr="00506C12" w:rsidRDefault="00277CBA" w:rsidP="00F271DB">
      <w:pPr>
        <w:pStyle w:val="QPPBulletpoint2"/>
      </w:pPr>
      <w:r>
        <w:t xml:space="preserve">Development </w:t>
      </w:r>
      <w:r w:rsidR="00216D66">
        <w:t xml:space="preserve">for a </w:t>
      </w:r>
      <w:r w:rsidRPr="00AD2E17">
        <w:t>dwelling house</w:t>
      </w:r>
      <w:r w:rsidR="00ED0F51" w:rsidRPr="00506C12">
        <w:t xml:space="preserve">, including </w:t>
      </w:r>
      <w:r>
        <w:t xml:space="preserve">a </w:t>
      </w:r>
      <w:r w:rsidRPr="00AD2E17">
        <w:t>secondary dwelling</w:t>
      </w:r>
      <w:r>
        <w:t xml:space="preserve"> or </w:t>
      </w:r>
      <w:r w:rsidRPr="00AD2E17">
        <w:t>domestic outbuilding</w:t>
      </w:r>
      <w:r w:rsidR="00ED0F51" w:rsidRPr="00506C12">
        <w:t xml:space="preserve">, </w:t>
      </w:r>
      <w:r w:rsidR="00216D66">
        <w:t xml:space="preserve">incorporates design and siting </w:t>
      </w:r>
      <w:r w:rsidR="00ED0F51" w:rsidRPr="00506C12">
        <w:t xml:space="preserve">to allow reasonable access to daylight and sunlight for neighbouring </w:t>
      </w:r>
      <w:r w:rsidR="00ED0F51" w:rsidRPr="00AD2E17">
        <w:t>dwellings</w:t>
      </w:r>
      <w:r w:rsidR="00333605">
        <w:t xml:space="preserve"> and private open space.</w:t>
      </w:r>
    </w:p>
    <w:p w14:paraId="1E719A8A" w14:textId="5FD726AC" w:rsidR="00521C0A" w:rsidRPr="00506C12" w:rsidRDefault="00277CBA" w:rsidP="00521C0A">
      <w:pPr>
        <w:pStyle w:val="QPPBulletpoint2"/>
      </w:pPr>
      <w:r>
        <w:t xml:space="preserve">Development of a </w:t>
      </w:r>
      <w:r w:rsidRPr="00AD2E17">
        <w:t>dwelling house</w:t>
      </w:r>
      <w:r w:rsidR="003D70AD" w:rsidRPr="00506C12">
        <w:t xml:space="preserve"> provide</w:t>
      </w:r>
      <w:r>
        <w:t>s</w:t>
      </w:r>
      <w:r w:rsidR="003D70AD" w:rsidRPr="00506C12">
        <w:t xml:space="preserve"> s</w:t>
      </w:r>
      <w:r w:rsidR="00ED0F51" w:rsidRPr="00506C12">
        <w:t>ufficient and safe vehicle access and</w:t>
      </w:r>
      <w:r w:rsidR="00FE47CA" w:rsidRPr="00506C12">
        <w:t xml:space="preserve"> parking</w:t>
      </w:r>
      <w:r w:rsidR="00ED0F51" w:rsidRPr="00506C12">
        <w:t xml:space="preserve"> </w:t>
      </w:r>
      <w:r w:rsidR="00333605">
        <w:t>for residents.</w:t>
      </w:r>
    </w:p>
    <w:p w14:paraId="07427255" w14:textId="21AE5FFE" w:rsidR="004B775E" w:rsidRDefault="00277CBA" w:rsidP="004B775E">
      <w:pPr>
        <w:pStyle w:val="QPPBulletpoint2"/>
      </w:pPr>
      <w:r>
        <w:t xml:space="preserve">Development ensures that a </w:t>
      </w:r>
      <w:r w:rsidRPr="00AD2E17">
        <w:t>dwelling house</w:t>
      </w:r>
      <w:r w:rsidRPr="00506C12">
        <w:t xml:space="preserve">, including </w:t>
      </w:r>
      <w:r>
        <w:t xml:space="preserve">a </w:t>
      </w:r>
      <w:r w:rsidR="00D4029B" w:rsidRPr="00AD2E17">
        <w:t>secondary dwelling</w:t>
      </w:r>
      <w:r>
        <w:t xml:space="preserve"> or </w:t>
      </w:r>
      <w:r w:rsidR="00D4029B" w:rsidRPr="00AD2E17">
        <w:t>domestic outbuilding</w:t>
      </w:r>
      <w:r w:rsidRPr="00506C12">
        <w:t xml:space="preserve">, </w:t>
      </w:r>
      <w:r w:rsidR="00ED0F51" w:rsidRPr="00506C12">
        <w:t>do</w:t>
      </w:r>
      <w:r w:rsidR="001D77E9">
        <w:t>es</w:t>
      </w:r>
      <w:r w:rsidR="00ED0F51" w:rsidRPr="00506C12">
        <w:t xml:space="preserve"> not cause adverse </w:t>
      </w:r>
      <w:r w:rsidR="00333605" w:rsidRPr="00640BFB">
        <w:t xml:space="preserve">drainage impacts or </w:t>
      </w:r>
      <w:r w:rsidR="00ED0F51" w:rsidRPr="00506C12">
        <w:t>flooding of upstream</w:t>
      </w:r>
      <w:r w:rsidR="003D70AD" w:rsidRPr="00506C12">
        <w:t xml:space="preserve">, downstream </w:t>
      </w:r>
      <w:r w:rsidR="00D10D1C">
        <w:t>or</w:t>
      </w:r>
      <w:r w:rsidR="00216D66">
        <w:t xml:space="preserve"> </w:t>
      </w:r>
      <w:r w:rsidR="003D70AD" w:rsidRPr="00506C12">
        <w:t>adjoining land.</w:t>
      </w:r>
    </w:p>
    <w:p w14:paraId="1B28E453" w14:textId="1D33803A" w:rsidR="007B6462" w:rsidRDefault="001D77E9" w:rsidP="007B6462">
      <w:pPr>
        <w:pStyle w:val="QPPBulletpoint2"/>
      </w:pPr>
      <w:r>
        <w:lastRenderedPageBreak/>
        <w:t xml:space="preserve">Development ensures that </w:t>
      </w:r>
      <w:r w:rsidR="00216D66">
        <w:t xml:space="preserve">the </w:t>
      </w:r>
      <w:r w:rsidR="004B775E" w:rsidRPr="00A11674">
        <w:t xml:space="preserve">siting </w:t>
      </w:r>
      <w:r w:rsidR="00216D66">
        <w:t xml:space="preserve">of a </w:t>
      </w:r>
      <w:r w:rsidR="00D4029B" w:rsidRPr="00AD2E17">
        <w:t>dwelling house</w:t>
      </w:r>
      <w:r w:rsidR="00D4029B">
        <w:t xml:space="preserve"> </w:t>
      </w:r>
      <w:r w:rsidR="004B775E" w:rsidRPr="00A11674">
        <w:t xml:space="preserve">and </w:t>
      </w:r>
      <w:r w:rsidR="00216D66">
        <w:t xml:space="preserve">any </w:t>
      </w:r>
      <w:r w:rsidR="004B775E" w:rsidRPr="00A11674">
        <w:t xml:space="preserve">built to boundary walls do not negatively impact on the privacy and </w:t>
      </w:r>
      <w:r w:rsidR="004B775E" w:rsidRPr="00AD2E17">
        <w:t>amenity</w:t>
      </w:r>
      <w:r w:rsidR="004B775E" w:rsidRPr="00A11674">
        <w:t xml:space="preserve"> of adjoining residents.</w:t>
      </w:r>
    </w:p>
    <w:p w14:paraId="0ACBF589" w14:textId="77777777" w:rsidR="002D13DD" w:rsidRDefault="002D13DD" w:rsidP="007B6462">
      <w:pPr>
        <w:pStyle w:val="QPPBulletpoint2"/>
      </w:pPr>
      <w:r>
        <w:t>Development for a dwelling house, including a secondary dwelling or domestic outbuilding, is of a height that is appropriate to the strategic and local context and meets community expectations. Development has a building height that is predominately:</w:t>
      </w:r>
    </w:p>
    <w:p w14:paraId="4D9730C8" w14:textId="77777777" w:rsidR="002D13DD" w:rsidRDefault="002D13DD" w:rsidP="00953410">
      <w:pPr>
        <w:pStyle w:val="QPPBulletpoint3"/>
      </w:pPr>
      <w:r>
        <w:t>1 or 2 storeys in the Low density residential zone, Character residential zone, 2 storey mix zone precinct of the Low-medium density residential zone, 2 or 3 storey mix zone precinct of the Low-</w:t>
      </w:r>
      <w:r w:rsidR="00371987">
        <w:t>medium density residential zone, Rural residential zone, Environmental management zone, Rural zone or the Emerging community zone.</w:t>
      </w:r>
    </w:p>
    <w:p w14:paraId="3C374259" w14:textId="77777777" w:rsidR="00371987" w:rsidRPr="00266419" w:rsidRDefault="00371987" w:rsidP="00953410">
      <w:pPr>
        <w:pStyle w:val="QPPBulletpoint3"/>
      </w:pPr>
      <w:r>
        <w:t>3 storeys in the Up to 3 storey zone precinct of the Low-medium density residential zone or the Medium density residential zone.</w:t>
      </w:r>
    </w:p>
    <w:p w14:paraId="2EF91412" w14:textId="77777777" w:rsidR="00997F29" w:rsidRPr="00D23DF0" w:rsidRDefault="00015F5A" w:rsidP="003859F0">
      <w:pPr>
        <w:pStyle w:val="QPPHeading4"/>
      </w:pPr>
      <w:r>
        <w:t>9.3</w:t>
      </w:r>
      <w:r w:rsidR="00210674">
        <w:t>.</w:t>
      </w:r>
      <w:r w:rsidR="003327A6">
        <w:t>7</w:t>
      </w:r>
      <w:r w:rsidR="00416102">
        <w:t xml:space="preserve">.3 </w:t>
      </w:r>
      <w:r w:rsidR="00DD0F3E">
        <w:t>Performance outcomes and acceptable outcomes</w:t>
      </w:r>
    </w:p>
    <w:p w14:paraId="2483B1CF" w14:textId="77777777" w:rsidR="00997F29" w:rsidRPr="00CC0C47" w:rsidRDefault="00997F29" w:rsidP="00CC0C47">
      <w:pPr>
        <w:pStyle w:val="QPPTableHeadingStyle1"/>
      </w:pPr>
      <w:r w:rsidRPr="00CC0C47">
        <w:t xml:space="preserve">Table </w:t>
      </w:r>
      <w:r w:rsidR="00015F5A">
        <w:t>9.3</w:t>
      </w:r>
      <w:r w:rsidR="00250A41" w:rsidRPr="00CC0C47">
        <w:t>.</w:t>
      </w:r>
      <w:r w:rsidR="003327A6">
        <w:t>7</w:t>
      </w:r>
      <w:r w:rsidR="00216D66">
        <w:t>.3</w:t>
      </w:r>
      <w:r w:rsidR="00B12519">
        <w:t>.A</w:t>
      </w:r>
      <w:r w:rsidR="00216D66">
        <w:t>—</w:t>
      </w:r>
      <w:r w:rsidR="00DD0F3E">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3859F0" w:rsidRPr="00A4643B" w14:paraId="11DF42D8" w14:textId="77777777" w:rsidTr="00A4643B">
        <w:trPr>
          <w:trHeight w:val="434"/>
        </w:trPr>
        <w:tc>
          <w:tcPr>
            <w:tcW w:w="4150" w:type="dxa"/>
            <w:shd w:val="clear" w:color="auto" w:fill="auto"/>
          </w:tcPr>
          <w:p w14:paraId="6B491FAC" w14:textId="77777777" w:rsidR="003859F0" w:rsidRPr="00CC0C47" w:rsidRDefault="003859F0" w:rsidP="00627143">
            <w:pPr>
              <w:pStyle w:val="QPPTableTextBold"/>
            </w:pPr>
            <w:r w:rsidRPr="00CC0C47">
              <w:t>Performance outcomes</w:t>
            </w:r>
          </w:p>
        </w:tc>
        <w:tc>
          <w:tcPr>
            <w:tcW w:w="4151" w:type="dxa"/>
            <w:shd w:val="clear" w:color="auto" w:fill="auto"/>
          </w:tcPr>
          <w:p w14:paraId="6F5102A4" w14:textId="77777777" w:rsidR="003859F0" w:rsidRPr="00CC0C47" w:rsidRDefault="003859F0" w:rsidP="00627143">
            <w:pPr>
              <w:pStyle w:val="QPPTableTextBold"/>
            </w:pPr>
            <w:r w:rsidRPr="00CC0C47">
              <w:t>Acceptable outcomes</w:t>
            </w:r>
          </w:p>
        </w:tc>
      </w:tr>
      <w:tr w:rsidR="00A61F79" w:rsidRPr="00D23DF0" w14:paraId="702249DA" w14:textId="77777777" w:rsidTr="00A4643B">
        <w:trPr>
          <w:trHeight w:val="1184"/>
        </w:trPr>
        <w:tc>
          <w:tcPr>
            <w:tcW w:w="4150" w:type="dxa"/>
            <w:vMerge w:val="restart"/>
            <w:shd w:val="clear" w:color="auto" w:fill="auto"/>
          </w:tcPr>
          <w:p w14:paraId="3D141649" w14:textId="77777777" w:rsidR="00A61F79" w:rsidRPr="00506C12" w:rsidRDefault="00A61F79" w:rsidP="00627143">
            <w:pPr>
              <w:pStyle w:val="QPPTableTextBold"/>
            </w:pPr>
            <w:r w:rsidRPr="00506C12">
              <w:t>PO1</w:t>
            </w:r>
          </w:p>
          <w:p w14:paraId="46A7C2BD" w14:textId="77777777" w:rsidR="00A61F79" w:rsidRDefault="00A61F79" w:rsidP="00522B94">
            <w:pPr>
              <w:pStyle w:val="QPPTableTextBody"/>
            </w:pPr>
            <w:r>
              <w:t>Development ensures that a building other than a dwelling house</w:t>
            </w:r>
            <w:r w:rsidRPr="00506C12">
              <w:t xml:space="preserve"> on the </w:t>
            </w:r>
            <w:r w:rsidRPr="00DB3C3D">
              <w:t>site</w:t>
            </w:r>
            <w:r>
              <w:t>:</w:t>
            </w:r>
          </w:p>
          <w:p w14:paraId="2CE6ACCB" w14:textId="168868AA" w:rsidR="00A61F79" w:rsidRDefault="00A61F79" w:rsidP="00D2636B">
            <w:pPr>
              <w:pStyle w:val="HGTableBullet2"/>
            </w:pPr>
            <w:r>
              <w:t xml:space="preserve">is </w:t>
            </w:r>
            <w:r w:rsidRPr="00506C12">
              <w:t xml:space="preserve">used for </w:t>
            </w:r>
            <w:r>
              <w:t xml:space="preserve">a </w:t>
            </w:r>
            <w:r w:rsidRPr="00506C12">
              <w:t>domestic residential purpo</w:t>
            </w:r>
            <w:r>
              <w:t>se</w:t>
            </w:r>
            <w:r w:rsidRPr="00506C12">
              <w:t xml:space="preserve">, in conjunction with and subordinate to the </w:t>
            </w:r>
            <w:r w:rsidRPr="00AD2E17">
              <w:t>dwelling house</w:t>
            </w:r>
            <w:r w:rsidRPr="00506C12">
              <w:t xml:space="preserve"> on the same </w:t>
            </w:r>
            <w:r w:rsidRPr="00DB3C3D">
              <w:t>site</w:t>
            </w:r>
            <w:r w:rsidR="003B7581">
              <w:t>;</w:t>
            </w:r>
          </w:p>
          <w:p w14:paraId="287FC34F" w14:textId="23DC69EF" w:rsidR="00A61F79" w:rsidRDefault="00A61F79" w:rsidP="00D2636B">
            <w:pPr>
              <w:pStyle w:val="HGTableBullet2"/>
            </w:pPr>
            <w:r>
              <w:t xml:space="preserve">is </w:t>
            </w:r>
            <w:r w:rsidRPr="00506C12">
              <w:t xml:space="preserve">smaller in size and scale than the </w:t>
            </w:r>
            <w:r w:rsidRPr="00AD2E17">
              <w:t>dwelling house</w:t>
            </w:r>
            <w:r w:rsidRPr="00506C12">
              <w:t>;</w:t>
            </w:r>
          </w:p>
          <w:p w14:paraId="48748630" w14:textId="67C14232" w:rsidR="00A61F79" w:rsidRDefault="00A61F79" w:rsidP="00D2636B">
            <w:pPr>
              <w:pStyle w:val="HGTableBullet2"/>
            </w:pPr>
            <w:r w:rsidRPr="00506C12">
              <w:t>h</w:t>
            </w:r>
            <w:r>
              <w:t>as</w:t>
            </w:r>
            <w:r w:rsidRPr="00506C12">
              <w:t xml:space="preserve"> the appearance of a building ancillary to the </w:t>
            </w:r>
            <w:r w:rsidRPr="00AD2E17">
              <w:t>dwelling house</w:t>
            </w:r>
            <w:r w:rsidR="003B7581">
              <w:t>;</w:t>
            </w:r>
          </w:p>
          <w:p w14:paraId="394CCD22" w14:textId="61D01A69" w:rsidR="00A61F79" w:rsidRPr="00506C12" w:rsidRDefault="00A61F79" w:rsidP="00D2636B">
            <w:pPr>
              <w:pStyle w:val="HGTableBullet2"/>
            </w:pPr>
            <w:r>
              <w:t>is</w:t>
            </w:r>
            <w:r w:rsidRPr="00506C12">
              <w:t xml:space="preserve"> occupied by members of the same </w:t>
            </w:r>
            <w:r w:rsidRPr="00AD2E17">
              <w:t>household</w:t>
            </w:r>
            <w:r w:rsidRPr="00506C12">
              <w:t xml:space="preserve"> who occupy the </w:t>
            </w:r>
            <w:r w:rsidRPr="00AD2E17">
              <w:t>dwelling house</w:t>
            </w:r>
            <w:r w:rsidRPr="00506C12">
              <w:t>.</w:t>
            </w:r>
          </w:p>
        </w:tc>
        <w:tc>
          <w:tcPr>
            <w:tcW w:w="4151" w:type="dxa"/>
            <w:shd w:val="clear" w:color="auto" w:fill="auto"/>
          </w:tcPr>
          <w:p w14:paraId="52666831" w14:textId="77777777" w:rsidR="00A61F79" w:rsidRPr="00506C12" w:rsidRDefault="00A61F79" w:rsidP="00627143">
            <w:pPr>
              <w:pStyle w:val="QPPTableTextBold"/>
            </w:pPr>
            <w:bookmarkStart w:id="1" w:name="AO11"/>
            <w:r w:rsidRPr="00506C12">
              <w:t>AO1.1</w:t>
            </w:r>
          </w:p>
          <w:bookmarkEnd w:id="1"/>
          <w:p w14:paraId="3DB80DA5" w14:textId="10EE62AD" w:rsidR="00A61F79" w:rsidRDefault="00A61F79" w:rsidP="00A61F79">
            <w:pPr>
              <w:pStyle w:val="QPPTableTextBody"/>
            </w:pPr>
            <w:r>
              <w:t xml:space="preserve">Development </w:t>
            </w:r>
            <w:r w:rsidR="00A23CF7">
              <w:t>comprises</w:t>
            </w:r>
            <w:r w:rsidR="00A23CF7" w:rsidRPr="00506C12">
              <w:t xml:space="preserve"> </w:t>
            </w:r>
            <w:r w:rsidRPr="00506C12">
              <w:t xml:space="preserve">not more than one </w:t>
            </w:r>
            <w:r w:rsidRPr="00AD2E17">
              <w:t>dwelling house</w:t>
            </w:r>
            <w:r w:rsidRPr="00506C12">
              <w:t xml:space="preserve"> and one </w:t>
            </w:r>
            <w:r w:rsidR="00DB3C3D" w:rsidRPr="00AD2E17">
              <w:t>secondary dwelling</w:t>
            </w:r>
            <w:r w:rsidRPr="00506C12">
              <w:t xml:space="preserve">, occupied by one </w:t>
            </w:r>
            <w:r w:rsidRPr="00AD2E17">
              <w:t>household</w:t>
            </w:r>
            <w:r w:rsidR="004505CE">
              <w:t xml:space="preserve"> comprising:</w:t>
            </w:r>
          </w:p>
          <w:p w14:paraId="58F057B8" w14:textId="77777777" w:rsidR="004505CE" w:rsidRPr="000A3F47" w:rsidRDefault="004505CE" w:rsidP="00F7665A">
            <w:pPr>
              <w:pStyle w:val="HGTableBullet2"/>
              <w:numPr>
                <w:ilvl w:val="0"/>
                <w:numId w:val="26"/>
              </w:numPr>
            </w:pPr>
            <w:r w:rsidRPr="000A3F47">
              <w:t>1 person maintaining a household; or</w:t>
            </w:r>
          </w:p>
          <w:p w14:paraId="17621373" w14:textId="77777777" w:rsidR="004505CE" w:rsidRPr="000A3F47" w:rsidRDefault="004505CE" w:rsidP="004505CE">
            <w:pPr>
              <w:pStyle w:val="HGTableBullet2"/>
            </w:pPr>
            <w:r w:rsidRPr="000A3F47">
              <w:t>2 or more persons related by blood, marriage or adoption; or</w:t>
            </w:r>
          </w:p>
          <w:p w14:paraId="2890E1F2" w14:textId="77777777" w:rsidR="002C426B" w:rsidRDefault="004505CE" w:rsidP="004505CE">
            <w:pPr>
              <w:pStyle w:val="HGTableBullet2"/>
            </w:pPr>
            <w:r w:rsidRPr="000A3F47">
              <w:t>not more than 5 persons, not necessarily related by blood, marriage or adoption</w:t>
            </w:r>
            <w:r w:rsidR="002C426B">
              <w:t>;</w:t>
            </w:r>
            <w:r w:rsidR="001472DF">
              <w:t xml:space="preserve"> or</w:t>
            </w:r>
          </w:p>
          <w:p w14:paraId="5938B91C" w14:textId="77777777" w:rsidR="004505CE" w:rsidRPr="00506C12" w:rsidRDefault="002C426B" w:rsidP="002C426B">
            <w:pPr>
              <w:pStyle w:val="HGTableBullet2"/>
            </w:pPr>
            <w:r>
              <w:t>not more than 5 persons under the age of 18 and not necessarily related by blood, marriage or adoption, together with 1 or 2 adult persons who have care or control of them</w:t>
            </w:r>
            <w:r w:rsidR="00561B13">
              <w:t>.</w:t>
            </w:r>
          </w:p>
        </w:tc>
      </w:tr>
      <w:tr w:rsidR="00A61F79" w:rsidRPr="00A4643B" w14:paraId="3B2CDBD2" w14:textId="77777777" w:rsidTr="0025154F">
        <w:trPr>
          <w:trHeight w:val="699"/>
        </w:trPr>
        <w:tc>
          <w:tcPr>
            <w:tcW w:w="4150" w:type="dxa"/>
            <w:vMerge/>
            <w:shd w:val="clear" w:color="auto" w:fill="auto"/>
          </w:tcPr>
          <w:p w14:paraId="6E781280" w14:textId="77777777" w:rsidR="00A61F79" w:rsidRPr="00506C12" w:rsidRDefault="00A61F79" w:rsidP="00627143">
            <w:pPr>
              <w:pStyle w:val="QPPTableTextBold"/>
            </w:pPr>
          </w:p>
        </w:tc>
        <w:tc>
          <w:tcPr>
            <w:tcW w:w="4151" w:type="dxa"/>
            <w:shd w:val="clear" w:color="auto" w:fill="auto"/>
          </w:tcPr>
          <w:p w14:paraId="0F6A9E55" w14:textId="77777777" w:rsidR="00A61F79" w:rsidRPr="00A61F79" w:rsidRDefault="00A61F79" w:rsidP="00A61F79">
            <w:pPr>
              <w:pStyle w:val="QPPTableTextBold"/>
            </w:pPr>
            <w:bookmarkStart w:id="2" w:name="AO12"/>
            <w:r w:rsidRPr="00A61F79">
              <w:t>AO1.2</w:t>
            </w:r>
          </w:p>
          <w:bookmarkEnd w:id="2"/>
          <w:p w14:paraId="0848D0AA" w14:textId="1C1E4B8D" w:rsidR="00A61F79" w:rsidRPr="00A61F79" w:rsidRDefault="00A61F79" w:rsidP="00A61F79">
            <w:pPr>
              <w:pStyle w:val="QPPTableTextBody"/>
            </w:pPr>
            <w:r w:rsidRPr="00A61F79">
              <w:t xml:space="preserve">Any </w:t>
            </w:r>
            <w:r w:rsidR="004A61F1">
              <w:t xml:space="preserve">development for a </w:t>
            </w:r>
            <w:r w:rsidR="00DB3C3D" w:rsidRPr="00AD2E17">
              <w:t>secondary dwelling</w:t>
            </w:r>
            <w:r w:rsidRPr="00A61F79">
              <w:t xml:space="preserve"> is:</w:t>
            </w:r>
          </w:p>
          <w:p w14:paraId="6C79BC8F" w14:textId="62B84432" w:rsidR="00A61F79" w:rsidRPr="00A61F79" w:rsidRDefault="00A61F79" w:rsidP="00F7665A">
            <w:pPr>
              <w:pStyle w:val="HGTableBullet2"/>
              <w:numPr>
                <w:ilvl w:val="0"/>
                <w:numId w:val="12"/>
              </w:numPr>
              <w:tabs>
                <w:tab w:val="clear" w:pos="567"/>
                <w:tab w:val="left" w:pos="528"/>
                <w:tab w:val="num" w:pos="953"/>
              </w:tabs>
              <w:ind w:left="528" w:hanging="528"/>
            </w:pPr>
            <w:r w:rsidRPr="00A61F79">
              <w:t>a maximum of 80m</w:t>
            </w:r>
            <w:r w:rsidRPr="004A61F1">
              <w:rPr>
                <w:rStyle w:val="QPPSuperscriptChar"/>
              </w:rPr>
              <w:t>2</w:t>
            </w:r>
            <w:r w:rsidRPr="00A61F79">
              <w:t xml:space="preserve"> in </w:t>
            </w:r>
            <w:r w:rsidRPr="00AD2E17">
              <w:t>gross floor area</w:t>
            </w:r>
            <w:r w:rsidR="003B7581">
              <w:t>;</w:t>
            </w:r>
          </w:p>
          <w:p w14:paraId="154399A3" w14:textId="43BDA1DB" w:rsidR="004A61F1" w:rsidRPr="00CF3C51" w:rsidRDefault="004A61F1" w:rsidP="00C479E7">
            <w:pPr>
              <w:pStyle w:val="HGTableBullet2"/>
            </w:pPr>
            <w:r w:rsidRPr="00CF3C51">
              <w:t>located within 20</w:t>
            </w:r>
            <w:r w:rsidR="00A61F79" w:rsidRPr="00CF3C51">
              <w:t xml:space="preserve">m </w:t>
            </w:r>
            <w:r w:rsidRPr="00CF3C51">
              <w:t xml:space="preserve">of </w:t>
            </w:r>
            <w:r w:rsidR="00A61F79" w:rsidRPr="00354C99">
              <w:t xml:space="preserve">the </w:t>
            </w:r>
            <w:r w:rsidR="00A61F79" w:rsidRPr="00AD2E17">
              <w:t>dwelling</w:t>
            </w:r>
            <w:r w:rsidR="00D675FD" w:rsidRPr="00AD2E17">
              <w:t xml:space="preserve"> </w:t>
            </w:r>
            <w:r w:rsidR="00A61F79" w:rsidRPr="00AD2E17">
              <w:t>house</w:t>
            </w:r>
            <w:r w:rsidR="00A61F79" w:rsidRPr="00CF3C51">
              <w:t>;</w:t>
            </w:r>
          </w:p>
          <w:p w14:paraId="5D69B40A" w14:textId="5BBC35A1" w:rsidR="00A61F79" w:rsidRPr="00CF3C51" w:rsidRDefault="00A61F79" w:rsidP="00C479E7">
            <w:pPr>
              <w:pStyle w:val="HGTableBullet2"/>
            </w:pPr>
            <w:r w:rsidRPr="00354C99">
              <w:t xml:space="preserve">occupied by </w:t>
            </w:r>
            <w:r w:rsidR="00D675FD">
              <w:t>1</w:t>
            </w:r>
            <w:r w:rsidR="00D675FD" w:rsidRPr="00354C99">
              <w:t xml:space="preserve"> </w:t>
            </w:r>
            <w:r w:rsidRPr="00354C99">
              <w:t xml:space="preserve">or more members of the same </w:t>
            </w:r>
            <w:r w:rsidRPr="00AD2E17">
              <w:t>household</w:t>
            </w:r>
            <w:r w:rsidRPr="00CF3C51">
              <w:t xml:space="preserve"> as the </w:t>
            </w:r>
            <w:r w:rsidRPr="00AD2E17">
              <w:t>dwelling house</w:t>
            </w:r>
            <w:r w:rsidRPr="00CF3C51">
              <w:t>.</w:t>
            </w:r>
          </w:p>
        </w:tc>
      </w:tr>
      <w:tr w:rsidR="003859F0" w:rsidRPr="00A4643B" w14:paraId="64BF4454" w14:textId="77777777" w:rsidTr="00AE2C1F">
        <w:trPr>
          <w:trHeight w:val="2826"/>
        </w:trPr>
        <w:tc>
          <w:tcPr>
            <w:tcW w:w="4150" w:type="dxa"/>
            <w:shd w:val="clear" w:color="auto" w:fill="auto"/>
          </w:tcPr>
          <w:p w14:paraId="42F9C841" w14:textId="77777777" w:rsidR="003859F0" w:rsidRPr="00122791" w:rsidRDefault="00627143" w:rsidP="00627143">
            <w:pPr>
              <w:pStyle w:val="QPPTableTextBold"/>
            </w:pPr>
            <w:r w:rsidRPr="00122791">
              <w:t>PO2</w:t>
            </w:r>
          </w:p>
          <w:p w14:paraId="03842B9A" w14:textId="7A4E4E64" w:rsidR="0099710C" w:rsidRPr="00122791" w:rsidRDefault="009D5C0F" w:rsidP="00E52EDD">
            <w:pPr>
              <w:pStyle w:val="QPPTableTextBody"/>
            </w:pPr>
            <w:r>
              <w:t>Development</w:t>
            </w:r>
            <w:r w:rsidR="004A61F1">
              <w:t xml:space="preserve"> has a</w:t>
            </w:r>
            <w:r>
              <w:t xml:space="preserve"> </w:t>
            </w:r>
            <w:r w:rsidRPr="00AD2E17">
              <w:t>b</w:t>
            </w:r>
            <w:r w:rsidR="0099710C" w:rsidRPr="00AD2E17">
              <w:t>uilding height</w:t>
            </w:r>
            <w:r w:rsidR="0099710C" w:rsidRPr="00122791">
              <w:t xml:space="preserve"> </w:t>
            </w:r>
            <w:r w:rsidR="004A61F1">
              <w:t>that</w:t>
            </w:r>
            <w:r w:rsidR="0099710C" w:rsidRPr="00122791">
              <w:t>:</w:t>
            </w:r>
          </w:p>
          <w:p w14:paraId="302B65ED" w14:textId="22F3521B" w:rsidR="003859F0" w:rsidRDefault="004A61F1" w:rsidP="00953410">
            <w:pPr>
              <w:pStyle w:val="HGTableBullet2"/>
              <w:numPr>
                <w:ilvl w:val="0"/>
                <w:numId w:val="65"/>
              </w:numPr>
            </w:pPr>
            <w:r>
              <w:t xml:space="preserve">does </w:t>
            </w:r>
            <w:r w:rsidR="0099710C" w:rsidRPr="00122791">
              <w:t xml:space="preserve">not unduly overshadow </w:t>
            </w:r>
            <w:r w:rsidR="00D10D1C">
              <w:t>adjoining</w:t>
            </w:r>
            <w:r>
              <w:t xml:space="preserve"> </w:t>
            </w:r>
            <w:r w:rsidR="0067164C" w:rsidRPr="00AD2E17">
              <w:t>dwelling houses</w:t>
            </w:r>
            <w:r w:rsidR="0099710C" w:rsidRPr="00122791">
              <w:t xml:space="preserve"> and thei</w:t>
            </w:r>
            <w:r w:rsidR="00D10D1C">
              <w:t>r associated private open space in terms of access to sunlight and daylight</w:t>
            </w:r>
            <w:r w:rsidR="00D73900">
              <w:t>;</w:t>
            </w:r>
          </w:p>
          <w:p w14:paraId="0BF21323" w14:textId="77777777" w:rsidR="00B12519" w:rsidRDefault="00B12519" w:rsidP="005B34DD">
            <w:pPr>
              <w:pStyle w:val="HGTableBullet2"/>
            </w:pPr>
            <w:r>
              <w:t>is consistent with the building height of dwelling houses prevailing in the immediate vicinity;</w:t>
            </w:r>
          </w:p>
          <w:p w14:paraId="60D4E31E" w14:textId="3266C14D" w:rsidR="00B12519" w:rsidRDefault="00B12519" w:rsidP="005B34DD">
            <w:pPr>
              <w:pStyle w:val="HGTableBullet2"/>
            </w:pPr>
            <w:r>
              <w:t xml:space="preserve">contains a 3 storey component only where necessary to enable a predominately </w:t>
            </w:r>
            <w:r w:rsidR="00DA462D">
              <w:t>2</w:t>
            </w:r>
            <w:r>
              <w:t xml:space="preserve"> storey dwelling to address the local circumstances of topography (refer to </w:t>
            </w:r>
            <w:r w:rsidRPr="00AD2E17">
              <w:t>Figure a</w:t>
            </w:r>
            <w:r>
              <w:t>);</w:t>
            </w:r>
          </w:p>
          <w:p w14:paraId="6219DD56" w14:textId="77777777" w:rsidR="00B12519" w:rsidRDefault="005B34DD" w:rsidP="005B34DD">
            <w:pPr>
              <w:pStyle w:val="HGTableBullet2"/>
            </w:pPr>
            <w:r>
              <w:lastRenderedPageBreak/>
              <w:t>may be higher than adjoining properties only to the extent required to achieve the minimum habitable floor levels required for flood immunity.</w:t>
            </w:r>
          </w:p>
          <w:p w14:paraId="154D0FE6" w14:textId="77777777" w:rsidR="007E0F31" w:rsidRPr="00122791" w:rsidRDefault="007E0F31" w:rsidP="007B566D">
            <w:pPr>
              <w:pStyle w:val="QPPEditorsNoteStyle1"/>
            </w:pPr>
            <w:r>
              <w:t>Note</w:t>
            </w:r>
            <w:r w:rsidR="002F146A">
              <w:t>–</w:t>
            </w:r>
            <w:r w:rsidR="001F71B2" w:rsidRPr="001F71B2">
              <w:t>In interpreting PO2</w:t>
            </w:r>
            <w:r w:rsidR="005B34DD">
              <w:t>(b)</w:t>
            </w:r>
            <w:r w:rsidR="001F71B2" w:rsidRPr="001F71B2">
              <w:t xml:space="preserve">, the term ‘prevailing in the immediate vicinity’ means the building height of </w:t>
            </w:r>
            <w:r w:rsidR="005B34DD">
              <w:t>the majority (</w:t>
            </w:r>
            <w:r w:rsidR="001F71B2" w:rsidRPr="001F71B2">
              <w:t>more than 50%</w:t>
            </w:r>
            <w:r w:rsidR="005B34DD">
              <w:t>)</w:t>
            </w:r>
            <w:r w:rsidR="001F71B2" w:rsidRPr="001F71B2">
              <w:t xml:space="preserve"> of</w:t>
            </w:r>
            <w:r w:rsidR="005B34DD">
              <w:t xml:space="preserve"> all</w:t>
            </w:r>
            <w:r w:rsidR="001F71B2" w:rsidRPr="001F71B2">
              <w:t xml:space="preserve"> the dwelling houses in the same zone as the subject site and within 35m of any point of the street frontage</w:t>
            </w:r>
            <w:r w:rsidR="000319EA">
              <w:t xml:space="preserve"> of the </w:t>
            </w:r>
            <w:r w:rsidR="00964DBD">
              <w:t>subject</w:t>
            </w:r>
            <w:r w:rsidR="000319EA">
              <w:t xml:space="preserve"> site</w:t>
            </w:r>
            <w:r w:rsidR="001F71B2" w:rsidRPr="001F71B2">
              <w:t>.</w:t>
            </w:r>
          </w:p>
        </w:tc>
        <w:tc>
          <w:tcPr>
            <w:tcW w:w="4151" w:type="dxa"/>
            <w:shd w:val="clear" w:color="auto" w:fill="auto"/>
          </w:tcPr>
          <w:p w14:paraId="4867B45C" w14:textId="77777777" w:rsidR="003859F0" w:rsidRPr="00122791" w:rsidRDefault="003859F0" w:rsidP="00627143">
            <w:pPr>
              <w:pStyle w:val="QPPTableTextBold"/>
            </w:pPr>
            <w:r w:rsidRPr="00122791">
              <w:lastRenderedPageBreak/>
              <w:t>AO2</w:t>
            </w:r>
          </w:p>
          <w:p w14:paraId="1CCACC93" w14:textId="55FE6D03" w:rsidR="003859F0" w:rsidRDefault="009D5C0F" w:rsidP="00953410">
            <w:pPr>
              <w:pStyle w:val="QPPTableTextBody"/>
            </w:pPr>
            <w:r>
              <w:t xml:space="preserve">Development </w:t>
            </w:r>
            <w:r w:rsidR="000A2F4B">
              <w:t>in th</w:t>
            </w:r>
            <w:r w:rsidR="00B72706">
              <w:t>e</w:t>
            </w:r>
            <w:r w:rsidR="004913D6">
              <w:t xml:space="preserve"> </w:t>
            </w:r>
            <w:r w:rsidR="000A2F4B" w:rsidRPr="00AD2E17">
              <w:t>Low density residential zone</w:t>
            </w:r>
            <w:r w:rsidR="000A2F4B">
              <w:t xml:space="preserve">, </w:t>
            </w:r>
            <w:r w:rsidR="000A2F4B" w:rsidRPr="00AD2E17">
              <w:t>Character residential zone</w:t>
            </w:r>
            <w:r w:rsidR="000A2F4B">
              <w:t xml:space="preserve">, 2 storey mix </w:t>
            </w:r>
            <w:r w:rsidR="00B72706">
              <w:t>z</w:t>
            </w:r>
            <w:r w:rsidR="000A2F4B">
              <w:t xml:space="preserve">one precinct of the </w:t>
            </w:r>
            <w:r w:rsidR="000A2F4B" w:rsidRPr="00AD2E17">
              <w:t>Low–medium density residential zone</w:t>
            </w:r>
            <w:r w:rsidR="000A2F4B">
              <w:t xml:space="preserve">, 2 or 3 storey mix zone precinct of the Low–medium density residential zone, </w:t>
            </w:r>
            <w:r w:rsidR="000A2F4B" w:rsidRPr="00AD2E17">
              <w:t>Rural residential zone</w:t>
            </w:r>
            <w:r w:rsidR="000A2F4B">
              <w:t xml:space="preserve">, </w:t>
            </w:r>
            <w:r w:rsidR="000A2F4B" w:rsidRPr="00AD2E17">
              <w:t>Environmental management zone</w:t>
            </w:r>
            <w:r w:rsidR="000A2F4B">
              <w:t xml:space="preserve">, </w:t>
            </w:r>
            <w:r w:rsidR="000A2F4B" w:rsidRPr="00AD2E17">
              <w:t>Rural zone</w:t>
            </w:r>
            <w:r w:rsidR="000A2F4B">
              <w:t xml:space="preserve"> or </w:t>
            </w:r>
            <w:r w:rsidR="000A2F4B" w:rsidRPr="00AD2E17">
              <w:t>Emerging community zone</w:t>
            </w:r>
            <w:r w:rsidR="000A2F4B">
              <w:t xml:space="preserve"> </w:t>
            </w:r>
            <w:r w:rsidR="004B7CA7">
              <w:t xml:space="preserve">results in </w:t>
            </w:r>
            <w:r w:rsidR="0099710C" w:rsidRPr="00122791">
              <w:t xml:space="preserve">a maximum </w:t>
            </w:r>
            <w:r w:rsidR="00250A41" w:rsidRPr="00AD2E17">
              <w:t xml:space="preserve">building </w:t>
            </w:r>
            <w:r w:rsidR="0099710C" w:rsidRPr="00AD2E17">
              <w:t>height</w:t>
            </w:r>
            <w:r w:rsidR="0099710C" w:rsidRPr="00122791">
              <w:t xml:space="preserve"> of</w:t>
            </w:r>
            <w:r w:rsidR="000A2F4B">
              <w:t xml:space="preserve"> 9.5m and</w:t>
            </w:r>
            <w:r w:rsidR="00247DDD">
              <w:t>:</w:t>
            </w:r>
          </w:p>
          <w:p w14:paraId="2B16EE2F" w14:textId="1572D9AE" w:rsidR="004B7CA7" w:rsidRDefault="00247DDD" w:rsidP="00953410">
            <w:pPr>
              <w:pStyle w:val="HGTableBullet2"/>
              <w:numPr>
                <w:ilvl w:val="0"/>
                <w:numId w:val="70"/>
              </w:numPr>
            </w:pPr>
            <w:r>
              <w:t xml:space="preserve">2 </w:t>
            </w:r>
            <w:r w:rsidRPr="00AD2E17">
              <w:t>storeys</w:t>
            </w:r>
            <w:r w:rsidR="000A2F4B">
              <w:t>; or</w:t>
            </w:r>
          </w:p>
          <w:p w14:paraId="7073E725" w14:textId="252A9FEE" w:rsidR="00B72706" w:rsidRDefault="000A2F4B" w:rsidP="00953410">
            <w:pPr>
              <w:pStyle w:val="HGTableBullet2"/>
            </w:pPr>
            <w:r>
              <w:t xml:space="preserve">1 storey if the development also includes a space that is situated between one floor level and the floor </w:t>
            </w:r>
            <w:r>
              <w:lastRenderedPageBreak/>
              <w:t>level next above, or if there is no floor above, the ceiling or roof above that contains only a bathroom, shower room, laundry, water closet, or other sanitary compartment</w:t>
            </w:r>
            <w:r w:rsidR="00DF7360">
              <w:t>.</w:t>
            </w:r>
          </w:p>
          <w:p w14:paraId="29776736" w14:textId="77777777" w:rsidR="005079B5" w:rsidRPr="00122791" w:rsidRDefault="004B7CA7" w:rsidP="00B72706">
            <w:pPr>
              <w:pStyle w:val="QPPEditorsNoteStyle1"/>
            </w:pPr>
            <w:r>
              <w:t xml:space="preserve">Editor's </w:t>
            </w:r>
            <w:r w:rsidR="003E19E9">
              <w:t>n</w:t>
            </w:r>
            <w:r>
              <w:t xml:space="preserve">ote—This acceptable outcome is only for the maximum building height. Side boundary setbacks are provided in accordance with the Queensland Development Code; which vary according to the height of the building. </w:t>
            </w:r>
          </w:p>
        </w:tc>
      </w:tr>
      <w:tr w:rsidR="004913D6" w:rsidRPr="00A4643B" w14:paraId="6C80273F" w14:textId="77777777" w:rsidTr="00AE2C1F">
        <w:trPr>
          <w:trHeight w:val="2826"/>
        </w:trPr>
        <w:tc>
          <w:tcPr>
            <w:tcW w:w="4150" w:type="dxa"/>
            <w:shd w:val="clear" w:color="auto" w:fill="auto"/>
          </w:tcPr>
          <w:p w14:paraId="18AD2FD2" w14:textId="77777777" w:rsidR="004913D6" w:rsidRPr="004913D6" w:rsidRDefault="004913D6" w:rsidP="004913D6">
            <w:pPr>
              <w:pStyle w:val="QPPTableTextBold"/>
            </w:pPr>
            <w:r w:rsidRPr="004913D6">
              <w:lastRenderedPageBreak/>
              <w:t>PO3</w:t>
            </w:r>
          </w:p>
          <w:p w14:paraId="471054F2" w14:textId="77777777" w:rsidR="004913D6" w:rsidRDefault="004913D6" w:rsidP="00953410">
            <w:pPr>
              <w:pStyle w:val="QPPTableTextBody"/>
            </w:pPr>
            <w:r>
              <w:t>Development has a building height that:</w:t>
            </w:r>
          </w:p>
          <w:p w14:paraId="58979098" w14:textId="77777777" w:rsidR="004913D6" w:rsidRDefault="004913D6" w:rsidP="00953410">
            <w:pPr>
              <w:pStyle w:val="HGTableBullet2"/>
              <w:numPr>
                <w:ilvl w:val="0"/>
                <w:numId w:val="72"/>
              </w:numPr>
            </w:pPr>
            <w:r>
              <w:t>does not unduly overshadow adjoining dwelling houses and their associated private open space in terms of access to sunlight and daylight;</w:t>
            </w:r>
          </w:p>
          <w:p w14:paraId="4992F867" w14:textId="77777777" w:rsidR="004913D6" w:rsidRDefault="004913D6" w:rsidP="00953410">
            <w:pPr>
              <w:pStyle w:val="HGTableBullet2"/>
            </w:pPr>
            <w:r>
              <w:t>is consistent with the building height</w:t>
            </w:r>
            <w:r w:rsidR="00543E94">
              <w:t xml:space="preserve"> of dwelling houses prevailing in the immediate vicinity.</w:t>
            </w:r>
          </w:p>
          <w:p w14:paraId="26505173" w14:textId="77777777" w:rsidR="00543E94" w:rsidRPr="00122791" w:rsidRDefault="00543E94" w:rsidP="00953410">
            <w:pPr>
              <w:pStyle w:val="QPPEditorsNoteStyle1"/>
            </w:pPr>
            <w:r>
              <w:t>Note—In interpreting PO3(b), the term 'prevailing in the immediate vicinity' means the building height of the majority (more than 50%) of all the dwelling houses in the same zone as the subject site and within 35m of any point of the street frontage of the subject site.</w:t>
            </w:r>
          </w:p>
        </w:tc>
        <w:tc>
          <w:tcPr>
            <w:tcW w:w="4151" w:type="dxa"/>
            <w:shd w:val="clear" w:color="auto" w:fill="auto"/>
          </w:tcPr>
          <w:p w14:paraId="72516DEF" w14:textId="77777777" w:rsidR="00543E94" w:rsidRDefault="00543E94">
            <w:pPr>
              <w:pStyle w:val="QPPTableTextBold"/>
            </w:pPr>
            <w:r>
              <w:t>AO3</w:t>
            </w:r>
          </w:p>
          <w:p w14:paraId="38F35CC4" w14:textId="77777777" w:rsidR="00543E94" w:rsidRDefault="00543E94" w:rsidP="00953410">
            <w:pPr>
              <w:pStyle w:val="QPPTableTextBody"/>
            </w:pPr>
            <w:r>
              <w:t xml:space="preserve">Development in the Up to 3 storeys zone precinct of the </w:t>
            </w:r>
            <w:r w:rsidR="00473630">
              <w:t>Low-medium density residential zone or in the Medium density residential zone results in a maximum building height of 11.5m and:</w:t>
            </w:r>
          </w:p>
          <w:p w14:paraId="6B3A9741" w14:textId="77777777" w:rsidR="00473630" w:rsidRDefault="00EC0D50" w:rsidP="00953410">
            <w:pPr>
              <w:pStyle w:val="HGTableBullet2"/>
              <w:numPr>
                <w:ilvl w:val="0"/>
                <w:numId w:val="71"/>
              </w:numPr>
            </w:pPr>
            <w:r>
              <w:t>3 storeys; or</w:t>
            </w:r>
          </w:p>
          <w:p w14:paraId="41C98077" w14:textId="6F4629ED" w:rsidR="00EC0D50" w:rsidRDefault="00EC0D50" w:rsidP="00953410">
            <w:pPr>
              <w:pStyle w:val="HGTableBullet2"/>
            </w:pPr>
            <w:r>
              <w:t xml:space="preserve">2 storeys if the development also includes a space that is situated between one floor level and the floor level next above, or if there is no floor above, the ceiling or roof above that contains only a bathroom, shower room, laundry, water closet or other sanitary compartment. </w:t>
            </w:r>
          </w:p>
          <w:p w14:paraId="6A5225C7" w14:textId="77777777" w:rsidR="004841E4" w:rsidRPr="00543E94" w:rsidRDefault="004841E4" w:rsidP="00953410">
            <w:pPr>
              <w:pStyle w:val="QPPEditorsNoteStyle1"/>
            </w:pPr>
            <w:r>
              <w:t>Editor's note—This acceptable outcome is only for the maximum building height. Side boundary setbacks are provided in accordance with the Queensland Development Code, which vary according to the height of the building.</w:t>
            </w:r>
          </w:p>
        </w:tc>
      </w:tr>
      <w:tr w:rsidR="0099710C" w:rsidRPr="00D23DF0" w14:paraId="2A1A82B9" w14:textId="77777777" w:rsidTr="00A4643B">
        <w:trPr>
          <w:trHeight w:val="284"/>
        </w:trPr>
        <w:tc>
          <w:tcPr>
            <w:tcW w:w="4150" w:type="dxa"/>
            <w:shd w:val="clear" w:color="auto" w:fill="auto"/>
          </w:tcPr>
          <w:p w14:paraId="0B6E8191" w14:textId="6E473C57" w:rsidR="0099710C" w:rsidRPr="00122791" w:rsidRDefault="000A7632" w:rsidP="00627143">
            <w:pPr>
              <w:pStyle w:val="QPPTableTextBold"/>
            </w:pPr>
            <w:r w:rsidRPr="00122791">
              <w:t>PO</w:t>
            </w:r>
            <w:r>
              <w:t>4</w:t>
            </w:r>
          </w:p>
          <w:p w14:paraId="296D5DE3" w14:textId="77777777" w:rsidR="00A53D13" w:rsidRPr="00122791" w:rsidRDefault="009D5C0F" w:rsidP="00B95B48">
            <w:pPr>
              <w:pStyle w:val="QPPTableTextBody"/>
            </w:pPr>
            <w:r>
              <w:t>Development ensures that r</w:t>
            </w:r>
            <w:r w:rsidR="00A53D13" w:rsidRPr="00122791">
              <w:t xml:space="preserve">esidents’ vehicles </w:t>
            </w:r>
            <w:r w:rsidR="0014703A">
              <w:t>are accommodated on</w:t>
            </w:r>
            <w:r w:rsidR="004462B2">
              <w:t xml:space="preserve"> </w:t>
            </w:r>
            <w:r w:rsidR="00B53616" w:rsidRPr="00301BE1">
              <w:t>site</w:t>
            </w:r>
            <w:r w:rsidR="00A53D13" w:rsidRPr="00122791">
              <w:t>.</w:t>
            </w:r>
          </w:p>
        </w:tc>
        <w:tc>
          <w:tcPr>
            <w:tcW w:w="4151" w:type="dxa"/>
            <w:shd w:val="clear" w:color="auto" w:fill="auto"/>
          </w:tcPr>
          <w:p w14:paraId="63B78882" w14:textId="3DCA6AA4" w:rsidR="0099710C" w:rsidRPr="00122791" w:rsidRDefault="000A7632" w:rsidP="00627143">
            <w:pPr>
              <w:pStyle w:val="QPPTableTextBold"/>
            </w:pPr>
            <w:r w:rsidRPr="00122791">
              <w:t>AO</w:t>
            </w:r>
            <w:r>
              <w:t>4</w:t>
            </w:r>
          </w:p>
          <w:p w14:paraId="12FCC22A" w14:textId="77777777" w:rsidR="00A53D13" w:rsidRPr="00122791" w:rsidRDefault="009D5C0F" w:rsidP="00522B94">
            <w:pPr>
              <w:pStyle w:val="QPPTableTextBody"/>
            </w:pPr>
            <w:r>
              <w:t xml:space="preserve">Development </w:t>
            </w:r>
            <w:r w:rsidR="0014703A">
              <w:t xml:space="preserve">provides </w:t>
            </w:r>
            <w:r>
              <w:t xml:space="preserve">a </w:t>
            </w:r>
            <w:r w:rsidR="00F87F5E" w:rsidRPr="00122791">
              <w:t>minimum number of o</w:t>
            </w:r>
            <w:r w:rsidR="00A53D13" w:rsidRPr="00122791">
              <w:t xml:space="preserve">n-site </w:t>
            </w:r>
            <w:r w:rsidR="00FE47CA" w:rsidRPr="00122791">
              <w:t xml:space="preserve">parking </w:t>
            </w:r>
            <w:r w:rsidR="00F87F5E" w:rsidRPr="00122791">
              <w:t xml:space="preserve">spaces </w:t>
            </w:r>
            <w:r w:rsidR="0014703A">
              <w:t>comprising</w:t>
            </w:r>
            <w:r w:rsidR="00F87F5E" w:rsidRPr="00122791">
              <w:t>:</w:t>
            </w:r>
          </w:p>
          <w:p w14:paraId="05B17E0F" w14:textId="445B4595" w:rsidR="00627143" w:rsidRPr="00E05054" w:rsidRDefault="0014703A" w:rsidP="00C479E7">
            <w:pPr>
              <w:pStyle w:val="HGTableBullet2"/>
              <w:numPr>
                <w:ilvl w:val="0"/>
                <w:numId w:val="14"/>
              </w:numPr>
            </w:pPr>
            <w:r w:rsidRPr="00E05054">
              <w:t xml:space="preserve">1 </w:t>
            </w:r>
            <w:r w:rsidR="00A53D13" w:rsidRPr="00E05054">
              <w:t>car</w:t>
            </w:r>
            <w:r w:rsidR="00FE47CA" w:rsidRPr="00E05054">
              <w:t xml:space="preserve"> parking</w:t>
            </w:r>
            <w:r w:rsidR="00A53D13" w:rsidRPr="00E05054">
              <w:t xml:space="preserve"> space for the </w:t>
            </w:r>
            <w:r w:rsidR="0067164C" w:rsidRPr="00AD2E17">
              <w:t>dwelling house</w:t>
            </w:r>
            <w:r w:rsidR="003B7581">
              <w:t>;</w:t>
            </w:r>
          </w:p>
          <w:p w14:paraId="053DACCA" w14:textId="359B204A" w:rsidR="00A53D13" w:rsidRPr="00E05054" w:rsidRDefault="0014703A" w:rsidP="00C479E7">
            <w:pPr>
              <w:pStyle w:val="HGTableBullet2"/>
            </w:pPr>
            <w:r w:rsidRPr="00E05054">
              <w:t xml:space="preserve">1 </w:t>
            </w:r>
            <w:r w:rsidR="00A53D13" w:rsidRPr="00E05054">
              <w:t xml:space="preserve">car </w:t>
            </w:r>
            <w:r w:rsidR="00FE47CA" w:rsidRPr="00E05054">
              <w:t xml:space="preserve">parking </w:t>
            </w:r>
            <w:r w:rsidR="00A53D13" w:rsidRPr="00E05054">
              <w:t xml:space="preserve">space for any </w:t>
            </w:r>
            <w:r w:rsidR="0052475D" w:rsidRPr="00AD2E17">
              <w:t>secondary dwelling</w:t>
            </w:r>
            <w:r w:rsidR="00A53D13" w:rsidRPr="00E05054">
              <w:t xml:space="preserve"> on the same </w:t>
            </w:r>
            <w:r w:rsidR="00B53616" w:rsidRPr="00E05054">
              <w:t>site</w:t>
            </w:r>
            <w:r w:rsidR="00A53D13" w:rsidRPr="00E05054">
              <w:t>.</w:t>
            </w:r>
          </w:p>
        </w:tc>
      </w:tr>
      <w:tr w:rsidR="00636FC7" w:rsidRPr="00A4643B" w14:paraId="611A0E5E" w14:textId="77777777" w:rsidTr="00A4643B">
        <w:trPr>
          <w:trHeight w:val="284"/>
        </w:trPr>
        <w:tc>
          <w:tcPr>
            <w:tcW w:w="4150" w:type="dxa"/>
            <w:shd w:val="clear" w:color="auto" w:fill="auto"/>
          </w:tcPr>
          <w:p w14:paraId="5615B5AB" w14:textId="11ADBB0D" w:rsidR="00636FC7" w:rsidRPr="00122791" w:rsidRDefault="000A7632" w:rsidP="00627143">
            <w:pPr>
              <w:pStyle w:val="QPPTableTextBold"/>
            </w:pPr>
            <w:r>
              <w:t>PO5</w:t>
            </w:r>
          </w:p>
          <w:p w14:paraId="19E73F62" w14:textId="6C406599" w:rsidR="00636FC7" w:rsidRPr="00122791" w:rsidRDefault="00A91BC5" w:rsidP="0014703A">
            <w:pPr>
              <w:pStyle w:val="QPPTableTextBody"/>
            </w:pPr>
            <w:r>
              <w:t xml:space="preserve">Development ensures that the </w:t>
            </w:r>
            <w:r w:rsidR="00636FC7" w:rsidRPr="00122791">
              <w:t>location and design of</w:t>
            </w:r>
            <w:r w:rsidR="0014703A">
              <w:t xml:space="preserve"> a</w:t>
            </w:r>
            <w:r w:rsidR="00636FC7" w:rsidRPr="00122791">
              <w:t xml:space="preserve"> </w:t>
            </w:r>
            <w:r w:rsidR="0067164C" w:rsidRPr="00AD2E17">
              <w:t>dwelling house</w:t>
            </w:r>
            <w:r w:rsidR="00636FC7" w:rsidRPr="00122791">
              <w:t xml:space="preserve">, </w:t>
            </w:r>
            <w:r w:rsidR="0052475D" w:rsidRPr="00AD2E17">
              <w:t>secondary dwelling</w:t>
            </w:r>
            <w:r w:rsidR="00636FC7" w:rsidRPr="00122791">
              <w:t xml:space="preserve"> </w:t>
            </w:r>
            <w:r w:rsidR="0014703A">
              <w:t xml:space="preserve">or </w:t>
            </w:r>
            <w:r w:rsidR="0014703A" w:rsidRPr="00AD2E17">
              <w:t>domestic outbuilding</w:t>
            </w:r>
            <w:r w:rsidR="00636FC7" w:rsidRPr="00122791">
              <w:t xml:space="preserve"> do</w:t>
            </w:r>
            <w:r w:rsidR="0014703A">
              <w:t>es</w:t>
            </w:r>
            <w:r w:rsidR="00636FC7" w:rsidRPr="00122791">
              <w:t xml:space="preserve"> not expose surrounding properties to additional adverse impacts of overland flow.</w:t>
            </w:r>
          </w:p>
        </w:tc>
        <w:tc>
          <w:tcPr>
            <w:tcW w:w="4151" w:type="dxa"/>
            <w:shd w:val="clear" w:color="auto" w:fill="auto"/>
          </w:tcPr>
          <w:p w14:paraId="57775968" w14:textId="491C4DAF" w:rsidR="00636FC7" w:rsidRPr="00122791" w:rsidRDefault="000A7632" w:rsidP="00627143">
            <w:pPr>
              <w:pStyle w:val="QPPTableTextBold"/>
            </w:pPr>
            <w:r>
              <w:t>AO5</w:t>
            </w:r>
          </w:p>
          <w:p w14:paraId="18ADDD93" w14:textId="77777777" w:rsidR="00636FC7" w:rsidRPr="00122791" w:rsidRDefault="000370B0" w:rsidP="00D10D1C">
            <w:pPr>
              <w:pStyle w:val="QPPTableTextBody"/>
            </w:pPr>
            <w:r>
              <w:t xml:space="preserve">Development </w:t>
            </w:r>
            <w:r w:rsidR="00636FC7" w:rsidRPr="00122791">
              <w:t xml:space="preserve">and associated </w:t>
            </w:r>
            <w:r w:rsidR="00B53616" w:rsidRPr="00301BE1">
              <w:t>site</w:t>
            </w:r>
            <w:r w:rsidR="0014703A">
              <w:t xml:space="preserve"> works</w:t>
            </w:r>
            <w:r w:rsidR="004462B2">
              <w:t>,</w:t>
            </w:r>
            <w:r w:rsidR="0014703A">
              <w:t xml:space="preserve"> </w:t>
            </w:r>
            <w:r w:rsidR="00636FC7" w:rsidRPr="00122791">
              <w:t>including filling and excav</w:t>
            </w:r>
            <w:r w:rsidR="00D10D1C">
              <w:t>ation</w:t>
            </w:r>
            <w:r w:rsidR="004462B2">
              <w:t>,</w:t>
            </w:r>
            <w:r w:rsidR="00636FC7" w:rsidRPr="00122791">
              <w:t xml:space="preserve"> are designed and constructed to ensure overland flow</w:t>
            </w:r>
            <w:r w:rsidR="0014703A">
              <w:t xml:space="preserve"> is not worsened, </w:t>
            </w:r>
            <w:r w:rsidR="00636FC7" w:rsidRPr="00122791">
              <w:t>impeded</w:t>
            </w:r>
            <w:r w:rsidR="0014703A">
              <w:t xml:space="preserve">, or </w:t>
            </w:r>
            <w:r w:rsidR="00636FC7" w:rsidRPr="00122791">
              <w:t>otherwise diverted to adversely affect other properties.</w:t>
            </w:r>
          </w:p>
        </w:tc>
      </w:tr>
      <w:tr w:rsidR="00636FC7" w:rsidRPr="00D23DF0" w14:paraId="69C24ED8" w14:textId="77777777" w:rsidTr="00A4643B">
        <w:trPr>
          <w:trHeight w:val="284"/>
        </w:trPr>
        <w:tc>
          <w:tcPr>
            <w:tcW w:w="4150" w:type="dxa"/>
            <w:shd w:val="clear" w:color="auto" w:fill="auto"/>
          </w:tcPr>
          <w:p w14:paraId="3FA60E4E" w14:textId="071A8EB0" w:rsidR="00636FC7" w:rsidRPr="00122791" w:rsidRDefault="000A7632" w:rsidP="00627143">
            <w:pPr>
              <w:pStyle w:val="QPPTableTextBold"/>
            </w:pPr>
            <w:r>
              <w:t>PO6</w:t>
            </w:r>
          </w:p>
          <w:p w14:paraId="607F9E3A" w14:textId="223A133A" w:rsidR="00636FC7" w:rsidRDefault="000370B0" w:rsidP="005B4FC5">
            <w:pPr>
              <w:pStyle w:val="QPPTableTextBody"/>
            </w:pPr>
            <w:r>
              <w:t>Development for a</w:t>
            </w:r>
            <w:r w:rsidRPr="00122791">
              <w:t xml:space="preserve"> </w:t>
            </w:r>
            <w:r w:rsidR="0067164C" w:rsidRPr="00AD2E17">
              <w:t>dwelling house</w:t>
            </w:r>
            <w:r w:rsidR="00182302" w:rsidRPr="00122791">
              <w:t xml:space="preserve">, </w:t>
            </w:r>
            <w:r w:rsidR="00301BE1" w:rsidRPr="00AD2E17">
              <w:t>secondary dwelling</w:t>
            </w:r>
            <w:r w:rsidR="00182302" w:rsidRPr="00122791">
              <w:t xml:space="preserve"> </w:t>
            </w:r>
            <w:r w:rsidR="0014703A">
              <w:t xml:space="preserve">or </w:t>
            </w:r>
            <w:r w:rsidR="00AF3B42" w:rsidRPr="00AD2E17">
              <w:t>domestic outbuilding</w:t>
            </w:r>
            <w:r w:rsidR="00250A41" w:rsidRPr="00122791">
              <w:t xml:space="preserve">, </w:t>
            </w:r>
            <w:r w:rsidR="005B4FC5">
              <w:t>including associated site works such as retaining walls, filling and excavation ensures that if a surface</w:t>
            </w:r>
            <w:r w:rsidR="00D675FD">
              <w:t>-</w:t>
            </w:r>
            <w:r w:rsidR="005B4FC5">
              <w:t xml:space="preserve"> or roof</w:t>
            </w:r>
            <w:r w:rsidR="00D675FD">
              <w:t>-</w:t>
            </w:r>
            <w:r w:rsidR="005B4FC5">
              <w:t>water drainage system</w:t>
            </w:r>
            <w:r w:rsidR="00C1673F">
              <w:t xml:space="preserve"> connection</w:t>
            </w:r>
            <w:r w:rsidR="006F5411">
              <w:t xml:space="preserve"> is required through an adjoining property, the surface</w:t>
            </w:r>
            <w:r w:rsidR="00D675FD">
              <w:t>-</w:t>
            </w:r>
            <w:r w:rsidR="006F5411">
              <w:t xml:space="preserve"> o</w:t>
            </w:r>
            <w:r w:rsidR="00D675FD">
              <w:t>r</w:t>
            </w:r>
            <w:r w:rsidR="006F5411">
              <w:t xml:space="preserve"> roof</w:t>
            </w:r>
            <w:r w:rsidR="00D675FD">
              <w:t>-</w:t>
            </w:r>
            <w:r w:rsidR="006F5411">
              <w:t xml:space="preserve"> water drainage system</w:t>
            </w:r>
            <w:r w:rsidR="005B4FC5">
              <w:t xml:space="preserve"> is managed to prevent water seepage, concentration of </w:t>
            </w:r>
            <w:r w:rsidR="005B4FC5">
              <w:lastRenderedPageBreak/>
              <w:t>run</w:t>
            </w:r>
            <w:r w:rsidR="00D675FD">
              <w:t>-</w:t>
            </w:r>
            <w:r w:rsidR="005B4FC5">
              <w:t>off or po</w:t>
            </w:r>
            <w:r w:rsidR="003B7581">
              <w:t>nding on an adjoining property.</w:t>
            </w:r>
          </w:p>
          <w:p w14:paraId="1AE5F362" w14:textId="77777777" w:rsidR="005B4FC5" w:rsidRPr="00122791" w:rsidRDefault="005B4FC5" w:rsidP="00C479E7">
            <w:pPr>
              <w:pStyle w:val="QPPEditorsNoteStyle1"/>
            </w:pPr>
            <w:r>
              <w:t>Note—The Queensland Development Code outlines requirements for surface</w:t>
            </w:r>
            <w:r w:rsidR="00D675FD">
              <w:t>-</w:t>
            </w:r>
            <w:r>
              <w:t xml:space="preserve"> and roof</w:t>
            </w:r>
            <w:r w:rsidR="00D675FD">
              <w:t>-</w:t>
            </w:r>
            <w:r>
              <w:t>water drainage systems</w:t>
            </w:r>
            <w:r w:rsidR="004A1A70">
              <w:t xml:space="preserve"> for Class 1 buildings and Class 10 buildings and structures where a surface</w:t>
            </w:r>
            <w:r w:rsidR="00D675FD">
              <w:t>-</w:t>
            </w:r>
            <w:r w:rsidR="004A1A70">
              <w:t xml:space="preserve"> or roof</w:t>
            </w:r>
            <w:r w:rsidR="00D675FD">
              <w:t>-</w:t>
            </w:r>
            <w:r w:rsidR="004A1A70">
              <w:t>water drainage connection is not required</w:t>
            </w:r>
            <w:r w:rsidR="003C5A5B">
              <w:t xml:space="preserve"> through an adjoining property.</w:t>
            </w:r>
          </w:p>
        </w:tc>
        <w:tc>
          <w:tcPr>
            <w:tcW w:w="4151" w:type="dxa"/>
            <w:shd w:val="clear" w:color="auto" w:fill="auto"/>
          </w:tcPr>
          <w:p w14:paraId="02B6C80D" w14:textId="18C3FBCF" w:rsidR="00636FC7" w:rsidRPr="00122791" w:rsidRDefault="000A7632" w:rsidP="00627143">
            <w:pPr>
              <w:pStyle w:val="QPPTableTextBold"/>
            </w:pPr>
            <w:r w:rsidRPr="00122791">
              <w:lastRenderedPageBreak/>
              <w:t>A</w:t>
            </w:r>
            <w:r>
              <w:t>O6</w:t>
            </w:r>
          </w:p>
          <w:p w14:paraId="39255F35" w14:textId="1D79C04F" w:rsidR="00182302" w:rsidRPr="00122791" w:rsidRDefault="000C3529" w:rsidP="00B95B48">
            <w:pPr>
              <w:pStyle w:val="QPPTableTextBody"/>
            </w:pPr>
            <w:r>
              <w:t xml:space="preserve">Development for a </w:t>
            </w:r>
            <w:r w:rsidR="006F5411" w:rsidRPr="00AD2E17">
              <w:t>dwelling house</w:t>
            </w:r>
            <w:r>
              <w:t xml:space="preserve">, </w:t>
            </w:r>
            <w:r w:rsidR="006F5411" w:rsidRPr="00AD2E17">
              <w:t>secondary dwelling</w:t>
            </w:r>
            <w:r>
              <w:t xml:space="preserve"> or </w:t>
            </w:r>
            <w:r w:rsidR="006F5411" w:rsidRPr="00AD2E17">
              <w:t>domestic outbuilding</w:t>
            </w:r>
            <w:r>
              <w:t>, including associated site works such as retaining walls, filling and excavation ensures that if a surface</w:t>
            </w:r>
            <w:r w:rsidR="00D675FD">
              <w:t>-</w:t>
            </w:r>
            <w:r>
              <w:t xml:space="preserve"> or roof</w:t>
            </w:r>
            <w:r w:rsidR="00D675FD">
              <w:t>-</w:t>
            </w:r>
            <w:r>
              <w:t xml:space="preserve"> water drainage system connection is required through an adjoining property, the owner of the adjoining property has provided written</w:t>
            </w:r>
            <w:r w:rsidR="003B7581">
              <w:t xml:space="preserve"> permission for the connection.</w:t>
            </w:r>
          </w:p>
        </w:tc>
      </w:tr>
      <w:tr w:rsidR="007C7DA8" w:rsidRPr="00D23DF0" w14:paraId="612630EB" w14:textId="77777777" w:rsidTr="007C7DA8">
        <w:trPr>
          <w:trHeight w:val="403"/>
        </w:trPr>
        <w:tc>
          <w:tcPr>
            <w:tcW w:w="8301" w:type="dxa"/>
            <w:gridSpan w:val="2"/>
            <w:shd w:val="clear" w:color="auto" w:fill="auto"/>
          </w:tcPr>
          <w:p w14:paraId="5E579619" w14:textId="62130C83" w:rsidR="007C7DA8" w:rsidRDefault="007E3FC9" w:rsidP="00B65CE4">
            <w:pPr>
              <w:pStyle w:val="QPPTableTextBold"/>
            </w:pPr>
            <w:r>
              <w:t>If f</w:t>
            </w:r>
            <w:r w:rsidR="007C7DA8">
              <w:t xml:space="preserve">or </w:t>
            </w:r>
            <w:r w:rsidR="00B65CE4">
              <w:t xml:space="preserve">a </w:t>
            </w:r>
            <w:r w:rsidR="007C7DA8">
              <w:t xml:space="preserve">site with </w:t>
            </w:r>
            <w:r w:rsidR="00B65CE4">
              <w:t xml:space="preserve">an </w:t>
            </w:r>
            <w:r w:rsidR="007C7DA8">
              <w:t>approved building envelope</w:t>
            </w:r>
            <w:r w:rsidR="00B65CE4">
              <w:t xml:space="preserve"> plan</w:t>
            </w:r>
            <w:r w:rsidR="007C7DA8">
              <w:t xml:space="preserve"> or </w:t>
            </w:r>
            <w:r w:rsidR="006304CF" w:rsidRPr="00AD2E17">
              <w:t>development footprint plan</w:t>
            </w:r>
          </w:p>
        </w:tc>
      </w:tr>
      <w:tr w:rsidR="00022789" w:rsidRPr="00D23DF0" w14:paraId="463AF244" w14:textId="77777777" w:rsidTr="0025154F">
        <w:trPr>
          <w:trHeight w:val="983"/>
        </w:trPr>
        <w:tc>
          <w:tcPr>
            <w:tcW w:w="4150" w:type="dxa"/>
            <w:shd w:val="clear" w:color="auto" w:fill="auto"/>
          </w:tcPr>
          <w:p w14:paraId="112FA089" w14:textId="618FC69A" w:rsidR="00022789" w:rsidRDefault="000A7632" w:rsidP="007F6D78">
            <w:pPr>
              <w:pStyle w:val="QPPTableTextBold"/>
            </w:pPr>
            <w:r>
              <w:t>PO7</w:t>
            </w:r>
          </w:p>
          <w:p w14:paraId="6B2E503A" w14:textId="77777777" w:rsidR="00022789" w:rsidRDefault="007C7DA8" w:rsidP="007C7DA8">
            <w:pPr>
              <w:pStyle w:val="QPPTableTextBody"/>
            </w:pPr>
            <w:r>
              <w:t>Development is sited to complement and be consistent with the form and character of the local area, having regards to:</w:t>
            </w:r>
          </w:p>
          <w:p w14:paraId="6AC8C491" w14:textId="77777777" w:rsidR="00A82492" w:rsidRPr="00A82492" w:rsidRDefault="00A82492" w:rsidP="00C479E7">
            <w:pPr>
              <w:pStyle w:val="HGTableBullet2"/>
              <w:numPr>
                <w:ilvl w:val="0"/>
                <w:numId w:val="58"/>
              </w:numPr>
            </w:pPr>
            <w:r>
              <w:t>values of the l</w:t>
            </w:r>
            <w:r w:rsidR="00B60E2A">
              <w:t>ocality expressed in overlays, n</w:t>
            </w:r>
            <w:r>
              <w:t xml:space="preserve">eighbourhood </w:t>
            </w:r>
            <w:r w:rsidR="00B60E2A">
              <w:t>p</w:t>
            </w:r>
            <w:r>
              <w:t>lans, zones and infrastructure;</w:t>
            </w:r>
          </w:p>
          <w:p w14:paraId="3329E67D" w14:textId="77777777" w:rsidR="007C7DA8" w:rsidRPr="00A82492" w:rsidRDefault="007C7DA8" w:rsidP="00C479E7">
            <w:pPr>
              <w:pStyle w:val="HGTableBullet2"/>
            </w:pPr>
            <w:r w:rsidRPr="00A82492">
              <w:t>location of buildings on adjoining sites, ensuring sufficient separation of buildings to minimise impacts on residential amenity and privacy;</w:t>
            </w:r>
          </w:p>
          <w:p w14:paraId="697C0DF8" w14:textId="77777777" w:rsidR="007C7DA8" w:rsidRPr="006A390C" w:rsidRDefault="007C7DA8" w:rsidP="00C479E7">
            <w:pPr>
              <w:pStyle w:val="HGTableBullet2"/>
            </w:pPr>
            <w:r w:rsidRPr="00A82492">
              <w:t>the impact of slope.</w:t>
            </w:r>
          </w:p>
        </w:tc>
        <w:tc>
          <w:tcPr>
            <w:tcW w:w="4151" w:type="dxa"/>
            <w:shd w:val="clear" w:color="auto" w:fill="auto"/>
          </w:tcPr>
          <w:p w14:paraId="5730C4A6" w14:textId="455F80BA" w:rsidR="00022789" w:rsidRPr="00A4643B" w:rsidRDefault="000A7632" w:rsidP="00022789">
            <w:pPr>
              <w:pStyle w:val="QPPTableTextBold"/>
            </w:pPr>
            <w:r>
              <w:t>AO7</w:t>
            </w:r>
          </w:p>
          <w:p w14:paraId="04F5012E" w14:textId="51CAB148" w:rsidR="00022789" w:rsidRPr="00A4643B" w:rsidRDefault="00BA0E30" w:rsidP="00B95B48">
            <w:pPr>
              <w:pStyle w:val="QPPTableTextBody"/>
              <w:rPr>
                <w:b/>
              </w:rPr>
            </w:pPr>
            <w:r>
              <w:t>D</w:t>
            </w:r>
            <w:r w:rsidR="00022789">
              <w:t xml:space="preserve">evelopment </w:t>
            </w:r>
            <w:r>
              <w:t>has a footprint that fits entirely within the approved building envelope</w:t>
            </w:r>
            <w:r w:rsidR="005A58B8">
              <w:t xml:space="preserve"> or </w:t>
            </w:r>
            <w:r w:rsidR="006304CF" w:rsidRPr="00AD2E17">
              <w:t>development footprint plan</w:t>
            </w:r>
            <w:r>
              <w:t>.</w:t>
            </w:r>
          </w:p>
        </w:tc>
      </w:tr>
      <w:tr w:rsidR="00233C6B" w:rsidRPr="00D23DF0" w14:paraId="13395DD4" w14:textId="77777777" w:rsidTr="00A4643B">
        <w:trPr>
          <w:trHeight w:val="284"/>
        </w:trPr>
        <w:tc>
          <w:tcPr>
            <w:tcW w:w="8301" w:type="dxa"/>
            <w:gridSpan w:val="2"/>
            <w:shd w:val="clear" w:color="auto" w:fill="auto"/>
          </w:tcPr>
          <w:p w14:paraId="5E6CE927" w14:textId="77777777" w:rsidR="00233C6B" w:rsidRPr="00B057AF" w:rsidRDefault="007E3FC9" w:rsidP="00B96F6F">
            <w:pPr>
              <w:pStyle w:val="QPPTableTextBold"/>
            </w:pPr>
            <w:r>
              <w:t>I</w:t>
            </w:r>
            <w:r w:rsidR="00B96F6F">
              <w:t xml:space="preserve">f </w:t>
            </w:r>
            <w:r w:rsidR="00233C6B">
              <w:t xml:space="preserve">in the Environmental management zone, Rural zone, Rural residential zone or in a </w:t>
            </w:r>
            <w:r w:rsidR="00B96F6F">
              <w:t>v</w:t>
            </w:r>
            <w:r w:rsidR="00233C6B">
              <w:t xml:space="preserve">ery-low density residential </w:t>
            </w:r>
            <w:r w:rsidR="00304149">
              <w:t xml:space="preserve">area identified in a </w:t>
            </w:r>
            <w:r w:rsidR="002B5743">
              <w:t xml:space="preserve">neighbourhood </w:t>
            </w:r>
            <w:r w:rsidR="00304149">
              <w:t>plan</w:t>
            </w:r>
          </w:p>
        </w:tc>
      </w:tr>
      <w:tr w:rsidR="00233C6B" w:rsidRPr="00D23DF0" w14:paraId="270CC27E" w14:textId="77777777" w:rsidTr="00A4643B">
        <w:trPr>
          <w:trHeight w:val="284"/>
        </w:trPr>
        <w:tc>
          <w:tcPr>
            <w:tcW w:w="4150" w:type="dxa"/>
            <w:shd w:val="clear" w:color="auto" w:fill="auto"/>
          </w:tcPr>
          <w:p w14:paraId="1AD14DA2" w14:textId="7CF90CE7" w:rsidR="00304149" w:rsidRPr="00AF222A" w:rsidRDefault="000A7632" w:rsidP="00304149">
            <w:pPr>
              <w:pStyle w:val="QPPTableTextBold"/>
            </w:pPr>
            <w:r>
              <w:t>PO8</w:t>
            </w:r>
          </w:p>
          <w:p w14:paraId="6A9BFB7E" w14:textId="77777777" w:rsidR="00233C6B" w:rsidRPr="00AF222A" w:rsidRDefault="00A91BC5" w:rsidP="00C86CF4">
            <w:pPr>
              <w:pStyle w:val="QPPTableTextBody"/>
            </w:pPr>
            <w:r>
              <w:t xml:space="preserve">Development </w:t>
            </w:r>
            <w:r w:rsidR="00C86CF4">
              <w:t xml:space="preserve">does </w:t>
            </w:r>
            <w:r w:rsidR="00304149" w:rsidRPr="00AF222A">
              <w:t>not adversely impact on scenic features.</w:t>
            </w:r>
          </w:p>
        </w:tc>
        <w:tc>
          <w:tcPr>
            <w:tcW w:w="4151" w:type="dxa"/>
            <w:shd w:val="clear" w:color="auto" w:fill="auto"/>
          </w:tcPr>
          <w:p w14:paraId="7D0C0116" w14:textId="7A94F2E8" w:rsidR="00233C6B" w:rsidRPr="00AF222A" w:rsidRDefault="000A7632" w:rsidP="00627143">
            <w:pPr>
              <w:pStyle w:val="QPPTableTextBold"/>
            </w:pPr>
            <w:r>
              <w:t>AO8</w:t>
            </w:r>
          </w:p>
          <w:p w14:paraId="5092B3E9" w14:textId="60DE7788" w:rsidR="00304149" w:rsidRPr="00AF222A" w:rsidRDefault="00A91BC5">
            <w:pPr>
              <w:pStyle w:val="QPPTableTextBody"/>
            </w:pPr>
            <w:r>
              <w:t xml:space="preserve">Development </w:t>
            </w:r>
            <w:r w:rsidR="008B230A">
              <w:t xml:space="preserve">maximum </w:t>
            </w:r>
            <w:r w:rsidR="008B230A" w:rsidRPr="00AD2E17">
              <w:t>building height</w:t>
            </w:r>
            <w:r w:rsidR="008B230A">
              <w:t xml:space="preserve"> is </w:t>
            </w:r>
            <w:r w:rsidR="00304149" w:rsidRPr="00AF222A">
              <w:t xml:space="preserve">located a minimum </w:t>
            </w:r>
            <w:r w:rsidR="00B96F6F">
              <w:t xml:space="preserve">of </w:t>
            </w:r>
            <w:r w:rsidR="00304149" w:rsidRPr="00AF222A">
              <w:t>15</w:t>
            </w:r>
            <w:r w:rsidR="004A61F1">
              <w:t>m</w:t>
            </w:r>
            <w:r w:rsidR="00304149" w:rsidRPr="00AF222A">
              <w:t xml:space="preserve"> vertically below any ridgeline</w:t>
            </w:r>
            <w:r w:rsidR="00A82492">
              <w:t xml:space="preserve"> within 150m </w:t>
            </w:r>
            <w:r w:rsidR="008B230A">
              <w:t xml:space="preserve">horizontal </w:t>
            </w:r>
            <w:r w:rsidR="00A82492">
              <w:t>distance of the dwelling house</w:t>
            </w:r>
            <w:r w:rsidR="00304149" w:rsidRPr="00AF222A">
              <w:t>.</w:t>
            </w:r>
          </w:p>
        </w:tc>
      </w:tr>
    </w:tbl>
    <w:p w14:paraId="2F8E353D" w14:textId="77777777" w:rsidR="00997F29" w:rsidRDefault="00997F29" w:rsidP="003C5A5B">
      <w:pPr>
        <w:pStyle w:val="QPPBodytext"/>
      </w:pPr>
    </w:p>
    <w:p w14:paraId="7D9D3A5A" w14:textId="77777777" w:rsidR="00775267" w:rsidRDefault="00775267" w:rsidP="003C5A5B">
      <w:pPr>
        <w:pStyle w:val="QPPBodytext"/>
      </w:pPr>
      <w:bookmarkStart w:id="3" w:name="FigureA"/>
      <w:r w:rsidRPr="0017058F">
        <w:rPr>
          <w:noProof/>
        </w:rPr>
        <w:drawing>
          <wp:inline distT="0" distB="0" distL="0" distR="0" wp14:anchorId="13D47CB1" wp14:editId="59C05EA7">
            <wp:extent cx="5274310" cy="3603625"/>
            <wp:effectExtent l="0" t="0" r="2540" b="0"/>
            <wp:docPr id="1" name="Picture 1" descr="\\personalp\personalp$\089150\Home\Desktop\CPOT 3-storey sketches\Third Round\00814_CPOT_CP2014_DwellingHse_Sketch_FigA_v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alp\personalp$\089150\Home\Desktop\CPOT 3-storey sketches\Third Round\00814_CPOT_CP2014_DwellingHse_Sketch_FigA_v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603625"/>
                    </a:xfrm>
                    <a:prstGeom prst="rect">
                      <a:avLst/>
                    </a:prstGeom>
                    <a:noFill/>
                    <a:ln>
                      <a:noFill/>
                    </a:ln>
                  </pic:spPr>
                </pic:pic>
              </a:graphicData>
            </a:graphic>
          </wp:inline>
        </w:drawing>
      </w:r>
      <w:bookmarkEnd w:id="3"/>
    </w:p>
    <w:sectPr w:rsidR="0077526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F5D00" w14:textId="77777777" w:rsidR="005C30C5" w:rsidRDefault="005C30C5">
      <w:r>
        <w:separator/>
      </w:r>
    </w:p>
  </w:endnote>
  <w:endnote w:type="continuationSeparator" w:id="0">
    <w:p w14:paraId="11E816C7" w14:textId="77777777" w:rsidR="005C30C5" w:rsidRDefault="005C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EB73" w14:textId="77777777" w:rsidR="00D73900" w:rsidRDefault="00D739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8723" w14:textId="3F37AD96" w:rsidR="00DA4879" w:rsidRDefault="003C5A5B" w:rsidP="00B17BBA">
    <w:pPr>
      <w:pStyle w:val="QPPFooter"/>
    </w:pPr>
    <w:r w:rsidRPr="003C5A5B">
      <w:t>Part 9 – Development Codes (Dwelling House)</w:t>
    </w:r>
    <w:r>
      <w:ptab w:relativeTo="margin" w:alignment="center" w:leader="none"/>
    </w:r>
    <w:r>
      <w:ptab w:relativeTo="margin" w:alignment="right" w:leader="none"/>
    </w:r>
    <w:r w:rsidRPr="003C5A5B">
      <w:t xml:space="preserve">Effective </w:t>
    </w:r>
    <w:r w:rsidR="004029EE">
      <w:t>1 December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6711" w14:textId="77777777" w:rsidR="00D73900" w:rsidRDefault="00D739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6A916" w14:textId="77777777" w:rsidR="005C30C5" w:rsidRDefault="005C30C5">
      <w:r>
        <w:separator/>
      </w:r>
    </w:p>
  </w:footnote>
  <w:footnote w:type="continuationSeparator" w:id="0">
    <w:p w14:paraId="1F65DCFC" w14:textId="77777777" w:rsidR="005C30C5" w:rsidRDefault="005C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582D" w14:textId="77777777" w:rsidR="00DA4879" w:rsidRDefault="00AD2E17">
    <w:pPr>
      <w:pStyle w:val="Header"/>
    </w:pPr>
    <w:r>
      <w:rPr>
        <w:noProof/>
        <w:lang w:eastAsia="en-US"/>
      </w:rPr>
      <w:pict w14:anchorId="2F610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71131"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AC5E" w14:textId="77777777" w:rsidR="00D73900" w:rsidRDefault="00D7390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9E7C" w14:textId="77777777" w:rsidR="00DA4879" w:rsidRDefault="00AD2E17">
    <w:pPr>
      <w:pStyle w:val="Header"/>
    </w:pPr>
    <w:r>
      <w:rPr>
        <w:noProof/>
        <w:lang w:eastAsia="en-US"/>
      </w:rPr>
      <w:pict w14:anchorId="37DAA6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71130"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545EFC"/>
    <w:multiLevelType w:val="multilevel"/>
    <w:tmpl w:val="70D8B1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3"/>
  </w:num>
  <w:num w:numId="7">
    <w:abstractNumId w:val="16"/>
    <w:lvlOverride w:ilvl="0">
      <w:startOverride w:val="1"/>
    </w:lvlOverride>
  </w:num>
  <w:num w:numId="8">
    <w:abstractNumId w:val="22"/>
  </w:num>
  <w:num w:numId="9">
    <w:abstractNumId w:val="25"/>
  </w:num>
  <w:num w:numId="10">
    <w:abstractNumId w:val="12"/>
  </w:num>
  <w:num w:numId="11">
    <w:abstractNumId w:val="15"/>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5"/>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15"/>
  </w:num>
  <w:num w:numId="25">
    <w:abstractNumId w:val="18"/>
  </w:num>
  <w:num w:numId="26">
    <w:abstractNumId w:val="22"/>
    <w:lvlOverride w:ilvl="0">
      <w:startOverride w:val="1"/>
    </w:lvlOverride>
  </w:num>
  <w:num w:numId="27">
    <w:abstractNumId w:val="22"/>
    <w:lvlOverride w:ilvl="0">
      <w:startOverride w:val="1"/>
    </w:lvlOverride>
  </w:num>
  <w:num w:numId="28">
    <w:abstractNumId w:val="19"/>
  </w:num>
  <w:num w:numId="29">
    <w:abstractNumId w:val="11"/>
  </w:num>
  <w:num w:numId="30">
    <w:abstractNumId w:val="3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0"/>
  </w:num>
  <w:num w:numId="45">
    <w:abstractNumId w:val="17"/>
  </w:num>
  <w:num w:numId="46">
    <w:abstractNumId w:val="36"/>
  </w:num>
  <w:num w:numId="47">
    <w:abstractNumId w:val="14"/>
  </w:num>
  <w:num w:numId="48">
    <w:abstractNumId w:val="38"/>
  </w:num>
  <w:num w:numId="49">
    <w:abstractNumId w:val="13"/>
  </w:num>
  <w:num w:numId="50">
    <w:abstractNumId w:val="26"/>
  </w:num>
  <w:num w:numId="51">
    <w:abstractNumId w:val="21"/>
  </w:num>
  <w:num w:numId="52">
    <w:abstractNumId w:val="23"/>
  </w:num>
  <w:num w:numId="53">
    <w:abstractNumId w:val="27"/>
  </w:num>
  <w:num w:numId="54">
    <w:abstractNumId w:val="27"/>
    <w:lvlOverride w:ilvl="0">
      <w:startOverride w:val="1"/>
    </w:lvlOverride>
  </w:num>
  <w:num w:numId="55">
    <w:abstractNumId w:val="32"/>
  </w:num>
  <w:num w:numId="56">
    <w:abstractNumId w:val="31"/>
  </w:num>
  <w:num w:numId="57">
    <w:abstractNumId w:val="22"/>
    <w:lvlOverride w:ilvl="0">
      <w:startOverride w:val="1"/>
    </w:lvlOverride>
  </w:num>
  <w:num w:numId="58">
    <w:abstractNumId w:val="22"/>
    <w:lvlOverride w:ilvl="0">
      <w:startOverride w:val="1"/>
    </w:lvlOverride>
  </w:num>
  <w:num w:numId="59">
    <w:abstractNumId w:val="22"/>
  </w:num>
  <w:num w:numId="60">
    <w:abstractNumId w:val="22"/>
    <w:lvlOverride w:ilvl="0">
      <w:startOverride w:val="1"/>
    </w:lvlOverride>
  </w:num>
  <w:num w:numId="61">
    <w:abstractNumId w:val="25"/>
    <w:lvlOverride w:ilvl="0">
      <w:startOverride w:val="1"/>
    </w:lvlOverride>
  </w:num>
  <w:num w:numId="62">
    <w:abstractNumId w:val="34"/>
  </w:num>
  <w:num w:numId="63">
    <w:abstractNumId w:val="15"/>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15"/>
  </w:num>
  <w:num w:numId="67">
    <w:abstractNumId w:val="15"/>
    <w:lvlOverride w:ilvl="0">
      <w:startOverride w:val="1"/>
    </w:lvlOverride>
  </w:num>
  <w:num w:numId="68">
    <w:abstractNumId w:val="15"/>
    <w:lvlOverride w:ilvl="0">
      <w:startOverride w:val="1"/>
    </w:lvlOverride>
  </w:num>
  <w:num w:numId="69">
    <w:abstractNumId w:val="15"/>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22"/>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HjP4Mwwmc2wW+3hyvjdBD5PJofoZeFUMlN3zwar/Rr81IKaH8FzMm0BmBOuBcICphWHQIEJ17CfDIMC/iXjyXg==" w:salt="tkRLAllooRSj50GBhoow2A=="/>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51"/>
    <w:rsid w:val="00012447"/>
    <w:rsid w:val="00015F5A"/>
    <w:rsid w:val="00022789"/>
    <w:rsid w:val="000319EA"/>
    <w:rsid w:val="00032172"/>
    <w:rsid w:val="00033FB3"/>
    <w:rsid w:val="000370B0"/>
    <w:rsid w:val="00042738"/>
    <w:rsid w:val="00043CAC"/>
    <w:rsid w:val="00047A83"/>
    <w:rsid w:val="00057C9B"/>
    <w:rsid w:val="00062079"/>
    <w:rsid w:val="00067955"/>
    <w:rsid w:val="00071BFE"/>
    <w:rsid w:val="000768BD"/>
    <w:rsid w:val="000819DA"/>
    <w:rsid w:val="000918AE"/>
    <w:rsid w:val="000A2F4B"/>
    <w:rsid w:val="000A3365"/>
    <w:rsid w:val="000A3E22"/>
    <w:rsid w:val="000A60D3"/>
    <w:rsid w:val="000A70A2"/>
    <w:rsid w:val="000A7632"/>
    <w:rsid w:val="000B5B9F"/>
    <w:rsid w:val="000B621F"/>
    <w:rsid w:val="000B7F0B"/>
    <w:rsid w:val="000C3529"/>
    <w:rsid w:val="000C679B"/>
    <w:rsid w:val="000E15DC"/>
    <w:rsid w:val="000E51BD"/>
    <w:rsid w:val="000E5B03"/>
    <w:rsid w:val="000E7574"/>
    <w:rsid w:val="000E7E49"/>
    <w:rsid w:val="000F0597"/>
    <w:rsid w:val="00103AA7"/>
    <w:rsid w:val="00106BAC"/>
    <w:rsid w:val="00106F02"/>
    <w:rsid w:val="00107700"/>
    <w:rsid w:val="00111F30"/>
    <w:rsid w:val="0011297B"/>
    <w:rsid w:val="001140DD"/>
    <w:rsid w:val="00116D31"/>
    <w:rsid w:val="001214A0"/>
    <w:rsid w:val="00122791"/>
    <w:rsid w:val="00145039"/>
    <w:rsid w:val="0014703A"/>
    <w:rsid w:val="001472DF"/>
    <w:rsid w:val="00150806"/>
    <w:rsid w:val="00156DD5"/>
    <w:rsid w:val="00156EE1"/>
    <w:rsid w:val="00162356"/>
    <w:rsid w:val="00164875"/>
    <w:rsid w:val="00165B7A"/>
    <w:rsid w:val="0017058F"/>
    <w:rsid w:val="00174336"/>
    <w:rsid w:val="00182302"/>
    <w:rsid w:val="00190352"/>
    <w:rsid w:val="0019337E"/>
    <w:rsid w:val="001B1C22"/>
    <w:rsid w:val="001C73C1"/>
    <w:rsid w:val="001C75C9"/>
    <w:rsid w:val="001D538B"/>
    <w:rsid w:val="001D77E9"/>
    <w:rsid w:val="001E2B98"/>
    <w:rsid w:val="001E2F5A"/>
    <w:rsid w:val="001E67E0"/>
    <w:rsid w:val="001F4BB6"/>
    <w:rsid w:val="001F71B2"/>
    <w:rsid w:val="00210674"/>
    <w:rsid w:val="002120F7"/>
    <w:rsid w:val="00213BF3"/>
    <w:rsid w:val="00213FA1"/>
    <w:rsid w:val="00216A93"/>
    <w:rsid w:val="00216D66"/>
    <w:rsid w:val="00233C6B"/>
    <w:rsid w:val="002467AE"/>
    <w:rsid w:val="00246C6D"/>
    <w:rsid w:val="00247DDD"/>
    <w:rsid w:val="00250A41"/>
    <w:rsid w:val="0025154F"/>
    <w:rsid w:val="002516F6"/>
    <w:rsid w:val="00256A8C"/>
    <w:rsid w:val="00261E75"/>
    <w:rsid w:val="0026538C"/>
    <w:rsid w:val="0026593C"/>
    <w:rsid w:val="00266419"/>
    <w:rsid w:val="00270E54"/>
    <w:rsid w:val="00270F1D"/>
    <w:rsid w:val="00277CBA"/>
    <w:rsid w:val="00282E79"/>
    <w:rsid w:val="00290039"/>
    <w:rsid w:val="002A1752"/>
    <w:rsid w:val="002A192D"/>
    <w:rsid w:val="002A3626"/>
    <w:rsid w:val="002B5743"/>
    <w:rsid w:val="002C25F8"/>
    <w:rsid w:val="002C2626"/>
    <w:rsid w:val="002C426B"/>
    <w:rsid w:val="002C446D"/>
    <w:rsid w:val="002D08D1"/>
    <w:rsid w:val="002D13DD"/>
    <w:rsid w:val="002D2A32"/>
    <w:rsid w:val="002D4D7E"/>
    <w:rsid w:val="002D672F"/>
    <w:rsid w:val="002E2A98"/>
    <w:rsid w:val="002E762C"/>
    <w:rsid w:val="002E7FCA"/>
    <w:rsid w:val="002F0AB8"/>
    <w:rsid w:val="002F146A"/>
    <w:rsid w:val="002F7611"/>
    <w:rsid w:val="00301BE1"/>
    <w:rsid w:val="0030346A"/>
    <w:rsid w:val="00304149"/>
    <w:rsid w:val="00315F8C"/>
    <w:rsid w:val="0032212B"/>
    <w:rsid w:val="00327093"/>
    <w:rsid w:val="003327A6"/>
    <w:rsid w:val="00333605"/>
    <w:rsid w:val="00341147"/>
    <w:rsid w:val="00350D5B"/>
    <w:rsid w:val="00354343"/>
    <w:rsid w:val="00354C99"/>
    <w:rsid w:val="003565C4"/>
    <w:rsid w:val="003575CA"/>
    <w:rsid w:val="003610A7"/>
    <w:rsid w:val="0036668F"/>
    <w:rsid w:val="003675F0"/>
    <w:rsid w:val="00371987"/>
    <w:rsid w:val="003724C6"/>
    <w:rsid w:val="00374FBB"/>
    <w:rsid w:val="00377552"/>
    <w:rsid w:val="0037772A"/>
    <w:rsid w:val="003852E3"/>
    <w:rsid w:val="00385363"/>
    <w:rsid w:val="003859F0"/>
    <w:rsid w:val="00392C33"/>
    <w:rsid w:val="00393605"/>
    <w:rsid w:val="0039637E"/>
    <w:rsid w:val="003A4B4D"/>
    <w:rsid w:val="003B7581"/>
    <w:rsid w:val="003C5A5B"/>
    <w:rsid w:val="003D127D"/>
    <w:rsid w:val="003D3293"/>
    <w:rsid w:val="003D70AD"/>
    <w:rsid w:val="003E19E9"/>
    <w:rsid w:val="003E4C45"/>
    <w:rsid w:val="003F4BA3"/>
    <w:rsid w:val="003F57AD"/>
    <w:rsid w:val="003F5C81"/>
    <w:rsid w:val="003F7A99"/>
    <w:rsid w:val="00401FE3"/>
    <w:rsid w:val="004029EE"/>
    <w:rsid w:val="00415AF6"/>
    <w:rsid w:val="00416102"/>
    <w:rsid w:val="00416247"/>
    <w:rsid w:val="00443046"/>
    <w:rsid w:val="004462B2"/>
    <w:rsid w:val="004505CE"/>
    <w:rsid w:val="00454926"/>
    <w:rsid w:val="00457803"/>
    <w:rsid w:val="004578FA"/>
    <w:rsid w:val="00462D46"/>
    <w:rsid w:val="00473630"/>
    <w:rsid w:val="004749B6"/>
    <w:rsid w:val="004841E4"/>
    <w:rsid w:val="0048652E"/>
    <w:rsid w:val="004913D6"/>
    <w:rsid w:val="00491E5B"/>
    <w:rsid w:val="004949F0"/>
    <w:rsid w:val="004A1A70"/>
    <w:rsid w:val="004A61F1"/>
    <w:rsid w:val="004B073D"/>
    <w:rsid w:val="004B1AEE"/>
    <w:rsid w:val="004B3022"/>
    <w:rsid w:val="004B775E"/>
    <w:rsid w:val="004B7CA7"/>
    <w:rsid w:val="004C122F"/>
    <w:rsid w:val="004C1273"/>
    <w:rsid w:val="004D487C"/>
    <w:rsid w:val="004F08CB"/>
    <w:rsid w:val="004F090E"/>
    <w:rsid w:val="005007FB"/>
    <w:rsid w:val="00505335"/>
    <w:rsid w:val="00506688"/>
    <w:rsid w:val="00506747"/>
    <w:rsid w:val="00506C12"/>
    <w:rsid w:val="005079B5"/>
    <w:rsid w:val="005110FD"/>
    <w:rsid w:val="0052081F"/>
    <w:rsid w:val="00521C0A"/>
    <w:rsid w:val="00522B94"/>
    <w:rsid w:val="0052475D"/>
    <w:rsid w:val="00525042"/>
    <w:rsid w:val="00532AFF"/>
    <w:rsid w:val="00540B36"/>
    <w:rsid w:val="005423AB"/>
    <w:rsid w:val="00543E94"/>
    <w:rsid w:val="00554761"/>
    <w:rsid w:val="00555EDB"/>
    <w:rsid w:val="00561B13"/>
    <w:rsid w:val="00562056"/>
    <w:rsid w:val="00562D18"/>
    <w:rsid w:val="00565900"/>
    <w:rsid w:val="00567093"/>
    <w:rsid w:val="0057496C"/>
    <w:rsid w:val="00575951"/>
    <w:rsid w:val="005850EF"/>
    <w:rsid w:val="00591D80"/>
    <w:rsid w:val="0059274F"/>
    <w:rsid w:val="00597DD3"/>
    <w:rsid w:val="005A58B8"/>
    <w:rsid w:val="005B175B"/>
    <w:rsid w:val="005B34DD"/>
    <w:rsid w:val="005B45E2"/>
    <w:rsid w:val="005B4FC5"/>
    <w:rsid w:val="005C30C5"/>
    <w:rsid w:val="005C3EAE"/>
    <w:rsid w:val="005C4779"/>
    <w:rsid w:val="005C5356"/>
    <w:rsid w:val="005C66DE"/>
    <w:rsid w:val="005E0F6E"/>
    <w:rsid w:val="005E5401"/>
    <w:rsid w:val="005E57D2"/>
    <w:rsid w:val="005E6E7C"/>
    <w:rsid w:val="005F0A46"/>
    <w:rsid w:val="005F1A5D"/>
    <w:rsid w:val="00600F59"/>
    <w:rsid w:val="00606186"/>
    <w:rsid w:val="00612781"/>
    <w:rsid w:val="00612D3F"/>
    <w:rsid w:val="00626A3F"/>
    <w:rsid w:val="00627143"/>
    <w:rsid w:val="006304CF"/>
    <w:rsid w:val="00636C69"/>
    <w:rsid w:val="00636FC7"/>
    <w:rsid w:val="006413D0"/>
    <w:rsid w:val="00651D8C"/>
    <w:rsid w:val="006542E8"/>
    <w:rsid w:val="006569EE"/>
    <w:rsid w:val="00656ED8"/>
    <w:rsid w:val="00667914"/>
    <w:rsid w:val="0067164C"/>
    <w:rsid w:val="00673CF2"/>
    <w:rsid w:val="00692A77"/>
    <w:rsid w:val="006A390C"/>
    <w:rsid w:val="006B1234"/>
    <w:rsid w:val="006B1D2B"/>
    <w:rsid w:val="006B475A"/>
    <w:rsid w:val="006D6BD7"/>
    <w:rsid w:val="006E4472"/>
    <w:rsid w:val="006F5411"/>
    <w:rsid w:val="00700E2B"/>
    <w:rsid w:val="00701DF7"/>
    <w:rsid w:val="00703396"/>
    <w:rsid w:val="0070457B"/>
    <w:rsid w:val="00716E57"/>
    <w:rsid w:val="00725F43"/>
    <w:rsid w:val="0073014F"/>
    <w:rsid w:val="007561E1"/>
    <w:rsid w:val="00765330"/>
    <w:rsid w:val="00772ECB"/>
    <w:rsid w:val="00775267"/>
    <w:rsid w:val="007834CF"/>
    <w:rsid w:val="00784277"/>
    <w:rsid w:val="00796AA3"/>
    <w:rsid w:val="00796E25"/>
    <w:rsid w:val="007A0217"/>
    <w:rsid w:val="007A7700"/>
    <w:rsid w:val="007B208B"/>
    <w:rsid w:val="007B3138"/>
    <w:rsid w:val="007B566D"/>
    <w:rsid w:val="007B6462"/>
    <w:rsid w:val="007C2AB0"/>
    <w:rsid w:val="007C7DA8"/>
    <w:rsid w:val="007D7A4D"/>
    <w:rsid w:val="007D7C79"/>
    <w:rsid w:val="007E0697"/>
    <w:rsid w:val="007E0F31"/>
    <w:rsid w:val="007E35E4"/>
    <w:rsid w:val="007E3FC9"/>
    <w:rsid w:val="007F6793"/>
    <w:rsid w:val="007F6D55"/>
    <w:rsid w:val="007F6D78"/>
    <w:rsid w:val="007F7FEB"/>
    <w:rsid w:val="00804E09"/>
    <w:rsid w:val="0081159D"/>
    <w:rsid w:val="00815E4B"/>
    <w:rsid w:val="00824B75"/>
    <w:rsid w:val="00826EC8"/>
    <w:rsid w:val="008278F1"/>
    <w:rsid w:val="00827949"/>
    <w:rsid w:val="00830B43"/>
    <w:rsid w:val="00833D0F"/>
    <w:rsid w:val="008405B3"/>
    <w:rsid w:val="008462EA"/>
    <w:rsid w:val="00847293"/>
    <w:rsid w:val="0085087F"/>
    <w:rsid w:val="00851ED1"/>
    <w:rsid w:val="00854FDF"/>
    <w:rsid w:val="008647E3"/>
    <w:rsid w:val="00881930"/>
    <w:rsid w:val="00890A70"/>
    <w:rsid w:val="008923C8"/>
    <w:rsid w:val="008B230A"/>
    <w:rsid w:val="008C0C01"/>
    <w:rsid w:val="008D7EAB"/>
    <w:rsid w:val="008E2907"/>
    <w:rsid w:val="008E4D78"/>
    <w:rsid w:val="008F2533"/>
    <w:rsid w:val="008F25E6"/>
    <w:rsid w:val="008F25E9"/>
    <w:rsid w:val="00901475"/>
    <w:rsid w:val="00922136"/>
    <w:rsid w:val="00925B44"/>
    <w:rsid w:val="009267AB"/>
    <w:rsid w:val="009278DB"/>
    <w:rsid w:val="00927D5C"/>
    <w:rsid w:val="00943E22"/>
    <w:rsid w:val="0094496A"/>
    <w:rsid w:val="00950136"/>
    <w:rsid w:val="00951509"/>
    <w:rsid w:val="00953410"/>
    <w:rsid w:val="00957D0B"/>
    <w:rsid w:val="00961D98"/>
    <w:rsid w:val="00964DBD"/>
    <w:rsid w:val="009663AE"/>
    <w:rsid w:val="00966ED2"/>
    <w:rsid w:val="009761E8"/>
    <w:rsid w:val="00982415"/>
    <w:rsid w:val="009852FE"/>
    <w:rsid w:val="0099710C"/>
    <w:rsid w:val="00997F29"/>
    <w:rsid w:val="009A0102"/>
    <w:rsid w:val="009A0B64"/>
    <w:rsid w:val="009A3B68"/>
    <w:rsid w:val="009B3118"/>
    <w:rsid w:val="009B4229"/>
    <w:rsid w:val="009B4850"/>
    <w:rsid w:val="009B4F36"/>
    <w:rsid w:val="009B6849"/>
    <w:rsid w:val="009B71D9"/>
    <w:rsid w:val="009C0963"/>
    <w:rsid w:val="009C66E4"/>
    <w:rsid w:val="009D09A8"/>
    <w:rsid w:val="009D15A9"/>
    <w:rsid w:val="009D4DED"/>
    <w:rsid w:val="009D5C0F"/>
    <w:rsid w:val="009D78E3"/>
    <w:rsid w:val="009D7DC0"/>
    <w:rsid w:val="009E14CB"/>
    <w:rsid w:val="009E3400"/>
    <w:rsid w:val="009F2360"/>
    <w:rsid w:val="009F7594"/>
    <w:rsid w:val="00A00C2D"/>
    <w:rsid w:val="00A02275"/>
    <w:rsid w:val="00A118A2"/>
    <w:rsid w:val="00A124DF"/>
    <w:rsid w:val="00A15E10"/>
    <w:rsid w:val="00A23CF7"/>
    <w:rsid w:val="00A30C94"/>
    <w:rsid w:val="00A4643B"/>
    <w:rsid w:val="00A5089C"/>
    <w:rsid w:val="00A51F6D"/>
    <w:rsid w:val="00A53D13"/>
    <w:rsid w:val="00A561BA"/>
    <w:rsid w:val="00A61573"/>
    <w:rsid w:val="00A61F79"/>
    <w:rsid w:val="00A620A3"/>
    <w:rsid w:val="00A74D2F"/>
    <w:rsid w:val="00A82492"/>
    <w:rsid w:val="00A85C6E"/>
    <w:rsid w:val="00A91BC5"/>
    <w:rsid w:val="00AA007F"/>
    <w:rsid w:val="00AB665A"/>
    <w:rsid w:val="00AC5314"/>
    <w:rsid w:val="00AC7C2B"/>
    <w:rsid w:val="00AC7D33"/>
    <w:rsid w:val="00AD2B4E"/>
    <w:rsid w:val="00AD2E17"/>
    <w:rsid w:val="00AD3D61"/>
    <w:rsid w:val="00AD3DF8"/>
    <w:rsid w:val="00AE2C1F"/>
    <w:rsid w:val="00AF222A"/>
    <w:rsid w:val="00AF3B42"/>
    <w:rsid w:val="00AF41BF"/>
    <w:rsid w:val="00B006A6"/>
    <w:rsid w:val="00B02E9F"/>
    <w:rsid w:val="00B03375"/>
    <w:rsid w:val="00B057AF"/>
    <w:rsid w:val="00B06333"/>
    <w:rsid w:val="00B10550"/>
    <w:rsid w:val="00B12519"/>
    <w:rsid w:val="00B17BBA"/>
    <w:rsid w:val="00B21F67"/>
    <w:rsid w:val="00B22532"/>
    <w:rsid w:val="00B23719"/>
    <w:rsid w:val="00B3584A"/>
    <w:rsid w:val="00B45E63"/>
    <w:rsid w:val="00B53616"/>
    <w:rsid w:val="00B60E2A"/>
    <w:rsid w:val="00B61557"/>
    <w:rsid w:val="00B6367B"/>
    <w:rsid w:val="00B65CE4"/>
    <w:rsid w:val="00B6662D"/>
    <w:rsid w:val="00B71118"/>
    <w:rsid w:val="00B72706"/>
    <w:rsid w:val="00B77351"/>
    <w:rsid w:val="00B800AD"/>
    <w:rsid w:val="00B83270"/>
    <w:rsid w:val="00B8553A"/>
    <w:rsid w:val="00B86BDD"/>
    <w:rsid w:val="00B90A99"/>
    <w:rsid w:val="00B918F0"/>
    <w:rsid w:val="00B95B48"/>
    <w:rsid w:val="00B96F6F"/>
    <w:rsid w:val="00BA0E30"/>
    <w:rsid w:val="00BA3D93"/>
    <w:rsid w:val="00BA4C7B"/>
    <w:rsid w:val="00BA4F9B"/>
    <w:rsid w:val="00BA5E39"/>
    <w:rsid w:val="00BB0AED"/>
    <w:rsid w:val="00BC0DCD"/>
    <w:rsid w:val="00BC212E"/>
    <w:rsid w:val="00BC35E9"/>
    <w:rsid w:val="00BE2224"/>
    <w:rsid w:val="00BE33AD"/>
    <w:rsid w:val="00BF55A9"/>
    <w:rsid w:val="00BF6A6C"/>
    <w:rsid w:val="00C0116B"/>
    <w:rsid w:val="00C13C39"/>
    <w:rsid w:val="00C1673F"/>
    <w:rsid w:val="00C2048F"/>
    <w:rsid w:val="00C23373"/>
    <w:rsid w:val="00C24195"/>
    <w:rsid w:val="00C24791"/>
    <w:rsid w:val="00C30765"/>
    <w:rsid w:val="00C32A27"/>
    <w:rsid w:val="00C4018A"/>
    <w:rsid w:val="00C4052D"/>
    <w:rsid w:val="00C43905"/>
    <w:rsid w:val="00C46A14"/>
    <w:rsid w:val="00C479E7"/>
    <w:rsid w:val="00C53CED"/>
    <w:rsid w:val="00C7165B"/>
    <w:rsid w:val="00C74C66"/>
    <w:rsid w:val="00C7743F"/>
    <w:rsid w:val="00C775B7"/>
    <w:rsid w:val="00C829EF"/>
    <w:rsid w:val="00C85AE0"/>
    <w:rsid w:val="00C86CF4"/>
    <w:rsid w:val="00CA08C4"/>
    <w:rsid w:val="00CA5DD8"/>
    <w:rsid w:val="00CB0E49"/>
    <w:rsid w:val="00CC0C47"/>
    <w:rsid w:val="00CC6E23"/>
    <w:rsid w:val="00CD34D3"/>
    <w:rsid w:val="00CE0D03"/>
    <w:rsid w:val="00CF3C51"/>
    <w:rsid w:val="00D04B29"/>
    <w:rsid w:val="00D10D1C"/>
    <w:rsid w:val="00D15C76"/>
    <w:rsid w:val="00D20F7F"/>
    <w:rsid w:val="00D23DF0"/>
    <w:rsid w:val="00D2636B"/>
    <w:rsid w:val="00D26D0C"/>
    <w:rsid w:val="00D30FE2"/>
    <w:rsid w:val="00D4029B"/>
    <w:rsid w:val="00D417C5"/>
    <w:rsid w:val="00D45011"/>
    <w:rsid w:val="00D52995"/>
    <w:rsid w:val="00D5404C"/>
    <w:rsid w:val="00D61A3F"/>
    <w:rsid w:val="00D623B6"/>
    <w:rsid w:val="00D675FD"/>
    <w:rsid w:val="00D72580"/>
    <w:rsid w:val="00D73900"/>
    <w:rsid w:val="00D74A01"/>
    <w:rsid w:val="00D76F7E"/>
    <w:rsid w:val="00D77C45"/>
    <w:rsid w:val="00D86904"/>
    <w:rsid w:val="00D873EB"/>
    <w:rsid w:val="00DA25AB"/>
    <w:rsid w:val="00DA2CDE"/>
    <w:rsid w:val="00DA462D"/>
    <w:rsid w:val="00DA4879"/>
    <w:rsid w:val="00DA74B3"/>
    <w:rsid w:val="00DB074A"/>
    <w:rsid w:val="00DB3C3D"/>
    <w:rsid w:val="00DB59E6"/>
    <w:rsid w:val="00DC4A90"/>
    <w:rsid w:val="00DC716B"/>
    <w:rsid w:val="00DD0273"/>
    <w:rsid w:val="00DD0F3E"/>
    <w:rsid w:val="00DD1F50"/>
    <w:rsid w:val="00DD253A"/>
    <w:rsid w:val="00DE5C8A"/>
    <w:rsid w:val="00DF2A45"/>
    <w:rsid w:val="00DF3D56"/>
    <w:rsid w:val="00DF66EF"/>
    <w:rsid w:val="00DF7360"/>
    <w:rsid w:val="00E0209C"/>
    <w:rsid w:val="00E02782"/>
    <w:rsid w:val="00E05054"/>
    <w:rsid w:val="00E21D20"/>
    <w:rsid w:val="00E24FAC"/>
    <w:rsid w:val="00E25DF6"/>
    <w:rsid w:val="00E3584D"/>
    <w:rsid w:val="00E36302"/>
    <w:rsid w:val="00E37BD0"/>
    <w:rsid w:val="00E41157"/>
    <w:rsid w:val="00E41EAB"/>
    <w:rsid w:val="00E431DA"/>
    <w:rsid w:val="00E4345E"/>
    <w:rsid w:val="00E4351C"/>
    <w:rsid w:val="00E446E6"/>
    <w:rsid w:val="00E46EC9"/>
    <w:rsid w:val="00E50643"/>
    <w:rsid w:val="00E52EDD"/>
    <w:rsid w:val="00E62FCA"/>
    <w:rsid w:val="00E63EC0"/>
    <w:rsid w:val="00E65C79"/>
    <w:rsid w:val="00E859DB"/>
    <w:rsid w:val="00E92D24"/>
    <w:rsid w:val="00E967A2"/>
    <w:rsid w:val="00EB13A1"/>
    <w:rsid w:val="00EB5168"/>
    <w:rsid w:val="00EC0D50"/>
    <w:rsid w:val="00ED0F51"/>
    <w:rsid w:val="00ED29C0"/>
    <w:rsid w:val="00ED45AB"/>
    <w:rsid w:val="00EE7F65"/>
    <w:rsid w:val="00EF38D6"/>
    <w:rsid w:val="00EF4566"/>
    <w:rsid w:val="00EF7BB4"/>
    <w:rsid w:val="00F01BF2"/>
    <w:rsid w:val="00F03F91"/>
    <w:rsid w:val="00F05E0B"/>
    <w:rsid w:val="00F05F8D"/>
    <w:rsid w:val="00F06105"/>
    <w:rsid w:val="00F06573"/>
    <w:rsid w:val="00F077CF"/>
    <w:rsid w:val="00F12DD0"/>
    <w:rsid w:val="00F13C94"/>
    <w:rsid w:val="00F23DEC"/>
    <w:rsid w:val="00F25F5E"/>
    <w:rsid w:val="00F26C65"/>
    <w:rsid w:val="00F271DB"/>
    <w:rsid w:val="00F36FAF"/>
    <w:rsid w:val="00F513E5"/>
    <w:rsid w:val="00F56D71"/>
    <w:rsid w:val="00F603F1"/>
    <w:rsid w:val="00F7665A"/>
    <w:rsid w:val="00F8091B"/>
    <w:rsid w:val="00F87F5E"/>
    <w:rsid w:val="00F94823"/>
    <w:rsid w:val="00F974C1"/>
    <w:rsid w:val="00FA1F22"/>
    <w:rsid w:val="00FA5F9E"/>
    <w:rsid w:val="00FB0DB3"/>
    <w:rsid w:val="00FC4613"/>
    <w:rsid w:val="00FC4CE7"/>
    <w:rsid w:val="00FE0E37"/>
    <w:rsid w:val="00FE47CA"/>
    <w:rsid w:val="00FF3E33"/>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F0D81E7"/>
  <w15:docId w15:val="{5C47F70B-D463-4507-80BF-8D230ECC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QPPBodytext"/>
    <w:qFormat/>
    <w:rsid w:val="00AD2E17"/>
    <w:rPr>
      <w:rFonts w:ascii="Arial" w:hAnsi="Arial"/>
      <w:szCs w:val="24"/>
    </w:rPr>
  </w:style>
  <w:style w:type="paragraph" w:styleId="Heading1">
    <w:name w:val="heading 1"/>
    <w:basedOn w:val="Normal"/>
    <w:next w:val="Normal"/>
    <w:qFormat/>
    <w:locked/>
    <w:rsid w:val="009C0963"/>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9C0963"/>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9C0963"/>
    <w:pPr>
      <w:keepNext/>
      <w:spacing w:before="240" w:after="60"/>
      <w:outlineLvl w:val="2"/>
    </w:pPr>
    <w:rPr>
      <w:rFonts w:cs="Arial"/>
      <w:b/>
      <w:bCs/>
      <w:sz w:val="26"/>
      <w:szCs w:val="26"/>
    </w:rPr>
  </w:style>
  <w:style w:type="paragraph" w:styleId="Heading4">
    <w:name w:val="heading 4"/>
    <w:basedOn w:val="Normal"/>
    <w:next w:val="Normal"/>
    <w:qFormat/>
    <w:locked/>
    <w:rsid w:val="009C0963"/>
    <w:pPr>
      <w:keepNext/>
      <w:spacing w:before="240" w:after="60"/>
      <w:outlineLvl w:val="3"/>
    </w:pPr>
    <w:rPr>
      <w:b/>
      <w:bCs/>
      <w:sz w:val="28"/>
      <w:szCs w:val="28"/>
    </w:rPr>
  </w:style>
  <w:style w:type="paragraph" w:styleId="Heading5">
    <w:name w:val="heading 5"/>
    <w:basedOn w:val="Normal"/>
    <w:next w:val="Normal"/>
    <w:qFormat/>
    <w:locked/>
    <w:rsid w:val="009C0963"/>
    <w:pPr>
      <w:spacing w:before="240" w:after="60"/>
      <w:outlineLvl w:val="4"/>
    </w:pPr>
    <w:rPr>
      <w:b/>
      <w:bCs/>
      <w:i/>
      <w:iCs/>
      <w:sz w:val="26"/>
      <w:szCs w:val="26"/>
    </w:rPr>
  </w:style>
  <w:style w:type="paragraph" w:styleId="Heading6">
    <w:name w:val="heading 6"/>
    <w:basedOn w:val="Normal"/>
    <w:next w:val="Normal"/>
    <w:qFormat/>
    <w:locked/>
    <w:rsid w:val="009C0963"/>
    <w:pPr>
      <w:spacing w:before="240" w:after="60"/>
      <w:outlineLvl w:val="5"/>
    </w:pPr>
    <w:rPr>
      <w:b/>
      <w:bCs/>
      <w:sz w:val="22"/>
      <w:szCs w:val="22"/>
    </w:rPr>
  </w:style>
  <w:style w:type="paragraph" w:styleId="Heading7">
    <w:name w:val="heading 7"/>
    <w:basedOn w:val="Normal"/>
    <w:next w:val="Normal"/>
    <w:qFormat/>
    <w:locked/>
    <w:rsid w:val="009C0963"/>
    <w:pPr>
      <w:spacing w:before="240" w:after="60"/>
      <w:outlineLvl w:val="6"/>
    </w:pPr>
  </w:style>
  <w:style w:type="paragraph" w:styleId="Heading8">
    <w:name w:val="heading 8"/>
    <w:basedOn w:val="Normal"/>
    <w:next w:val="Normal"/>
    <w:qFormat/>
    <w:locked/>
    <w:rsid w:val="009C0963"/>
    <w:pPr>
      <w:spacing w:before="240" w:after="60"/>
      <w:outlineLvl w:val="7"/>
    </w:pPr>
    <w:rPr>
      <w:i/>
      <w:iCs/>
    </w:rPr>
  </w:style>
  <w:style w:type="paragraph" w:styleId="Heading9">
    <w:name w:val="heading 9"/>
    <w:basedOn w:val="Normal"/>
    <w:next w:val="Normal"/>
    <w:qFormat/>
    <w:locked/>
    <w:rsid w:val="009C0963"/>
    <w:pPr>
      <w:spacing w:before="240" w:after="60"/>
      <w:outlineLvl w:val="8"/>
    </w:pPr>
    <w:rPr>
      <w:rFonts w:cs="Arial"/>
      <w:sz w:val="22"/>
      <w:szCs w:val="22"/>
    </w:rPr>
  </w:style>
  <w:style w:type="character" w:default="1" w:styleId="DefaultParagraphFont">
    <w:name w:val="Default Paragraph Font"/>
    <w:uiPriority w:val="1"/>
    <w:semiHidden/>
    <w:unhideWhenUsed/>
    <w:rsid w:val="00AD2E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2E17"/>
  </w:style>
  <w:style w:type="paragraph" w:customStyle="1" w:styleId="QPPBodytext">
    <w:name w:val="QPP Body text"/>
    <w:basedOn w:val="Normal"/>
    <w:link w:val="QPPBodytextChar"/>
    <w:rsid w:val="00AD2E17"/>
    <w:pPr>
      <w:autoSpaceDE w:val="0"/>
      <w:autoSpaceDN w:val="0"/>
      <w:adjustRightInd w:val="0"/>
    </w:pPr>
    <w:rPr>
      <w:rFonts w:cs="Arial"/>
      <w:color w:val="000000"/>
      <w:szCs w:val="20"/>
    </w:rPr>
  </w:style>
  <w:style w:type="character" w:customStyle="1" w:styleId="QPPBodytextChar">
    <w:name w:val="QPP Body text Char"/>
    <w:link w:val="QPPBodytext"/>
    <w:rsid w:val="009C0963"/>
    <w:rPr>
      <w:rFonts w:ascii="Arial" w:hAnsi="Arial" w:cs="Arial"/>
      <w:color w:val="000000"/>
    </w:rPr>
  </w:style>
  <w:style w:type="table" w:styleId="TableGrid">
    <w:name w:val="Table Grid"/>
    <w:basedOn w:val="TableNormal"/>
    <w:locked/>
    <w:rsid w:val="009C096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D2E17"/>
    <w:pPr>
      <w:numPr>
        <w:numId w:val="5"/>
      </w:numPr>
    </w:pPr>
    <w:rPr>
      <w:rFonts w:cs="Arial"/>
      <w:szCs w:val="20"/>
      <w:lang w:eastAsia="en-US"/>
    </w:rPr>
  </w:style>
  <w:style w:type="paragraph" w:customStyle="1" w:styleId="QPPHeading1">
    <w:name w:val="QPP Heading 1"/>
    <w:basedOn w:val="Heading1"/>
    <w:autoRedefine/>
    <w:rsid w:val="00AD2E17"/>
    <w:pPr>
      <w:spacing w:before="100" w:after="200"/>
      <w:ind w:left="851" w:hanging="851"/>
    </w:pPr>
  </w:style>
  <w:style w:type="paragraph" w:customStyle="1" w:styleId="QPPBulletpoint3">
    <w:name w:val="QPP Bullet point 3"/>
    <w:basedOn w:val="Normal"/>
    <w:rsid w:val="00AD2E17"/>
    <w:pPr>
      <w:numPr>
        <w:numId w:val="4"/>
      </w:numPr>
      <w:tabs>
        <w:tab w:val="left" w:pos="1701"/>
      </w:tabs>
    </w:pPr>
    <w:rPr>
      <w:rFonts w:cs="Arial"/>
      <w:szCs w:val="20"/>
      <w:lang w:eastAsia="en-US"/>
    </w:rPr>
  </w:style>
  <w:style w:type="paragraph" w:customStyle="1" w:styleId="QPPTableTextBold">
    <w:name w:val="QPP Table Text Bold"/>
    <w:basedOn w:val="QPPTableTextBody"/>
    <w:rsid w:val="00AD2E17"/>
    <w:rPr>
      <w:b/>
    </w:rPr>
  </w:style>
  <w:style w:type="paragraph" w:customStyle="1" w:styleId="QPPTableTextBody">
    <w:name w:val="QPP Table Text Body"/>
    <w:basedOn w:val="QPPBodytext"/>
    <w:link w:val="QPPTableTextBodyChar"/>
    <w:autoRedefine/>
    <w:rsid w:val="00AD2E17"/>
    <w:pPr>
      <w:spacing w:before="60" w:after="60"/>
    </w:pPr>
  </w:style>
  <w:style w:type="character" w:customStyle="1" w:styleId="QPPTableTextBodyChar">
    <w:name w:val="QPP Table Text Body Char"/>
    <w:basedOn w:val="QPPBodytextChar"/>
    <w:link w:val="QPPTableTextBody"/>
    <w:rsid w:val="009C0963"/>
    <w:rPr>
      <w:rFonts w:ascii="Arial" w:hAnsi="Arial" w:cs="Arial"/>
      <w:color w:val="000000"/>
    </w:rPr>
  </w:style>
  <w:style w:type="paragraph" w:customStyle="1" w:styleId="QPPBulletpoint2">
    <w:name w:val="QPP Bullet point 2"/>
    <w:basedOn w:val="Normal"/>
    <w:rsid w:val="00AD2E17"/>
    <w:pPr>
      <w:numPr>
        <w:numId w:val="24"/>
      </w:numPr>
    </w:pPr>
    <w:rPr>
      <w:rFonts w:cs="Arial"/>
      <w:szCs w:val="20"/>
      <w:lang w:eastAsia="en-US"/>
    </w:rPr>
  </w:style>
  <w:style w:type="paragraph" w:customStyle="1" w:styleId="QPPTableHeadingStyle1">
    <w:name w:val="QPP Table Heading Style 1"/>
    <w:basedOn w:val="QPPHeading4"/>
    <w:rsid w:val="00AD2E17"/>
    <w:pPr>
      <w:spacing w:after="0"/>
      <w:ind w:left="0" w:firstLine="0"/>
    </w:pPr>
  </w:style>
  <w:style w:type="paragraph" w:customStyle="1" w:styleId="QPPHeading4">
    <w:name w:val="QPP Heading 4"/>
    <w:basedOn w:val="Normal"/>
    <w:link w:val="QPPHeading4Char"/>
    <w:autoRedefine/>
    <w:rsid w:val="00AD2E17"/>
    <w:pPr>
      <w:keepNext/>
      <w:spacing w:before="100" w:after="200"/>
      <w:ind w:left="851" w:hanging="851"/>
      <w:outlineLvl w:val="2"/>
    </w:pPr>
    <w:rPr>
      <w:rFonts w:cs="Arial"/>
      <w:b/>
      <w:bCs/>
      <w:szCs w:val="26"/>
    </w:rPr>
  </w:style>
  <w:style w:type="paragraph" w:customStyle="1" w:styleId="QPPHeading2">
    <w:name w:val="QPP Heading 2"/>
    <w:basedOn w:val="Normal"/>
    <w:autoRedefine/>
    <w:rsid w:val="00AD2E1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ink w:val="StyleQPPEditorsNoteStyle1ItalicChar"/>
    <w:rsid w:val="00AD2E17"/>
    <w:rPr>
      <w:i/>
      <w:iCs/>
    </w:rPr>
  </w:style>
  <w:style w:type="paragraph" w:customStyle="1" w:styleId="QPPEditorsNoteStyle1">
    <w:name w:val="QPP Editor's Note Style 1"/>
    <w:basedOn w:val="Normal"/>
    <w:next w:val="QPPBodytext"/>
    <w:link w:val="QPPEditorsNoteStyle1Char"/>
    <w:rsid w:val="00AD2E17"/>
    <w:pPr>
      <w:spacing w:before="100" w:beforeAutospacing="1" w:after="100" w:afterAutospacing="1"/>
    </w:pPr>
    <w:rPr>
      <w:sz w:val="16"/>
      <w:szCs w:val="16"/>
    </w:rPr>
  </w:style>
  <w:style w:type="character" w:customStyle="1" w:styleId="QPPEditorsNoteStyle1Char">
    <w:name w:val="QPP Editor's Note Style 1 Char"/>
    <w:link w:val="QPPEditorsNoteStyle1"/>
    <w:rsid w:val="009C0963"/>
    <w:rPr>
      <w:rFonts w:ascii="Arial" w:hAnsi="Arial"/>
      <w:sz w:val="16"/>
      <w:szCs w:val="16"/>
    </w:rPr>
  </w:style>
  <w:style w:type="character" w:customStyle="1" w:styleId="StyleQPPEditorsNoteStyle1ItalicChar">
    <w:name w:val="Style QPP Editor's Note Style 1 + Italic Char"/>
    <w:link w:val="StyleQPPEditorsNoteStyle1Italic"/>
    <w:rsid w:val="00CC0C47"/>
    <w:rPr>
      <w:rFonts w:ascii="Arial" w:hAnsi="Arial"/>
      <w:i/>
      <w:iCs/>
      <w:sz w:val="16"/>
      <w:szCs w:val="16"/>
    </w:rPr>
  </w:style>
  <w:style w:type="paragraph" w:customStyle="1" w:styleId="QPPFooter">
    <w:name w:val="QPP Footer"/>
    <w:basedOn w:val="Normal"/>
    <w:rsid w:val="00AD2E1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D2E17"/>
    <w:pPr>
      <w:spacing w:before="100" w:after="100"/>
      <w:ind w:left="567"/>
    </w:pPr>
    <w:rPr>
      <w:sz w:val="16"/>
      <w:szCs w:val="16"/>
    </w:rPr>
  </w:style>
  <w:style w:type="paragraph" w:customStyle="1" w:styleId="QPPEditorsnotebulletpoint1">
    <w:name w:val="QPP Editor's note bullet point 1"/>
    <w:basedOn w:val="Normal"/>
    <w:rsid w:val="00AD2E17"/>
    <w:pPr>
      <w:numPr>
        <w:numId w:val="1"/>
      </w:numPr>
      <w:tabs>
        <w:tab w:val="left" w:pos="426"/>
      </w:tabs>
    </w:pPr>
    <w:rPr>
      <w:sz w:val="16"/>
      <w:szCs w:val="16"/>
    </w:rPr>
  </w:style>
  <w:style w:type="paragraph" w:customStyle="1" w:styleId="QPPHeading3">
    <w:name w:val="QPP Heading 3"/>
    <w:basedOn w:val="Normal"/>
    <w:autoRedefine/>
    <w:rsid w:val="00AD2E17"/>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AD2E17"/>
    <w:pPr>
      <w:numPr>
        <w:numId w:val="3"/>
      </w:numPr>
    </w:pPr>
  </w:style>
  <w:style w:type="paragraph" w:styleId="BalloonText">
    <w:name w:val="Balloon Text"/>
    <w:basedOn w:val="Normal"/>
    <w:semiHidden/>
    <w:locked/>
    <w:rsid w:val="009C0963"/>
    <w:rPr>
      <w:rFonts w:ascii="Tahoma" w:hAnsi="Tahoma" w:cs="Tahoma"/>
      <w:sz w:val="16"/>
      <w:szCs w:val="16"/>
    </w:rPr>
  </w:style>
  <w:style w:type="paragraph" w:customStyle="1" w:styleId="QPPBullet">
    <w:name w:val="QPP Bullet"/>
    <w:basedOn w:val="Normal"/>
    <w:autoRedefine/>
    <w:rsid w:val="00AD2E17"/>
    <w:pPr>
      <w:numPr>
        <w:numId w:val="2"/>
      </w:numPr>
      <w:spacing w:before="60" w:after="40"/>
    </w:pPr>
    <w:rPr>
      <w:rFonts w:eastAsia="MS Mincho"/>
      <w:lang w:eastAsia="en-US"/>
    </w:rPr>
  </w:style>
  <w:style w:type="paragraph" w:customStyle="1" w:styleId="QPPBodyTextITALIC">
    <w:name w:val="QPP Body Text ITALIC"/>
    <w:basedOn w:val="QPPBodytext"/>
    <w:autoRedefine/>
    <w:rsid w:val="00AD2E17"/>
    <w:rPr>
      <w:i/>
    </w:rPr>
  </w:style>
  <w:style w:type="paragraph" w:customStyle="1" w:styleId="QPPSubscript">
    <w:name w:val="QPP Subscript"/>
    <w:basedOn w:val="QPPBodytext"/>
    <w:next w:val="QPPBodytext"/>
    <w:link w:val="QPPSubscriptChar"/>
    <w:rsid w:val="00AD2E17"/>
    <w:rPr>
      <w:vertAlign w:val="subscript"/>
    </w:rPr>
  </w:style>
  <w:style w:type="paragraph" w:customStyle="1" w:styleId="QPPBulletPoint5DOT">
    <w:name w:val="QPP Bullet Point 5 DOT"/>
    <w:basedOn w:val="QPPBodytext"/>
    <w:autoRedefine/>
    <w:rsid w:val="00AD2E17"/>
    <w:pPr>
      <w:numPr>
        <w:numId w:val="6"/>
      </w:numPr>
    </w:pPr>
  </w:style>
  <w:style w:type="paragraph" w:customStyle="1" w:styleId="QPPSuperscript">
    <w:name w:val="QPP Superscript"/>
    <w:basedOn w:val="QPPBodytext"/>
    <w:next w:val="QPPBodytext"/>
    <w:link w:val="QPPSuperscriptChar"/>
    <w:rsid w:val="00AD2E17"/>
    <w:rPr>
      <w:vertAlign w:val="superscript"/>
    </w:rPr>
  </w:style>
  <w:style w:type="character" w:customStyle="1" w:styleId="QPPSuperscriptChar">
    <w:name w:val="QPP Superscript Char"/>
    <w:link w:val="QPPSuperscript"/>
    <w:rsid w:val="009C0963"/>
    <w:rPr>
      <w:rFonts w:ascii="Arial" w:hAnsi="Arial" w:cs="Arial"/>
      <w:color w:val="000000"/>
      <w:vertAlign w:val="superscript"/>
    </w:rPr>
  </w:style>
  <w:style w:type="paragraph" w:customStyle="1" w:styleId="HGTableBullet2">
    <w:name w:val="HG Table Bullet 2"/>
    <w:basedOn w:val="QPPTableTextBody"/>
    <w:rsid w:val="00AD2E17"/>
    <w:pPr>
      <w:numPr>
        <w:numId w:val="8"/>
      </w:numPr>
      <w:tabs>
        <w:tab w:val="left" w:pos="567"/>
      </w:tabs>
    </w:pPr>
  </w:style>
  <w:style w:type="paragraph" w:customStyle="1" w:styleId="HGTableBullet3">
    <w:name w:val="HG Table Bullet 3"/>
    <w:basedOn w:val="QPPTableTextBody"/>
    <w:rsid w:val="00AD2E17"/>
    <w:pPr>
      <w:numPr>
        <w:numId w:val="9"/>
      </w:numPr>
    </w:pPr>
  </w:style>
  <w:style w:type="paragraph" w:customStyle="1" w:styleId="HGTableBullet4">
    <w:name w:val="HG Table Bullet 4"/>
    <w:basedOn w:val="QPPTableTextBody"/>
    <w:rsid w:val="00AD2E17"/>
    <w:pPr>
      <w:numPr>
        <w:numId w:val="10"/>
      </w:numPr>
      <w:tabs>
        <w:tab w:val="left" w:pos="567"/>
      </w:tabs>
    </w:pPr>
  </w:style>
  <w:style w:type="paragraph" w:customStyle="1" w:styleId="QPPTableBullet">
    <w:name w:val="QPP Table Bullet"/>
    <w:basedOn w:val="Normal"/>
    <w:rsid w:val="00AD2E17"/>
    <w:pPr>
      <w:tabs>
        <w:tab w:val="num" w:pos="360"/>
      </w:tabs>
      <w:spacing w:before="60" w:after="40"/>
      <w:ind w:left="360" w:hanging="360"/>
    </w:pPr>
    <w:rPr>
      <w:rFonts w:eastAsia="MS Mincho"/>
      <w:lang w:eastAsia="en-US"/>
    </w:rPr>
  </w:style>
  <w:style w:type="character" w:styleId="FollowedHyperlink">
    <w:name w:val="FollowedHyperlink"/>
    <w:locked/>
    <w:rsid w:val="009C0963"/>
    <w:rPr>
      <w:color w:val="800080"/>
      <w:u w:val="single"/>
    </w:rPr>
  </w:style>
  <w:style w:type="character" w:customStyle="1" w:styleId="QPPHeading4Char">
    <w:name w:val="QPP Heading 4 Char"/>
    <w:link w:val="QPPHeading4"/>
    <w:rsid w:val="009C0963"/>
    <w:rPr>
      <w:rFonts w:ascii="Arial" w:hAnsi="Arial" w:cs="Arial"/>
      <w:b/>
      <w:bCs/>
      <w:szCs w:val="26"/>
    </w:rPr>
  </w:style>
  <w:style w:type="paragraph" w:customStyle="1" w:styleId="QPPDotBulletPoint">
    <w:name w:val="QPP Dot Bullet Point"/>
    <w:basedOn w:val="Normal"/>
    <w:semiHidden/>
    <w:locked/>
    <w:rsid w:val="009C0963"/>
    <w:pPr>
      <w:numPr>
        <w:numId w:val="25"/>
      </w:numPr>
    </w:pPr>
  </w:style>
  <w:style w:type="character" w:customStyle="1" w:styleId="QPPSubscriptChar">
    <w:name w:val="QPP Subscript Char"/>
    <w:link w:val="QPPSubscript"/>
    <w:rsid w:val="009C0963"/>
    <w:rPr>
      <w:rFonts w:ascii="Arial" w:hAnsi="Arial" w:cs="Arial"/>
      <w:color w:val="000000"/>
      <w:vertAlign w:val="subscript"/>
    </w:rPr>
  </w:style>
  <w:style w:type="character" w:styleId="CommentReference">
    <w:name w:val="annotation reference"/>
    <w:locked/>
    <w:rsid w:val="009C0963"/>
    <w:rPr>
      <w:sz w:val="16"/>
      <w:szCs w:val="16"/>
    </w:rPr>
  </w:style>
  <w:style w:type="paragraph" w:styleId="CommentText">
    <w:name w:val="annotation text"/>
    <w:basedOn w:val="Normal"/>
    <w:link w:val="CommentTextChar"/>
    <w:locked/>
    <w:rsid w:val="009C0963"/>
    <w:rPr>
      <w:szCs w:val="20"/>
    </w:rPr>
  </w:style>
  <w:style w:type="character" w:customStyle="1" w:styleId="CommentTextChar">
    <w:name w:val="Comment Text Char"/>
    <w:basedOn w:val="DefaultParagraphFont"/>
    <w:link w:val="CommentText"/>
    <w:rsid w:val="00216A93"/>
    <w:rPr>
      <w:rFonts w:ascii="Arial" w:hAnsi="Arial"/>
    </w:rPr>
  </w:style>
  <w:style w:type="paragraph" w:styleId="CommentSubject">
    <w:name w:val="annotation subject"/>
    <w:basedOn w:val="CommentText"/>
    <w:next w:val="CommentText"/>
    <w:link w:val="CommentSubjectChar"/>
    <w:locked/>
    <w:rsid w:val="009C0963"/>
    <w:rPr>
      <w:b/>
      <w:bCs/>
    </w:rPr>
  </w:style>
  <w:style w:type="character" w:customStyle="1" w:styleId="CommentSubjectChar">
    <w:name w:val="Comment Subject Char"/>
    <w:basedOn w:val="CommentTextChar"/>
    <w:link w:val="CommentSubject"/>
    <w:rsid w:val="00216A93"/>
    <w:rPr>
      <w:rFonts w:ascii="Arial" w:hAnsi="Arial"/>
      <w:b/>
      <w:bCs/>
    </w:rPr>
  </w:style>
  <w:style w:type="paragraph" w:styleId="ListParagraph">
    <w:name w:val="List Paragraph"/>
    <w:basedOn w:val="Normal"/>
    <w:uiPriority w:val="34"/>
    <w:qFormat/>
    <w:locked/>
    <w:rsid w:val="009C0963"/>
    <w:pPr>
      <w:ind w:left="720"/>
    </w:pPr>
    <w:rPr>
      <w:rFonts w:ascii="Calibri" w:eastAsia="Calibri" w:hAnsi="Calibri" w:cs="Calibri"/>
      <w:sz w:val="22"/>
      <w:szCs w:val="22"/>
      <w:lang w:eastAsia="en-US"/>
    </w:rPr>
  </w:style>
  <w:style w:type="paragraph" w:styleId="Header">
    <w:name w:val="header"/>
    <w:basedOn w:val="Normal"/>
    <w:link w:val="HeaderChar"/>
    <w:locked/>
    <w:rsid w:val="009C0963"/>
    <w:pPr>
      <w:tabs>
        <w:tab w:val="center" w:pos="4153"/>
        <w:tab w:val="right" w:pos="8306"/>
      </w:tabs>
    </w:pPr>
  </w:style>
  <w:style w:type="character" w:customStyle="1" w:styleId="HeaderChar">
    <w:name w:val="Header Char"/>
    <w:basedOn w:val="DefaultParagraphFont"/>
    <w:link w:val="Header"/>
    <w:rsid w:val="00216A93"/>
    <w:rPr>
      <w:rFonts w:ascii="Arial" w:hAnsi="Arial"/>
      <w:szCs w:val="24"/>
    </w:rPr>
  </w:style>
  <w:style w:type="paragraph" w:styleId="Footer">
    <w:name w:val="footer"/>
    <w:basedOn w:val="Normal"/>
    <w:link w:val="FooterChar"/>
    <w:locked/>
    <w:rsid w:val="009C0963"/>
    <w:pPr>
      <w:tabs>
        <w:tab w:val="center" w:pos="4153"/>
        <w:tab w:val="right" w:pos="8306"/>
      </w:tabs>
    </w:pPr>
  </w:style>
  <w:style w:type="character" w:customStyle="1" w:styleId="FooterChar">
    <w:name w:val="Footer Char"/>
    <w:basedOn w:val="DefaultParagraphFont"/>
    <w:link w:val="Footer"/>
    <w:rsid w:val="00216A93"/>
    <w:rPr>
      <w:rFonts w:ascii="Arial" w:hAnsi="Arial"/>
      <w:szCs w:val="24"/>
    </w:rPr>
  </w:style>
  <w:style w:type="numbering" w:styleId="111111">
    <w:name w:val="Outline List 2"/>
    <w:basedOn w:val="NoList"/>
    <w:locked/>
    <w:rsid w:val="009C0963"/>
    <w:pPr>
      <w:numPr>
        <w:numId w:val="28"/>
      </w:numPr>
    </w:pPr>
  </w:style>
  <w:style w:type="numbering" w:styleId="1ai">
    <w:name w:val="Outline List 1"/>
    <w:basedOn w:val="NoList"/>
    <w:locked/>
    <w:rsid w:val="009C0963"/>
    <w:pPr>
      <w:numPr>
        <w:numId w:val="29"/>
      </w:numPr>
    </w:pPr>
  </w:style>
  <w:style w:type="numbering" w:styleId="ArticleSection">
    <w:name w:val="Outline List 3"/>
    <w:basedOn w:val="NoList"/>
    <w:locked/>
    <w:rsid w:val="009C0963"/>
    <w:pPr>
      <w:numPr>
        <w:numId w:val="30"/>
      </w:numPr>
    </w:pPr>
  </w:style>
  <w:style w:type="paragraph" w:styleId="Bibliography">
    <w:name w:val="Bibliography"/>
    <w:basedOn w:val="Normal"/>
    <w:next w:val="Normal"/>
    <w:uiPriority w:val="37"/>
    <w:semiHidden/>
    <w:unhideWhenUsed/>
    <w:locked/>
    <w:rsid w:val="009C0963"/>
  </w:style>
  <w:style w:type="paragraph" w:styleId="BlockText">
    <w:name w:val="Block Text"/>
    <w:basedOn w:val="Normal"/>
    <w:locked/>
    <w:rsid w:val="009C096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9C0963"/>
    <w:pPr>
      <w:spacing w:after="120"/>
    </w:pPr>
  </w:style>
  <w:style w:type="character" w:customStyle="1" w:styleId="BodyTextChar">
    <w:name w:val="Body Text Char"/>
    <w:basedOn w:val="DefaultParagraphFont"/>
    <w:link w:val="BodyText"/>
    <w:rsid w:val="009C0963"/>
    <w:rPr>
      <w:rFonts w:ascii="Arial" w:hAnsi="Arial"/>
      <w:szCs w:val="24"/>
    </w:rPr>
  </w:style>
  <w:style w:type="paragraph" w:styleId="BodyText2">
    <w:name w:val="Body Text 2"/>
    <w:basedOn w:val="Normal"/>
    <w:link w:val="BodyText2Char"/>
    <w:locked/>
    <w:rsid w:val="009C0963"/>
    <w:pPr>
      <w:spacing w:after="120" w:line="480" w:lineRule="auto"/>
    </w:pPr>
  </w:style>
  <w:style w:type="character" w:customStyle="1" w:styleId="BodyText2Char">
    <w:name w:val="Body Text 2 Char"/>
    <w:basedOn w:val="DefaultParagraphFont"/>
    <w:link w:val="BodyText2"/>
    <w:rsid w:val="009C0963"/>
    <w:rPr>
      <w:rFonts w:ascii="Arial" w:hAnsi="Arial"/>
      <w:szCs w:val="24"/>
    </w:rPr>
  </w:style>
  <w:style w:type="paragraph" w:styleId="BodyText3">
    <w:name w:val="Body Text 3"/>
    <w:basedOn w:val="Normal"/>
    <w:link w:val="BodyText3Char"/>
    <w:locked/>
    <w:rsid w:val="009C0963"/>
    <w:pPr>
      <w:spacing w:after="120"/>
    </w:pPr>
    <w:rPr>
      <w:sz w:val="16"/>
      <w:szCs w:val="16"/>
    </w:rPr>
  </w:style>
  <w:style w:type="character" w:customStyle="1" w:styleId="BodyText3Char">
    <w:name w:val="Body Text 3 Char"/>
    <w:basedOn w:val="DefaultParagraphFont"/>
    <w:link w:val="BodyText3"/>
    <w:rsid w:val="009C0963"/>
    <w:rPr>
      <w:rFonts w:ascii="Arial" w:hAnsi="Arial"/>
      <w:sz w:val="16"/>
      <w:szCs w:val="16"/>
    </w:rPr>
  </w:style>
  <w:style w:type="paragraph" w:styleId="BodyTextFirstIndent">
    <w:name w:val="Body Text First Indent"/>
    <w:basedOn w:val="BodyText"/>
    <w:link w:val="BodyTextFirstIndentChar"/>
    <w:locked/>
    <w:rsid w:val="009C0963"/>
    <w:pPr>
      <w:spacing w:after="0"/>
      <w:ind w:firstLine="360"/>
    </w:pPr>
  </w:style>
  <w:style w:type="character" w:customStyle="1" w:styleId="BodyTextFirstIndentChar">
    <w:name w:val="Body Text First Indent Char"/>
    <w:basedOn w:val="BodyTextChar"/>
    <w:link w:val="BodyTextFirstIndent"/>
    <w:rsid w:val="009C0963"/>
    <w:rPr>
      <w:rFonts w:ascii="Arial" w:hAnsi="Arial"/>
      <w:szCs w:val="24"/>
    </w:rPr>
  </w:style>
  <w:style w:type="paragraph" w:styleId="BodyTextIndent">
    <w:name w:val="Body Text Indent"/>
    <w:basedOn w:val="Normal"/>
    <w:link w:val="BodyTextIndentChar"/>
    <w:locked/>
    <w:rsid w:val="009C0963"/>
    <w:pPr>
      <w:spacing w:after="120"/>
      <w:ind w:left="283"/>
    </w:pPr>
  </w:style>
  <w:style w:type="character" w:customStyle="1" w:styleId="BodyTextIndentChar">
    <w:name w:val="Body Text Indent Char"/>
    <w:basedOn w:val="DefaultParagraphFont"/>
    <w:link w:val="BodyTextIndent"/>
    <w:rsid w:val="009C0963"/>
    <w:rPr>
      <w:rFonts w:ascii="Arial" w:hAnsi="Arial"/>
      <w:szCs w:val="24"/>
    </w:rPr>
  </w:style>
  <w:style w:type="paragraph" w:styleId="BodyTextFirstIndent2">
    <w:name w:val="Body Text First Indent 2"/>
    <w:basedOn w:val="BodyTextIndent"/>
    <w:link w:val="BodyTextFirstIndent2Char"/>
    <w:locked/>
    <w:rsid w:val="009C0963"/>
    <w:pPr>
      <w:spacing w:after="0"/>
      <w:ind w:left="360" w:firstLine="360"/>
    </w:pPr>
  </w:style>
  <w:style w:type="character" w:customStyle="1" w:styleId="BodyTextFirstIndent2Char">
    <w:name w:val="Body Text First Indent 2 Char"/>
    <w:basedOn w:val="BodyTextIndentChar"/>
    <w:link w:val="BodyTextFirstIndent2"/>
    <w:rsid w:val="009C0963"/>
    <w:rPr>
      <w:rFonts w:ascii="Arial" w:hAnsi="Arial"/>
      <w:szCs w:val="24"/>
    </w:rPr>
  </w:style>
  <w:style w:type="paragraph" w:styleId="BodyTextIndent2">
    <w:name w:val="Body Text Indent 2"/>
    <w:basedOn w:val="Normal"/>
    <w:link w:val="BodyTextIndent2Char"/>
    <w:locked/>
    <w:rsid w:val="009C0963"/>
    <w:pPr>
      <w:spacing w:after="120" w:line="480" w:lineRule="auto"/>
      <w:ind w:left="283"/>
    </w:pPr>
  </w:style>
  <w:style w:type="character" w:customStyle="1" w:styleId="BodyTextIndent2Char">
    <w:name w:val="Body Text Indent 2 Char"/>
    <w:basedOn w:val="DefaultParagraphFont"/>
    <w:link w:val="BodyTextIndent2"/>
    <w:rsid w:val="009C0963"/>
    <w:rPr>
      <w:rFonts w:ascii="Arial" w:hAnsi="Arial"/>
      <w:szCs w:val="24"/>
    </w:rPr>
  </w:style>
  <w:style w:type="paragraph" w:styleId="BodyTextIndent3">
    <w:name w:val="Body Text Indent 3"/>
    <w:basedOn w:val="Normal"/>
    <w:link w:val="BodyTextIndent3Char"/>
    <w:locked/>
    <w:rsid w:val="009C0963"/>
    <w:pPr>
      <w:spacing w:after="120"/>
      <w:ind w:left="283"/>
    </w:pPr>
    <w:rPr>
      <w:sz w:val="16"/>
      <w:szCs w:val="16"/>
    </w:rPr>
  </w:style>
  <w:style w:type="character" w:customStyle="1" w:styleId="BodyTextIndent3Char">
    <w:name w:val="Body Text Indent 3 Char"/>
    <w:basedOn w:val="DefaultParagraphFont"/>
    <w:link w:val="BodyTextIndent3"/>
    <w:rsid w:val="009C0963"/>
    <w:rPr>
      <w:rFonts w:ascii="Arial" w:hAnsi="Arial"/>
      <w:sz w:val="16"/>
      <w:szCs w:val="16"/>
    </w:rPr>
  </w:style>
  <w:style w:type="character" w:styleId="BookTitle">
    <w:name w:val="Book Title"/>
    <w:basedOn w:val="DefaultParagraphFont"/>
    <w:uiPriority w:val="33"/>
    <w:qFormat/>
    <w:locked/>
    <w:rsid w:val="009C0963"/>
    <w:rPr>
      <w:b/>
      <w:bCs/>
      <w:smallCaps/>
      <w:spacing w:val="5"/>
    </w:rPr>
  </w:style>
  <w:style w:type="paragraph" w:styleId="Caption">
    <w:name w:val="caption"/>
    <w:basedOn w:val="Normal"/>
    <w:next w:val="Normal"/>
    <w:semiHidden/>
    <w:unhideWhenUsed/>
    <w:qFormat/>
    <w:locked/>
    <w:rsid w:val="009C0963"/>
    <w:pPr>
      <w:spacing w:after="200"/>
    </w:pPr>
    <w:rPr>
      <w:b/>
      <w:bCs/>
      <w:color w:val="4F81BD" w:themeColor="accent1"/>
      <w:sz w:val="18"/>
      <w:szCs w:val="18"/>
    </w:rPr>
  </w:style>
  <w:style w:type="paragraph" w:styleId="Closing">
    <w:name w:val="Closing"/>
    <w:basedOn w:val="Normal"/>
    <w:link w:val="ClosingChar"/>
    <w:locked/>
    <w:rsid w:val="009C0963"/>
    <w:pPr>
      <w:ind w:left="4252"/>
    </w:pPr>
  </w:style>
  <w:style w:type="character" w:customStyle="1" w:styleId="ClosingChar">
    <w:name w:val="Closing Char"/>
    <w:basedOn w:val="DefaultParagraphFont"/>
    <w:link w:val="Closing"/>
    <w:rsid w:val="009C0963"/>
    <w:rPr>
      <w:rFonts w:ascii="Arial" w:hAnsi="Arial"/>
      <w:szCs w:val="24"/>
    </w:rPr>
  </w:style>
  <w:style w:type="table" w:styleId="ColorfulGrid">
    <w:name w:val="Colorful Grid"/>
    <w:basedOn w:val="TableNormal"/>
    <w:uiPriority w:val="73"/>
    <w:locked/>
    <w:rsid w:val="009C09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9C09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9C09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9C09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9C09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9C09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9C09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9C09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9C09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9C09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9C09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9C09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9C09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9C09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9C09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9C09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9C09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9C09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9C09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9C09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9C09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9C09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9C09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9C09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9C09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9C09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9C09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9C09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9C0963"/>
  </w:style>
  <w:style w:type="character" w:customStyle="1" w:styleId="DateChar">
    <w:name w:val="Date Char"/>
    <w:basedOn w:val="DefaultParagraphFont"/>
    <w:link w:val="Date"/>
    <w:rsid w:val="009C0963"/>
    <w:rPr>
      <w:rFonts w:ascii="Arial" w:hAnsi="Arial"/>
      <w:szCs w:val="24"/>
    </w:rPr>
  </w:style>
  <w:style w:type="paragraph" w:styleId="DocumentMap">
    <w:name w:val="Document Map"/>
    <w:basedOn w:val="Normal"/>
    <w:link w:val="DocumentMapChar"/>
    <w:locked/>
    <w:rsid w:val="009C0963"/>
    <w:rPr>
      <w:rFonts w:ascii="Tahoma" w:hAnsi="Tahoma" w:cs="Tahoma"/>
      <w:sz w:val="16"/>
      <w:szCs w:val="16"/>
    </w:rPr>
  </w:style>
  <w:style w:type="character" w:customStyle="1" w:styleId="DocumentMapChar">
    <w:name w:val="Document Map Char"/>
    <w:basedOn w:val="DefaultParagraphFont"/>
    <w:link w:val="DocumentMap"/>
    <w:rsid w:val="009C0963"/>
    <w:rPr>
      <w:rFonts w:ascii="Tahoma" w:hAnsi="Tahoma" w:cs="Tahoma"/>
      <w:sz w:val="16"/>
      <w:szCs w:val="16"/>
    </w:rPr>
  </w:style>
  <w:style w:type="paragraph" w:styleId="E-mailSignature">
    <w:name w:val="E-mail Signature"/>
    <w:basedOn w:val="Normal"/>
    <w:link w:val="E-mailSignatureChar"/>
    <w:locked/>
    <w:rsid w:val="009C0963"/>
  </w:style>
  <w:style w:type="character" w:customStyle="1" w:styleId="E-mailSignatureChar">
    <w:name w:val="E-mail Signature Char"/>
    <w:basedOn w:val="DefaultParagraphFont"/>
    <w:link w:val="E-mailSignature"/>
    <w:rsid w:val="009C0963"/>
    <w:rPr>
      <w:rFonts w:ascii="Arial" w:hAnsi="Arial"/>
      <w:szCs w:val="24"/>
    </w:rPr>
  </w:style>
  <w:style w:type="character" w:styleId="Emphasis">
    <w:name w:val="Emphasis"/>
    <w:basedOn w:val="DefaultParagraphFont"/>
    <w:qFormat/>
    <w:locked/>
    <w:rsid w:val="009C0963"/>
    <w:rPr>
      <w:i/>
      <w:iCs/>
    </w:rPr>
  </w:style>
  <w:style w:type="character" w:styleId="EndnoteReference">
    <w:name w:val="endnote reference"/>
    <w:basedOn w:val="DefaultParagraphFont"/>
    <w:locked/>
    <w:rsid w:val="009C0963"/>
    <w:rPr>
      <w:vertAlign w:val="superscript"/>
    </w:rPr>
  </w:style>
  <w:style w:type="paragraph" w:styleId="EndnoteText">
    <w:name w:val="endnote text"/>
    <w:basedOn w:val="Normal"/>
    <w:link w:val="EndnoteTextChar"/>
    <w:locked/>
    <w:rsid w:val="009C0963"/>
    <w:rPr>
      <w:szCs w:val="20"/>
    </w:rPr>
  </w:style>
  <w:style w:type="character" w:customStyle="1" w:styleId="EndnoteTextChar">
    <w:name w:val="Endnote Text Char"/>
    <w:basedOn w:val="DefaultParagraphFont"/>
    <w:link w:val="EndnoteText"/>
    <w:rsid w:val="009C0963"/>
    <w:rPr>
      <w:rFonts w:ascii="Arial" w:hAnsi="Arial"/>
    </w:rPr>
  </w:style>
  <w:style w:type="paragraph" w:styleId="EnvelopeAddress">
    <w:name w:val="envelope address"/>
    <w:basedOn w:val="Normal"/>
    <w:locked/>
    <w:rsid w:val="009C096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9C0963"/>
    <w:rPr>
      <w:rFonts w:asciiTheme="majorHAnsi" w:eastAsiaTheme="majorEastAsia" w:hAnsiTheme="majorHAnsi" w:cstheme="majorBidi"/>
      <w:szCs w:val="20"/>
    </w:rPr>
  </w:style>
  <w:style w:type="character" w:styleId="FootnoteReference">
    <w:name w:val="footnote reference"/>
    <w:basedOn w:val="DefaultParagraphFont"/>
    <w:locked/>
    <w:rsid w:val="009C0963"/>
    <w:rPr>
      <w:vertAlign w:val="superscript"/>
    </w:rPr>
  </w:style>
  <w:style w:type="paragraph" w:styleId="FootnoteText">
    <w:name w:val="footnote text"/>
    <w:basedOn w:val="Normal"/>
    <w:link w:val="FootnoteTextChar"/>
    <w:locked/>
    <w:rsid w:val="009C0963"/>
    <w:rPr>
      <w:szCs w:val="20"/>
    </w:rPr>
  </w:style>
  <w:style w:type="character" w:customStyle="1" w:styleId="FootnoteTextChar">
    <w:name w:val="Footnote Text Char"/>
    <w:basedOn w:val="DefaultParagraphFont"/>
    <w:link w:val="FootnoteText"/>
    <w:rsid w:val="009C0963"/>
    <w:rPr>
      <w:rFonts w:ascii="Arial" w:hAnsi="Arial"/>
    </w:rPr>
  </w:style>
  <w:style w:type="character" w:styleId="HTMLAcronym">
    <w:name w:val="HTML Acronym"/>
    <w:basedOn w:val="DefaultParagraphFont"/>
    <w:locked/>
    <w:rsid w:val="009C0963"/>
  </w:style>
  <w:style w:type="paragraph" w:styleId="HTMLAddress">
    <w:name w:val="HTML Address"/>
    <w:basedOn w:val="Normal"/>
    <w:link w:val="HTMLAddressChar"/>
    <w:locked/>
    <w:rsid w:val="009C0963"/>
    <w:rPr>
      <w:i/>
      <w:iCs/>
    </w:rPr>
  </w:style>
  <w:style w:type="character" w:customStyle="1" w:styleId="HTMLAddressChar">
    <w:name w:val="HTML Address Char"/>
    <w:basedOn w:val="DefaultParagraphFont"/>
    <w:link w:val="HTMLAddress"/>
    <w:rsid w:val="009C0963"/>
    <w:rPr>
      <w:rFonts w:ascii="Arial" w:hAnsi="Arial"/>
      <w:i/>
      <w:iCs/>
      <w:szCs w:val="24"/>
    </w:rPr>
  </w:style>
  <w:style w:type="character" w:styleId="HTMLCite">
    <w:name w:val="HTML Cite"/>
    <w:basedOn w:val="DefaultParagraphFont"/>
    <w:locked/>
    <w:rsid w:val="009C0963"/>
    <w:rPr>
      <w:i/>
      <w:iCs/>
    </w:rPr>
  </w:style>
  <w:style w:type="character" w:styleId="HTMLCode">
    <w:name w:val="HTML Code"/>
    <w:basedOn w:val="DefaultParagraphFont"/>
    <w:locked/>
    <w:rsid w:val="009C0963"/>
    <w:rPr>
      <w:rFonts w:ascii="Consolas" w:hAnsi="Consolas" w:cs="Consolas"/>
      <w:sz w:val="20"/>
      <w:szCs w:val="20"/>
    </w:rPr>
  </w:style>
  <w:style w:type="character" w:styleId="HTMLDefinition">
    <w:name w:val="HTML Definition"/>
    <w:basedOn w:val="DefaultParagraphFont"/>
    <w:locked/>
    <w:rsid w:val="009C0963"/>
    <w:rPr>
      <w:i/>
      <w:iCs/>
    </w:rPr>
  </w:style>
  <w:style w:type="character" w:styleId="HTMLKeyboard">
    <w:name w:val="HTML Keyboard"/>
    <w:basedOn w:val="DefaultParagraphFont"/>
    <w:locked/>
    <w:rsid w:val="009C0963"/>
    <w:rPr>
      <w:rFonts w:ascii="Consolas" w:hAnsi="Consolas" w:cs="Consolas"/>
      <w:sz w:val="20"/>
      <w:szCs w:val="20"/>
    </w:rPr>
  </w:style>
  <w:style w:type="paragraph" w:styleId="HTMLPreformatted">
    <w:name w:val="HTML Preformatted"/>
    <w:basedOn w:val="Normal"/>
    <w:link w:val="HTMLPreformattedChar"/>
    <w:locked/>
    <w:rsid w:val="009C0963"/>
    <w:rPr>
      <w:rFonts w:ascii="Consolas" w:hAnsi="Consolas" w:cs="Consolas"/>
      <w:szCs w:val="20"/>
    </w:rPr>
  </w:style>
  <w:style w:type="character" w:customStyle="1" w:styleId="HTMLPreformattedChar">
    <w:name w:val="HTML Preformatted Char"/>
    <w:basedOn w:val="DefaultParagraphFont"/>
    <w:link w:val="HTMLPreformatted"/>
    <w:rsid w:val="009C0963"/>
    <w:rPr>
      <w:rFonts w:ascii="Consolas" w:hAnsi="Consolas" w:cs="Consolas"/>
    </w:rPr>
  </w:style>
  <w:style w:type="character" w:styleId="HTMLSample">
    <w:name w:val="HTML Sample"/>
    <w:basedOn w:val="DefaultParagraphFont"/>
    <w:locked/>
    <w:rsid w:val="009C0963"/>
    <w:rPr>
      <w:rFonts w:ascii="Consolas" w:hAnsi="Consolas" w:cs="Consolas"/>
      <w:sz w:val="24"/>
      <w:szCs w:val="24"/>
    </w:rPr>
  </w:style>
  <w:style w:type="character" w:styleId="HTMLTypewriter">
    <w:name w:val="HTML Typewriter"/>
    <w:basedOn w:val="DefaultParagraphFont"/>
    <w:locked/>
    <w:rsid w:val="009C0963"/>
    <w:rPr>
      <w:rFonts w:ascii="Consolas" w:hAnsi="Consolas" w:cs="Consolas"/>
      <w:sz w:val="20"/>
      <w:szCs w:val="20"/>
    </w:rPr>
  </w:style>
  <w:style w:type="character" w:styleId="HTMLVariable">
    <w:name w:val="HTML Variable"/>
    <w:basedOn w:val="DefaultParagraphFont"/>
    <w:locked/>
    <w:rsid w:val="009C0963"/>
    <w:rPr>
      <w:i/>
      <w:iCs/>
    </w:rPr>
  </w:style>
  <w:style w:type="paragraph" w:styleId="Index1">
    <w:name w:val="index 1"/>
    <w:basedOn w:val="Normal"/>
    <w:next w:val="Normal"/>
    <w:autoRedefine/>
    <w:locked/>
    <w:rsid w:val="009C0963"/>
    <w:pPr>
      <w:ind w:left="200" w:hanging="200"/>
    </w:pPr>
  </w:style>
  <w:style w:type="paragraph" w:styleId="Index2">
    <w:name w:val="index 2"/>
    <w:basedOn w:val="Normal"/>
    <w:next w:val="Normal"/>
    <w:autoRedefine/>
    <w:locked/>
    <w:rsid w:val="009C0963"/>
    <w:pPr>
      <w:ind w:left="400" w:hanging="200"/>
    </w:pPr>
  </w:style>
  <w:style w:type="paragraph" w:styleId="Index3">
    <w:name w:val="index 3"/>
    <w:basedOn w:val="Normal"/>
    <w:next w:val="Normal"/>
    <w:autoRedefine/>
    <w:locked/>
    <w:rsid w:val="009C0963"/>
    <w:pPr>
      <w:ind w:left="600" w:hanging="200"/>
    </w:pPr>
  </w:style>
  <w:style w:type="paragraph" w:styleId="Index4">
    <w:name w:val="index 4"/>
    <w:basedOn w:val="Normal"/>
    <w:next w:val="Normal"/>
    <w:autoRedefine/>
    <w:locked/>
    <w:rsid w:val="009C0963"/>
    <w:pPr>
      <w:ind w:left="800" w:hanging="200"/>
    </w:pPr>
  </w:style>
  <w:style w:type="paragraph" w:styleId="Index5">
    <w:name w:val="index 5"/>
    <w:basedOn w:val="Normal"/>
    <w:next w:val="Normal"/>
    <w:autoRedefine/>
    <w:locked/>
    <w:rsid w:val="009C0963"/>
    <w:pPr>
      <w:ind w:left="1000" w:hanging="200"/>
    </w:pPr>
  </w:style>
  <w:style w:type="paragraph" w:styleId="Index6">
    <w:name w:val="index 6"/>
    <w:basedOn w:val="Normal"/>
    <w:next w:val="Normal"/>
    <w:autoRedefine/>
    <w:locked/>
    <w:rsid w:val="009C0963"/>
    <w:pPr>
      <w:ind w:left="1200" w:hanging="200"/>
    </w:pPr>
  </w:style>
  <w:style w:type="paragraph" w:styleId="Index7">
    <w:name w:val="index 7"/>
    <w:basedOn w:val="Normal"/>
    <w:next w:val="Normal"/>
    <w:autoRedefine/>
    <w:locked/>
    <w:rsid w:val="009C0963"/>
    <w:pPr>
      <w:ind w:left="1400" w:hanging="200"/>
    </w:pPr>
  </w:style>
  <w:style w:type="paragraph" w:styleId="Index8">
    <w:name w:val="index 8"/>
    <w:basedOn w:val="Normal"/>
    <w:next w:val="Normal"/>
    <w:autoRedefine/>
    <w:locked/>
    <w:rsid w:val="009C0963"/>
    <w:pPr>
      <w:ind w:left="1600" w:hanging="200"/>
    </w:pPr>
  </w:style>
  <w:style w:type="paragraph" w:styleId="Index9">
    <w:name w:val="index 9"/>
    <w:basedOn w:val="Normal"/>
    <w:next w:val="Normal"/>
    <w:autoRedefine/>
    <w:locked/>
    <w:rsid w:val="009C0963"/>
    <w:pPr>
      <w:ind w:left="1800" w:hanging="200"/>
    </w:pPr>
  </w:style>
  <w:style w:type="paragraph" w:styleId="IndexHeading">
    <w:name w:val="index heading"/>
    <w:basedOn w:val="Normal"/>
    <w:next w:val="Index1"/>
    <w:locked/>
    <w:rsid w:val="009C0963"/>
    <w:rPr>
      <w:rFonts w:asciiTheme="majorHAnsi" w:eastAsiaTheme="majorEastAsia" w:hAnsiTheme="majorHAnsi" w:cstheme="majorBidi"/>
      <w:b/>
      <w:bCs/>
    </w:rPr>
  </w:style>
  <w:style w:type="character" w:styleId="IntenseEmphasis">
    <w:name w:val="Intense Emphasis"/>
    <w:basedOn w:val="DefaultParagraphFont"/>
    <w:uiPriority w:val="21"/>
    <w:qFormat/>
    <w:locked/>
    <w:rsid w:val="009C0963"/>
    <w:rPr>
      <w:b/>
      <w:bCs/>
      <w:i/>
      <w:iCs/>
      <w:color w:val="4F81BD" w:themeColor="accent1"/>
    </w:rPr>
  </w:style>
  <w:style w:type="paragraph" w:styleId="IntenseQuote">
    <w:name w:val="Intense Quote"/>
    <w:basedOn w:val="Normal"/>
    <w:next w:val="Normal"/>
    <w:link w:val="IntenseQuoteChar"/>
    <w:uiPriority w:val="30"/>
    <w:qFormat/>
    <w:locked/>
    <w:rsid w:val="009C09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0963"/>
    <w:rPr>
      <w:rFonts w:ascii="Arial" w:hAnsi="Arial"/>
      <w:b/>
      <w:bCs/>
      <w:i/>
      <w:iCs/>
      <w:color w:val="4F81BD" w:themeColor="accent1"/>
      <w:szCs w:val="24"/>
    </w:rPr>
  </w:style>
  <w:style w:type="character" w:styleId="IntenseReference">
    <w:name w:val="Intense Reference"/>
    <w:basedOn w:val="DefaultParagraphFont"/>
    <w:uiPriority w:val="32"/>
    <w:qFormat/>
    <w:locked/>
    <w:rsid w:val="009C0963"/>
    <w:rPr>
      <w:b/>
      <w:bCs/>
      <w:smallCaps/>
      <w:color w:val="C0504D" w:themeColor="accent2"/>
      <w:spacing w:val="5"/>
      <w:u w:val="single"/>
    </w:rPr>
  </w:style>
  <w:style w:type="table" w:styleId="LightGrid">
    <w:name w:val="Light Grid"/>
    <w:basedOn w:val="TableNormal"/>
    <w:uiPriority w:val="62"/>
    <w:locked/>
    <w:rsid w:val="009C09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9C09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9C09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9C09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9C09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9C09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9C09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9C09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9C09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9C09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9C09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9C09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9C09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9C09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9C09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C096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9C09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9C09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9C096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9C09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9C09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9C0963"/>
  </w:style>
  <w:style w:type="paragraph" w:styleId="List">
    <w:name w:val="List"/>
    <w:basedOn w:val="Normal"/>
    <w:locked/>
    <w:rsid w:val="009C0963"/>
    <w:pPr>
      <w:ind w:left="283" w:hanging="283"/>
      <w:contextualSpacing/>
    </w:pPr>
  </w:style>
  <w:style w:type="paragraph" w:styleId="List2">
    <w:name w:val="List 2"/>
    <w:basedOn w:val="Normal"/>
    <w:locked/>
    <w:rsid w:val="009C0963"/>
    <w:pPr>
      <w:ind w:left="566" w:hanging="283"/>
      <w:contextualSpacing/>
    </w:pPr>
  </w:style>
  <w:style w:type="paragraph" w:styleId="List3">
    <w:name w:val="List 3"/>
    <w:basedOn w:val="Normal"/>
    <w:locked/>
    <w:rsid w:val="009C0963"/>
    <w:pPr>
      <w:ind w:left="849" w:hanging="283"/>
      <w:contextualSpacing/>
    </w:pPr>
  </w:style>
  <w:style w:type="paragraph" w:styleId="List4">
    <w:name w:val="List 4"/>
    <w:basedOn w:val="Normal"/>
    <w:locked/>
    <w:rsid w:val="009C0963"/>
    <w:pPr>
      <w:ind w:left="1132" w:hanging="283"/>
      <w:contextualSpacing/>
    </w:pPr>
  </w:style>
  <w:style w:type="paragraph" w:styleId="List5">
    <w:name w:val="List 5"/>
    <w:basedOn w:val="Normal"/>
    <w:locked/>
    <w:rsid w:val="009C0963"/>
    <w:pPr>
      <w:ind w:left="1415" w:hanging="283"/>
      <w:contextualSpacing/>
    </w:pPr>
  </w:style>
  <w:style w:type="paragraph" w:styleId="ListBullet">
    <w:name w:val="List Bullet"/>
    <w:basedOn w:val="Normal"/>
    <w:locked/>
    <w:rsid w:val="009C0963"/>
    <w:pPr>
      <w:numPr>
        <w:numId w:val="31"/>
      </w:numPr>
      <w:contextualSpacing/>
    </w:pPr>
  </w:style>
  <w:style w:type="paragraph" w:styleId="ListBullet2">
    <w:name w:val="List Bullet 2"/>
    <w:basedOn w:val="Normal"/>
    <w:locked/>
    <w:rsid w:val="009C0963"/>
    <w:pPr>
      <w:numPr>
        <w:numId w:val="32"/>
      </w:numPr>
      <w:contextualSpacing/>
    </w:pPr>
  </w:style>
  <w:style w:type="paragraph" w:styleId="ListBullet3">
    <w:name w:val="List Bullet 3"/>
    <w:basedOn w:val="Normal"/>
    <w:locked/>
    <w:rsid w:val="009C0963"/>
    <w:pPr>
      <w:numPr>
        <w:numId w:val="33"/>
      </w:numPr>
      <w:contextualSpacing/>
    </w:pPr>
  </w:style>
  <w:style w:type="paragraph" w:styleId="ListBullet4">
    <w:name w:val="List Bullet 4"/>
    <w:basedOn w:val="Normal"/>
    <w:locked/>
    <w:rsid w:val="009C0963"/>
    <w:pPr>
      <w:numPr>
        <w:numId w:val="34"/>
      </w:numPr>
      <w:contextualSpacing/>
    </w:pPr>
  </w:style>
  <w:style w:type="paragraph" w:styleId="ListBullet5">
    <w:name w:val="List Bullet 5"/>
    <w:basedOn w:val="Normal"/>
    <w:locked/>
    <w:rsid w:val="009C0963"/>
    <w:pPr>
      <w:numPr>
        <w:numId w:val="35"/>
      </w:numPr>
      <w:contextualSpacing/>
    </w:pPr>
  </w:style>
  <w:style w:type="paragraph" w:styleId="ListContinue">
    <w:name w:val="List Continue"/>
    <w:basedOn w:val="Normal"/>
    <w:locked/>
    <w:rsid w:val="009C0963"/>
    <w:pPr>
      <w:spacing w:after="120"/>
      <w:ind w:left="283"/>
      <w:contextualSpacing/>
    </w:pPr>
  </w:style>
  <w:style w:type="paragraph" w:styleId="ListContinue2">
    <w:name w:val="List Continue 2"/>
    <w:basedOn w:val="Normal"/>
    <w:locked/>
    <w:rsid w:val="009C0963"/>
    <w:pPr>
      <w:spacing w:after="120"/>
      <w:ind w:left="566"/>
      <w:contextualSpacing/>
    </w:pPr>
  </w:style>
  <w:style w:type="paragraph" w:styleId="ListContinue3">
    <w:name w:val="List Continue 3"/>
    <w:basedOn w:val="Normal"/>
    <w:locked/>
    <w:rsid w:val="009C0963"/>
    <w:pPr>
      <w:spacing w:after="120"/>
      <w:ind w:left="849"/>
      <w:contextualSpacing/>
    </w:pPr>
  </w:style>
  <w:style w:type="paragraph" w:styleId="ListContinue4">
    <w:name w:val="List Continue 4"/>
    <w:basedOn w:val="Normal"/>
    <w:locked/>
    <w:rsid w:val="009C0963"/>
    <w:pPr>
      <w:spacing w:after="120"/>
      <w:ind w:left="1132"/>
      <w:contextualSpacing/>
    </w:pPr>
  </w:style>
  <w:style w:type="paragraph" w:styleId="ListContinue5">
    <w:name w:val="List Continue 5"/>
    <w:basedOn w:val="Normal"/>
    <w:locked/>
    <w:rsid w:val="009C0963"/>
    <w:pPr>
      <w:spacing w:after="120"/>
      <w:ind w:left="1415"/>
      <w:contextualSpacing/>
    </w:pPr>
  </w:style>
  <w:style w:type="paragraph" w:styleId="ListNumber">
    <w:name w:val="List Number"/>
    <w:basedOn w:val="Normal"/>
    <w:locked/>
    <w:rsid w:val="009C0963"/>
    <w:pPr>
      <w:numPr>
        <w:numId w:val="36"/>
      </w:numPr>
      <w:contextualSpacing/>
    </w:pPr>
  </w:style>
  <w:style w:type="paragraph" w:styleId="ListNumber2">
    <w:name w:val="List Number 2"/>
    <w:basedOn w:val="Normal"/>
    <w:locked/>
    <w:rsid w:val="009C0963"/>
    <w:pPr>
      <w:numPr>
        <w:numId w:val="37"/>
      </w:numPr>
      <w:contextualSpacing/>
    </w:pPr>
  </w:style>
  <w:style w:type="paragraph" w:styleId="ListNumber3">
    <w:name w:val="List Number 3"/>
    <w:basedOn w:val="Normal"/>
    <w:locked/>
    <w:rsid w:val="009C0963"/>
    <w:pPr>
      <w:numPr>
        <w:numId w:val="38"/>
      </w:numPr>
      <w:contextualSpacing/>
    </w:pPr>
  </w:style>
  <w:style w:type="paragraph" w:styleId="ListNumber4">
    <w:name w:val="List Number 4"/>
    <w:basedOn w:val="Normal"/>
    <w:locked/>
    <w:rsid w:val="009C0963"/>
    <w:pPr>
      <w:numPr>
        <w:numId w:val="39"/>
      </w:numPr>
      <w:contextualSpacing/>
    </w:pPr>
  </w:style>
  <w:style w:type="paragraph" w:styleId="ListNumber5">
    <w:name w:val="List Number 5"/>
    <w:basedOn w:val="Normal"/>
    <w:locked/>
    <w:rsid w:val="009C0963"/>
    <w:pPr>
      <w:numPr>
        <w:numId w:val="40"/>
      </w:numPr>
      <w:contextualSpacing/>
    </w:pPr>
  </w:style>
  <w:style w:type="paragraph" w:styleId="MacroText">
    <w:name w:val="macro"/>
    <w:link w:val="MacroTextChar"/>
    <w:locked/>
    <w:rsid w:val="009C096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9C0963"/>
    <w:rPr>
      <w:rFonts w:ascii="Consolas" w:hAnsi="Consolas" w:cs="Consolas"/>
    </w:rPr>
  </w:style>
  <w:style w:type="table" w:styleId="MediumGrid1">
    <w:name w:val="Medium Grid 1"/>
    <w:basedOn w:val="TableNormal"/>
    <w:uiPriority w:val="67"/>
    <w:locked/>
    <w:rsid w:val="009C09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9C09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9C09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9C09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9C09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9C09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9C09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9C09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9C09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9C09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9C09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9C09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9C09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9C09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9C09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9C09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9C09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9C09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9C09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9C09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9C09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9C09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9C09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9C09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9C09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9C09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9C09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9C09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9C09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9C09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9C09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9C09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9C09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9C09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9C09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9C09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9C09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9C09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9C09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9C09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9C09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9C09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9C0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9C0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9C0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9C0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9C0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9C0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9C0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9C096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9C0963"/>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9C0963"/>
    <w:rPr>
      <w:rFonts w:ascii="Arial" w:hAnsi="Arial"/>
      <w:szCs w:val="24"/>
    </w:rPr>
  </w:style>
  <w:style w:type="paragraph" w:styleId="NormalWeb">
    <w:name w:val="Normal (Web)"/>
    <w:basedOn w:val="Normal"/>
    <w:locked/>
    <w:rsid w:val="009C0963"/>
    <w:rPr>
      <w:rFonts w:ascii="Times New Roman" w:hAnsi="Times New Roman"/>
      <w:sz w:val="24"/>
    </w:rPr>
  </w:style>
  <w:style w:type="paragraph" w:styleId="NormalIndent">
    <w:name w:val="Normal Indent"/>
    <w:basedOn w:val="Normal"/>
    <w:locked/>
    <w:rsid w:val="009C0963"/>
    <w:pPr>
      <w:ind w:left="720"/>
    </w:pPr>
  </w:style>
  <w:style w:type="paragraph" w:styleId="NoteHeading">
    <w:name w:val="Note Heading"/>
    <w:basedOn w:val="Normal"/>
    <w:next w:val="Normal"/>
    <w:link w:val="NoteHeadingChar"/>
    <w:locked/>
    <w:rsid w:val="009C0963"/>
  </w:style>
  <w:style w:type="character" w:customStyle="1" w:styleId="NoteHeadingChar">
    <w:name w:val="Note Heading Char"/>
    <w:basedOn w:val="DefaultParagraphFont"/>
    <w:link w:val="NoteHeading"/>
    <w:rsid w:val="009C0963"/>
    <w:rPr>
      <w:rFonts w:ascii="Arial" w:hAnsi="Arial"/>
      <w:szCs w:val="24"/>
    </w:rPr>
  </w:style>
  <w:style w:type="character" w:styleId="PageNumber">
    <w:name w:val="page number"/>
    <w:basedOn w:val="DefaultParagraphFont"/>
    <w:locked/>
    <w:rsid w:val="009C0963"/>
  </w:style>
  <w:style w:type="character" w:styleId="PlaceholderText">
    <w:name w:val="Placeholder Text"/>
    <w:basedOn w:val="DefaultParagraphFont"/>
    <w:uiPriority w:val="99"/>
    <w:semiHidden/>
    <w:rsid w:val="00AD2E17"/>
    <w:rPr>
      <w:color w:val="808080"/>
    </w:rPr>
  </w:style>
  <w:style w:type="paragraph" w:styleId="PlainText">
    <w:name w:val="Plain Text"/>
    <w:basedOn w:val="Normal"/>
    <w:link w:val="PlainTextChar"/>
    <w:locked/>
    <w:rsid w:val="009C0963"/>
    <w:rPr>
      <w:rFonts w:ascii="Consolas" w:hAnsi="Consolas" w:cs="Consolas"/>
      <w:sz w:val="21"/>
      <w:szCs w:val="21"/>
    </w:rPr>
  </w:style>
  <w:style w:type="character" w:customStyle="1" w:styleId="PlainTextChar">
    <w:name w:val="Plain Text Char"/>
    <w:basedOn w:val="DefaultParagraphFont"/>
    <w:link w:val="PlainText"/>
    <w:rsid w:val="009C0963"/>
    <w:rPr>
      <w:rFonts w:ascii="Consolas" w:hAnsi="Consolas" w:cs="Consolas"/>
      <w:sz w:val="21"/>
      <w:szCs w:val="21"/>
    </w:rPr>
  </w:style>
  <w:style w:type="paragraph" w:styleId="Quote">
    <w:name w:val="Quote"/>
    <w:basedOn w:val="Normal"/>
    <w:next w:val="Normal"/>
    <w:link w:val="QuoteChar"/>
    <w:uiPriority w:val="29"/>
    <w:qFormat/>
    <w:locked/>
    <w:rsid w:val="009C0963"/>
    <w:rPr>
      <w:i/>
      <w:iCs/>
      <w:color w:val="000000" w:themeColor="text1"/>
    </w:rPr>
  </w:style>
  <w:style w:type="character" w:customStyle="1" w:styleId="QuoteChar">
    <w:name w:val="Quote Char"/>
    <w:basedOn w:val="DefaultParagraphFont"/>
    <w:link w:val="Quote"/>
    <w:uiPriority w:val="29"/>
    <w:rsid w:val="009C0963"/>
    <w:rPr>
      <w:rFonts w:ascii="Arial" w:hAnsi="Arial"/>
      <w:i/>
      <w:iCs/>
      <w:color w:val="000000" w:themeColor="text1"/>
      <w:szCs w:val="24"/>
    </w:rPr>
  </w:style>
  <w:style w:type="paragraph" w:styleId="Salutation">
    <w:name w:val="Salutation"/>
    <w:basedOn w:val="Normal"/>
    <w:next w:val="Normal"/>
    <w:link w:val="SalutationChar"/>
    <w:locked/>
    <w:rsid w:val="009C0963"/>
  </w:style>
  <w:style w:type="character" w:customStyle="1" w:styleId="SalutationChar">
    <w:name w:val="Salutation Char"/>
    <w:basedOn w:val="DefaultParagraphFont"/>
    <w:link w:val="Salutation"/>
    <w:rsid w:val="009C0963"/>
    <w:rPr>
      <w:rFonts w:ascii="Arial" w:hAnsi="Arial"/>
      <w:szCs w:val="24"/>
    </w:rPr>
  </w:style>
  <w:style w:type="paragraph" w:styleId="Signature">
    <w:name w:val="Signature"/>
    <w:basedOn w:val="Normal"/>
    <w:link w:val="SignatureChar"/>
    <w:locked/>
    <w:rsid w:val="009C0963"/>
    <w:pPr>
      <w:ind w:left="4252"/>
    </w:pPr>
  </w:style>
  <w:style w:type="character" w:customStyle="1" w:styleId="SignatureChar">
    <w:name w:val="Signature Char"/>
    <w:basedOn w:val="DefaultParagraphFont"/>
    <w:link w:val="Signature"/>
    <w:rsid w:val="009C0963"/>
    <w:rPr>
      <w:rFonts w:ascii="Arial" w:hAnsi="Arial"/>
      <w:szCs w:val="24"/>
    </w:rPr>
  </w:style>
  <w:style w:type="character" w:styleId="Strong">
    <w:name w:val="Strong"/>
    <w:basedOn w:val="DefaultParagraphFont"/>
    <w:qFormat/>
    <w:locked/>
    <w:rsid w:val="009C0963"/>
    <w:rPr>
      <w:b/>
      <w:bCs/>
    </w:rPr>
  </w:style>
  <w:style w:type="paragraph" w:styleId="Subtitle">
    <w:name w:val="Subtitle"/>
    <w:basedOn w:val="Normal"/>
    <w:next w:val="Normal"/>
    <w:link w:val="SubtitleChar"/>
    <w:qFormat/>
    <w:locked/>
    <w:rsid w:val="009C096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C096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9C0963"/>
    <w:rPr>
      <w:i/>
      <w:iCs/>
      <w:color w:val="808080" w:themeColor="text1" w:themeTint="7F"/>
    </w:rPr>
  </w:style>
  <w:style w:type="character" w:styleId="SubtleReference">
    <w:name w:val="Subtle Reference"/>
    <w:basedOn w:val="DefaultParagraphFont"/>
    <w:uiPriority w:val="31"/>
    <w:qFormat/>
    <w:locked/>
    <w:rsid w:val="009C0963"/>
    <w:rPr>
      <w:smallCaps/>
      <w:color w:val="C0504D" w:themeColor="accent2"/>
      <w:u w:val="single"/>
    </w:rPr>
  </w:style>
  <w:style w:type="table" w:styleId="Table3Deffects1">
    <w:name w:val="Table 3D effects 1"/>
    <w:basedOn w:val="TableNormal"/>
    <w:locked/>
    <w:rsid w:val="009C09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9C09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9C09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9C09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9C09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9C09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9C09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9C09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9C09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9C09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9C09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9C09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9C09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9C09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9C09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9C09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9C09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9C09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9C09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9C09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9C09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9C09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9C09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9C09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9C09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9C09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9C09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9C09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9C09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9C09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9C09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9C09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9C09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9C0963"/>
    <w:pPr>
      <w:ind w:left="200" w:hanging="200"/>
    </w:pPr>
  </w:style>
  <w:style w:type="paragraph" w:styleId="TableofFigures">
    <w:name w:val="table of figures"/>
    <w:basedOn w:val="Normal"/>
    <w:next w:val="Normal"/>
    <w:locked/>
    <w:rsid w:val="009C0963"/>
  </w:style>
  <w:style w:type="table" w:styleId="TableProfessional">
    <w:name w:val="Table Professional"/>
    <w:basedOn w:val="TableNormal"/>
    <w:locked/>
    <w:rsid w:val="009C09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9C09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9C09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9C09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9C09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9C09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9C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9C09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9C09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9C09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9C09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C096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9C0963"/>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9C0963"/>
    <w:pPr>
      <w:spacing w:after="100"/>
    </w:pPr>
  </w:style>
  <w:style w:type="paragraph" w:styleId="TOC2">
    <w:name w:val="toc 2"/>
    <w:basedOn w:val="Normal"/>
    <w:next w:val="Normal"/>
    <w:autoRedefine/>
    <w:locked/>
    <w:rsid w:val="009C0963"/>
    <w:pPr>
      <w:spacing w:after="100"/>
      <w:ind w:left="200"/>
    </w:pPr>
  </w:style>
  <w:style w:type="paragraph" w:styleId="TOC3">
    <w:name w:val="toc 3"/>
    <w:basedOn w:val="Normal"/>
    <w:next w:val="Normal"/>
    <w:autoRedefine/>
    <w:locked/>
    <w:rsid w:val="009C0963"/>
    <w:pPr>
      <w:spacing w:after="100"/>
      <w:ind w:left="400"/>
    </w:pPr>
  </w:style>
  <w:style w:type="paragraph" w:styleId="TOC4">
    <w:name w:val="toc 4"/>
    <w:basedOn w:val="Normal"/>
    <w:next w:val="Normal"/>
    <w:autoRedefine/>
    <w:locked/>
    <w:rsid w:val="009C0963"/>
    <w:pPr>
      <w:spacing w:after="100"/>
      <w:ind w:left="600"/>
    </w:pPr>
  </w:style>
  <w:style w:type="paragraph" w:styleId="TOC5">
    <w:name w:val="toc 5"/>
    <w:basedOn w:val="Normal"/>
    <w:next w:val="Normal"/>
    <w:autoRedefine/>
    <w:locked/>
    <w:rsid w:val="009C0963"/>
    <w:pPr>
      <w:spacing w:after="100"/>
      <w:ind w:left="800"/>
    </w:pPr>
  </w:style>
  <w:style w:type="paragraph" w:styleId="TOC6">
    <w:name w:val="toc 6"/>
    <w:basedOn w:val="Normal"/>
    <w:next w:val="Normal"/>
    <w:autoRedefine/>
    <w:locked/>
    <w:rsid w:val="009C0963"/>
    <w:pPr>
      <w:spacing w:after="100"/>
      <w:ind w:left="1000"/>
    </w:pPr>
  </w:style>
  <w:style w:type="paragraph" w:styleId="TOC7">
    <w:name w:val="toc 7"/>
    <w:basedOn w:val="Normal"/>
    <w:next w:val="Normal"/>
    <w:autoRedefine/>
    <w:locked/>
    <w:rsid w:val="009C0963"/>
    <w:pPr>
      <w:spacing w:after="100"/>
      <w:ind w:left="1200"/>
    </w:pPr>
  </w:style>
  <w:style w:type="paragraph" w:styleId="TOC8">
    <w:name w:val="toc 8"/>
    <w:basedOn w:val="Normal"/>
    <w:next w:val="Normal"/>
    <w:autoRedefine/>
    <w:locked/>
    <w:rsid w:val="009C0963"/>
    <w:pPr>
      <w:spacing w:after="100"/>
      <w:ind w:left="1400"/>
    </w:pPr>
  </w:style>
  <w:style w:type="paragraph" w:styleId="TOC9">
    <w:name w:val="toc 9"/>
    <w:basedOn w:val="Normal"/>
    <w:next w:val="Normal"/>
    <w:autoRedefine/>
    <w:locked/>
    <w:rsid w:val="009C0963"/>
    <w:pPr>
      <w:spacing w:after="100"/>
      <w:ind w:left="1600"/>
    </w:pPr>
  </w:style>
  <w:style w:type="paragraph" w:styleId="TOCHeading">
    <w:name w:val="TOC Heading"/>
    <w:basedOn w:val="Heading1"/>
    <w:next w:val="Normal"/>
    <w:uiPriority w:val="39"/>
    <w:semiHidden/>
    <w:unhideWhenUsed/>
    <w:qFormat/>
    <w:locked/>
    <w:rsid w:val="009C096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D2E1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D2E17"/>
    <w:rPr>
      <w:i/>
    </w:rPr>
  </w:style>
  <w:style w:type="character" w:customStyle="1" w:styleId="QPPTableTextITALICChar">
    <w:name w:val="QPP Table Text ITALIC Char"/>
    <w:basedOn w:val="QPPTableTextBodyChar"/>
    <w:link w:val="QPPTableTextITALIC"/>
    <w:rsid w:val="009C0963"/>
    <w:rPr>
      <w:rFonts w:ascii="Arial" w:hAnsi="Arial" w:cs="Arial"/>
      <w:i/>
      <w:color w:val="000000"/>
    </w:rPr>
  </w:style>
  <w:style w:type="paragraph" w:styleId="Revision">
    <w:name w:val="Revision"/>
    <w:hidden/>
    <w:uiPriority w:val="99"/>
    <w:semiHidden/>
    <w:rsid w:val="005A58B8"/>
    <w:rPr>
      <w:rFonts w:ascii="Arial" w:hAnsi="Arial"/>
      <w:szCs w:val="24"/>
    </w:rPr>
  </w:style>
  <w:style w:type="character" w:customStyle="1" w:styleId="Heading3Char">
    <w:name w:val="Heading 3 Char"/>
    <w:basedOn w:val="DefaultParagraphFont"/>
    <w:link w:val="Heading3"/>
    <w:rsid w:val="006E4472"/>
    <w:rPr>
      <w:rFonts w:ascii="Arial" w:hAnsi="Arial" w:cs="Arial"/>
      <w:b/>
      <w:bCs/>
      <w:sz w:val="26"/>
      <w:szCs w:val="26"/>
    </w:rPr>
  </w:style>
  <w:style w:type="character" w:customStyle="1" w:styleId="Heading2Char">
    <w:name w:val="Heading 2 Char"/>
    <w:basedOn w:val="DefaultParagraphFont"/>
    <w:link w:val="Heading2"/>
    <w:rsid w:val="006E4472"/>
    <w:rPr>
      <w:rFonts w:ascii="Arial" w:hAnsi="Arial" w:cs="Arial"/>
      <w:b/>
      <w:bCs/>
      <w:i/>
      <w:iCs/>
      <w:sz w:val="28"/>
      <w:szCs w:val="28"/>
    </w:rPr>
  </w:style>
  <w:style w:type="table" w:customStyle="1" w:styleId="QPPTableGrid">
    <w:name w:val="QPP Table Grid"/>
    <w:basedOn w:val="TableNormal"/>
    <w:uiPriority w:val="99"/>
    <w:rsid w:val="00AD2E1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101962">
      <w:bodyDiv w:val="1"/>
      <w:marLeft w:val="0"/>
      <w:marRight w:val="0"/>
      <w:marTop w:val="0"/>
      <w:marBottom w:val="0"/>
      <w:divBdr>
        <w:top w:val="none" w:sz="0" w:space="0" w:color="auto"/>
        <w:left w:val="none" w:sz="0" w:space="0" w:color="auto"/>
        <w:bottom w:val="none" w:sz="0" w:space="0" w:color="auto"/>
        <w:right w:val="none" w:sz="0" w:space="0" w:color="auto"/>
      </w:divBdr>
    </w:div>
    <w:div w:id="210141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19CB-538B-4E75-B4CD-BA10A46A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559</TotalTime>
  <Pages>4</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11772</CharactersWithSpaces>
  <SharedDoc>false</SharedDoc>
  <HLinks>
    <vt:vector size="444" baseType="variant">
      <vt:variant>
        <vt:i4>1638420</vt:i4>
      </vt:variant>
      <vt:variant>
        <vt:i4>219</vt:i4>
      </vt:variant>
      <vt:variant>
        <vt:i4>0</vt:i4>
      </vt:variant>
      <vt:variant>
        <vt:i4>5</vt:i4>
      </vt:variant>
      <vt:variant>
        <vt:lpwstr>http://www.hpw.qld.gov.au/SiteCollectionDocuments/queensland-plumbing-and-wastewater-code.pdf</vt:lpwstr>
      </vt:variant>
      <vt:variant>
        <vt:lpwstr/>
      </vt:variant>
      <vt:variant>
        <vt:i4>3670057</vt:i4>
      </vt:variant>
      <vt:variant>
        <vt:i4>216</vt:i4>
      </vt:variant>
      <vt:variant>
        <vt:i4>0</vt:i4>
      </vt:variant>
      <vt:variant>
        <vt:i4>5</vt:i4>
      </vt:variant>
      <vt:variant>
        <vt:lpwstr>http://www.legislation.qld.gov.au/LEGISLTN/CURRENT/P/PlumbDrainA02.pdf</vt:lpwstr>
      </vt:variant>
      <vt:variant>
        <vt:lpwstr/>
      </vt:variant>
      <vt:variant>
        <vt:i4>5832714</vt:i4>
      </vt:variant>
      <vt:variant>
        <vt:i4>213</vt:i4>
      </vt:variant>
      <vt:variant>
        <vt:i4>0</vt:i4>
      </vt:variant>
      <vt:variant>
        <vt:i4>5</vt:i4>
      </vt:variant>
      <vt:variant>
        <vt:lpwstr>http://infostore.saiglobal.com/store/downloadFile.aspx?path=Previews%25%205cas%25%205cas1000%25%205c1500%25%205c1547.pdf</vt:lpwstr>
      </vt:variant>
      <vt:variant>
        <vt:lpwstr/>
      </vt:variant>
      <vt:variant>
        <vt:i4>2687030</vt:i4>
      </vt:variant>
      <vt:variant>
        <vt:i4>210</vt:i4>
      </vt:variant>
      <vt:variant>
        <vt:i4>0</vt:i4>
      </vt:variant>
      <vt:variant>
        <vt:i4>5</vt:i4>
      </vt:variant>
      <vt:variant>
        <vt:lpwstr>http://www.legislation.qld.gov.au/LEGISLTN/CURRENT/E/EnvProWateP09.pdf</vt:lpwstr>
      </vt:variant>
      <vt:variant>
        <vt:lpwstr/>
      </vt:variant>
      <vt:variant>
        <vt:i4>1638420</vt:i4>
      </vt:variant>
      <vt:variant>
        <vt:i4>207</vt:i4>
      </vt:variant>
      <vt:variant>
        <vt:i4>0</vt:i4>
      </vt:variant>
      <vt:variant>
        <vt:i4>5</vt:i4>
      </vt:variant>
      <vt:variant>
        <vt:lpwstr>http://www.hpw.qld.gov.au/SiteCollectionDocuments/queensland-plumbing-and-wastewater-code.pdf</vt:lpwstr>
      </vt:variant>
      <vt:variant>
        <vt:lpwstr/>
      </vt:variant>
      <vt:variant>
        <vt:i4>3670057</vt:i4>
      </vt:variant>
      <vt:variant>
        <vt:i4>204</vt:i4>
      </vt:variant>
      <vt:variant>
        <vt:i4>0</vt:i4>
      </vt:variant>
      <vt:variant>
        <vt:i4>5</vt:i4>
      </vt:variant>
      <vt:variant>
        <vt:lpwstr>http://www.legislation.qld.gov.au/LEGISLTN/CURRENT/P/PlumbDrainA02.pdf</vt:lpwstr>
      </vt:variant>
      <vt:variant>
        <vt:lpwstr/>
      </vt:variant>
      <vt:variant>
        <vt:i4>5832714</vt:i4>
      </vt:variant>
      <vt:variant>
        <vt:i4>201</vt:i4>
      </vt:variant>
      <vt:variant>
        <vt:i4>0</vt:i4>
      </vt:variant>
      <vt:variant>
        <vt:i4>5</vt:i4>
      </vt:variant>
      <vt:variant>
        <vt:lpwstr>http://infostore.saiglobal.com/store/downloadFile.aspx?path=Previews%25%205cas%25%205cas1000%25%205c1500%25%205c1547.pdf</vt:lpwstr>
      </vt:variant>
      <vt:variant>
        <vt:lpwstr/>
      </vt:variant>
      <vt:variant>
        <vt:i4>2687030</vt:i4>
      </vt:variant>
      <vt:variant>
        <vt:i4>198</vt:i4>
      </vt:variant>
      <vt:variant>
        <vt:i4>0</vt:i4>
      </vt:variant>
      <vt:variant>
        <vt:i4>5</vt:i4>
      </vt:variant>
      <vt:variant>
        <vt:lpwstr>http://www.legislation.qld.gov.au/LEGISLTN/CURRENT/E/EnvProWateP09.pdf</vt:lpwstr>
      </vt:variant>
      <vt:variant>
        <vt:lpwstr/>
      </vt:variant>
      <vt:variant>
        <vt:i4>3604548</vt:i4>
      </vt:variant>
      <vt:variant>
        <vt:i4>195</vt:i4>
      </vt:variant>
      <vt:variant>
        <vt:i4>0</vt:i4>
      </vt:variant>
      <vt:variant>
        <vt:i4>5</vt:i4>
      </vt:variant>
      <vt:variant>
        <vt:lpwstr>C:\Documents and Settings\035182\Local Settings\Temporary Internet Files\Content.Outlook\5M1SN1YC\SubdivisionCode.doc</vt:lpwstr>
      </vt:variant>
      <vt:variant>
        <vt:lpwstr/>
      </vt:variant>
      <vt:variant>
        <vt:i4>1638420</vt:i4>
      </vt:variant>
      <vt:variant>
        <vt:i4>192</vt:i4>
      </vt:variant>
      <vt:variant>
        <vt:i4>0</vt:i4>
      </vt:variant>
      <vt:variant>
        <vt:i4>5</vt:i4>
      </vt:variant>
      <vt:variant>
        <vt:lpwstr>http://www.hpw.qld.gov.au/SiteCollectionDocuments/queensland-plumbing-and-wastewater-code.pdf</vt:lpwstr>
      </vt:variant>
      <vt:variant>
        <vt:lpwstr/>
      </vt:variant>
      <vt:variant>
        <vt:i4>3670057</vt:i4>
      </vt:variant>
      <vt:variant>
        <vt:i4>189</vt:i4>
      </vt:variant>
      <vt:variant>
        <vt:i4>0</vt:i4>
      </vt:variant>
      <vt:variant>
        <vt:i4>5</vt:i4>
      </vt:variant>
      <vt:variant>
        <vt:lpwstr>http://www.legislation.qld.gov.au/LEGISLTN/CURRENT/P/PlumbDrainA02.pdf</vt:lpwstr>
      </vt:variant>
      <vt:variant>
        <vt:lpwstr/>
      </vt:variant>
      <vt:variant>
        <vt:i4>5832714</vt:i4>
      </vt:variant>
      <vt:variant>
        <vt:i4>186</vt:i4>
      </vt:variant>
      <vt:variant>
        <vt:i4>0</vt:i4>
      </vt:variant>
      <vt:variant>
        <vt:i4>5</vt:i4>
      </vt:variant>
      <vt:variant>
        <vt:lpwstr>http://infostore.saiglobal.com/store/downloadFile.aspx?path=Previews%25%205cas%25%205cas1000%25%205c1500%25%205c1547.pdf</vt:lpwstr>
      </vt:variant>
      <vt:variant>
        <vt:lpwstr/>
      </vt:variant>
      <vt:variant>
        <vt:i4>2687030</vt:i4>
      </vt:variant>
      <vt:variant>
        <vt:i4>183</vt:i4>
      </vt:variant>
      <vt:variant>
        <vt:i4>0</vt:i4>
      </vt:variant>
      <vt:variant>
        <vt:i4>5</vt:i4>
      </vt:variant>
      <vt:variant>
        <vt:lpwstr>http://www.legislation.qld.gov.au/LEGISLTN/CURRENT/E/EnvProWateP09.pdf</vt:lpwstr>
      </vt:variant>
      <vt:variant>
        <vt:lpwstr/>
      </vt:variant>
      <vt:variant>
        <vt:i4>3211370</vt:i4>
      </vt:variant>
      <vt:variant>
        <vt:i4>180</vt:i4>
      </vt:variant>
      <vt:variant>
        <vt:i4>0</vt:i4>
      </vt:variant>
      <vt:variant>
        <vt:i4>5</vt:i4>
      </vt:variant>
      <vt:variant>
        <vt:lpwstr>http://www.hpw.qld.gov.au/construction/BuildingPlumbing/Building/BuildingLawsCodes/QueenslandDevelopmentCode/Pages/default.aspx</vt:lpwstr>
      </vt:variant>
      <vt:variant>
        <vt:lpwstr/>
      </vt:variant>
      <vt:variant>
        <vt:i4>589855</vt:i4>
      </vt:variant>
      <vt:variant>
        <vt:i4>177</vt:i4>
      </vt:variant>
      <vt:variant>
        <vt:i4>0</vt:i4>
      </vt:variant>
      <vt:variant>
        <vt:i4>5</vt:i4>
      </vt:variant>
      <vt:variant>
        <vt:lpwstr>../Schedule 1 - Definitions/Definitions.doc</vt:lpwstr>
      </vt:variant>
      <vt:variant>
        <vt:lpwstr>DwgHse</vt:lpwstr>
      </vt:variant>
      <vt:variant>
        <vt:i4>131094</vt:i4>
      </vt:variant>
      <vt:variant>
        <vt:i4>174</vt:i4>
      </vt:variant>
      <vt:variant>
        <vt:i4>0</vt:i4>
      </vt:variant>
      <vt:variant>
        <vt:i4>5</vt:i4>
      </vt:variant>
      <vt:variant>
        <vt:lpwstr>../Schedule 1 - Definitions/Definitions.doc</vt:lpwstr>
      </vt:variant>
      <vt:variant>
        <vt:lpwstr>AdjPrem</vt:lpwstr>
      </vt:variant>
      <vt:variant>
        <vt:i4>458771</vt:i4>
      </vt:variant>
      <vt:variant>
        <vt:i4>171</vt:i4>
      </vt:variant>
      <vt:variant>
        <vt:i4>0</vt:i4>
      </vt:variant>
      <vt:variant>
        <vt:i4>5</vt:i4>
      </vt:variant>
      <vt:variant>
        <vt:lpwstr>../Schedule 1 - Definitions/Definitions.doc</vt:lpwstr>
      </vt:variant>
      <vt:variant>
        <vt:lpwstr>DomOut</vt:lpwstr>
      </vt:variant>
      <vt:variant>
        <vt:i4>7078014</vt:i4>
      </vt:variant>
      <vt:variant>
        <vt:i4>168</vt:i4>
      </vt:variant>
      <vt:variant>
        <vt:i4>0</vt:i4>
      </vt:variant>
      <vt:variant>
        <vt:i4>5</vt:i4>
      </vt:variant>
      <vt:variant>
        <vt:lpwstr>../Schedule 1 - Definitions/Definitions.doc</vt:lpwstr>
      </vt:variant>
      <vt:variant>
        <vt:lpwstr>SecondaryDwg</vt:lpwstr>
      </vt:variant>
      <vt:variant>
        <vt:i4>589855</vt:i4>
      </vt:variant>
      <vt:variant>
        <vt:i4>165</vt:i4>
      </vt:variant>
      <vt:variant>
        <vt:i4>0</vt:i4>
      </vt:variant>
      <vt:variant>
        <vt:i4>5</vt:i4>
      </vt:variant>
      <vt:variant>
        <vt:lpwstr>../Schedule 1 - Definitions/Definitions.doc</vt:lpwstr>
      </vt:variant>
      <vt:variant>
        <vt:lpwstr>DwgHse</vt:lpwstr>
      </vt:variant>
      <vt:variant>
        <vt:i4>458771</vt:i4>
      </vt:variant>
      <vt:variant>
        <vt:i4>162</vt:i4>
      </vt:variant>
      <vt:variant>
        <vt:i4>0</vt:i4>
      </vt:variant>
      <vt:variant>
        <vt:i4>5</vt:i4>
      </vt:variant>
      <vt:variant>
        <vt:lpwstr>../Schedule 1 - Definitions/Definitions.doc</vt:lpwstr>
      </vt:variant>
      <vt:variant>
        <vt:lpwstr>DomOut</vt:lpwstr>
      </vt:variant>
      <vt:variant>
        <vt:i4>7078014</vt:i4>
      </vt:variant>
      <vt:variant>
        <vt:i4>159</vt:i4>
      </vt:variant>
      <vt:variant>
        <vt:i4>0</vt:i4>
      </vt:variant>
      <vt:variant>
        <vt:i4>5</vt:i4>
      </vt:variant>
      <vt:variant>
        <vt:lpwstr>../Schedule 1 - Definitions/Definitions.doc</vt:lpwstr>
      </vt:variant>
      <vt:variant>
        <vt:lpwstr>SecondaryDwg</vt:lpwstr>
      </vt:variant>
      <vt:variant>
        <vt:i4>589855</vt:i4>
      </vt:variant>
      <vt:variant>
        <vt:i4>156</vt:i4>
      </vt:variant>
      <vt:variant>
        <vt:i4>0</vt:i4>
      </vt:variant>
      <vt:variant>
        <vt:i4>5</vt:i4>
      </vt:variant>
      <vt:variant>
        <vt:lpwstr>../Schedule 1 - Definitions/Definitions.doc</vt:lpwstr>
      </vt:variant>
      <vt:variant>
        <vt:lpwstr>DwgHse</vt:lpwstr>
      </vt:variant>
      <vt:variant>
        <vt:i4>7078014</vt:i4>
      </vt:variant>
      <vt:variant>
        <vt:i4>153</vt:i4>
      </vt:variant>
      <vt:variant>
        <vt:i4>0</vt:i4>
      </vt:variant>
      <vt:variant>
        <vt:i4>5</vt:i4>
      </vt:variant>
      <vt:variant>
        <vt:lpwstr>../Schedule 1 - Definitions/Definitions.doc</vt:lpwstr>
      </vt:variant>
      <vt:variant>
        <vt:lpwstr>SecondaryDwg</vt:lpwstr>
      </vt:variant>
      <vt:variant>
        <vt:i4>589855</vt:i4>
      </vt:variant>
      <vt:variant>
        <vt:i4>150</vt:i4>
      </vt:variant>
      <vt:variant>
        <vt:i4>0</vt:i4>
      </vt:variant>
      <vt:variant>
        <vt:i4>5</vt:i4>
      </vt:variant>
      <vt:variant>
        <vt:lpwstr>../Schedule 1 - Definitions/Definitions.doc</vt:lpwstr>
      </vt:variant>
      <vt:variant>
        <vt:lpwstr>DwgHse</vt:lpwstr>
      </vt:variant>
      <vt:variant>
        <vt:i4>1507337</vt:i4>
      </vt:variant>
      <vt:variant>
        <vt:i4>147</vt:i4>
      </vt:variant>
      <vt:variant>
        <vt:i4>0</vt:i4>
      </vt:variant>
      <vt:variant>
        <vt:i4>5</vt:i4>
      </vt:variant>
      <vt:variant>
        <vt:lpwstr>../Schedule 1 - Definitions/Definitions.doc</vt:lpwstr>
      </vt:variant>
      <vt:variant>
        <vt:lpwstr>Setback</vt:lpwstr>
      </vt:variant>
      <vt:variant>
        <vt:i4>1507337</vt:i4>
      </vt:variant>
      <vt:variant>
        <vt:i4>144</vt:i4>
      </vt:variant>
      <vt:variant>
        <vt:i4>0</vt:i4>
      </vt:variant>
      <vt:variant>
        <vt:i4>5</vt:i4>
      </vt:variant>
      <vt:variant>
        <vt:lpwstr>../Schedule 1 - Definitions/Definitions.doc</vt:lpwstr>
      </vt:variant>
      <vt:variant>
        <vt:lpwstr>Setback</vt:lpwstr>
      </vt:variant>
      <vt:variant>
        <vt:i4>1179655</vt:i4>
      </vt:variant>
      <vt:variant>
        <vt:i4>141</vt:i4>
      </vt:variant>
      <vt:variant>
        <vt:i4>0</vt:i4>
      </vt:variant>
      <vt:variant>
        <vt:i4>5</vt:i4>
      </vt:variant>
      <vt:variant>
        <vt:lpwstr>../Schedule 1 - Definitions/Definitions.doc</vt:lpwstr>
      </vt:variant>
      <vt:variant>
        <vt:lpwstr>Buildingheight</vt:lpwstr>
      </vt:variant>
      <vt:variant>
        <vt:i4>589855</vt:i4>
      </vt:variant>
      <vt:variant>
        <vt:i4>138</vt:i4>
      </vt:variant>
      <vt:variant>
        <vt:i4>0</vt:i4>
      </vt:variant>
      <vt:variant>
        <vt:i4>5</vt:i4>
      </vt:variant>
      <vt:variant>
        <vt:lpwstr>../Schedule 1 - Definitions/Definitions.doc</vt:lpwstr>
      </vt:variant>
      <vt:variant>
        <vt:lpwstr>DwgHse</vt:lpwstr>
      </vt:variant>
      <vt:variant>
        <vt:i4>589855</vt:i4>
      </vt:variant>
      <vt:variant>
        <vt:i4>135</vt:i4>
      </vt:variant>
      <vt:variant>
        <vt:i4>0</vt:i4>
      </vt:variant>
      <vt:variant>
        <vt:i4>5</vt:i4>
      </vt:variant>
      <vt:variant>
        <vt:lpwstr>../Schedule 1 - Definitions/Definitions.doc</vt:lpwstr>
      </vt:variant>
      <vt:variant>
        <vt:lpwstr>DwgHse</vt:lpwstr>
      </vt:variant>
      <vt:variant>
        <vt:i4>1179655</vt:i4>
      </vt:variant>
      <vt:variant>
        <vt:i4>132</vt:i4>
      </vt:variant>
      <vt:variant>
        <vt:i4>0</vt:i4>
      </vt:variant>
      <vt:variant>
        <vt:i4>5</vt:i4>
      </vt:variant>
      <vt:variant>
        <vt:lpwstr>../Schedule 1 - Definitions/Definitions.doc</vt:lpwstr>
      </vt:variant>
      <vt:variant>
        <vt:lpwstr>Buildingheight</vt:lpwstr>
      </vt:variant>
      <vt:variant>
        <vt:i4>589855</vt:i4>
      </vt:variant>
      <vt:variant>
        <vt:i4>129</vt:i4>
      </vt:variant>
      <vt:variant>
        <vt:i4>0</vt:i4>
      </vt:variant>
      <vt:variant>
        <vt:i4>5</vt:i4>
      </vt:variant>
      <vt:variant>
        <vt:lpwstr>../Schedule 1 - Definitions/Definitions.doc</vt:lpwstr>
      </vt:variant>
      <vt:variant>
        <vt:lpwstr>DwgHse</vt:lpwstr>
      </vt:variant>
      <vt:variant>
        <vt:i4>7012472</vt:i4>
      </vt:variant>
      <vt:variant>
        <vt:i4>126</vt:i4>
      </vt:variant>
      <vt:variant>
        <vt:i4>0</vt:i4>
      </vt:variant>
      <vt:variant>
        <vt:i4>5</vt:i4>
      </vt:variant>
      <vt:variant>
        <vt:lpwstr>../Schedule 1 - Definitions/Definitions.doc</vt:lpwstr>
      </vt:variant>
      <vt:variant>
        <vt:lpwstr>Household</vt:lpwstr>
      </vt:variant>
      <vt:variant>
        <vt:i4>589855</vt:i4>
      </vt:variant>
      <vt:variant>
        <vt:i4>123</vt:i4>
      </vt:variant>
      <vt:variant>
        <vt:i4>0</vt:i4>
      </vt:variant>
      <vt:variant>
        <vt:i4>5</vt:i4>
      </vt:variant>
      <vt:variant>
        <vt:lpwstr>../Schedule 1 - Definitions/Definitions.doc</vt:lpwstr>
      </vt:variant>
      <vt:variant>
        <vt:lpwstr>DwgHse</vt:lpwstr>
      </vt:variant>
      <vt:variant>
        <vt:i4>1376264</vt:i4>
      </vt:variant>
      <vt:variant>
        <vt:i4>120</vt:i4>
      </vt:variant>
      <vt:variant>
        <vt:i4>0</vt:i4>
      </vt:variant>
      <vt:variant>
        <vt:i4>5</vt:i4>
      </vt:variant>
      <vt:variant>
        <vt:lpwstr>../Schedule 1 - Definitions/Definitions.doc</vt:lpwstr>
      </vt:variant>
      <vt:variant>
        <vt:lpwstr>GFA</vt:lpwstr>
      </vt:variant>
      <vt:variant>
        <vt:i4>7078014</vt:i4>
      </vt:variant>
      <vt:variant>
        <vt:i4>117</vt:i4>
      </vt:variant>
      <vt:variant>
        <vt:i4>0</vt:i4>
      </vt:variant>
      <vt:variant>
        <vt:i4>5</vt:i4>
      </vt:variant>
      <vt:variant>
        <vt:lpwstr>../Schedule 1 - Definitions/Definitions.doc</vt:lpwstr>
      </vt:variant>
      <vt:variant>
        <vt:lpwstr>SecondaryDwg</vt:lpwstr>
      </vt:variant>
      <vt:variant>
        <vt:i4>7012472</vt:i4>
      </vt:variant>
      <vt:variant>
        <vt:i4>114</vt:i4>
      </vt:variant>
      <vt:variant>
        <vt:i4>0</vt:i4>
      </vt:variant>
      <vt:variant>
        <vt:i4>5</vt:i4>
      </vt:variant>
      <vt:variant>
        <vt:lpwstr>../Schedule 1 - Definitions/Definitions.doc</vt:lpwstr>
      </vt:variant>
      <vt:variant>
        <vt:lpwstr>Household</vt:lpwstr>
      </vt:variant>
      <vt:variant>
        <vt:i4>7078014</vt:i4>
      </vt:variant>
      <vt:variant>
        <vt:i4>111</vt:i4>
      </vt:variant>
      <vt:variant>
        <vt:i4>0</vt:i4>
      </vt:variant>
      <vt:variant>
        <vt:i4>5</vt:i4>
      </vt:variant>
      <vt:variant>
        <vt:lpwstr>../Schedule 1 - Definitions/Definitions.doc</vt:lpwstr>
      </vt:variant>
      <vt:variant>
        <vt:lpwstr>SecondaryDwg</vt:lpwstr>
      </vt:variant>
      <vt:variant>
        <vt:i4>589855</vt:i4>
      </vt:variant>
      <vt:variant>
        <vt:i4>108</vt:i4>
      </vt:variant>
      <vt:variant>
        <vt:i4>0</vt:i4>
      </vt:variant>
      <vt:variant>
        <vt:i4>5</vt:i4>
      </vt:variant>
      <vt:variant>
        <vt:lpwstr>../Schedule 1 - Definitions/Definitions.doc</vt:lpwstr>
      </vt:variant>
      <vt:variant>
        <vt:lpwstr>DwgHse</vt:lpwstr>
      </vt:variant>
      <vt:variant>
        <vt:i4>589855</vt:i4>
      </vt:variant>
      <vt:variant>
        <vt:i4>105</vt:i4>
      </vt:variant>
      <vt:variant>
        <vt:i4>0</vt:i4>
      </vt:variant>
      <vt:variant>
        <vt:i4>5</vt:i4>
      </vt:variant>
      <vt:variant>
        <vt:lpwstr>../Schedule 1 - Definitions/Definitions.doc</vt:lpwstr>
      </vt:variant>
      <vt:variant>
        <vt:lpwstr>DwgHse</vt:lpwstr>
      </vt:variant>
      <vt:variant>
        <vt:i4>7012472</vt:i4>
      </vt:variant>
      <vt:variant>
        <vt:i4>102</vt:i4>
      </vt:variant>
      <vt:variant>
        <vt:i4>0</vt:i4>
      </vt:variant>
      <vt:variant>
        <vt:i4>5</vt:i4>
      </vt:variant>
      <vt:variant>
        <vt:lpwstr>../Schedule 1 - Definitions/Definitions.doc</vt:lpwstr>
      </vt:variant>
      <vt:variant>
        <vt:lpwstr>Household</vt:lpwstr>
      </vt:variant>
      <vt:variant>
        <vt:i4>589855</vt:i4>
      </vt:variant>
      <vt:variant>
        <vt:i4>99</vt:i4>
      </vt:variant>
      <vt:variant>
        <vt:i4>0</vt:i4>
      </vt:variant>
      <vt:variant>
        <vt:i4>5</vt:i4>
      </vt:variant>
      <vt:variant>
        <vt:lpwstr>../Schedule 1 - Definitions/Definitions.doc</vt:lpwstr>
      </vt:variant>
      <vt:variant>
        <vt:lpwstr>DwgHse</vt:lpwstr>
      </vt:variant>
      <vt:variant>
        <vt:i4>589855</vt:i4>
      </vt:variant>
      <vt:variant>
        <vt:i4>96</vt:i4>
      </vt:variant>
      <vt:variant>
        <vt:i4>0</vt:i4>
      </vt:variant>
      <vt:variant>
        <vt:i4>5</vt:i4>
      </vt:variant>
      <vt:variant>
        <vt:lpwstr>../Schedule 1 - Definitions/Definitions.doc</vt:lpwstr>
      </vt:variant>
      <vt:variant>
        <vt:lpwstr>DwgHse</vt:lpwstr>
      </vt:variant>
      <vt:variant>
        <vt:i4>589855</vt:i4>
      </vt:variant>
      <vt:variant>
        <vt:i4>93</vt:i4>
      </vt:variant>
      <vt:variant>
        <vt:i4>0</vt:i4>
      </vt:variant>
      <vt:variant>
        <vt:i4>5</vt:i4>
      </vt:variant>
      <vt:variant>
        <vt:lpwstr>../Schedule 1 - Definitions/Definitions.doc</vt:lpwstr>
      </vt:variant>
      <vt:variant>
        <vt:lpwstr>DwgHse</vt:lpwstr>
      </vt:variant>
      <vt:variant>
        <vt:i4>262146</vt:i4>
      </vt:variant>
      <vt:variant>
        <vt:i4>90</vt:i4>
      </vt:variant>
      <vt:variant>
        <vt:i4>0</vt:i4>
      </vt:variant>
      <vt:variant>
        <vt:i4>5</vt:i4>
      </vt:variant>
      <vt:variant>
        <vt:lpwstr>../Schedule 1 - Definitions/Definitions.doc</vt:lpwstr>
      </vt:variant>
      <vt:variant>
        <vt:lpwstr>Amenity</vt:lpwstr>
      </vt:variant>
      <vt:variant>
        <vt:i4>589855</vt:i4>
      </vt:variant>
      <vt:variant>
        <vt:i4>87</vt:i4>
      </vt:variant>
      <vt:variant>
        <vt:i4>0</vt:i4>
      </vt:variant>
      <vt:variant>
        <vt:i4>5</vt:i4>
      </vt:variant>
      <vt:variant>
        <vt:lpwstr>../Schedule 1 - Definitions/Definitions.doc</vt:lpwstr>
      </vt:variant>
      <vt:variant>
        <vt:lpwstr>DwgHse</vt:lpwstr>
      </vt:variant>
      <vt:variant>
        <vt:i4>458771</vt:i4>
      </vt:variant>
      <vt:variant>
        <vt:i4>84</vt:i4>
      </vt:variant>
      <vt:variant>
        <vt:i4>0</vt:i4>
      </vt:variant>
      <vt:variant>
        <vt:i4>5</vt:i4>
      </vt:variant>
      <vt:variant>
        <vt:lpwstr>../Schedule 1 - Definitions/Definitions.doc</vt:lpwstr>
      </vt:variant>
      <vt:variant>
        <vt:lpwstr>DomOut</vt:lpwstr>
      </vt:variant>
      <vt:variant>
        <vt:i4>7078014</vt:i4>
      </vt:variant>
      <vt:variant>
        <vt:i4>81</vt:i4>
      </vt:variant>
      <vt:variant>
        <vt:i4>0</vt:i4>
      </vt:variant>
      <vt:variant>
        <vt:i4>5</vt:i4>
      </vt:variant>
      <vt:variant>
        <vt:lpwstr>../Schedule 1 - Definitions/Definitions.doc</vt:lpwstr>
      </vt:variant>
      <vt:variant>
        <vt:lpwstr>SecondaryDwg</vt:lpwstr>
      </vt:variant>
      <vt:variant>
        <vt:i4>589855</vt:i4>
      </vt:variant>
      <vt:variant>
        <vt:i4>78</vt:i4>
      </vt:variant>
      <vt:variant>
        <vt:i4>0</vt:i4>
      </vt:variant>
      <vt:variant>
        <vt:i4>5</vt:i4>
      </vt:variant>
      <vt:variant>
        <vt:lpwstr>../Schedule 1 - Definitions/Definitions.doc</vt:lpwstr>
      </vt:variant>
      <vt:variant>
        <vt:lpwstr>DwgHse</vt:lpwstr>
      </vt:variant>
      <vt:variant>
        <vt:i4>589855</vt:i4>
      </vt:variant>
      <vt:variant>
        <vt:i4>75</vt:i4>
      </vt:variant>
      <vt:variant>
        <vt:i4>0</vt:i4>
      </vt:variant>
      <vt:variant>
        <vt:i4>5</vt:i4>
      </vt:variant>
      <vt:variant>
        <vt:lpwstr>../Schedule 1 - Definitions/Definitions.doc</vt:lpwstr>
      </vt:variant>
      <vt:variant>
        <vt:lpwstr>DwgHse</vt:lpwstr>
      </vt:variant>
      <vt:variant>
        <vt:i4>6684780</vt:i4>
      </vt:variant>
      <vt:variant>
        <vt:i4>72</vt:i4>
      </vt:variant>
      <vt:variant>
        <vt:i4>0</vt:i4>
      </vt:variant>
      <vt:variant>
        <vt:i4>5</vt:i4>
      </vt:variant>
      <vt:variant>
        <vt:lpwstr>../Schedule 1 - Definitions/Definitions.doc</vt:lpwstr>
      </vt:variant>
      <vt:variant>
        <vt:lpwstr>Dwelling</vt:lpwstr>
      </vt:variant>
      <vt:variant>
        <vt:i4>458771</vt:i4>
      </vt:variant>
      <vt:variant>
        <vt:i4>69</vt:i4>
      </vt:variant>
      <vt:variant>
        <vt:i4>0</vt:i4>
      </vt:variant>
      <vt:variant>
        <vt:i4>5</vt:i4>
      </vt:variant>
      <vt:variant>
        <vt:lpwstr>../Schedule 1 - Definitions/Definitions.doc</vt:lpwstr>
      </vt:variant>
      <vt:variant>
        <vt:lpwstr>DomOut</vt:lpwstr>
      </vt:variant>
      <vt:variant>
        <vt:i4>7078014</vt:i4>
      </vt:variant>
      <vt:variant>
        <vt:i4>66</vt:i4>
      </vt:variant>
      <vt:variant>
        <vt:i4>0</vt:i4>
      </vt:variant>
      <vt:variant>
        <vt:i4>5</vt:i4>
      </vt:variant>
      <vt:variant>
        <vt:lpwstr>../Schedule 1 - Definitions/Definitions.doc</vt:lpwstr>
      </vt:variant>
      <vt:variant>
        <vt:lpwstr>SecondaryDwg</vt:lpwstr>
      </vt:variant>
      <vt:variant>
        <vt:i4>589855</vt:i4>
      </vt:variant>
      <vt:variant>
        <vt:i4>63</vt:i4>
      </vt:variant>
      <vt:variant>
        <vt:i4>0</vt:i4>
      </vt:variant>
      <vt:variant>
        <vt:i4>5</vt:i4>
      </vt:variant>
      <vt:variant>
        <vt:lpwstr>../Schedule 1 - Definitions/Definitions.doc</vt:lpwstr>
      </vt:variant>
      <vt:variant>
        <vt:lpwstr>DwgHse</vt:lpwstr>
      </vt:variant>
      <vt:variant>
        <vt:i4>7012472</vt:i4>
      </vt:variant>
      <vt:variant>
        <vt:i4>60</vt:i4>
      </vt:variant>
      <vt:variant>
        <vt:i4>0</vt:i4>
      </vt:variant>
      <vt:variant>
        <vt:i4>5</vt:i4>
      </vt:variant>
      <vt:variant>
        <vt:lpwstr>../Schedule 1 - Definitions/Definitions.doc</vt:lpwstr>
      </vt:variant>
      <vt:variant>
        <vt:lpwstr>Household</vt:lpwstr>
      </vt:variant>
      <vt:variant>
        <vt:i4>8323176</vt:i4>
      </vt:variant>
      <vt:variant>
        <vt:i4>57</vt:i4>
      </vt:variant>
      <vt:variant>
        <vt:i4>0</vt:i4>
      </vt:variant>
      <vt:variant>
        <vt:i4>5</vt:i4>
      </vt:variant>
      <vt:variant>
        <vt:lpwstr>../Schedule 1 - Definitions/Definitions.doc</vt:lpwstr>
      </vt:variant>
      <vt:variant>
        <vt:lpwstr>Site</vt:lpwstr>
      </vt:variant>
      <vt:variant>
        <vt:i4>589855</vt:i4>
      </vt:variant>
      <vt:variant>
        <vt:i4>54</vt:i4>
      </vt:variant>
      <vt:variant>
        <vt:i4>0</vt:i4>
      </vt:variant>
      <vt:variant>
        <vt:i4>5</vt:i4>
      </vt:variant>
      <vt:variant>
        <vt:lpwstr>../Schedule 1 - Definitions/Definitions.doc</vt:lpwstr>
      </vt:variant>
      <vt:variant>
        <vt:lpwstr>DwgHse</vt:lpwstr>
      </vt:variant>
      <vt:variant>
        <vt:i4>7471213</vt:i4>
      </vt:variant>
      <vt:variant>
        <vt:i4>51</vt:i4>
      </vt:variant>
      <vt:variant>
        <vt:i4>0</vt:i4>
      </vt:variant>
      <vt:variant>
        <vt:i4>5</vt:i4>
      </vt:variant>
      <vt:variant>
        <vt:lpwstr>http://www.legislation.qld.gov.au/LEGISLTN/CURRENT/E/EnvProtA94.pdf</vt:lpwstr>
      </vt:variant>
      <vt:variant>
        <vt:lpwstr/>
      </vt:variant>
      <vt:variant>
        <vt:i4>1245212</vt:i4>
      </vt:variant>
      <vt:variant>
        <vt:i4>48</vt:i4>
      </vt:variant>
      <vt:variant>
        <vt:i4>0</vt:i4>
      </vt:variant>
      <vt:variant>
        <vt:i4>5</vt:i4>
      </vt:variant>
      <vt:variant>
        <vt:lpwstr>../Part 8 - Overlays/FloodOC.doc</vt:lpwstr>
      </vt:variant>
      <vt:variant>
        <vt:lpwstr/>
      </vt:variant>
      <vt:variant>
        <vt:i4>589855</vt:i4>
      </vt:variant>
      <vt:variant>
        <vt:i4>45</vt:i4>
      </vt:variant>
      <vt:variant>
        <vt:i4>0</vt:i4>
      </vt:variant>
      <vt:variant>
        <vt:i4>5</vt:i4>
      </vt:variant>
      <vt:variant>
        <vt:lpwstr>../Schedule 1 - Definitions/Definitions.doc</vt:lpwstr>
      </vt:variant>
      <vt:variant>
        <vt:lpwstr>DwgHse</vt:lpwstr>
      </vt:variant>
      <vt:variant>
        <vt:i4>3342391</vt:i4>
      </vt:variant>
      <vt:variant>
        <vt:i4>42</vt:i4>
      </vt:variant>
      <vt:variant>
        <vt:i4>0</vt:i4>
      </vt:variant>
      <vt:variant>
        <vt:i4>5</vt:i4>
      </vt:variant>
      <vt:variant>
        <vt:lpwstr>../Part 8 - Overlays/WaterwayCorridorOC.doc</vt:lpwstr>
      </vt:variant>
      <vt:variant>
        <vt:lpwstr/>
      </vt:variant>
      <vt:variant>
        <vt:i4>2228280</vt:i4>
      </vt:variant>
      <vt:variant>
        <vt:i4>39</vt:i4>
      </vt:variant>
      <vt:variant>
        <vt:i4>0</vt:i4>
      </vt:variant>
      <vt:variant>
        <vt:i4>5</vt:i4>
      </vt:variant>
      <vt:variant>
        <vt:lpwstr>../Part 8 - Overlays/SignificantTreesOC.doc</vt:lpwstr>
      </vt:variant>
      <vt:variant>
        <vt:lpwstr/>
      </vt:variant>
      <vt:variant>
        <vt:i4>6750322</vt:i4>
      </vt:variant>
      <vt:variant>
        <vt:i4>36</vt:i4>
      </vt:variant>
      <vt:variant>
        <vt:i4>0</vt:i4>
      </vt:variant>
      <vt:variant>
        <vt:i4>5</vt:i4>
      </vt:variant>
      <vt:variant>
        <vt:lpwstr>../Part 8 - Overlays/LandslideHazardOC.doc</vt:lpwstr>
      </vt:variant>
      <vt:variant>
        <vt:lpwstr/>
      </vt:variant>
      <vt:variant>
        <vt:i4>1245212</vt:i4>
      </vt:variant>
      <vt:variant>
        <vt:i4>33</vt:i4>
      </vt:variant>
      <vt:variant>
        <vt:i4>0</vt:i4>
      </vt:variant>
      <vt:variant>
        <vt:i4>5</vt:i4>
      </vt:variant>
      <vt:variant>
        <vt:lpwstr>../Part 8 - Overlays/FloodOC.doc</vt:lpwstr>
      </vt:variant>
      <vt:variant>
        <vt:lpwstr/>
      </vt:variant>
      <vt:variant>
        <vt:i4>5308483</vt:i4>
      </vt:variant>
      <vt:variant>
        <vt:i4>30</vt:i4>
      </vt:variant>
      <vt:variant>
        <vt:i4>0</vt:i4>
      </vt:variant>
      <vt:variant>
        <vt:i4>5</vt:i4>
      </vt:variant>
      <vt:variant>
        <vt:lpwstr>../Part 8 - Overlays/BushfireHazardOC.doc</vt:lpwstr>
      </vt:variant>
      <vt:variant>
        <vt:lpwstr/>
      </vt:variant>
      <vt:variant>
        <vt:i4>3211385</vt:i4>
      </vt:variant>
      <vt:variant>
        <vt:i4>27</vt:i4>
      </vt:variant>
      <vt:variant>
        <vt:i4>0</vt:i4>
      </vt:variant>
      <vt:variant>
        <vt:i4>5</vt:i4>
      </vt:variant>
      <vt:variant>
        <vt:lpwstr>DwellingHseSmallLotCode.doc</vt:lpwstr>
      </vt:variant>
      <vt:variant>
        <vt:lpwstr/>
      </vt:variant>
      <vt:variant>
        <vt:i4>6946942</vt:i4>
      </vt:variant>
      <vt:variant>
        <vt:i4>24</vt:i4>
      </vt:variant>
      <vt:variant>
        <vt:i4>0</vt:i4>
      </vt:variant>
      <vt:variant>
        <vt:i4>5</vt:i4>
      </vt:variant>
      <vt:variant>
        <vt:lpwstr>../Schedule 1 - Definitions/Definitions.doc</vt:lpwstr>
      </vt:variant>
      <vt:variant>
        <vt:lpwstr>SmallLot</vt:lpwstr>
      </vt:variant>
      <vt:variant>
        <vt:i4>589855</vt:i4>
      </vt:variant>
      <vt:variant>
        <vt:i4>21</vt:i4>
      </vt:variant>
      <vt:variant>
        <vt:i4>0</vt:i4>
      </vt:variant>
      <vt:variant>
        <vt:i4>5</vt:i4>
      </vt:variant>
      <vt:variant>
        <vt:lpwstr>../Schedule 1 - Definitions/Definitions.doc</vt:lpwstr>
      </vt:variant>
      <vt:variant>
        <vt:lpwstr>DwgHse</vt:lpwstr>
      </vt:variant>
      <vt:variant>
        <vt:i4>6881342</vt:i4>
      </vt:variant>
      <vt:variant>
        <vt:i4>18</vt:i4>
      </vt:variant>
      <vt:variant>
        <vt:i4>0</vt:i4>
      </vt:variant>
      <vt:variant>
        <vt:i4>5</vt:i4>
      </vt:variant>
      <vt:variant>
        <vt:lpwstr>../Part 5 - Tables of assessment/Part5TablesOfAssessmentIntro.doc</vt:lpwstr>
      </vt:variant>
      <vt:variant>
        <vt:lpwstr>Part533</vt:lpwstr>
      </vt:variant>
      <vt:variant>
        <vt:i4>2228257</vt:i4>
      </vt:variant>
      <vt:variant>
        <vt:i4>15</vt:i4>
      </vt:variant>
      <vt:variant>
        <vt:i4>0</vt:i4>
      </vt:variant>
      <vt:variant>
        <vt:i4>5</vt:i4>
      </vt:variant>
      <vt:variant>
        <vt:lpwstr>../Part 1 - About the planning scheme/Part1.doc</vt:lpwstr>
      </vt:variant>
      <vt:variant>
        <vt:lpwstr>Part1Pt5</vt:lpwstr>
      </vt:variant>
      <vt:variant>
        <vt:i4>6946942</vt:i4>
      </vt:variant>
      <vt:variant>
        <vt:i4>12</vt:i4>
      </vt:variant>
      <vt:variant>
        <vt:i4>0</vt:i4>
      </vt:variant>
      <vt:variant>
        <vt:i4>5</vt:i4>
      </vt:variant>
      <vt:variant>
        <vt:lpwstr>../Schedule 1 - Definitions/Definitions.doc</vt:lpwstr>
      </vt:variant>
      <vt:variant>
        <vt:lpwstr>SmallLot</vt:lpwstr>
      </vt:variant>
      <vt:variant>
        <vt:i4>589855</vt:i4>
      </vt:variant>
      <vt:variant>
        <vt:i4>9</vt:i4>
      </vt:variant>
      <vt:variant>
        <vt:i4>0</vt:i4>
      </vt:variant>
      <vt:variant>
        <vt:i4>5</vt:i4>
      </vt:variant>
      <vt:variant>
        <vt:lpwstr>../Schedule 1 - Definitions/Definitions.doc</vt:lpwstr>
      </vt:variant>
      <vt:variant>
        <vt:lpwstr>DwgHse</vt:lpwstr>
      </vt:variant>
      <vt:variant>
        <vt:i4>7274559</vt:i4>
      </vt:variant>
      <vt:variant>
        <vt:i4>6</vt:i4>
      </vt:variant>
      <vt:variant>
        <vt:i4>0</vt:i4>
      </vt:variant>
      <vt:variant>
        <vt:i4>5</vt:i4>
      </vt:variant>
      <vt:variant>
        <vt:lpwstr>../Part 5 - Tables of assessment/Part5Overlays.doc</vt:lpwstr>
      </vt:variant>
      <vt:variant>
        <vt:lpwstr/>
      </vt:variant>
      <vt:variant>
        <vt:i4>2097252</vt:i4>
      </vt:variant>
      <vt:variant>
        <vt:i4>3</vt:i4>
      </vt:variant>
      <vt:variant>
        <vt:i4>0</vt:i4>
      </vt:variant>
      <vt:variant>
        <vt:i4>5</vt:i4>
      </vt:variant>
      <vt:variant>
        <vt:lpwstr>../Part 5 - Tables of assessment/Part5LocalPlan.doc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Alexander Amon</cp:lastModifiedBy>
  <cp:revision>109</cp:revision>
  <cp:lastPrinted>2012-11-01T04:24:00Z</cp:lastPrinted>
  <dcterms:created xsi:type="dcterms:W3CDTF">2013-06-24T01:00:00Z</dcterms:created>
  <dcterms:modified xsi:type="dcterms:W3CDTF">2018-01-16T02:08:00Z</dcterms:modified>
</cp:coreProperties>
</file>