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485" w:rsidRPr="001D1C59" w:rsidRDefault="006D0485" w:rsidP="006D0485">
      <w:pPr>
        <w:pStyle w:val="QPPTableHeadingStyle1"/>
      </w:pPr>
      <w:bookmarkStart w:id="0" w:name="Table5941A"/>
      <w:bookmarkStart w:id="1" w:name="_GoBack"/>
      <w:bookmarkEnd w:id="1"/>
      <w:r w:rsidRPr="001D1C59">
        <w:t xml:space="preserve">Table </w:t>
      </w:r>
      <w:r w:rsidR="00FF4F51">
        <w:t>5.9</w:t>
      </w:r>
      <w:r w:rsidRPr="001D1C59">
        <w:t>.</w:t>
      </w:r>
      <w:r w:rsidR="00DB2D89">
        <w:t>41</w:t>
      </w:r>
      <w:r w:rsidR="00F55BB1">
        <w:t>.A</w:t>
      </w:r>
      <w:r w:rsidRPr="001D1C59">
        <w:t xml:space="preserve">—Milton </w:t>
      </w:r>
      <w:r w:rsidR="003C7CDF" w:rsidRPr="001D1C59">
        <w:t>neighbourhood plan</w:t>
      </w:r>
      <w:r w:rsidRPr="001D1C59">
        <w:t>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22"/>
        <w:gridCol w:w="3330"/>
      </w:tblGrid>
      <w:tr w:rsidR="006D0485" w:rsidRPr="000B71F3" w:rsidTr="000B71F3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6D0485" w:rsidRPr="001D1C59" w:rsidRDefault="006D0485" w:rsidP="00452DD1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6D0485" w:rsidRPr="001D1C59" w:rsidRDefault="001470CE" w:rsidP="00452DD1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D0485" w:rsidRPr="001D1C59">
              <w:t xml:space="preserve">of </w:t>
            </w:r>
            <w:r>
              <w:t xml:space="preserve">development and </w:t>
            </w:r>
            <w:r w:rsidR="006D0485" w:rsidRPr="001D1C59">
              <w:t>assessment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6D0485" w:rsidRPr="001D1C59" w:rsidRDefault="006D0485" w:rsidP="001470CE">
            <w:pPr>
              <w:pStyle w:val="QPPTableTextBold"/>
            </w:pPr>
            <w:r w:rsidRPr="001D1C59">
              <w:t xml:space="preserve">Assessment </w:t>
            </w:r>
            <w:r w:rsidR="001470CE">
              <w:t>benchmarks</w:t>
            </w:r>
          </w:p>
        </w:tc>
      </w:tr>
      <w:tr w:rsidR="00F55BB1" w:rsidRPr="001D1C59" w:rsidTr="000B71F3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F55BB1" w:rsidRPr="001D1C59" w:rsidRDefault="00F55BB1" w:rsidP="00F55BB1">
            <w:pPr>
              <w:pStyle w:val="QPPTableTextBold"/>
            </w:pPr>
            <w:r>
              <w:t>If in the neighbourhood plan area</w:t>
            </w:r>
          </w:p>
        </w:tc>
      </w:tr>
      <w:tr w:rsidR="00F55BB1" w:rsidRPr="001D1C59" w:rsidTr="000B71F3">
        <w:tc>
          <w:tcPr>
            <w:tcW w:w="1620" w:type="dxa"/>
            <w:shd w:val="clear" w:color="auto" w:fill="auto"/>
          </w:tcPr>
          <w:p w:rsidR="00F55BB1" w:rsidRPr="001D1C59" w:rsidRDefault="00F55BB1" w:rsidP="00DB2D89">
            <w:pPr>
              <w:pStyle w:val="QPPTableTextBody"/>
            </w:pPr>
            <w:r>
              <w:t>MCU,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F55BB1" w:rsidRPr="000B71F3" w:rsidRDefault="00F55BB1" w:rsidP="00383045">
            <w:pPr>
              <w:pStyle w:val="QPPTableTextBold"/>
            </w:pPr>
            <w:r w:rsidRPr="000B71F3">
              <w:t>No change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F55BB1" w:rsidRPr="001D1C59" w:rsidRDefault="00F55BB1" w:rsidP="00F55BB1">
            <w:pPr>
              <w:pStyle w:val="QPPTableTextBody"/>
            </w:pPr>
            <w:r w:rsidRPr="00EE28B3">
              <w:t>Milton neighbourhood plan code</w:t>
            </w:r>
          </w:p>
        </w:tc>
      </w:tr>
      <w:tr w:rsidR="00CD467A" w:rsidRPr="000B71F3" w:rsidTr="000B71F3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CD467A" w:rsidRPr="001D1C59" w:rsidRDefault="00DB2D89" w:rsidP="00452DD1">
            <w:pPr>
              <w:pStyle w:val="QPPTableTextBold"/>
            </w:pPr>
            <w:r>
              <w:t>If</w:t>
            </w:r>
            <w:r w:rsidRPr="001D1C59">
              <w:t xml:space="preserve"> </w:t>
            </w:r>
            <w:r w:rsidR="00CD467A" w:rsidRPr="001D1C59">
              <w:t>in the Douglas Street precinct</w:t>
            </w:r>
            <w:r>
              <w:t xml:space="preserve"> (</w:t>
            </w:r>
            <w:r w:rsidR="007F55B1" w:rsidRPr="001D1C59">
              <w:t>N</w:t>
            </w:r>
            <w:r w:rsidR="00A9470C" w:rsidRPr="001D1C59">
              <w:t>PP-002</w:t>
            </w:r>
            <w:r>
              <w:t xml:space="preserve">), where in </w:t>
            </w:r>
            <w:r w:rsidR="00A9470C" w:rsidRPr="001D1C59">
              <w:t xml:space="preserve">the </w:t>
            </w:r>
            <w:r w:rsidR="00C529F9" w:rsidRPr="00383045">
              <w:t>Low impact industry zone</w:t>
            </w:r>
            <w:r w:rsidR="006C774E">
              <w:t xml:space="preserve"> or General industry A zone</w:t>
            </w:r>
            <w:r w:rsidR="003C282A">
              <w:t xml:space="preserve"> precinct of the Industry zone</w:t>
            </w:r>
          </w:p>
        </w:tc>
      </w:tr>
      <w:tr w:rsidR="00575E52" w:rsidRPr="001D1C59" w:rsidTr="000B71F3">
        <w:trPr>
          <w:trHeight w:val="329"/>
        </w:trPr>
        <w:tc>
          <w:tcPr>
            <w:tcW w:w="1620" w:type="dxa"/>
            <w:vMerge w:val="restart"/>
            <w:shd w:val="clear" w:color="auto" w:fill="auto"/>
          </w:tcPr>
          <w:p w:rsidR="00575E52" w:rsidRPr="001D1C59" w:rsidRDefault="00575E52" w:rsidP="00452DD1">
            <w:pPr>
              <w:pStyle w:val="QPPTableTextBody"/>
            </w:pPr>
            <w:r w:rsidRPr="00EE28B3">
              <w:t>Office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575E52" w:rsidRPr="001D1C59" w:rsidRDefault="001470CE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575E52" w:rsidRPr="001D1C59" w:rsidTr="000B71F3">
        <w:tc>
          <w:tcPr>
            <w:tcW w:w="1620" w:type="dxa"/>
            <w:vMerge/>
            <w:shd w:val="clear" w:color="auto" w:fill="auto"/>
          </w:tcPr>
          <w:p w:rsidR="00575E52" w:rsidRPr="001D1C59" w:rsidRDefault="00575E52" w:rsidP="006146F0"/>
        </w:tc>
        <w:tc>
          <w:tcPr>
            <w:tcW w:w="3330" w:type="dxa"/>
            <w:gridSpan w:val="2"/>
            <w:shd w:val="clear" w:color="auto" w:fill="auto"/>
          </w:tcPr>
          <w:p w:rsidR="00575E52" w:rsidRPr="001D1C59" w:rsidRDefault="007F55B1" w:rsidP="00AD6C1F">
            <w:pPr>
              <w:pStyle w:val="QPPTableTextBody"/>
            </w:pPr>
            <w:r w:rsidRPr="001D1C59">
              <w:t>If involving an existing premises, where</w:t>
            </w:r>
            <w:r w:rsidR="00C529F9">
              <w:t xml:space="preserve"> </w:t>
            </w:r>
            <w:r w:rsidRPr="001D1C59">
              <w:t>complying with all acceptable outcomes</w:t>
            </w:r>
            <w:r w:rsidR="00575E52" w:rsidRPr="001D1C59">
              <w:t xml:space="preserve"> </w:t>
            </w:r>
            <w:r w:rsidR="001470CE">
              <w:t xml:space="preserve">in section A of the </w:t>
            </w:r>
            <w:r w:rsidR="001470CE" w:rsidRPr="00EE28B3">
              <w:t>Centre or mixed use code</w:t>
            </w:r>
            <w:r w:rsidR="001470CE"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:rsidR="00575E52" w:rsidRPr="001D1C59" w:rsidRDefault="001470CE" w:rsidP="00452DD1">
            <w:pPr>
              <w:pStyle w:val="QPPTableTextBody"/>
            </w:pPr>
            <w:r>
              <w:t>Not applicable</w:t>
            </w:r>
          </w:p>
        </w:tc>
      </w:tr>
      <w:tr w:rsidR="00575E52" w:rsidRPr="001D1C59" w:rsidTr="000B71F3">
        <w:trPr>
          <w:trHeight w:val="312"/>
        </w:trPr>
        <w:tc>
          <w:tcPr>
            <w:tcW w:w="1620" w:type="dxa"/>
            <w:vMerge/>
            <w:shd w:val="clear" w:color="auto" w:fill="auto"/>
          </w:tcPr>
          <w:p w:rsidR="00575E52" w:rsidRPr="001D1C59" w:rsidRDefault="00575E52" w:rsidP="006146F0"/>
        </w:tc>
        <w:tc>
          <w:tcPr>
            <w:tcW w:w="6660" w:type="dxa"/>
            <w:gridSpan w:val="3"/>
            <w:shd w:val="clear" w:color="auto" w:fill="auto"/>
          </w:tcPr>
          <w:p w:rsidR="00575E52" w:rsidRPr="001D1C59" w:rsidRDefault="001470CE" w:rsidP="00452DD1">
            <w:pPr>
              <w:pStyle w:val="QPPTableTextBold"/>
            </w:pPr>
            <w:r>
              <w:t>Assessable development</w:t>
            </w:r>
            <w:r w:rsidRPr="001470CE">
              <w:t>—</w:t>
            </w:r>
            <w:r w:rsidR="00575E52" w:rsidRPr="001D1C59">
              <w:t>Code assessment</w:t>
            </w:r>
          </w:p>
        </w:tc>
      </w:tr>
      <w:tr w:rsidR="00575E52" w:rsidRPr="001D1C59" w:rsidTr="000B71F3">
        <w:tc>
          <w:tcPr>
            <w:tcW w:w="1620" w:type="dxa"/>
            <w:vMerge/>
            <w:shd w:val="clear" w:color="auto" w:fill="auto"/>
          </w:tcPr>
          <w:p w:rsidR="00575E52" w:rsidRPr="001D1C59" w:rsidRDefault="00575E52" w:rsidP="006146F0"/>
        </w:tc>
        <w:tc>
          <w:tcPr>
            <w:tcW w:w="3330" w:type="dxa"/>
            <w:gridSpan w:val="2"/>
            <w:shd w:val="clear" w:color="auto" w:fill="auto"/>
          </w:tcPr>
          <w:p w:rsidR="007F55B1" w:rsidRPr="001D1C59" w:rsidRDefault="007F55B1" w:rsidP="00A30ED0">
            <w:pPr>
              <w:pStyle w:val="QPPTableTextBody"/>
            </w:pPr>
            <w:r w:rsidRPr="001D1C59">
              <w:t>If involving an existing premises</w:t>
            </w:r>
            <w:r w:rsidR="00C529F9">
              <w:t xml:space="preserve"> </w:t>
            </w:r>
            <w:r w:rsidR="00F76162">
              <w:t xml:space="preserve">where </w:t>
            </w:r>
            <w:r w:rsidRPr="001D1C59">
              <w:t>not</w:t>
            </w:r>
            <w:r w:rsidR="00C529F9">
              <w:t xml:space="preserve"> complying with all</w:t>
            </w:r>
            <w:r w:rsidRPr="001D1C59">
              <w:t xml:space="preserve"> </w:t>
            </w:r>
            <w:r w:rsidR="00C529F9">
              <w:t>acceptable outcomes</w:t>
            </w:r>
            <w:r w:rsidR="00A30ED0">
              <w:t xml:space="preserve"> in section A of the </w:t>
            </w:r>
            <w:r w:rsidR="00A30ED0" w:rsidRPr="00EE28B3">
              <w:t>Centre or mixed use code</w:t>
            </w:r>
          </w:p>
        </w:tc>
        <w:tc>
          <w:tcPr>
            <w:tcW w:w="3330" w:type="dxa"/>
            <w:shd w:val="clear" w:color="auto" w:fill="auto"/>
          </w:tcPr>
          <w:p w:rsidR="00575E52" w:rsidRPr="001D1C59" w:rsidRDefault="00575E52" w:rsidP="00452DD1">
            <w:pPr>
              <w:pStyle w:val="QPPTableTextBody"/>
            </w:pPr>
            <w:r w:rsidRPr="00EE28B3">
              <w:t>Centre or mixed use code</w:t>
            </w:r>
            <w:r w:rsidR="00467DB1" w:rsidRPr="001D1C59">
              <w:t>—</w:t>
            </w:r>
            <w:r w:rsidR="001470CE">
              <w:t xml:space="preserve">purpose, overall outcomes and </w:t>
            </w:r>
            <w:r w:rsidR="00467DB1" w:rsidRPr="001D1C59">
              <w:t>s</w:t>
            </w:r>
            <w:r w:rsidR="00101718" w:rsidRPr="001D1C59">
              <w:t>ection A outcomes only</w:t>
            </w:r>
          </w:p>
        </w:tc>
      </w:tr>
      <w:tr w:rsidR="00575E52" w:rsidRPr="000B71F3" w:rsidTr="000B71F3">
        <w:tc>
          <w:tcPr>
            <w:tcW w:w="1620" w:type="dxa"/>
            <w:vMerge/>
            <w:shd w:val="clear" w:color="auto" w:fill="auto"/>
          </w:tcPr>
          <w:p w:rsidR="00575E52" w:rsidRPr="001D1C59" w:rsidRDefault="00575E52" w:rsidP="006146F0"/>
        </w:tc>
        <w:tc>
          <w:tcPr>
            <w:tcW w:w="3330" w:type="dxa"/>
            <w:gridSpan w:val="2"/>
            <w:shd w:val="clear" w:color="auto" w:fill="auto"/>
          </w:tcPr>
          <w:p w:rsidR="00575E52" w:rsidRPr="001D1C59" w:rsidRDefault="007F55B1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r w:rsidR="005F4FF3" w:rsidRPr="00EE28B3">
              <w:t>gross floor area</w:t>
            </w:r>
          </w:p>
        </w:tc>
        <w:tc>
          <w:tcPr>
            <w:tcW w:w="3330" w:type="dxa"/>
            <w:shd w:val="clear" w:color="auto" w:fill="auto"/>
          </w:tcPr>
          <w:p w:rsidR="006C395C" w:rsidRPr="001D1C59" w:rsidRDefault="006C395C" w:rsidP="00452DD1">
            <w:pPr>
              <w:pStyle w:val="QPPTableTextBody"/>
            </w:pPr>
            <w:r w:rsidRPr="00EE28B3">
              <w:t>Milton neighbourhood plan code</w:t>
            </w:r>
          </w:p>
          <w:p w:rsidR="00575E52" w:rsidRPr="001D1C59" w:rsidRDefault="00575E52" w:rsidP="00452DD1">
            <w:pPr>
              <w:pStyle w:val="QPPTableTextBody"/>
            </w:pPr>
            <w:r w:rsidRPr="00EE28B3">
              <w:t>Centre or mixed use code</w:t>
            </w:r>
          </w:p>
          <w:p w:rsidR="00575E52" w:rsidRPr="00115F08" w:rsidRDefault="00013993" w:rsidP="00452DD1">
            <w:pPr>
              <w:pStyle w:val="QPPTableTextBody"/>
            </w:pPr>
            <w:r w:rsidRPr="00EE28B3">
              <w:t>Prescribed secondary code</w:t>
            </w:r>
          </w:p>
        </w:tc>
      </w:tr>
      <w:tr w:rsidR="00CE5215" w:rsidRPr="000B71F3" w:rsidTr="00F1145F">
        <w:tc>
          <w:tcPr>
            <w:tcW w:w="8280" w:type="dxa"/>
            <w:gridSpan w:val="4"/>
            <w:shd w:val="clear" w:color="auto" w:fill="auto"/>
          </w:tcPr>
          <w:p w:rsidR="00CE5215" w:rsidRDefault="00CE5215" w:rsidP="00383045">
            <w:pPr>
              <w:pStyle w:val="QPPTableTextBold"/>
            </w:pPr>
            <w:r>
              <w:t>If in the Office precinct (NPP-003), where in the Mixed use zone</w:t>
            </w:r>
          </w:p>
        </w:tc>
      </w:tr>
      <w:tr w:rsidR="00A92180" w:rsidRPr="000B71F3" w:rsidTr="00A625F8">
        <w:tc>
          <w:tcPr>
            <w:tcW w:w="1620" w:type="dxa"/>
            <w:vMerge w:val="restart"/>
            <w:shd w:val="clear" w:color="auto" w:fill="auto"/>
          </w:tcPr>
          <w:p w:rsidR="00A92180" w:rsidRPr="00A92180" w:rsidRDefault="00A92180" w:rsidP="00FD7C31">
            <w:pPr>
              <w:pStyle w:val="QPPTableTextBody"/>
            </w:pPr>
            <w:r w:rsidRPr="00EE28B3">
              <w:t>Centre activities</w:t>
            </w:r>
            <w:r w:rsidRPr="00396CC7">
              <w:t xml:space="preserve"> </w:t>
            </w:r>
            <w:r w:rsidR="00396CC7">
              <w:t>(</w:t>
            </w:r>
            <w:r w:rsidRPr="00396CC7">
              <w:t>activity group</w:t>
            </w:r>
            <w:r w:rsidR="00396CC7">
              <w:t>)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A92180" w:rsidRPr="00CE5215" w:rsidRDefault="001470CE" w:rsidP="00383045">
            <w:pPr>
              <w:pStyle w:val="QPPTableTextBold"/>
            </w:pPr>
            <w:r>
              <w:t>Assessable development</w:t>
            </w:r>
            <w:r w:rsidRPr="001470CE">
              <w:t>—</w:t>
            </w:r>
            <w:r w:rsidR="00A92180">
              <w:t>Code assessment</w:t>
            </w:r>
          </w:p>
        </w:tc>
      </w:tr>
      <w:tr w:rsidR="00A92180" w:rsidRPr="000B71F3" w:rsidTr="000B71F3">
        <w:tc>
          <w:tcPr>
            <w:tcW w:w="1620" w:type="dxa"/>
            <w:vMerge/>
            <w:shd w:val="clear" w:color="auto" w:fill="auto"/>
          </w:tcPr>
          <w:p w:rsidR="00A92180" w:rsidRPr="00383045" w:rsidRDefault="00A92180" w:rsidP="00383045">
            <w:pPr>
              <w:pStyle w:val="QPPTableTextBody"/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A92180" w:rsidRPr="001D1C59" w:rsidRDefault="00A92180" w:rsidP="00C529F9">
            <w:pPr>
              <w:pStyle w:val="QPPTableTextBody"/>
            </w:pPr>
            <w:r>
              <w:t xml:space="preserve">If involving a new premises or an existing premises with an increase in </w:t>
            </w:r>
            <w:r w:rsidRPr="00EE28B3">
              <w:t>gross floor area</w:t>
            </w:r>
            <w:r>
              <w:t xml:space="preserve">, whether or not the number of storeys and building height complies with that specified in </w:t>
            </w:r>
            <w:r w:rsidRPr="00EE28B3">
              <w:t>Table 7.2.13.2.3.B</w:t>
            </w:r>
            <w:r>
              <w:t xml:space="preserve"> of the </w:t>
            </w:r>
            <w:r w:rsidRPr="00EE28B3">
              <w:t>Milton neighbourhood plan code</w:t>
            </w:r>
          </w:p>
        </w:tc>
        <w:tc>
          <w:tcPr>
            <w:tcW w:w="3330" w:type="dxa"/>
            <w:shd w:val="clear" w:color="auto" w:fill="auto"/>
          </w:tcPr>
          <w:p w:rsidR="00A92180" w:rsidRPr="00CE5215" w:rsidRDefault="00A92180" w:rsidP="00CE5215">
            <w:pPr>
              <w:pStyle w:val="QPPTableTextBody"/>
            </w:pPr>
            <w:r w:rsidRPr="00EE28B3">
              <w:t>Milton neighbourhood plan code</w:t>
            </w:r>
            <w:r w:rsidRPr="00CE5215">
              <w:t xml:space="preserve"> </w:t>
            </w:r>
          </w:p>
          <w:p w:rsidR="00A92180" w:rsidRPr="005E4550" w:rsidRDefault="00A92180" w:rsidP="00452DD1">
            <w:pPr>
              <w:pStyle w:val="QPPTableTextBody"/>
            </w:pPr>
            <w:r w:rsidRPr="00EE28B3">
              <w:t>Applicable development code</w:t>
            </w:r>
          </w:p>
          <w:p w:rsidR="00A92180" w:rsidRPr="00115F08" w:rsidRDefault="00A92180" w:rsidP="00452DD1">
            <w:pPr>
              <w:pStyle w:val="QPPTableTextBody"/>
            </w:pPr>
            <w:r w:rsidRPr="00EE28B3">
              <w:t>Prescribed secondary code</w:t>
            </w:r>
          </w:p>
        </w:tc>
      </w:tr>
      <w:tr w:rsidR="000E413A" w:rsidRPr="000B71F3" w:rsidTr="000B71F3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0E413A" w:rsidRPr="001D1C59" w:rsidRDefault="00A97BAD" w:rsidP="0072640E">
            <w:pPr>
              <w:pStyle w:val="QPPTableTextBold"/>
            </w:pPr>
            <w:r>
              <w:t>If</w:t>
            </w:r>
            <w:r w:rsidRPr="001D1C59">
              <w:t xml:space="preserve"> </w:t>
            </w:r>
            <w:r w:rsidR="000E413A" w:rsidRPr="001D1C59">
              <w:t>in the</w:t>
            </w:r>
            <w:r>
              <w:t xml:space="preserve"> </w:t>
            </w:r>
            <w:r w:rsidR="00CD6FBA">
              <w:t xml:space="preserve">Office sub-precinct (NPP-003a) or (NPP-003b) of the </w:t>
            </w:r>
            <w:r>
              <w:t xml:space="preserve">Office precinct (NPP-003), where in </w:t>
            </w:r>
            <w:r w:rsidR="0072640E" w:rsidRPr="00A92180">
              <w:t xml:space="preserve">the </w:t>
            </w:r>
            <w:r w:rsidR="00CD6FBA" w:rsidRPr="00383045">
              <w:t>Mixed use zone</w:t>
            </w:r>
          </w:p>
        </w:tc>
      </w:tr>
      <w:tr w:rsidR="000D36C1" w:rsidRPr="000B71F3" w:rsidTr="000B71F3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0D36C1" w:rsidRPr="001D1C59" w:rsidRDefault="000D36C1" w:rsidP="00452DD1">
            <w:pPr>
              <w:pStyle w:val="QPPTableTextBody"/>
            </w:pPr>
            <w:r w:rsidRPr="00EE28B3">
              <w:t>Warehouse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0D36C1" w:rsidRPr="001D1C59" w:rsidRDefault="001470CE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0D36C1" w:rsidRPr="001D1C59" w:rsidTr="000B71F3">
        <w:tc>
          <w:tcPr>
            <w:tcW w:w="1620" w:type="dxa"/>
            <w:vMerge/>
            <w:shd w:val="clear" w:color="auto" w:fill="auto"/>
          </w:tcPr>
          <w:p w:rsidR="000D36C1" w:rsidRPr="001D1C59" w:rsidRDefault="000D36C1" w:rsidP="006D0485"/>
        </w:tc>
        <w:tc>
          <w:tcPr>
            <w:tcW w:w="3308" w:type="dxa"/>
            <w:shd w:val="clear" w:color="auto" w:fill="auto"/>
          </w:tcPr>
          <w:p w:rsidR="000D36C1" w:rsidRPr="001D1C59" w:rsidRDefault="007F55B1" w:rsidP="00AD6C1F">
            <w:pPr>
              <w:pStyle w:val="QPPTableTextBody"/>
            </w:pPr>
            <w:r w:rsidRPr="001D1C59">
              <w:t xml:space="preserve">If involving an existing premises, where </w:t>
            </w:r>
            <w:r w:rsidR="000D36C1" w:rsidRPr="001D1C59">
              <w:t xml:space="preserve">complying with all </w:t>
            </w:r>
            <w:r w:rsidR="005E4550">
              <w:t>acceptable outcomes</w:t>
            </w:r>
            <w:r w:rsidR="001470CE">
              <w:t xml:space="preserve"> in section A of the </w:t>
            </w:r>
            <w:r w:rsidR="001470CE" w:rsidRPr="00EE28B3">
              <w:t>Industry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0D36C1" w:rsidRPr="001D1C59" w:rsidRDefault="001470CE" w:rsidP="00467DB1">
            <w:pPr>
              <w:pStyle w:val="QPPTableTextBody"/>
            </w:pPr>
            <w:r>
              <w:t>Not applicable</w:t>
            </w:r>
          </w:p>
        </w:tc>
      </w:tr>
      <w:tr w:rsidR="000D36C1" w:rsidRPr="000B71F3" w:rsidTr="000B71F3">
        <w:trPr>
          <w:trHeight w:val="312"/>
        </w:trPr>
        <w:tc>
          <w:tcPr>
            <w:tcW w:w="1620" w:type="dxa"/>
            <w:vMerge/>
            <w:shd w:val="clear" w:color="auto" w:fill="auto"/>
          </w:tcPr>
          <w:p w:rsidR="000D36C1" w:rsidRPr="001D1C59" w:rsidRDefault="000D36C1" w:rsidP="00452DD1">
            <w:pPr>
              <w:pStyle w:val="QPPTableTextBody"/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0D36C1" w:rsidRPr="001D1C59" w:rsidRDefault="001470CE" w:rsidP="00452DD1">
            <w:pPr>
              <w:pStyle w:val="QPPTableTextBold"/>
            </w:pPr>
            <w:r>
              <w:t>Assessable development</w:t>
            </w:r>
            <w:r w:rsidRPr="001470CE">
              <w:t>—</w:t>
            </w:r>
            <w:r w:rsidR="000D36C1" w:rsidRPr="001D1C59">
              <w:t>Code assessment</w:t>
            </w:r>
          </w:p>
        </w:tc>
      </w:tr>
      <w:tr w:rsidR="00070908" w:rsidRPr="001D1C59" w:rsidTr="000B71F3">
        <w:tc>
          <w:tcPr>
            <w:tcW w:w="1620" w:type="dxa"/>
            <w:vMerge/>
            <w:shd w:val="clear" w:color="auto" w:fill="auto"/>
          </w:tcPr>
          <w:p w:rsidR="00070908" w:rsidRPr="001D1C59" w:rsidRDefault="00070908" w:rsidP="006146F0"/>
        </w:tc>
        <w:tc>
          <w:tcPr>
            <w:tcW w:w="3308" w:type="dxa"/>
            <w:shd w:val="clear" w:color="auto" w:fill="auto"/>
          </w:tcPr>
          <w:p w:rsidR="00070908" w:rsidRPr="001D1C59" w:rsidRDefault="00452DD1" w:rsidP="00A30ED0">
            <w:pPr>
              <w:pStyle w:val="QPPTableTextBody"/>
            </w:pPr>
            <w:r w:rsidRPr="001D1C59">
              <w:t xml:space="preserve">If involving an existing premises, where </w:t>
            </w:r>
            <w:r w:rsidR="00070908" w:rsidRPr="001D1C59">
              <w:t xml:space="preserve">not </w:t>
            </w:r>
            <w:r w:rsidR="00CD6FBA">
              <w:t>complying with all acceptable outcomes</w:t>
            </w:r>
            <w:r w:rsidR="00A30ED0">
              <w:t xml:space="preserve"> in section A of the </w:t>
            </w:r>
            <w:r w:rsidR="00A30ED0" w:rsidRPr="00EE28B3">
              <w:t>Industry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070908" w:rsidRPr="001D1C59" w:rsidRDefault="00070908" w:rsidP="00452DD1">
            <w:pPr>
              <w:pStyle w:val="QPPTableTextBody"/>
            </w:pPr>
            <w:r w:rsidRPr="00EE28B3">
              <w:t>Industry code</w:t>
            </w:r>
            <w:r w:rsidR="00467DB1" w:rsidRPr="001D1C59">
              <w:t>—</w:t>
            </w:r>
            <w:r w:rsidR="001470CE">
              <w:t xml:space="preserve">purpose, overall outcomes and </w:t>
            </w:r>
            <w:r w:rsidR="00467DB1" w:rsidRPr="001D1C59">
              <w:t>s</w:t>
            </w:r>
            <w:r w:rsidR="00101718" w:rsidRPr="001D1C59">
              <w:t>ection A outcomes only</w:t>
            </w:r>
          </w:p>
        </w:tc>
      </w:tr>
      <w:tr w:rsidR="000D36C1" w:rsidRPr="001D1C59" w:rsidTr="000B71F3">
        <w:tc>
          <w:tcPr>
            <w:tcW w:w="1620" w:type="dxa"/>
            <w:vMerge/>
            <w:shd w:val="clear" w:color="auto" w:fill="auto"/>
          </w:tcPr>
          <w:p w:rsidR="000D36C1" w:rsidRPr="001D1C59" w:rsidRDefault="000D36C1" w:rsidP="006146F0"/>
        </w:tc>
        <w:tc>
          <w:tcPr>
            <w:tcW w:w="3308" w:type="dxa"/>
            <w:shd w:val="clear" w:color="auto" w:fill="auto"/>
          </w:tcPr>
          <w:p w:rsidR="000D36C1" w:rsidRPr="001D1C59" w:rsidRDefault="00452DD1">
            <w:pPr>
              <w:pStyle w:val="QPPTableTextBody"/>
            </w:pPr>
            <w:r w:rsidRPr="001D1C59">
              <w:t xml:space="preserve">If involving a new premises or an existing premises with an increase </w:t>
            </w:r>
            <w:r w:rsidRPr="001D1C59">
              <w:lastRenderedPageBreak/>
              <w:t xml:space="preserve">in </w:t>
            </w:r>
            <w:r w:rsidR="00E6791E" w:rsidRPr="00EE28B3">
              <w:t>gross floor area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6C395C" w:rsidRPr="001D1C59" w:rsidRDefault="006C395C" w:rsidP="00452DD1">
            <w:pPr>
              <w:pStyle w:val="QPPTableTextBody"/>
            </w:pPr>
            <w:r w:rsidRPr="00EE28B3">
              <w:lastRenderedPageBreak/>
              <w:t>Milton neighbourhood plan code</w:t>
            </w:r>
          </w:p>
          <w:p w:rsidR="00101718" w:rsidRPr="001D1C59" w:rsidRDefault="000D36C1" w:rsidP="00452DD1">
            <w:pPr>
              <w:pStyle w:val="QPPTableTextBody"/>
            </w:pPr>
            <w:r w:rsidRPr="00EE28B3">
              <w:t>Industry code</w:t>
            </w:r>
          </w:p>
          <w:p w:rsidR="000D36C1" w:rsidRPr="001D1C59" w:rsidRDefault="00013993" w:rsidP="00452DD1">
            <w:pPr>
              <w:pStyle w:val="QPPTableTextBody"/>
            </w:pPr>
            <w:r w:rsidRPr="00EE28B3">
              <w:lastRenderedPageBreak/>
              <w:t>Prescribed secondary code</w:t>
            </w:r>
          </w:p>
        </w:tc>
      </w:tr>
    </w:tbl>
    <w:p w:rsidR="00F55BB1" w:rsidRPr="001D1C59" w:rsidRDefault="00F55BB1" w:rsidP="00F55BB1">
      <w:pPr>
        <w:pStyle w:val="QPPTableHeadingStyle1"/>
      </w:pPr>
      <w:bookmarkStart w:id="2" w:name="Table5941B"/>
      <w:r w:rsidRPr="001D1C59">
        <w:lastRenderedPageBreak/>
        <w:t xml:space="preserve">Table </w:t>
      </w:r>
      <w:r w:rsidR="00FF4F51">
        <w:t>5.9</w:t>
      </w:r>
      <w:r w:rsidRPr="001D1C59">
        <w:t>.</w:t>
      </w:r>
      <w:r w:rsidR="00E0478B">
        <w:t>41</w:t>
      </w:r>
      <w:r>
        <w:t>.B</w:t>
      </w:r>
      <w:r w:rsidRPr="001D1C59">
        <w:t xml:space="preserve">—Milton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F55BB1" w:rsidRPr="000B71F3" w:rsidTr="000B71F3">
        <w:trPr>
          <w:trHeight w:val="434"/>
        </w:trPr>
        <w:tc>
          <w:tcPr>
            <w:tcW w:w="1620" w:type="dxa"/>
            <w:shd w:val="clear" w:color="auto" w:fill="auto"/>
          </w:tcPr>
          <w:bookmarkEnd w:id="2"/>
          <w:p w:rsidR="00F55BB1" w:rsidRPr="001D1C59" w:rsidRDefault="00F55BB1" w:rsidP="00F55BB1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F55BB1" w:rsidRPr="001D1C59" w:rsidRDefault="001470CE" w:rsidP="00F55BB1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F55BB1" w:rsidRPr="001D1C59">
              <w:t xml:space="preserve">of </w:t>
            </w:r>
            <w:r>
              <w:t xml:space="preserve">development and </w:t>
            </w:r>
            <w:r w:rsidR="00F55BB1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F55BB1" w:rsidRPr="001D1C59" w:rsidRDefault="00F55BB1" w:rsidP="001470CE">
            <w:pPr>
              <w:pStyle w:val="QPPTableTextBold"/>
            </w:pPr>
            <w:r w:rsidRPr="001D1C59">
              <w:t xml:space="preserve">Assessment </w:t>
            </w:r>
            <w:r w:rsidR="001470CE">
              <w:t>benchmarks</w:t>
            </w:r>
          </w:p>
        </w:tc>
      </w:tr>
      <w:tr w:rsidR="00F55BB1" w:rsidRPr="000B71F3" w:rsidTr="000B71F3">
        <w:trPr>
          <w:trHeight w:val="434"/>
        </w:trPr>
        <w:tc>
          <w:tcPr>
            <w:tcW w:w="1620" w:type="dxa"/>
            <w:shd w:val="clear" w:color="auto" w:fill="auto"/>
          </w:tcPr>
          <w:p w:rsidR="00F55BB1" w:rsidRPr="001D1C59" w:rsidRDefault="00F55BB1" w:rsidP="00F55BB1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F55BB1" w:rsidRPr="000B71F3" w:rsidRDefault="00F55BB1" w:rsidP="00383045">
            <w:pPr>
              <w:pStyle w:val="QPPTableTextBold"/>
            </w:pPr>
            <w:r w:rsidRPr="000B71F3">
              <w:t>No change</w:t>
            </w:r>
          </w:p>
        </w:tc>
        <w:tc>
          <w:tcPr>
            <w:tcW w:w="3352" w:type="dxa"/>
            <w:shd w:val="clear" w:color="auto" w:fill="auto"/>
          </w:tcPr>
          <w:p w:rsidR="00F55BB1" w:rsidRPr="00771B2D" w:rsidRDefault="00F55BB1" w:rsidP="00F55BB1">
            <w:pPr>
              <w:pStyle w:val="QPPTableTextBody"/>
            </w:pPr>
            <w:r w:rsidRPr="00EE28B3">
              <w:t>Milton neighbourhood plan code</w:t>
            </w:r>
          </w:p>
        </w:tc>
      </w:tr>
    </w:tbl>
    <w:p w:rsidR="00F55BB1" w:rsidRPr="001D1C59" w:rsidRDefault="00F55BB1" w:rsidP="00F55BB1">
      <w:pPr>
        <w:pStyle w:val="QPPTableHeadingStyle1"/>
      </w:pPr>
      <w:bookmarkStart w:id="3" w:name="Table5941C"/>
      <w:r w:rsidRPr="001D1C59">
        <w:t xml:space="preserve">Table </w:t>
      </w:r>
      <w:r w:rsidR="00FF4F51">
        <w:t>5.9</w:t>
      </w:r>
      <w:r w:rsidRPr="001D1C59">
        <w:t>.</w:t>
      </w:r>
      <w:r w:rsidR="00E0478B">
        <w:t>41</w:t>
      </w:r>
      <w:r>
        <w:t>.C</w:t>
      </w:r>
      <w:r w:rsidRPr="001D1C59">
        <w:t xml:space="preserve">—Milton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F55BB1" w:rsidRPr="000B71F3" w:rsidTr="000B71F3">
        <w:trPr>
          <w:trHeight w:val="434"/>
        </w:trPr>
        <w:tc>
          <w:tcPr>
            <w:tcW w:w="1620" w:type="dxa"/>
            <w:shd w:val="clear" w:color="auto" w:fill="auto"/>
          </w:tcPr>
          <w:bookmarkEnd w:id="3"/>
          <w:p w:rsidR="00F55BB1" w:rsidRPr="001D1C59" w:rsidRDefault="00F55BB1" w:rsidP="00F55BB1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F55BB1" w:rsidRPr="001D1C59" w:rsidRDefault="001470CE" w:rsidP="00F55BB1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F55BB1" w:rsidRPr="001D1C59">
              <w:t xml:space="preserve">of </w:t>
            </w:r>
            <w:r>
              <w:t xml:space="preserve">development and </w:t>
            </w:r>
            <w:r w:rsidR="00F55BB1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F55BB1" w:rsidRPr="001D1C59" w:rsidRDefault="00F55BB1" w:rsidP="001470CE">
            <w:pPr>
              <w:pStyle w:val="QPPTableTextBold"/>
            </w:pPr>
            <w:r w:rsidRPr="001D1C59">
              <w:t xml:space="preserve">Assessment </w:t>
            </w:r>
            <w:r w:rsidR="001470CE">
              <w:t>benchmarks</w:t>
            </w:r>
          </w:p>
        </w:tc>
      </w:tr>
      <w:tr w:rsidR="00F55BB1" w:rsidRPr="000B71F3" w:rsidTr="000B71F3">
        <w:trPr>
          <w:trHeight w:val="434"/>
        </w:trPr>
        <w:tc>
          <w:tcPr>
            <w:tcW w:w="1620" w:type="dxa"/>
            <w:shd w:val="clear" w:color="auto" w:fill="auto"/>
          </w:tcPr>
          <w:p w:rsidR="00F55BB1" w:rsidRPr="001D1C59" w:rsidRDefault="00F55BB1" w:rsidP="00F55BB1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F55BB1" w:rsidRPr="000B71F3" w:rsidRDefault="00F55BB1" w:rsidP="00383045">
            <w:pPr>
              <w:pStyle w:val="QPPTableTextBold"/>
            </w:pPr>
            <w:r w:rsidRPr="000B71F3">
              <w:t>No change</w:t>
            </w:r>
          </w:p>
        </w:tc>
        <w:tc>
          <w:tcPr>
            <w:tcW w:w="3352" w:type="dxa"/>
            <w:shd w:val="clear" w:color="auto" w:fill="auto"/>
          </w:tcPr>
          <w:p w:rsidR="00F55BB1" w:rsidRPr="00771B2D" w:rsidRDefault="00F55BB1" w:rsidP="00F55BB1">
            <w:pPr>
              <w:pStyle w:val="QPPTableTextBody"/>
            </w:pPr>
            <w:r w:rsidRPr="00EE28B3">
              <w:t>Milton neighbourhood plan code</w:t>
            </w:r>
          </w:p>
        </w:tc>
      </w:tr>
    </w:tbl>
    <w:p w:rsidR="00F55BB1" w:rsidRPr="001D1C59" w:rsidRDefault="00F55BB1" w:rsidP="00F55BB1">
      <w:pPr>
        <w:pStyle w:val="QPPTableHeadingStyle1"/>
      </w:pPr>
      <w:bookmarkStart w:id="4" w:name="Table5941D"/>
      <w:r w:rsidRPr="001D1C59">
        <w:t xml:space="preserve">Table </w:t>
      </w:r>
      <w:r w:rsidR="00FF4F51">
        <w:t>5.9</w:t>
      </w:r>
      <w:r w:rsidRPr="001D1C59">
        <w:t>.</w:t>
      </w:r>
      <w:r w:rsidR="00E0478B">
        <w:t>41</w:t>
      </w:r>
      <w:r>
        <w:t>.D</w:t>
      </w:r>
      <w:r w:rsidRPr="001D1C59">
        <w:t xml:space="preserve">—Milton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F55BB1" w:rsidRPr="000B71F3" w:rsidTr="000B71F3">
        <w:trPr>
          <w:trHeight w:val="434"/>
        </w:trPr>
        <w:tc>
          <w:tcPr>
            <w:tcW w:w="1620" w:type="dxa"/>
            <w:shd w:val="clear" w:color="auto" w:fill="auto"/>
          </w:tcPr>
          <w:bookmarkEnd w:id="4"/>
          <w:p w:rsidR="00F55BB1" w:rsidRPr="001D1C59" w:rsidRDefault="00F55BB1" w:rsidP="00F55BB1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F55BB1" w:rsidRPr="001D1C59" w:rsidRDefault="001470CE" w:rsidP="00F55BB1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F55BB1" w:rsidRPr="001D1C59">
              <w:t xml:space="preserve">of </w:t>
            </w:r>
            <w:r>
              <w:t xml:space="preserve">development and </w:t>
            </w:r>
            <w:r w:rsidR="00F55BB1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F55BB1" w:rsidRPr="001D1C59" w:rsidRDefault="00F55BB1" w:rsidP="001470CE">
            <w:pPr>
              <w:pStyle w:val="QPPTableTextBold"/>
            </w:pPr>
            <w:r w:rsidRPr="001D1C59">
              <w:t xml:space="preserve">Assessment </w:t>
            </w:r>
            <w:r w:rsidR="001470CE">
              <w:t>benchmarks</w:t>
            </w:r>
          </w:p>
        </w:tc>
      </w:tr>
      <w:tr w:rsidR="00F55BB1" w:rsidRPr="000B71F3" w:rsidTr="000B71F3">
        <w:trPr>
          <w:trHeight w:val="434"/>
        </w:trPr>
        <w:tc>
          <w:tcPr>
            <w:tcW w:w="1620" w:type="dxa"/>
            <w:shd w:val="clear" w:color="auto" w:fill="auto"/>
          </w:tcPr>
          <w:p w:rsidR="00F55BB1" w:rsidRPr="001D1C59" w:rsidRDefault="00F55BB1" w:rsidP="00F55BB1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F55BB1" w:rsidRPr="000B71F3" w:rsidRDefault="00F55BB1" w:rsidP="00383045">
            <w:pPr>
              <w:pStyle w:val="QPPTableTextBold"/>
            </w:pPr>
            <w:r w:rsidRPr="000B71F3">
              <w:t>No change</w:t>
            </w:r>
          </w:p>
        </w:tc>
        <w:tc>
          <w:tcPr>
            <w:tcW w:w="3352" w:type="dxa"/>
            <w:shd w:val="clear" w:color="auto" w:fill="auto"/>
          </w:tcPr>
          <w:p w:rsidR="00F55BB1" w:rsidRPr="00771B2D" w:rsidRDefault="00F55BB1" w:rsidP="00F55BB1">
            <w:pPr>
              <w:pStyle w:val="QPPTableTextBody"/>
            </w:pPr>
            <w:r w:rsidRPr="00EE28B3">
              <w:t>Milton neighbourhood plan code</w:t>
            </w:r>
          </w:p>
        </w:tc>
      </w:tr>
    </w:tbl>
    <w:p w:rsidR="00F55BB1" w:rsidRDefault="00F55BB1" w:rsidP="00086159">
      <w:pPr>
        <w:pStyle w:val="QPPBodytext"/>
      </w:pPr>
    </w:p>
    <w:sectPr w:rsidR="00F55B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1F3" w:rsidRDefault="000B71F3">
      <w:r>
        <w:separator/>
      </w:r>
    </w:p>
  </w:endnote>
  <w:endnote w:type="continuationSeparator" w:id="0">
    <w:p w:rsidR="000B71F3" w:rsidRDefault="000B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532" w:rsidRDefault="00B225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8B" w:rsidRDefault="00DE0578" w:rsidP="00DE0578">
    <w:pPr>
      <w:pStyle w:val="QPPFooter"/>
      <w:tabs>
        <w:tab w:val="left" w:pos="2910"/>
      </w:tabs>
    </w:pPr>
    <w:r w:rsidRPr="00DE0578">
      <w:t>Part 5 - Tables of Assessment (Milton NP)</w:t>
    </w:r>
    <w:r>
      <w:ptab w:relativeTo="margin" w:alignment="center" w:leader="none"/>
    </w:r>
    <w:r>
      <w:ptab w:relativeTo="margin" w:alignment="right" w:leader="none"/>
    </w:r>
    <w:r w:rsidRPr="00DE0578">
      <w:t xml:space="preserve">Effective </w:t>
    </w:r>
    <w:r w:rsidR="00B22532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532" w:rsidRDefault="00B225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1F3" w:rsidRDefault="000B71F3">
      <w:r>
        <w:separator/>
      </w:r>
    </w:p>
  </w:footnote>
  <w:footnote w:type="continuationSeparator" w:id="0">
    <w:p w:rsidR="000B71F3" w:rsidRDefault="000B7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19B" w:rsidRDefault="009659A5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53938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532" w:rsidRDefault="00B2253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19B" w:rsidRDefault="009659A5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53937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10"/>
  </w:num>
  <w:num w:numId="5">
    <w:abstractNumId w:val="29"/>
  </w:num>
  <w:num w:numId="6">
    <w:abstractNumId w:val="33"/>
  </w:num>
  <w:num w:numId="7">
    <w:abstractNumId w:val="32"/>
  </w:num>
  <w:num w:numId="8">
    <w:abstractNumId w:val="9"/>
  </w:num>
  <w:num w:numId="9">
    <w:abstractNumId w:val="22"/>
  </w:num>
  <w:num w:numId="10">
    <w:abstractNumId w:val="25"/>
  </w:num>
  <w:num w:numId="11">
    <w:abstractNumId w:val="12"/>
  </w:num>
  <w:num w:numId="12">
    <w:abstractNumId w:val="22"/>
    <w:lvlOverride w:ilvl="0">
      <w:startOverride w:val="1"/>
    </w:lvlOverride>
  </w:num>
  <w:num w:numId="13">
    <w:abstractNumId w:val="18"/>
  </w:num>
  <w:num w:numId="14">
    <w:abstractNumId w:val="19"/>
  </w:num>
  <w:num w:numId="15">
    <w:abstractNumId w:val="11"/>
  </w:num>
  <w:num w:numId="16">
    <w:abstractNumId w:val="34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36"/>
  </w:num>
  <w:num w:numId="38">
    <w:abstractNumId w:val="20"/>
  </w:num>
  <w:num w:numId="39">
    <w:abstractNumId w:val="17"/>
  </w:num>
  <w:num w:numId="40">
    <w:abstractNumId w:val="35"/>
  </w:num>
  <w:num w:numId="41">
    <w:abstractNumId w:val="14"/>
  </w:num>
  <w:num w:numId="42">
    <w:abstractNumId w:val="37"/>
  </w:num>
  <w:num w:numId="43">
    <w:abstractNumId w:val="13"/>
  </w:num>
  <w:num w:numId="44">
    <w:abstractNumId w:val="26"/>
  </w:num>
  <w:num w:numId="45">
    <w:abstractNumId w:val="21"/>
  </w:num>
  <w:num w:numId="46">
    <w:abstractNumId w:val="23"/>
  </w:num>
  <w:num w:numId="47">
    <w:abstractNumId w:val="27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OfU+hE8DOpHa5r+6pAv0utT5a9Q=" w:salt="/rvuAnKyMFb916qBKE03Pw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3993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15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1F3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A7C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6FDF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2A0C"/>
    <w:rsid w:val="0011599E"/>
    <w:rsid w:val="00115F08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0C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419B"/>
    <w:rsid w:val="00176F11"/>
    <w:rsid w:val="001814C7"/>
    <w:rsid w:val="001820F9"/>
    <w:rsid w:val="001832AC"/>
    <w:rsid w:val="001852F7"/>
    <w:rsid w:val="00185361"/>
    <w:rsid w:val="00185830"/>
    <w:rsid w:val="00187522"/>
    <w:rsid w:val="0019056B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C6FC9"/>
    <w:rsid w:val="001C75C9"/>
    <w:rsid w:val="001D1C59"/>
    <w:rsid w:val="001D2038"/>
    <w:rsid w:val="001D3F79"/>
    <w:rsid w:val="001D4119"/>
    <w:rsid w:val="001D7A93"/>
    <w:rsid w:val="001E0D29"/>
    <w:rsid w:val="001E1B4E"/>
    <w:rsid w:val="001E20C6"/>
    <w:rsid w:val="001E2F5A"/>
    <w:rsid w:val="001E3282"/>
    <w:rsid w:val="001E552C"/>
    <w:rsid w:val="001E79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538C"/>
    <w:rsid w:val="002653D3"/>
    <w:rsid w:val="00271E2B"/>
    <w:rsid w:val="002813B1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1848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3CDE"/>
    <w:rsid w:val="00313DC6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145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0C00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3045"/>
    <w:rsid w:val="003859F0"/>
    <w:rsid w:val="00387AB5"/>
    <w:rsid w:val="00390463"/>
    <w:rsid w:val="00390E6C"/>
    <w:rsid w:val="00391513"/>
    <w:rsid w:val="0039395D"/>
    <w:rsid w:val="003943EA"/>
    <w:rsid w:val="00396CC7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E87"/>
    <w:rsid w:val="003C1FD4"/>
    <w:rsid w:val="003C20E6"/>
    <w:rsid w:val="003C2778"/>
    <w:rsid w:val="003C282A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3C83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1A61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95A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27DBC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29C4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4550"/>
    <w:rsid w:val="005E6A2B"/>
    <w:rsid w:val="005F0055"/>
    <w:rsid w:val="005F091D"/>
    <w:rsid w:val="005F1A41"/>
    <w:rsid w:val="005F1A5D"/>
    <w:rsid w:val="005F4FF3"/>
    <w:rsid w:val="005F757D"/>
    <w:rsid w:val="005F7732"/>
    <w:rsid w:val="005F7BBE"/>
    <w:rsid w:val="00602BC1"/>
    <w:rsid w:val="006034F4"/>
    <w:rsid w:val="00605936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C774E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4CEB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640E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1C7"/>
    <w:rsid w:val="007C3D7D"/>
    <w:rsid w:val="007C499F"/>
    <w:rsid w:val="007C5520"/>
    <w:rsid w:val="007D0924"/>
    <w:rsid w:val="007D6B8A"/>
    <w:rsid w:val="007D7A4D"/>
    <w:rsid w:val="007E35E4"/>
    <w:rsid w:val="007E4936"/>
    <w:rsid w:val="007E4A1D"/>
    <w:rsid w:val="007E79F1"/>
    <w:rsid w:val="007F068E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170E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4DFA"/>
    <w:rsid w:val="0085714D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5051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59A5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622B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0ED0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50C6"/>
    <w:rsid w:val="00A87783"/>
    <w:rsid w:val="00A87F49"/>
    <w:rsid w:val="00A903F2"/>
    <w:rsid w:val="00A92180"/>
    <w:rsid w:val="00A9373D"/>
    <w:rsid w:val="00A945BC"/>
    <w:rsid w:val="00A9470C"/>
    <w:rsid w:val="00A959B9"/>
    <w:rsid w:val="00A95A13"/>
    <w:rsid w:val="00A95E04"/>
    <w:rsid w:val="00A96ED7"/>
    <w:rsid w:val="00A97886"/>
    <w:rsid w:val="00A97BAD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6B4A"/>
    <w:rsid w:val="00AC76C3"/>
    <w:rsid w:val="00AC7D33"/>
    <w:rsid w:val="00AD0BEB"/>
    <w:rsid w:val="00AD28A7"/>
    <w:rsid w:val="00AD2B4E"/>
    <w:rsid w:val="00AD310B"/>
    <w:rsid w:val="00AD6495"/>
    <w:rsid w:val="00AD6C1F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532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1E38"/>
    <w:rsid w:val="00B64BD2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49E5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3BE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29F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83B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3F8F"/>
    <w:rsid w:val="00CD467A"/>
    <w:rsid w:val="00CD6CB5"/>
    <w:rsid w:val="00CD6CDE"/>
    <w:rsid w:val="00CD6FBA"/>
    <w:rsid w:val="00CD71D3"/>
    <w:rsid w:val="00CD77E1"/>
    <w:rsid w:val="00CE196D"/>
    <w:rsid w:val="00CE2303"/>
    <w:rsid w:val="00CE2A80"/>
    <w:rsid w:val="00CE4679"/>
    <w:rsid w:val="00CE48D9"/>
    <w:rsid w:val="00CE5215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1D5E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5E6F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2D89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578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478B"/>
    <w:rsid w:val="00E05491"/>
    <w:rsid w:val="00E06932"/>
    <w:rsid w:val="00E07525"/>
    <w:rsid w:val="00E07BFC"/>
    <w:rsid w:val="00E1064C"/>
    <w:rsid w:val="00E10746"/>
    <w:rsid w:val="00E10963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6791E"/>
    <w:rsid w:val="00E715E6"/>
    <w:rsid w:val="00E72534"/>
    <w:rsid w:val="00E7311E"/>
    <w:rsid w:val="00E74125"/>
    <w:rsid w:val="00E743B8"/>
    <w:rsid w:val="00E75079"/>
    <w:rsid w:val="00E75E92"/>
    <w:rsid w:val="00E761C8"/>
    <w:rsid w:val="00E76B63"/>
    <w:rsid w:val="00E7716F"/>
    <w:rsid w:val="00E8077A"/>
    <w:rsid w:val="00E80BCB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4FAB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28B3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017D"/>
    <w:rsid w:val="00F11A7F"/>
    <w:rsid w:val="00F12651"/>
    <w:rsid w:val="00F20FF2"/>
    <w:rsid w:val="00F23DEC"/>
    <w:rsid w:val="00F2421F"/>
    <w:rsid w:val="00F24A89"/>
    <w:rsid w:val="00F25493"/>
    <w:rsid w:val="00F26782"/>
    <w:rsid w:val="00F26D48"/>
    <w:rsid w:val="00F27C44"/>
    <w:rsid w:val="00F305EC"/>
    <w:rsid w:val="00F3311A"/>
    <w:rsid w:val="00F33906"/>
    <w:rsid w:val="00F342DF"/>
    <w:rsid w:val="00F34DB2"/>
    <w:rsid w:val="00F35ACE"/>
    <w:rsid w:val="00F36A91"/>
    <w:rsid w:val="00F3790C"/>
    <w:rsid w:val="00F41832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5BB1"/>
    <w:rsid w:val="00F5654A"/>
    <w:rsid w:val="00F56EB7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162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E7D10"/>
    <w:rsid w:val="00FF030F"/>
    <w:rsid w:val="00FF0C97"/>
    <w:rsid w:val="00FF43CD"/>
    <w:rsid w:val="00FF4644"/>
    <w:rsid w:val="00FF4F51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7704CBAF-4E75-4F15-B57E-35A77215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QPP Body Text"/>
    <w:next w:val="QPPBodytext"/>
    <w:qFormat/>
    <w:rsid w:val="009659A5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1D7A9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1D7A9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1D7A9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1D7A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1D7A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1D7A9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1D7A93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1D7A9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1D7A9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9659A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659A5"/>
  </w:style>
  <w:style w:type="paragraph" w:customStyle="1" w:styleId="QPPBodytext">
    <w:name w:val="QPP Body text"/>
    <w:basedOn w:val="Normal"/>
    <w:link w:val="QPPBodytextChar"/>
    <w:rsid w:val="009659A5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1D7A93"/>
    <w:rPr>
      <w:rFonts w:ascii="Arial" w:hAnsi="Arial" w:cs="Arial"/>
      <w:color w:val="000000"/>
    </w:rPr>
  </w:style>
  <w:style w:type="table" w:styleId="TableGrid">
    <w:name w:val="Table Grid"/>
    <w:basedOn w:val="TableNormal"/>
    <w:rsid w:val="009659A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9659A5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9659A5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9659A5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9659A5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1D7A93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9659A5"/>
    <w:pPr>
      <w:numPr>
        <w:numId w:val="26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9659A5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9659A5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9659A5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9659A5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9659A5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1D7A93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9659A5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9659A5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9659A5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9659A5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9659A5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9659A5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9659A5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9659A5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9659A5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9659A5"/>
    <w:rPr>
      <w:vertAlign w:val="superscript"/>
    </w:rPr>
  </w:style>
  <w:style w:type="character" w:customStyle="1" w:styleId="QPPSuperscriptChar">
    <w:name w:val="QPP Superscript Char"/>
    <w:link w:val="QPPSuperscript"/>
    <w:rsid w:val="001D7A93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1D7A93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1D7A93"/>
    <w:rPr>
      <w:sz w:val="16"/>
      <w:szCs w:val="16"/>
    </w:rPr>
  </w:style>
  <w:style w:type="paragraph" w:styleId="CommentText">
    <w:name w:val="annotation text"/>
    <w:basedOn w:val="Normal"/>
    <w:semiHidden/>
    <w:locked/>
    <w:rsid w:val="001D7A93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1D7A93"/>
    <w:rPr>
      <w:b/>
      <w:bCs/>
    </w:rPr>
  </w:style>
  <w:style w:type="paragraph" w:styleId="BalloonText">
    <w:name w:val="Balloon Text"/>
    <w:basedOn w:val="Normal"/>
    <w:semiHidden/>
    <w:locked/>
    <w:rsid w:val="001D7A9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1D7A93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1D7A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9659A5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9659A5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9659A5"/>
    <w:pPr>
      <w:numPr>
        <w:numId w:val="11"/>
      </w:numPr>
      <w:tabs>
        <w:tab w:val="left" w:pos="567"/>
      </w:tabs>
    </w:pPr>
  </w:style>
  <w:style w:type="character" w:styleId="FollowedHyperlink">
    <w:name w:val="FollowedHyperlink"/>
    <w:semiHidden/>
    <w:locked/>
    <w:rsid w:val="001D7A93"/>
    <w:rPr>
      <w:color w:val="800080"/>
      <w:u w:val="single"/>
    </w:rPr>
  </w:style>
  <w:style w:type="character" w:customStyle="1" w:styleId="QPPHeading4Char">
    <w:name w:val="QPP Heading 4 Char"/>
    <w:link w:val="QPPHeading4"/>
    <w:rsid w:val="001D7A93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1D7A93"/>
    <w:pPr>
      <w:numPr>
        <w:numId w:val="13"/>
      </w:numPr>
    </w:pPr>
  </w:style>
  <w:style w:type="paragraph" w:customStyle="1" w:styleId="QPPBulletpoint3">
    <w:name w:val="QPP Bullet point 3"/>
    <w:basedOn w:val="Normal"/>
    <w:rsid w:val="009659A5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1D7A93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9659A5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1D7A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D3F8F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1D7A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D3F8F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1D7A93"/>
  </w:style>
  <w:style w:type="numbering" w:styleId="1ai">
    <w:name w:val="Outline List 1"/>
    <w:basedOn w:val="NoList"/>
    <w:semiHidden/>
    <w:locked/>
    <w:rsid w:val="001D7A93"/>
  </w:style>
  <w:style w:type="numbering" w:styleId="ArticleSection">
    <w:name w:val="Outline List 3"/>
    <w:basedOn w:val="NoList"/>
    <w:semiHidden/>
    <w:locked/>
    <w:rsid w:val="001D7A93"/>
  </w:style>
  <w:style w:type="paragraph" w:styleId="Bibliography">
    <w:name w:val="Bibliography"/>
    <w:basedOn w:val="Normal"/>
    <w:next w:val="Normal"/>
    <w:uiPriority w:val="37"/>
    <w:semiHidden/>
    <w:unhideWhenUsed/>
    <w:rsid w:val="009659A5"/>
  </w:style>
  <w:style w:type="paragraph" w:styleId="BlockText">
    <w:name w:val="Block Text"/>
    <w:basedOn w:val="Normal"/>
    <w:semiHidden/>
    <w:locked/>
    <w:rsid w:val="001D7A9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1D7A9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D7A93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1D7A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D7A93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1D7A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D7A93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1D7A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1D7A93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1D7A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D7A93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1D7A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D7A93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1D7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D7A93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1D7A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D7A93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9659A5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1D7A9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1D7A93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1D7A93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9659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9659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9659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9659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9659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9659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9659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9659A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9659A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9659A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9659A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9659A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9659A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9659A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9659A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9659A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9659A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9659A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9659A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9659A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9659A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9659A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9659A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9659A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9659A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9659A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9659A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9659A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1D7A93"/>
  </w:style>
  <w:style w:type="character" w:customStyle="1" w:styleId="DateChar">
    <w:name w:val="Date Char"/>
    <w:basedOn w:val="DefaultParagraphFont"/>
    <w:link w:val="Date"/>
    <w:semiHidden/>
    <w:rsid w:val="001D7A93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1D7A9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1D7A93"/>
  </w:style>
  <w:style w:type="character" w:customStyle="1" w:styleId="E-mailSignatureChar">
    <w:name w:val="E-mail Signature Char"/>
    <w:basedOn w:val="DefaultParagraphFont"/>
    <w:link w:val="E-mailSignature"/>
    <w:semiHidden/>
    <w:rsid w:val="001D7A93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1D7A93"/>
    <w:rPr>
      <w:i/>
      <w:iCs/>
    </w:rPr>
  </w:style>
  <w:style w:type="character" w:styleId="EndnoteReference">
    <w:name w:val="endnote reference"/>
    <w:basedOn w:val="DefaultParagraphFont"/>
    <w:semiHidden/>
    <w:locked/>
    <w:rsid w:val="001D7A93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1D7A9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D7A93"/>
    <w:rPr>
      <w:rFonts w:ascii="Arial" w:hAnsi="Arial"/>
    </w:rPr>
  </w:style>
  <w:style w:type="paragraph" w:styleId="EnvelopeAddress">
    <w:name w:val="envelope address"/>
    <w:basedOn w:val="Normal"/>
    <w:semiHidden/>
    <w:locked/>
    <w:rsid w:val="001D7A9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1D7A93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1D7A93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1D7A9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D7A93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1D7A93"/>
  </w:style>
  <w:style w:type="paragraph" w:styleId="HTMLAddress">
    <w:name w:val="HTML Address"/>
    <w:basedOn w:val="Normal"/>
    <w:link w:val="HTMLAddressChar"/>
    <w:semiHidden/>
    <w:locked/>
    <w:rsid w:val="001D7A9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D7A93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1D7A93"/>
    <w:rPr>
      <w:i/>
      <w:iCs/>
    </w:rPr>
  </w:style>
  <w:style w:type="character" w:styleId="HTMLCode">
    <w:name w:val="HTML Code"/>
    <w:basedOn w:val="DefaultParagraphFont"/>
    <w:semiHidden/>
    <w:locked/>
    <w:rsid w:val="001D7A9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1D7A93"/>
    <w:rPr>
      <w:i/>
      <w:iCs/>
    </w:rPr>
  </w:style>
  <w:style w:type="character" w:styleId="HTMLKeyboard">
    <w:name w:val="HTML Keyboard"/>
    <w:basedOn w:val="DefaultParagraphFont"/>
    <w:semiHidden/>
    <w:locked/>
    <w:rsid w:val="001D7A9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1D7A93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D7A93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1D7A9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1D7A9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1D7A93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1D7A93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1D7A93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1D7A93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1D7A93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1D7A93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1D7A93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1D7A93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1D7A93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1D7A93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1D7A9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9659A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659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D7A93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9659A5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9659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9659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9659A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9659A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9659A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9659A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9659A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9659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9659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9659A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9659A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9659A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9659A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9659A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9659A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9659A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9659A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9659A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9659A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9659A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9659A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1D7A93"/>
  </w:style>
  <w:style w:type="paragraph" w:styleId="List">
    <w:name w:val="List"/>
    <w:basedOn w:val="Normal"/>
    <w:semiHidden/>
    <w:locked/>
    <w:rsid w:val="001D7A93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1D7A93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1D7A93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1D7A93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1D7A93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1D7A93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1D7A93"/>
    <w:pPr>
      <w:numPr>
        <w:numId w:val="17"/>
      </w:numPr>
      <w:contextualSpacing/>
    </w:pPr>
  </w:style>
  <w:style w:type="paragraph" w:styleId="ListBullet3">
    <w:name w:val="List Bullet 3"/>
    <w:basedOn w:val="Normal"/>
    <w:semiHidden/>
    <w:locked/>
    <w:rsid w:val="001D7A93"/>
    <w:pPr>
      <w:numPr>
        <w:numId w:val="18"/>
      </w:numPr>
      <w:contextualSpacing/>
    </w:pPr>
  </w:style>
  <w:style w:type="paragraph" w:styleId="ListBullet4">
    <w:name w:val="List Bullet 4"/>
    <w:basedOn w:val="Normal"/>
    <w:semiHidden/>
    <w:locked/>
    <w:rsid w:val="001D7A93"/>
    <w:pPr>
      <w:numPr>
        <w:numId w:val="19"/>
      </w:numPr>
      <w:contextualSpacing/>
    </w:pPr>
  </w:style>
  <w:style w:type="paragraph" w:styleId="ListBullet5">
    <w:name w:val="List Bullet 5"/>
    <w:basedOn w:val="Normal"/>
    <w:semiHidden/>
    <w:locked/>
    <w:rsid w:val="001D7A93"/>
    <w:pPr>
      <w:numPr>
        <w:numId w:val="20"/>
      </w:numPr>
      <w:contextualSpacing/>
    </w:pPr>
  </w:style>
  <w:style w:type="paragraph" w:styleId="ListContinue">
    <w:name w:val="List Continue"/>
    <w:basedOn w:val="Normal"/>
    <w:semiHidden/>
    <w:locked/>
    <w:rsid w:val="001D7A9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1D7A9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1D7A9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1D7A9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1D7A93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1D7A93"/>
    <w:pPr>
      <w:numPr>
        <w:numId w:val="21"/>
      </w:numPr>
      <w:contextualSpacing/>
    </w:pPr>
  </w:style>
  <w:style w:type="paragraph" w:styleId="ListNumber2">
    <w:name w:val="List Number 2"/>
    <w:basedOn w:val="Normal"/>
    <w:semiHidden/>
    <w:locked/>
    <w:rsid w:val="001D7A93"/>
    <w:pPr>
      <w:numPr>
        <w:numId w:val="22"/>
      </w:numPr>
      <w:contextualSpacing/>
    </w:pPr>
  </w:style>
  <w:style w:type="paragraph" w:styleId="ListNumber3">
    <w:name w:val="List Number 3"/>
    <w:basedOn w:val="Normal"/>
    <w:semiHidden/>
    <w:locked/>
    <w:rsid w:val="001D7A93"/>
    <w:pPr>
      <w:numPr>
        <w:numId w:val="23"/>
      </w:numPr>
      <w:contextualSpacing/>
    </w:pPr>
  </w:style>
  <w:style w:type="paragraph" w:styleId="ListNumber4">
    <w:name w:val="List Number 4"/>
    <w:basedOn w:val="Normal"/>
    <w:semiHidden/>
    <w:locked/>
    <w:rsid w:val="001D7A93"/>
    <w:pPr>
      <w:numPr>
        <w:numId w:val="24"/>
      </w:numPr>
      <w:contextualSpacing/>
    </w:pPr>
  </w:style>
  <w:style w:type="paragraph" w:styleId="ListNumber5">
    <w:name w:val="List Number 5"/>
    <w:basedOn w:val="Normal"/>
    <w:semiHidden/>
    <w:locked/>
    <w:rsid w:val="001D7A93"/>
    <w:pPr>
      <w:numPr>
        <w:numId w:val="25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1D7A93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9659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9659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9659A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9659A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9659A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9659A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9659A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9659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9659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9659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9659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9659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9659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9659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9659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9659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9659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9659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9659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9659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9659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9659A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9659A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9659A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9659A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9659A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9659A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9659A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9659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9659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9659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9659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9659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9659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9659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9659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9659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9659A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9659A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9659A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9659A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9659A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9659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9659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9659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9659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9659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9659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9659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1D7A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D7A9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9659A5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1D7A93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1D7A9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1D7A93"/>
  </w:style>
  <w:style w:type="character" w:customStyle="1" w:styleId="NoteHeadingChar">
    <w:name w:val="Note Heading Char"/>
    <w:basedOn w:val="DefaultParagraphFont"/>
    <w:link w:val="NoteHeading"/>
    <w:semiHidden/>
    <w:rsid w:val="001D7A93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1D7A93"/>
  </w:style>
  <w:style w:type="character" w:styleId="PlaceholderText">
    <w:name w:val="Placeholder Text"/>
    <w:basedOn w:val="DefaultParagraphFont"/>
    <w:uiPriority w:val="99"/>
    <w:semiHidden/>
    <w:rsid w:val="009659A5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1D7A9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D7A9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9659A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D7A93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1D7A93"/>
  </w:style>
  <w:style w:type="character" w:customStyle="1" w:styleId="SalutationChar">
    <w:name w:val="Salutation Char"/>
    <w:basedOn w:val="DefaultParagraphFont"/>
    <w:link w:val="Salutation"/>
    <w:semiHidden/>
    <w:rsid w:val="001D7A93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1D7A93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1D7A93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1D7A93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1D7A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1D7A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9659A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9659A5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1D7A9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1D7A9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1D7A9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1D7A9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1D7A9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1D7A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1D7A9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1D7A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1D7A9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1D7A9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1D7A9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1D7A9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1D7A9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1D7A9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1D7A9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1D7A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1D7A9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1D7A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1D7A9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1D7A9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1D7A9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1D7A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1D7A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1D7A9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1D7A9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1D7A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1D7A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1D7A9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1D7A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1D7A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1D7A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1D7A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1D7A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1D7A93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1D7A93"/>
  </w:style>
  <w:style w:type="table" w:styleId="TableProfessional">
    <w:name w:val="Table Professional"/>
    <w:basedOn w:val="TableNormal"/>
    <w:semiHidden/>
    <w:locked/>
    <w:rsid w:val="001D7A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1D7A9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1D7A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1D7A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1D7A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1D7A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1D7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1D7A9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1D7A9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1D7A9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1D7A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1D7A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1D7A93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1D7A93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1D7A9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1D7A9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1D7A9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1D7A9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1D7A9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1D7A9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1D7A9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1D7A93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9A5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9659A5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9659A5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1D7A93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9659A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64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2892</CharactersWithSpaces>
  <SharedDoc>false</SharedDoc>
  <HLinks>
    <vt:vector size="198" baseType="variant">
      <vt:variant>
        <vt:i4>6422633</vt:i4>
      </vt:variant>
      <vt:variant>
        <vt:i4>96</vt:i4>
      </vt:variant>
      <vt:variant>
        <vt:i4>0</vt:i4>
      </vt:variant>
      <vt:variant>
        <vt:i4>5</vt:i4>
      </vt:variant>
      <vt:variant>
        <vt:lpwstr>../../Part 7 - Local plans/MiltonLP.doc</vt:lpwstr>
      </vt:variant>
      <vt:variant>
        <vt:lpwstr/>
      </vt:variant>
      <vt:variant>
        <vt:i4>6422633</vt:i4>
      </vt:variant>
      <vt:variant>
        <vt:i4>93</vt:i4>
      </vt:variant>
      <vt:variant>
        <vt:i4>0</vt:i4>
      </vt:variant>
      <vt:variant>
        <vt:i4>5</vt:i4>
      </vt:variant>
      <vt:variant>
        <vt:lpwstr>../../Part 7 - Local plans/MiltonLP.doc</vt:lpwstr>
      </vt:variant>
      <vt:variant>
        <vt:lpwstr/>
      </vt:variant>
      <vt:variant>
        <vt:i4>6422633</vt:i4>
      </vt:variant>
      <vt:variant>
        <vt:i4>90</vt:i4>
      </vt:variant>
      <vt:variant>
        <vt:i4>0</vt:i4>
      </vt:variant>
      <vt:variant>
        <vt:i4>5</vt:i4>
      </vt:variant>
      <vt:variant>
        <vt:lpwstr>../../Part 7 - Local plans/MiltonLP.doc</vt:lpwstr>
      </vt:variant>
      <vt:variant>
        <vt:lpwstr/>
      </vt:variant>
      <vt:variant>
        <vt:i4>1572865</vt:i4>
      </vt:variant>
      <vt:variant>
        <vt:i4>85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4194315</vt:i4>
      </vt:variant>
      <vt:variant>
        <vt:i4>83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2621564</vt:i4>
      </vt:variant>
      <vt:variant>
        <vt:i4>81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/>
      </vt:variant>
      <vt:variant>
        <vt:i4>983068</vt:i4>
      </vt:variant>
      <vt:variant>
        <vt:i4>78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6422633</vt:i4>
      </vt:variant>
      <vt:variant>
        <vt:i4>75</vt:i4>
      </vt:variant>
      <vt:variant>
        <vt:i4>0</vt:i4>
      </vt:variant>
      <vt:variant>
        <vt:i4>5</vt:i4>
      </vt:variant>
      <vt:variant>
        <vt:lpwstr>../../Part 7 - Local plans/MiltonLP.doc</vt:lpwstr>
      </vt:variant>
      <vt:variant>
        <vt:lpwstr/>
      </vt:variant>
      <vt:variant>
        <vt:i4>4456469</vt:i4>
      </vt:variant>
      <vt:variant>
        <vt:i4>72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983068</vt:i4>
      </vt:variant>
      <vt:variant>
        <vt:i4>69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6422633</vt:i4>
      </vt:variant>
      <vt:variant>
        <vt:i4>66</vt:i4>
      </vt:variant>
      <vt:variant>
        <vt:i4>0</vt:i4>
      </vt:variant>
      <vt:variant>
        <vt:i4>5</vt:i4>
      </vt:variant>
      <vt:variant>
        <vt:lpwstr>../../Part 7 - Local plans/MiltonLP.doc</vt:lpwstr>
      </vt:variant>
      <vt:variant>
        <vt:lpwstr/>
      </vt:variant>
      <vt:variant>
        <vt:i4>983068</vt:i4>
      </vt:variant>
      <vt:variant>
        <vt:i4>63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3801194</vt:i4>
      </vt:variant>
      <vt:variant>
        <vt:i4>60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Warehouse</vt:lpwstr>
      </vt:variant>
      <vt:variant>
        <vt:i4>524294</vt:i4>
      </vt:variant>
      <vt:variant>
        <vt:i4>57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4194315</vt:i4>
      </vt:variant>
      <vt:variant>
        <vt:i4>53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1572865</vt:i4>
      </vt:variant>
      <vt:variant>
        <vt:i4>51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48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../../Part 7 - Local plans/MiltonLP.doc</vt:lpwstr>
      </vt:variant>
      <vt:variant>
        <vt:lpwstr/>
      </vt:variant>
      <vt:variant>
        <vt:i4>4456469</vt:i4>
      </vt:variant>
      <vt:variant>
        <vt:i4>42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39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6422633</vt:i4>
      </vt:variant>
      <vt:variant>
        <vt:i4>36</vt:i4>
      </vt:variant>
      <vt:variant>
        <vt:i4>0</vt:i4>
      </vt:variant>
      <vt:variant>
        <vt:i4>5</vt:i4>
      </vt:variant>
      <vt:variant>
        <vt:lpwstr>../../Part 7 - Local plans/MiltonLP.doc</vt:lpwstr>
      </vt:variant>
      <vt:variant>
        <vt:lpwstr/>
      </vt:variant>
      <vt:variant>
        <vt:i4>4456469</vt:i4>
      </vt:variant>
      <vt:variant>
        <vt:i4>33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30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4456469</vt:i4>
      </vt:variant>
      <vt:variant>
        <vt:i4>27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4718616</vt:i4>
      </vt:variant>
      <vt:variant>
        <vt:i4>24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Office</vt:lpwstr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6422633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plans/MiltonLP.doc</vt:lpwstr>
      </vt:variant>
      <vt:variant>
        <vt:lpwstr/>
      </vt:variant>
      <vt:variant>
        <vt:i4>6422633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plans/MiltonLP.doc</vt:lpwstr>
      </vt:variant>
      <vt:variant>
        <vt:lpwstr/>
      </vt:variant>
      <vt:variant>
        <vt:i4>3735592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plans/MiltonLP.doc</vt:lpwstr>
      </vt:variant>
      <vt:variant>
        <vt:lpwstr>Table721323B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6422633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plans/MiltonLP.doc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47</cp:revision>
  <cp:lastPrinted>2012-11-04T06:38:00Z</cp:lastPrinted>
  <dcterms:created xsi:type="dcterms:W3CDTF">2013-06-20T22:57:00Z</dcterms:created>
  <dcterms:modified xsi:type="dcterms:W3CDTF">2018-07-03T09:36:00Z</dcterms:modified>
</cp:coreProperties>
</file>