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85A90" w14:textId="6B98A467" w:rsidR="00A35C10" w:rsidRDefault="00697063" w:rsidP="00E70BB2">
      <w:pPr>
        <w:pStyle w:val="QPPHeading3"/>
      </w:pPr>
      <w:bookmarkStart w:id="0" w:name="_GoBack"/>
      <w:bookmarkEnd w:id="0"/>
      <w:r>
        <w:t>9.4.1</w:t>
      </w:r>
      <w:r w:rsidR="00054FB3">
        <w:t>0</w:t>
      </w:r>
      <w:r w:rsidR="00055F2C">
        <w:t xml:space="preserve"> </w:t>
      </w:r>
      <w:r w:rsidRPr="00BD2587">
        <w:t>Subdivision</w:t>
      </w:r>
      <w:r w:rsidR="00A35C10" w:rsidRPr="00BD2587">
        <w:t xml:space="preserve"> code</w:t>
      </w:r>
    </w:p>
    <w:p w14:paraId="1BB736A2" w14:textId="77777777" w:rsidR="00A35C10" w:rsidRPr="005602E8" w:rsidRDefault="00052FD7" w:rsidP="00A35C10">
      <w:pPr>
        <w:pStyle w:val="QPPHeading4"/>
      </w:pPr>
      <w:r>
        <w:t>9.4.1</w:t>
      </w:r>
      <w:r w:rsidR="00055F2C">
        <w:t xml:space="preserve">0.1 </w:t>
      </w:r>
      <w:r w:rsidR="00A35C10" w:rsidRPr="005602E8">
        <w:t>Application</w:t>
      </w:r>
    </w:p>
    <w:p w14:paraId="5EB7A30A" w14:textId="77777777" w:rsidR="005439C3" w:rsidRDefault="005439C3" w:rsidP="005439C3">
      <w:pPr>
        <w:pStyle w:val="QPPBulletPoint1"/>
      </w:pPr>
      <w:r>
        <w:t>This code applies to assessing reconfiguring a lot if:</w:t>
      </w:r>
    </w:p>
    <w:p w14:paraId="45F6ADB2" w14:textId="678D82EB" w:rsidR="005439C3" w:rsidRDefault="005439C3" w:rsidP="005439C3">
      <w:pPr>
        <w:pStyle w:val="QPPBulletpoint2"/>
      </w:pPr>
      <w:r>
        <w:t xml:space="preserve">assessable development where this code is an applicable code identified in the assessment </w:t>
      </w:r>
      <w:r w:rsidR="00777844">
        <w:t xml:space="preserve">benchmarks </w:t>
      </w:r>
      <w:r>
        <w:t>column of a table of assessment for a neighbourhood plan (</w:t>
      </w:r>
      <w:r w:rsidRPr="00AB035A">
        <w:t>section 5.</w:t>
      </w:r>
      <w:r w:rsidR="0042382B" w:rsidRPr="00AB035A">
        <w:t>9</w:t>
      </w:r>
      <w:r>
        <w:t>), reconfiguring a lot (</w:t>
      </w:r>
      <w:r w:rsidRPr="00AB035A">
        <w:t>section 5.</w:t>
      </w:r>
      <w:r w:rsidR="0042382B" w:rsidRPr="00AB035A">
        <w:t>6</w:t>
      </w:r>
      <w:r>
        <w:t>) or an overlay (</w:t>
      </w:r>
      <w:r w:rsidRPr="00AB035A">
        <w:t>section 5.10</w:t>
      </w:r>
      <w:r>
        <w:t>);</w:t>
      </w:r>
      <w:r w:rsidR="00A458FB">
        <w:t xml:space="preserve"> or</w:t>
      </w:r>
    </w:p>
    <w:p w14:paraId="23725132" w14:textId="77777777" w:rsidR="005439C3" w:rsidRDefault="005439C3" w:rsidP="005439C3">
      <w:pPr>
        <w:pStyle w:val="QPPBulletpoint2"/>
      </w:pPr>
      <w:r>
        <w:t>impact assessable development, to the extent relevant.</w:t>
      </w:r>
    </w:p>
    <w:p w14:paraId="73A1A23C" w14:textId="77777777" w:rsidR="00A35C10" w:rsidRPr="0059652C" w:rsidRDefault="00A35C10" w:rsidP="005439C3">
      <w:pPr>
        <w:pStyle w:val="QPPEditorsNoteStyle1"/>
      </w:pPr>
      <w:r w:rsidRPr="00BD2587">
        <w:t xml:space="preserve">Note—This code applies to all </w:t>
      </w:r>
      <w:r w:rsidR="00054FB3">
        <w:t xml:space="preserve">aspects of </w:t>
      </w:r>
      <w:r w:rsidR="003A478D">
        <w:t>reconfiguring</w:t>
      </w:r>
      <w:r w:rsidR="00054FB3">
        <w:t xml:space="preserve"> a lot, ranging from a single site </w:t>
      </w:r>
      <w:r w:rsidRPr="00BD2587">
        <w:t xml:space="preserve">where no </w:t>
      </w:r>
      <w:r w:rsidR="00054FB3">
        <w:t xml:space="preserve">road is </w:t>
      </w:r>
      <w:r w:rsidRPr="00BD2587">
        <w:t xml:space="preserve">created to </w:t>
      </w:r>
      <w:r w:rsidR="00054FB3">
        <w:t>a new residential community</w:t>
      </w:r>
      <w:r w:rsidRPr="00BD2587">
        <w:t xml:space="preserve">, as well as other </w:t>
      </w:r>
      <w:r w:rsidR="00054FB3">
        <w:t>types of reconfiguring a lot</w:t>
      </w:r>
      <w:r w:rsidRPr="00BD2587">
        <w:t>.</w:t>
      </w:r>
    </w:p>
    <w:p w14:paraId="1AD9C50C" w14:textId="33D3E960" w:rsidR="00A35C10" w:rsidRDefault="00A35C10" w:rsidP="00CB4876">
      <w:pPr>
        <w:pStyle w:val="QPPEditorsNoteStyle1"/>
      </w:pPr>
      <w:r>
        <w:t>Editor’s note—</w:t>
      </w:r>
      <w:r w:rsidR="00054FB3">
        <w:t>R</w:t>
      </w:r>
      <w:r>
        <w:t xml:space="preserve">econfiguring a lot involving only </w:t>
      </w:r>
      <w:r w:rsidR="00054FB3">
        <w:t xml:space="preserve">the </w:t>
      </w:r>
      <w:r>
        <w:t xml:space="preserve">subdivision of </w:t>
      </w:r>
      <w:r w:rsidR="000775D3">
        <w:t>1</w:t>
      </w:r>
      <w:r>
        <w:t xml:space="preserve"> lot into </w:t>
      </w:r>
      <w:r w:rsidR="000775D3">
        <w:t>2</w:t>
      </w:r>
      <w:r>
        <w:t xml:space="preserve"> lots is subject to the </w:t>
      </w:r>
      <w:r w:rsidR="0090605C">
        <w:t xml:space="preserve">regulated </w:t>
      </w:r>
      <w:r w:rsidR="00E63714">
        <w:t>c</w:t>
      </w:r>
      <w:r w:rsidR="000D6B91">
        <w:t>ategor</w:t>
      </w:r>
      <w:r w:rsidR="00DB14D0">
        <w:t>ies</w:t>
      </w:r>
      <w:r w:rsidR="000D6B91">
        <w:t xml:space="preserve"> </w:t>
      </w:r>
      <w:r>
        <w:t>of</w:t>
      </w:r>
      <w:r w:rsidR="00DB14D0">
        <w:t xml:space="preserve"> development and</w:t>
      </w:r>
      <w:r>
        <w:t xml:space="preserve"> assessment in </w:t>
      </w:r>
      <w:r w:rsidRPr="00AB035A">
        <w:t>section 5.4</w:t>
      </w:r>
      <w:r>
        <w:t xml:space="preserve">, </w:t>
      </w:r>
      <w:r w:rsidR="00054FB3">
        <w:t>if i</w:t>
      </w:r>
      <w:r>
        <w:t xml:space="preserve">n a </w:t>
      </w:r>
      <w:r w:rsidR="001C6BF5">
        <w:t>zone in the R</w:t>
      </w:r>
      <w:r>
        <w:t>esidential zo</w:t>
      </w:r>
      <w:r w:rsidR="00A458FB">
        <w:t>ne</w:t>
      </w:r>
      <w:r w:rsidR="001C6BF5">
        <w:t>s</w:t>
      </w:r>
      <w:r w:rsidR="00A458FB">
        <w:t xml:space="preserve"> category or </w:t>
      </w:r>
      <w:r w:rsidR="001C6BF5">
        <w:t>in a zone in the I</w:t>
      </w:r>
      <w:r w:rsidR="00A458FB">
        <w:t>ndustr</w:t>
      </w:r>
      <w:r w:rsidR="001C6BF5">
        <w:t>y</w:t>
      </w:r>
      <w:r w:rsidR="00A458FB">
        <w:t xml:space="preserve"> zone</w:t>
      </w:r>
      <w:r w:rsidR="001C6BF5">
        <w:t>s category</w:t>
      </w:r>
      <w:r>
        <w:t>.</w:t>
      </w:r>
      <w:r w:rsidR="00863D24">
        <w:t xml:space="preserve"> In this instance, the </w:t>
      </w:r>
      <w:r w:rsidR="00A458FB" w:rsidRPr="00AB035A">
        <w:t>Reconfiguring a lot (subdividing one lot into two lots) and associated operational works code</w:t>
      </w:r>
      <w:r w:rsidR="0090605C" w:rsidRPr="00CB4876">
        <w:t>, being a</w:t>
      </w:r>
      <w:r w:rsidR="00863D24">
        <w:t xml:space="preserve"> </w:t>
      </w:r>
      <w:r w:rsidR="0090605C">
        <w:t xml:space="preserve">requirement under </w:t>
      </w:r>
      <w:r w:rsidR="0090605C" w:rsidRPr="00AB035A">
        <w:t>the Regulation</w:t>
      </w:r>
      <w:r w:rsidR="0090605C">
        <w:t xml:space="preserve"> </w:t>
      </w:r>
      <w:r w:rsidR="00863D24">
        <w:t>will also apply.</w:t>
      </w:r>
    </w:p>
    <w:p w14:paraId="2F690A8B" w14:textId="3B873143" w:rsidR="00C91300" w:rsidRDefault="00AF7968">
      <w:pPr>
        <w:pStyle w:val="QPPBulletPoint1"/>
      </w:pPr>
      <w:r w:rsidRPr="00C463C0">
        <w:t xml:space="preserve">When using this </w:t>
      </w:r>
      <w:r w:rsidRPr="00E40D62">
        <w:t xml:space="preserve">code, reference should be made to </w:t>
      </w:r>
      <w:r w:rsidRPr="00AB035A">
        <w:t>section 1.5</w:t>
      </w:r>
      <w:r w:rsidRPr="00E40D62">
        <w:t xml:space="preserve"> and </w:t>
      </w:r>
      <w:r w:rsidRPr="00AB035A">
        <w:t>section 5.3.3</w:t>
      </w:r>
      <w:r w:rsidRPr="00E40D62">
        <w:t>.</w:t>
      </w:r>
    </w:p>
    <w:p w14:paraId="6BC63E46" w14:textId="77777777" w:rsidR="00777844" w:rsidRPr="00777844" w:rsidRDefault="00777844" w:rsidP="00777844">
      <w:pPr>
        <w:pStyle w:val="QPPEditorsNoteStyle1"/>
      </w:pPr>
      <w:r w:rsidRPr="00777844">
        <w:t xml:space="preserve">Note—The following purpose, overall outcomes, performance outcomes and acceptable outcomes comprise the assessment benchmarks of this code. </w:t>
      </w:r>
    </w:p>
    <w:p w14:paraId="2F500415" w14:textId="77777777" w:rsidR="00C91300" w:rsidRPr="00B47AA3" w:rsidRDefault="00C91300" w:rsidP="00B47AA3">
      <w:pPr>
        <w:pStyle w:val="QPPEditorsNoteStyle1"/>
      </w:pPr>
      <w:r w:rsidRPr="00B47AA3">
        <w:t xml:space="preserve">Note—Where buildings are approved, they and the land they are on can be separately titled either in freehold or other title forms. The provisions in </w:t>
      </w:r>
      <w:r w:rsidR="00D61C18" w:rsidRPr="00B47AA3">
        <w:t>this</w:t>
      </w:r>
      <w:r w:rsidRPr="00B47AA3">
        <w:t xml:space="preserve"> code relating to reconfiguring a lot of existing o</w:t>
      </w:r>
      <w:r w:rsidR="00AF74B3" w:rsidRPr="00B47AA3">
        <w:t>r</w:t>
      </w:r>
      <w:r w:rsidRPr="00B47AA3">
        <w:t xml:space="preserve"> approved buildings do </w:t>
      </w:r>
      <w:r w:rsidR="00D61C18" w:rsidRPr="00B47AA3">
        <w:t>not</w:t>
      </w:r>
      <w:r w:rsidRPr="00B47AA3">
        <w:t xml:space="preserve"> apply to the reconfiguring a lot of a dwelling house in a zone in the Residential zones category. A dwelling house, including the main </w:t>
      </w:r>
      <w:r w:rsidR="00D61C18" w:rsidRPr="00B47AA3">
        <w:t>dwelling,</w:t>
      </w:r>
      <w:r w:rsidRPr="00B47AA3">
        <w:t xml:space="preserve"> plus any secondary dwelling or ancillary outbuildings, in a zone in the Reside</w:t>
      </w:r>
      <w:r w:rsidR="00AF74B3" w:rsidRPr="00B47AA3">
        <w:t>n</w:t>
      </w:r>
      <w:r w:rsidRPr="00B47AA3">
        <w:t>tial zones category is always to remain as a sole lot by any title or tenure. A reconfiguring a lot proposal that does separate these components of a dwelling house and includes them on i</w:t>
      </w:r>
      <w:r w:rsidR="00AF74B3" w:rsidRPr="00B47AA3">
        <w:t>n</w:t>
      </w:r>
      <w:r w:rsidRPr="00B47AA3">
        <w:t>dividual title is inappropriate and incompatible development and is highly unlikely to be supported. This ensure</w:t>
      </w:r>
      <w:r w:rsidR="00AF74B3" w:rsidRPr="00B47AA3">
        <w:t>s</w:t>
      </w:r>
      <w:r w:rsidRPr="00B47AA3">
        <w:t xml:space="preserve"> that the expectation of residents for a high standard o</w:t>
      </w:r>
      <w:r w:rsidR="00AF74B3" w:rsidRPr="00B47AA3">
        <w:t>f</w:t>
      </w:r>
      <w:r w:rsidRPr="00B47AA3">
        <w:t xml:space="preserve"> residenti</w:t>
      </w:r>
      <w:r w:rsidR="00AF74B3" w:rsidRPr="00B47AA3">
        <w:t>a</w:t>
      </w:r>
      <w:r w:rsidRPr="00B47AA3">
        <w:t>l amenity is protected.</w:t>
      </w:r>
    </w:p>
    <w:p w14:paraId="2BB96ED3" w14:textId="77777777" w:rsidR="00C91300" w:rsidRDefault="00AF74B3" w:rsidP="00B47AA3">
      <w:pPr>
        <w:pStyle w:val="QPPEditorsNoteStyle1"/>
      </w:pPr>
      <w:r>
        <w:t>Note—If reconfiguring a lot is proposed in conjunction with a development application for a use or uses that require assessment, the development application for the reconfiguring a lot will not be approved until the development application for the intended change of use has been determined.</w:t>
      </w:r>
    </w:p>
    <w:p w14:paraId="03DD5C4A" w14:textId="77777777" w:rsidR="00AF74B3" w:rsidRPr="00B47AA3" w:rsidRDefault="00AF74B3" w:rsidP="00B47AA3">
      <w:pPr>
        <w:pStyle w:val="QPPEditorsNoteStyle1"/>
      </w:pPr>
      <w:r>
        <w:t>Note—This code may be applied in conjunction with or subsequent to a material change of use and the sealing of a plan of subdivision may be subject to matters relating to the material change of use.</w:t>
      </w:r>
    </w:p>
    <w:p w14:paraId="5E2A28DF" w14:textId="77777777" w:rsidR="00A35C10" w:rsidRPr="00CC1EC3" w:rsidRDefault="00A35C10" w:rsidP="00A35C10">
      <w:pPr>
        <w:pStyle w:val="QPPEditorsNoteStyle1"/>
      </w:pPr>
      <w:r w:rsidRPr="00CC1EC3">
        <w:t>Note—Where this code includes performance outcomes or acceptable outcomes that relate to:</w:t>
      </w:r>
    </w:p>
    <w:p w14:paraId="126ED060" w14:textId="75245125" w:rsidR="00A458FB" w:rsidRPr="00892216" w:rsidRDefault="00A458FB" w:rsidP="00A458FB">
      <w:pPr>
        <w:pStyle w:val="QPPEditorsnotebulletpoint1"/>
      </w:pPr>
      <w:r>
        <w:t xml:space="preserve">biodiversity areas, guidance and requirements are provided in the </w:t>
      </w:r>
      <w:r w:rsidRPr="00AB035A">
        <w:t>Biodiversity areas planning scheme policy</w:t>
      </w:r>
      <w:r w:rsidR="00636829">
        <w:t>;</w:t>
      </w:r>
    </w:p>
    <w:p w14:paraId="403CB2CA" w14:textId="68EBCE3C" w:rsidR="00A35C10" w:rsidRPr="00892216" w:rsidRDefault="00A35C10" w:rsidP="00A35C10">
      <w:pPr>
        <w:pStyle w:val="QPPEditorsnotebulletpoint1"/>
      </w:pPr>
      <w:r w:rsidRPr="00CC1EC3">
        <w:t>crime preventio</w:t>
      </w:r>
      <w:r w:rsidR="00F65DB1">
        <w:t>n through environmental design,</w:t>
      </w:r>
      <w:r w:rsidRPr="00CC1EC3">
        <w:t xml:space="preserve"> guidance is provided in the </w:t>
      </w:r>
      <w:r w:rsidRPr="00AB035A">
        <w:t>Crime prevention through environmental design planning scheme policy;</w:t>
      </w:r>
    </w:p>
    <w:p w14:paraId="73A3C6E5" w14:textId="6046722E" w:rsidR="00A35C10" w:rsidRPr="00892216" w:rsidRDefault="00A35C10" w:rsidP="00A35C10">
      <w:pPr>
        <w:pStyle w:val="QPPEditorsnotebulletpoint1"/>
      </w:pPr>
      <w:r w:rsidRPr="00892216">
        <w:t>infrastructure design and construction works, guidance is provided in the</w:t>
      </w:r>
      <w:r w:rsidRPr="00AB035A">
        <w:t xml:space="preserve"> Infrastructure design planning scheme policy;</w:t>
      </w:r>
    </w:p>
    <w:p w14:paraId="6D124563" w14:textId="077CD514" w:rsidR="006F324D" w:rsidRDefault="006F324D" w:rsidP="00A35C10">
      <w:pPr>
        <w:pStyle w:val="QPPEditorsnotebulletpoint1"/>
      </w:pPr>
      <w:r>
        <w:t>refuse and recycling</w:t>
      </w:r>
      <w:r w:rsidR="000775D3">
        <w:t>,</w:t>
      </w:r>
      <w:r>
        <w:t xml:space="preserve"> guidance is provided in the </w:t>
      </w:r>
      <w:r w:rsidRPr="00AB035A">
        <w:t>Refuse planning scheme policy</w:t>
      </w:r>
      <w:r w:rsidR="000775D3">
        <w:t>;</w:t>
      </w:r>
    </w:p>
    <w:p w14:paraId="70FCCD17" w14:textId="3A70477B" w:rsidR="00A35C10" w:rsidRPr="00892216" w:rsidRDefault="007B1346" w:rsidP="00A35C10">
      <w:pPr>
        <w:pStyle w:val="QPPEditorsnotebulletpoint1"/>
      </w:pPr>
      <w:r w:rsidRPr="00892216">
        <w:t xml:space="preserve">structure plan preparation, guidance is provided in the </w:t>
      </w:r>
      <w:r w:rsidRPr="00AB035A">
        <w:t xml:space="preserve">Structure planning </w:t>
      </w:r>
      <w:r w:rsidR="00BC776B" w:rsidRPr="00AB035A">
        <w:t xml:space="preserve">planning </w:t>
      </w:r>
      <w:r w:rsidRPr="00AB035A">
        <w:t>scheme policy</w:t>
      </w:r>
      <w:r w:rsidRPr="00892216">
        <w:t>;</w:t>
      </w:r>
    </w:p>
    <w:p w14:paraId="2D54DB60" w14:textId="77777777" w:rsidR="00A35C10" w:rsidRDefault="00A35C10" w:rsidP="00A35C10">
      <w:pPr>
        <w:pStyle w:val="QPPEditorsnotebulletpoint1"/>
      </w:pPr>
      <w:r w:rsidRPr="00892216">
        <w:t>transport, access, parking or servicing</w:t>
      </w:r>
      <w:r w:rsidR="00A458FB">
        <w:t>, standards and guidelines are</w:t>
      </w:r>
      <w:r w:rsidRPr="00892216">
        <w:t xml:space="preserve"> provided in the </w:t>
      </w:r>
      <w:r w:rsidRPr="004F407D">
        <w:t>Transport, access, parking and s</w:t>
      </w:r>
      <w:r w:rsidR="004F407D">
        <w:t>ervicing planning scheme policy;</w:t>
      </w:r>
    </w:p>
    <w:p w14:paraId="2B70BAA2" w14:textId="56E3CE54" w:rsidR="004F407D" w:rsidRDefault="004F407D" w:rsidP="00A35C10">
      <w:pPr>
        <w:pStyle w:val="QPPEditorsnotebulletpoint1"/>
      </w:pPr>
      <w:r>
        <w:t xml:space="preserve">significant vegetation, guidance is provided in the </w:t>
      </w:r>
      <w:r w:rsidRPr="00AB035A">
        <w:t>Vegetation planning scheme policy</w:t>
      </w:r>
      <w:r>
        <w:t>.</w:t>
      </w:r>
    </w:p>
    <w:p w14:paraId="1EB49AA4" w14:textId="77777777" w:rsidR="00A35C10" w:rsidRDefault="00052FD7" w:rsidP="00A35C10">
      <w:pPr>
        <w:pStyle w:val="QPPHeading4"/>
      </w:pPr>
      <w:r>
        <w:t>9.4.1</w:t>
      </w:r>
      <w:r w:rsidR="00054FB3">
        <w:t>0</w:t>
      </w:r>
      <w:r w:rsidR="00055F2C">
        <w:t xml:space="preserve">.2 </w:t>
      </w:r>
      <w:r w:rsidR="00A35C10" w:rsidRPr="00F0457A">
        <w:t>Purpose</w:t>
      </w:r>
    </w:p>
    <w:p w14:paraId="119D4B7D" w14:textId="77777777" w:rsidR="003C5CEE" w:rsidRDefault="00A35C10" w:rsidP="00B43419">
      <w:pPr>
        <w:pStyle w:val="QPPBulletPoint1"/>
        <w:numPr>
          <w:ilvl w:val="0"/>
          <w:numId w:val="8"/>
        </w:numPr>
      </w:pPr>
      <w:r w:rsidRPr="00A14347">
        <w:t xml:space="preserve">The purpose of the </w:t>
      </w:r>
      <w:r>
        <w:t xml:space="preserve">Subdivision code is to </w:t>
      </w:r>
      <w:r w:rsidR="00BC3B67">
        <w:t>regulate</w:t>
      </w:r>
      <w:r w:rsidR="008A4177">
        <w:t xml:space="preserve"> </w:t>
      </w:r>
      <w:r w:rsidR="00054FB3">
        <w:t>development for</w:t>
      </w:r>
      <w:r w:rsidR="00BC3B67">
        <w:t xml:space="preserve"> </w:t>
      </w:r>
      <w:r w:rsidR="008A4177">
        <w:t>reconfiguring a lot</w:t>
      </w:r>
      <w:r w:rsidR="00630D1A">
        <w:t>.</w:t>
      </w:r>
    </w:p>
    <w:p w14:paraId="5A65BFF1" w14:textId="77777777" w:rsidR="00C14FB3" w:rsidRDefault="00054FB3" w:rsidP="00C14FB3">
      <w:pPr>
        <w:pStyle w:val="QPPBulletPoint1"/>
      </w:pPr>
      <w:r>
        <w:t xml:space="preserve">The purpose of the code </w:t>
      </w:r>
      <w:r w:rsidR="00A35C10" w:rsidRPr="00A14347">
        <w:t>will be achieved through the following overall outcomes:</w:t>
      </w:r>
    </w:p>
    <w:p w14:paraId="0C816FF9" w14:textId="77777777" w:rsidR="00630D1A" w:rsidRDefault="00054FB3" w:rsidP="00E74EC4">
      <w:pPr>
        <w:pStyle w:val="QPPBulletpoint2"/>
        <w:numPr>
          <w:ilvl w:val="0"/>
          <w:numId w:val="12"/>
        </w:numPr>
      </w:pPr>
      <w:r w:rsidRPr="00054FB3">
        <w:t xml:space="preserve">Development for reconfiguring </w:t>
      </w:r>
      <w:r>
        <w:t>a lot</w:t>
      </w:r>
      <w:r w:rsidR="00A7046B">
        <w:t xml:space="preserve"> </w:t>
      </w:r>
      <w:r w:rsidR="005A410C">
        <w:t xml:space="preserve">facilitates </w:t>
      </w:r>
      <w:r>
        <w:t xml:space="preserve">the creation of </w:t>
      </w:r>
      <w:r w:rsidR="00CD5F9D">
        <w:t>suitable</w:t>
      </w:r>
      <w:r w:rsidR="005A410C">
        <w:t xml:space="preserve"> lots for their intended use while not adversely impacting on the lawful use </w:t>
      </w:r>
      <w:r>
        <w:t xml:space="preserve">or identified values </w:t>
      </w:r>
      <w:r w:rsidR="005A410C">
        <w:t xml:space="preserve">of other </w:t>
      </w:r>
      <w:r>
        <w:t>premises</w:t>
      </w:r>
      <w:r w:rsidR="008A6ECD">
        <w:t>.</w:t>
      </w:r>
    </w:p>
    <w:p w14:paraId="5CB15AC1" w14:textId="77777777" w:rsidR="00D338CC" w:rsidRPr="00F96CB6" w:rsidRDefault="00054FB3" w:rsidP="00F96CB6">
      <w:pPr>
        <w:pStyle w:val="QPPBulletpoint2"/>
      </w:pPr>
      <w:r w:rsidRPr="00054FB3">
        <w:t xml:space="preserve">Development for reconfiguring a lot </w:t>
      </w:r>
      <w:r>
        <w:t xml:space="preserve">creates a lot </w:t>
      </w:r>
      <w:r w:rsidR="00C14FB3" w:rsidRPr="00F96CB6">
        <w:t>of an appropriate size</w:t>
      </w:r>
      <w:r w:rsidR="00D338CC" w:rsidRPr="00F96CB6">
        <w:t>, dimensions and arrangement</w:t>
      </w:r>
      <w:r w:rsidR="00C14FB3" w:rsidRPr="00F96CB6">
        <w:t xml:space="preserve"> consistent with the</w:t>
      </w:r>
      <w:r w:rsidR="00D338CC" w:rsidRPr="00F96CB6">
        <w:t xml:space="preserve"> outcomes of </w:t>
      </w:r>
      <w:r>
        <w:t xml:space="preserve">the </w:t>
      </w:r>
      <w:r w:rsidR="00C14FB3" w:rsidRPr="00F96CB6">
        <w:t>zon</w:t>
      </w:r>
      <w:r w:rsidR="00AD0E5D" w:rsidRPr="00F96CB6">
        <w:t>e</w:t>
      </w:r>
      <w:r w:rsidR="00364963">
        <w:t>s</w:t>
      </w:r>
      <w:r w:rsidR="00D338CC" w:rsidRPr="00F96CB6">
        <w:t xml:space="preserve">, </w:t>
      </w:r>
      <w:r w:rsidR="00AD0E5D" w:rsidRPr="00F96CB6">
        <w:t>zone precinct</w:t>
      </w:r>
      <w:r w:rsidR="00364963">
        <w:t>s</w:t>
      </w:r>
      <w:r w:rsidR="00D338CC" w:rsidRPr="00F96CB6">
        <w:t xml:space="preserve">, </w:t>
      </w:r>
      <w:r w:rsidR="00AE4244">
        <w:t>neighbourhood plan</w:t>
      </w:r>
      <w:r w:rsidR="00364963">
        <w:t>s</w:t>
      </w:r>
      <w:r w:rsidR="00D338CC" w:rsidRPr="00F96CB6">
        <w:t xml:space="preserve"> and overlay</w:t>
      </w:r>
      <w:r w:rsidR="00364963">
        <w:t>s</w:t>
      </w:r>
      <w:r w:rsidR="00D338CC" w:rsidRPr="00F96CB6">
        <w:t xml:space="preserve"> </w:t>
      </w:r>
      <w:r>
        <w:t xml:space="preserve">which </w:t>
      </w:r>
      <w:r w:rsidR="00D338CC" w:rsidRPr="00F96CB6">
        <w:t xml:space="preserve">apply to </w:t>
      </w:r>
      <w:r w:rsidR="00C14FB3" w:rsidRPr="00F96CB6">
        <w:t>the</w:t>
      </w:r>
      <w:r w:rsidR="00D338CC" w:rsidRPr="00F96CB6">
        <w:t xml:space="preserve"> </w:t>
      </w:r>
      <w:r w:rsidR="000619AA">
        <w:t>site</w:t>
      </w:r>
      <w:r w:rsidR="008A6ECD">
        <w:t>.</w:t>
      </w:r>
    </w:p>
    <w:p w14:paraId="1AF379E7" w14:textId="77777777" w:rsidR="00C14FB3" w:rsidRPr="00F96CB6" w:rsidRDefault="008A6ECD" w:rsidP="00F96CB6">
      <w:pPr>
        <w:pStyle w:val="QPPBulletpoint2"/>
      </w:pPr>
      <w:r w:rsidRPr="008A6ECD">
        <w:lastRenderedPageBreak/>
        <w:t xml:space="preserve">Development for reconfiguring a lot </w:t>
      </w:r>
      <w:r w:rsidR="00BC3B67">
        <w:t xml:space="preserve">provides lots and </w:t>
      </w:r>
      <w:r>
        <w:t xml:space="preserve">an </w:t>
      </w:r>
      <w:r w:rsidR="00BC3B67">
        <w:t xml:space="preserve">arrangement of lots for </w:t>
      </w:r>
      <w:r w:rsidR="00C14FB3" w:rsidRPr="00F96CB6">
        <w:t xml:space="preserve">lawful uses consistent with the </w:t>
      </w:r>
      <w:r w:rsidR="00D338CC" w:rsidRPr="00F96CB6">
        <w:t>use</w:t>
      </w:r>
      <w:r w:rsidR="000619AA">
        <w:t>s</w:t>
      </w:r>
      <w:r w:rsidR="00D338CC" w:rsidRPr="00F96CB6">
        <w:t xml:space="preserve">, </w:t>
      </w:r>
      <w:r w:rsidR="00C14FB3" w:rsidRPr="00F96CB6">
        <w:t>zon</w:t>
      </w:r>
      <w:r w:rsidR="00D338CC" w:rsidRPr="00F96CB6">
        <w:t>e</w:t>
      </w:r>
      <w:r w:rsidR="000619AA">
        <w:t>s</w:t>
      </w:r>
      <w:r w:rsidR="00D338CC" w:rsidRPr="00F96CB6">
        <w:t>, zone precinct</w:t>
      </w:r>
      <w:r w:rsidR="000619AA">
        <w:t>s</w:t>
      </w:r>
      <w:r w:rsidR="00D338CC" w:rsidRPr="00F96CB6">
        <w:t xml:space="preserve">, </w:t>
      </w:r>
      <w:r w:rsidR="00AE4244">
        <w:t>neighbourhood plan</w:t>
      </w:r>
      <w:r w:rsidR="000619AA">
        <w:t>s</w:t>
      </w:r>
      <w:r w:rsidR="00D338CC" w:rsidRPr="00F96CB6">
        <w:t xml:space="preserve"> and overlay</w:t>
      </w:r>
      <w:r w:rsidR="000619AA">
        <w:t>s</w:t>
      </w:r>
      <w:r w:rsidR="00D338CC" w:rsidRPr="00F96CB6">
        <w:t xml:space="preserve"> </w:t>
      </w:r>
      <w:r>
        <w:t xml:space="preserve">which </w:t>
      </w:r>
      <w:r w:rsidR="00D338CC" w:rsidRPr="00F96CB6">
        <w:t xml:space="preserve">apply to </w:t>
      </w:r>
      <w:r w:rsidR="00C14FB3" w:rsidRPr="00F96CB6">
        <w:t xml:space="preserve">the </w:t>
      </w:r>
      <w:r>
        <w:t xml:space="preserve">site </w:t>
      </w:r>
      <w:r w:rsidR="00C14FB3" w:rsidRPr="00F96CB6">
        <w:t xml:space="preserve">and </w:t>
      </w:r>
      <w:r w:rsidR="00966A06" w:rsidRPr="00F96CB6">
        <w:t xml:space="preserve">that </w:t>
      </w:r>
      <w:r w:rsidR="00C14FB3" w:rsidRPr="00F96CB6">
        <w:t xml:space="preserve">meet </w:t>
      </w:r>
      <w:r>
        <w:t xml:space="preserve">the </w:t>
      </w:r>
      <w:r w:rsidR="00BC3B67">
        <w:t>provisions of the planning scheme</w:t>
      </w:r>
      <w:r w:rsidR="00421A51">
        <w:t xml:space="preserve"> and responds to the patterns of development in the locality</w:t>
      </w:r>
      <w:r>
        <w:t>.</w:t>
      </w:r>
    </w:p>
    <w:p w14:paraId="099859F4" w14:textId="5F8DD3EE" w:rsidR="00F96CB6" w:rsidRPr="00F96CB6" w:rsidRDefault="008A6ECD" w:rsidP="00F96CB6">
      <w:pPr>
        <w:pStyle w:val="QPPBulletpoint2"/>
      </w:pPr>
      <w:r w:rsidRPr="008A6ECD">
        <w:t xml:space="preserve">Development for reconfiguring a lot </w:t>
      </w:r>
      <w:r w:rsidR="00A35C10" w:rsidRPr="00F96CB6">
        <w:t xml:space="preserve">under the </w:t>
      </w:r>
      <w:r w:rsidR="009C7BAD" w:rsidRPr="00AB035A">
        <w:rPr>
          <w:i/>
        </w:rPr>
        <w:t>Land Title Act 1994</w:t>
      </w:r>
      <w:r w:rsidR="00A35C10" w:rsidRPr="00F96CB6">
        <w:t xml:space="preserve"> and the </w:t>
      </w:r>
      <w:r w:rsidR="00A35C10" w:rsidRPr="00AB035A">
        <w:rPr>
          <w:i/>
        </w:rPr>
        <w:t>Body Corporate and Community Management Act 1997</w:t>
      </w:r>
      <w:r w:rsidR="00A35C10" w:rsidRPr="00F96CB6">
        <w:t xml:space="preserve"> occurs in a manner that achi</w:t>
      </w:r>
      <w:r w:rsidR="003C5CEE" w:rsidRPr="00F96CB6">
        <w:t>eves good urban design outcomes</w:t>
      </w:r>
      <w:r>
        <w:t>.</w:t>
      </w:r>
    </w:p>
    <w:p w14:paraId="34BFA09C" w14:textId="77777777" w:rsidR="003C5CEE" w:rsidRPr="00F96CB6" w:rsidRDefault="008A6ECD" w:rsidP="00F96CB6">
      <w:pPr>
        <w:pStyle w:val="QPPBulletpoint2"/>
      </w:pPr>
      <w:r w:rsidRPr="008A6ECD">
        <w:t xml:space="preserve">Development for reconfiguring a lot </w:t>
      </w:r>
      <w:r w:rsidR="00BC3B67">
        <w:t xml:space="preserve">associated with or </w:t>
      </w:r>
      <w:r w:rsidR="0050614E">
        <w:t xml:space="preserve">resulting from </w:t>
      </w:r>
      <w:r>
        <w:t>a m</w:t>
      </w:r>
      <w:r w:rsidR="0050614E">
        <w:t xml:space="preserve">aterial change of use </w:t>
      </w:r>
      <w:r w:rsidR="000619AA">
        <w:t>provides lots and arrangement of lots</w:t>
      </w:r>
      <w:r w:rsidR="0050614E">
        <w:t xml:space="preserve"> for the purpo</w:t>
      </w:r>
      <w:r>
        <w:t>ses of titling and any easement</w:t>
      </w:r>
      <w:r w:rsidR="00F96CB6">
        <w:t xml:space="preserve"> rele</w:t>
      </w:r>
      <w:r>
        <w:t>vant to the development.</w:t>
      </w:r>
    </w:p>
    <w:p w14:paraId="368158A3" w14:textId="77777777" w:rsidR="004E0D8F" w:rsidRDefault="004E0D8F" w:rsidP="00F96CB6">
      <w:pPr>
        <w:pStyle w:val="QPPBulletpoint2"/>
      </w:pPr>
      <w:r>
        <w:t>Development for reconfiguring a lot of an existing building and associated land can be separately titled either in freehold or other title forms.</w:t>
      </w:r>
    </w:p>
    <w:p w14:paraId="1B32487F" w14:textId="77777777" w:rsidR="004E0D8F" w:rsidRDefault="004E0D8F" w:rsidP="00F96CB6">
      <w:pPr>
        <w:pStyle w:val="QPPBulletpoint2"/>
      </w:pPr>
      <w:r>
        <w:t xml:space="preserve">Development for reconfiguring a lot relating to existing or approved buildings does not apply to the reconfiguring a lot of a dwelling house in a zone in the Residential zones category and a dwelling house, including the main dwelling, plus any secondary dwelling or ancillary outbuildings, in a zone in the </w:t>
      </w:r>
      <w:r w:rsidR="005A5E7F">
        <w:t>r</w:t>
      </w:r>
      <w:r>
        <w:t>esidential zones category is always to remain as a sole lot by any title or tenure.</w:t>
      </w:r>
    </w:p>
    <w:p w14:paraId="7313FD76" w14:textId="77777777" w:rsidR="00F96CB6" w:rsidRDefault="008A6ECD" w:rsidP="00F96CB6">
      <w:pPr>
        <w:pStyle w:val="QPPBulletpoint2"/>
      </w:pPr>
      <w:r w:rsidRPr="008A6ECD">
        <w:t xml:space="preserve">Development for reconfiguring a lot </w:t>
      </w:r>
      <w:r w:rsidR="005756C4" w:rsidRPr="00F96CB6">
        <w:t xml:space="preserve">is designed to </w:t>
      </w:r>
      <w:r w:rsidR="0038210B">
        <w:t xml:space="preserve">effectively integrate with </w:t>
      </w:r>
      <w:r w:rsidR="000619AA">
        <w:t xml:space="preserve">existing and planned </w:t>
      </w:r>
      <w:r w:rsidR="005756C4" w:rsidRPr="00F96CB6">
        <w:t>infrastructure and services</w:t>
      </w:r>
      <w:r w:rsidR="000619AA">
        <w:t xml:space="preserve"> to the extent these are identified </w:t>
      </w:r>
      <w:r>
        <w:t xml:space="preserve">or necessary </w:t>
      </w:r>
      <w:r w:rsidR="000619AA">
        <w:t>to support the development for its intended purpose</w:t>
      </w:r>
      <w:r>
        <w:t>.</w:t>
      </w:r>
    </w:p>
    <w:p w14:paraId="60EF8317" w14:textId="77777777" w:rsidR="0038210B" w:rsidRDefault="008A6ECD" w:rsidP="0038210B">
      <w:pPr>
        <w:pStyle w:val="QPPBulletpoint2"/>
      </w:pPr>
      <w:r w:rsidRPr="008A6ECD">
        <w:t xml:space="preserve">Development for reconfiguring a lot </w:t>
      </w:r>
      <w:r w:rsidR="005756C4" w:rsidRPr="00F96CB6">
        <w:t xml:space="preserve">provides infrastructure and services </w:t>
      </w:r>
      <w:r w:rsidR="00F65DB1">
        <w:t>which comply</w:t>
      </w:r>
      <w:r>
        <w:t xml:space="preserve"> with the </w:t>
      </w:r>
      <w:r w:rsidR="005756C4" w:rsidRPr="00F96CB6">
        <w:t xml:space="preserve">standards </w:t>
      </w:r>
      <w:r>
        <w:t xml:space="preserve">for </w:t>
      </w:r>
      <w:r w:rsidR="00E92E5E">
        <w:t xml:space="preserve">planned </w:t>
      </w:r>
      <w:r w:rsidR="00E218B1">
        <w:t xml:space="preserve">infrastructure and services </w:t>
      </w:r>
      <w:r>
        <w:t>to service the site.</w:t>
      </w:r>
    </w:p>
    <w:p w14:paraId="5F84E07F" w14:textId="77777777" w:rsidR="005756C4" w:rsidRPr="00F96CB6" w:rsidRDefault="008A6ECD" w:rsidP="0038210B">
      <w:pPr>
        <w:pStyle w:val="QPPBulletpoint2"/>
      </w:pPr>
      <w:r w:rsidRPr="008A6ECD">
        <w:t xml:space="preserve">Development for reconfiguring a lot </w:t>
      </w:r>
      <w:r>
        <w:t xml:space="preserve">ensures </w:t>
      </w:r>
      <w:r w:rsidR="0038210B" w:rsidRPr="00F96CB6">
        <w:t>safety and amenity of the intended uses</w:t>
      </w:r>
      <w:r w:rsidR="0038210B">
        <w:t xml:space="preserve"> and does not compromise the safe and efficient operation of existing and future lawful uses and activities in the vicinity of the site.</w:t>
      </w:r>
    </w:p>
    <w:p w14:paraId="07A54B7F" w14:textId="77777777" w:rsidR="00A35C10" w:rsidRPr="00F0457A" w:rsidRDefault="008A6ECD" w:rsidP="00A35C10">
      <w:pPr>
        <w:pStyle w:val="QPPHeading4"/>
      </w:pPr>
      <w:r>
        <w:t>9.4.10</w:t>
      </w:r>
      <w:r w:rsidR="00A35C10">
        <w:t xml:space="preserve">.3 </w:t>
      </w:r>
      <w:r w:rsidR="005F1702">
        <w:t>Performance outcomes and acceptable outcomes</w:t>
      </w:r>
    </w:p>
    <w:p w14:paraId="6B4DF511" w14:textId="77777777" w:rsidR="00A35C10" w:rsidRPr="005C7DC1" w:rsidRDefault="00A7046B" w:rsidP="005C7DC1">
      <w:pPr>
        <w:pStyle w:val="QPPTableHeadingStyle"/>
      </w:pPr>
      <w:bookmarkStart w:id="1" w:name="table94103a"/>
      <w:r w:rsidRPr="005C7DC1">
        <w:t>Table</w:t>
      </w:r>
      <w:r w:rsidR="00A35C10" w:rsidRPr="005C7DC1">
        <w:t xml:space="preserve"> </w:t>
      </w:r>
      <w:r w:rsidR="00052FD7" w:rsidRPr="005C7DC1">
        <w:t>9.4.1</w:t>
      </w:r>
      <w:r w:rsidR="008A6ECD" w:rsidRPr="005C7DC1">
        <w:t>0</w:t>
      </w:r>
      <w:r w:rsidR="00A35C10" w:rsidRPr="005C7DC1">
        <w:t>.3</w:t>
      </w:r>
      <w:r w:rsidR="00052FD7" w:rsidRPr="005C7DC1">
        <w:t>.</w:t>
      </w:r>
      <w:r w:rsidR="00A35C10" w:rsidRPr="005C7DC1">
        <w:t>A—</w:t>
      </w:r>
      <w:r w:rsidR="005F1702">
        <w:t>Performance outcomes and acceptable outcomes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4860"/>
      </w:tblGrid>
      <w:tr w:rsidR="00A35C10" w:rsidRPr="00A05DEA" w14:paraId="51D599A9" w14:textId="77777777" w:rsidTr="001B353F">
        <w:tc>
          <w:tcPr>
            <w:tcW w:w="4068" w:type="dxa"/>
            <w:shd w:val="clear" w:color="auto" w:fill="auto"/>
          </w:tcPr>
          <w:bookmarkEnd w:id="1"/>
          <w:p w14:paraId="28BF7447" w14:textId="77777777" w:rsidR="00A35C10" w:rsidRPr="00A05DEA" w:rsidRDefault="00A35C10">
            <w:pPr>
              <w:pStyle w:val="QPPTableTextBold"/>
            </w:pPr>
            <w:r>
              <w:t xml:space="preserve">Performance </w:t>
            </w:r>
            <w:r w:rsidR="00F65DB1">
              <w:t>o</w:t>
            </w:r>
            <w:r w:rsidRPr="00A05DEA">
              <w:t>utcomes</w:t>
            </w:r>
          </w:p>
        </w:tc>
        <w:tc>
          <w:tcPr>
            <w:tcW w:w="4860" w:type="dxa"/>
            <w:shd w:val="clear" w:color="auto" w:fill="auto"/>
          </w:tcPr>
          <w:p w14:paraId="53DC9F3C" w14:textId="77777777" w:rsidR="00A35C10" w:rsidRPr="00A05DEA" w:rsidRDefault="00A35C10">
            <w:pPr>
              <w:pStyle w:val="QPPTableTextBold"/>
            </w:pPr>
            <w:r>
              <w:t xml:space="preserve">Acceptable </w:t>
            </w:r>
            <w:r w:rsidR="00F65DB1">
              <w:t>o</w:t>
            </w:r>
            <w:r w:rsidRPr="00A05DEA">
              <w:t>utcomes</w:t>
            </w:r>
          </w:p>
        </w:tc>
      </w:tr>
      <w:tr w:rsidR="00141AA5" w:rsidRPr="001B353F" w14:paraId="3EBEED47" w14:textId="77777777" w:rsidTr="001B353F">
        <w:tc>
          <w:tcPr>
            <w:tcW w:w="8928" w:type="dxa"/>
            <w:gridSpan w:val="2"/>
            <w:shd w:val="clear" w:color="auto" w:fill="auto"/>
          </w:tcPr>
          <w:p w14:paraId="0A74D292" w14:textId="77777777" w:rsidR="00141AA5" w:rsidRPr="00C8733F" w:rsidRDefault="001C4012" w:rsidP="002018FB">
            <w:pPr>
              <w:pStyle w:val="QPPTableTextBold"/>
            </w:pPr>
            <w:r>
              <w:t xml:space="preserve">Section </w:t>
            </w:r>
            <w:r w:rsidR="00141AA5">
              <w:t>A</w:t>
            </w:r>
            <w:r w:rsidR="001E037F" w:rsidRPr="00CC1EC3">
              <w:t>—</w:t>
            </w:r>
            <w:r w:rsidR="00141AA5">
              <w:t xml:space="preserve">General </w:t>
            </w:r>
            <w:r w:rsidR="002018FB">
              <w:t xml:space="preserve">performance outcomes and acceptable outcomes </w:t>
            </w:r>
            <w:r w:rsidR="008A6ECD">
              <w:t>for reconfiguring a lot</w:t>
            </w:r>
          </w:p>
        </w:tc>
      </w:tr>
      <w:tr w:rsidR="005E1AAC" w:rsidRPr="00A05DEA" w14:paraId="17E541A6" w14:textId="77777777" w:rsidTr="001B353F">
        <w:trPr>
          <w:trHeight w:val="550"/>
        </w:trPr>
        <w:tc>
          <w:tcPr>
            <w:tcW w:w="4068" w:type="dxa"/>
            <w:vMerge w:val="restart"/>
            <w:shd w:val="clear" w:color="auto" w:fill="auto"/>
          </w:tcPr>
          <w:p w14:paraId="3DA18626" w14:textId="77777777" w:rsidR="005E1AAC" w:rsidRPr="00A05DEA" w:rsidRDefault="005E1AAC">
            <w:pPr>
              <w:pStyle w:val="QPPTableTextBold"/>
            </w:pPr>
            <w:r w:rsidRPr="00A05DEA">
              <w:t>PO</w:t>
            </w:r>
            <w:r>
              <w:t>1</w:t>
            </w:r>
          </w:p>
          <w:p w14:paraId="78A432F9" w14:textId="77777777" w:rsidR="005E1AAC" w:rsidRPr="00F13AA3" w:rsidRDefault="00834B90" w:rsidP="008E2E0A">
            <w:pPr>
              <w:pStyle w:val="QPPTableTextBody"/>
            </w:pPr>
            <w:r>
              <w:t xml:space="preserve">Development creates </w:t>
            </w:r>
            <w:r w:rsidR="008A6ECD">
              <w:t xml:space="preserve">a </w:t>
            </w:r>
            <w:r>
              <w:t>l</w:t>
            </w:r>
            <w:r w:rsidR="005E1AAC" w:rsidRPr="00F13AA3">
              <w:t xml:space="preserve">ot </w:t>
            </w:r>
            <w:r w:rsidR="008A6ECD">
              <w:t xml:space="preserve">with </w:t>
            </w:r>
            <w:r w:rsidR="005E1AAC">
              <w:t xml:space="preserve">dimensions </w:t>
            </w:r>
            <w:r w:rsidR="008A6ECD">
              <w:t xml:space="preserve">which enable lawful uses </w:t>
            </w:r>
            <w:r w:rsidR="005E1AAC">
              <w:t xml:space="preserve">appropriate to the intended use </w:t>
            </w:r>
            <w:r w:rsidR="008A6ECD">
              <w:t xml:space="preserve">and </w:t>
            </w:r>
            <w:r w:rsidR="005E1AAC">
              <w:t>con</w:t>
            </w:r>
            <w:r w:rsidR="008A6ECD">
              <w:t>sistent with</w:t>
            </w:r>
            <w:r w:rsidR="008E2E0A">
              <w:t xml:space="preserve"> zones, zone precincts, neighbourhood plans and overlays which apply to the site and are</w:t>
            </w:r>
            <w:r w:rsidR="008A6ECD">
              <w:t xml:space="preserve"> intended for</w:t>
            </w:r>
            <w:r w:rsidR="005E1AAC">
              <w:t xml:space="preserve"> the locality </w:t>
            </w:r>
            <w:r w:rsidR="008A6ECD">
              <w:t>under the planning scheme</w:t>
            </w:r>
            <w:r w:rsidR="005E1AAC">
              <w:t>.</w:t>
            </w:r>
          </w:p>
        </w:tc>
        <w:tc>
          <w:tcPr>
            <w:tcW w:w="4860" w:type="dxa"/>
            <w:shd w:val="clear" w:color="auto" w:fill="auto"/>
          </w:tcPr>
          <w:p w14:paraId="4E446C1F" w14:textId="77777777" w:rsidR="005E1AAC" w:rsidRPr="00A05DEA" w:rsidRDefault="005E1AAC">
            <w:pPr>
              <w:pStyle w:val="QPPTableTextBold"/>
            </w:pPr>
            <w:r w:rsidRPr="00A05DEA">
              <w:t>AO</w:t>
            </w:r>
            <w:r>
              <w:t>1.1</w:t>
            </w:r>
          </w:p>
          <w:p w14:paraId="31F4D03B" w14:textId="77777777" w:rsidR="005E1AAC" w:rsidRPr="00A05DEA" w:rsidRDefault="00834B90">
            <w:pPr>
              <w:pStyle w:val="QPPTableTextBody"/>
            </w:pPr>
            <w:r>
              <w:t>Development provides l</w:t>
            </w:r>
            <w:r w:rsidR="005E1AAC">
              <w:t xml:space="preserve">ots </w:t>
            </w:r>
            <w:r w:rsidR="008A6ECD">
              <w:t>which</w:t>
            </w:r>
            <w:r w:rsidR="00E249F4">
              <w:t xml:space="preserve"> </w:t>
            </w:r>
            <w:r w:rsidR="005E1AAC">
              <w:t>enable the relevant outcome</w:t>
            </w:r>
            <w:r w:rsidR="00E249F4">
              <w:t>s and standards required by the</w:t>
            </w:r>
            <w:r w:rsidR="005E1AAC">
              <w:t xml:space="preserve"> planning scheme to be </w:t>
            </w:r>
            <w:r w:rsidR="00E249F4">
              <w:t>complied with for the intended use</w:t>
            </w:r>
            <w:r w:rsidR="005E1AAC">
              <w:t>.</w:t>
            </w:r>
          </w:p>
        </w:tc>
      </w:tr>
      <w:tr w:rsidR="005E1AAC" w:rsidRPr="001B353F" w14:paraId="5CA5F7B1" w14:textId="77777777" w:rsidTr="001B353F">
        <w:trPr>
          <w:trHeight w:val="550"/>
        </w:trPr>
        <w:tc>
          <w:tcPr>
            <w:tcW w:w="4068" w:type="dxa"/>
            <w:vMerge/>
            <w:shd w:val="clear" w:color="auto" w:fill="auto"/>
          </w:tcPr>
          <w:p w14:paraId="51144B74" w14:textId="77777777" w:rsidR="005E1AAC" w:rsidRPr="00A05DEA" w:rsidRDefault="005E1AAC">
            <w:pPr>
              <w:pStyle w:val="QPPTableTextBold"/>
            </w:pPr>
          </w:p>
        </w:tc>
        <w:tc>
          <w:tcPr>
            <w:tcW w:w="4860" w:type="dxa"/>
            <w:shd w:val="clear" w:color="auto" w:fill="auto"/>
          </w:tcPr>
          <w:p w14:paraId="129F8C4B" w14:textId="77777777" w:rsidR="005E1AAC" w:rsidRPr="00A05DEA" w:rsidRDefault="005E1AAC">
            <w:pPr>
              <w:pStyle w:val="QPPTableTextBold"/>
            </w:pPr>
            <w:r>
              <w:t>AO1.2</w:t>
            </w:r>
          </w:p>
          <w:p w14:paraId="0DD5C2FC" w14:textId="5788F99C" w:rsidR="005E1AAC" w:rsidRPr="001B353F" w:rsidRDefault="00834B90">
            <w:pPr>
              <w:pStyle w:val="QPPTableTextBody"/>
              <w:rPr>
                <w:b/>
              </w:rPr>
            </w:pPr>
            <w:r w:rsidRPr="00F65DB1">
              <w:t>Development provides lots with</w:t>
            </w:r>
            <w:r w:rsidR="005E1AAC" w:rsidRPr="00F65DB1">
              <w:t xml:space="preserve"> dimensions in </w:t>
            </w:r>
            <w:r w:rsidR="00E249F4" w:rsidRPr="00F65DB1">
              <w:t xml:space="preserve">compliance </w:t>
            </w:r>
            <w:r w:rsidR="005E1AAC" w:rsidRPr="00F65DB1">
              <w:t xml:space="preserve">with </w:t>
            </w:r>
            <w:r w:rsidR="0045583E" w:rsidRPr="00AB035A">
              <w:t>Table 9.4.10.3.B</w:t>
            </w:r>
            <w:r w:rsidR="005E1AAC" w:rsidRPr="003D64B8">
              <w:t>.</w:t>
            </w:r>
          </w:p>
        </w:tc>
      </w:tr>
      <w:tr w:rsidR="004A464E" w:rsidRPr="00A05DEA" w14:paraId="66E5C9D8" w14:textId="77777777" w:rsidTr="001B353F">
        <w:trPr>
          <w:trHeight w:val="6415"/>
        </w:trPr>
        <w:tc>
          <w:tcPr>
            <w:tcW w:w="4068" w:type="dxa"/>
            <w:vMerge/>
            <w:shd w:val="clear" w:color="auto" w:fill="auto"/>
          </w:tcPr>
          <w:p w14:paraId="661C1957" w14:textId="77777777" w:rsidR="004A464E" w:rsidRDefault="004A464E" w:rsidP="00F7796D"/>
        </w:tc>
        <w:tc>
          <w:tcPr>
            <w:tcW w:w="4860" w:type="dxa"/>
            <w:shd w:val="clear" w:color="auto" w:fill="auto"/>
          </w:tcPr>
          <w:p w14:paraId="5F0508DA" w14:textId="77777777" w:rsidR="004A464E" w:rsidRPr="00A05DEA" w:rsidRDefault="004A464E">
            <w:pPr>
              <w:pStyle w:val="QPPTableTextBold"/>
            </w:pPr>
            <w:r>
              <w:t>AO1.3</w:t>
            </w:r>
          </w:p>
          <w:p w14:paraId="5F3182C3" w14:textId="7A03BDB9" w:rsidR="004A464E" w:rsidRPr="0070159D" w:rsidRDefault="00E249F4" w:rsidP="00046BA8">
            <w:pPr>
              <w:pStyle w:val="QPPTableTextBody"/>
            </w:pPr>
            <w:r w:rsidRPr="0070159D">
              <w:t xml:space="preserve">Development </w:t>
            </w:r>
            <w:r w:rsidR="00CF5867" w:rsidRPr="0070159D">
              <w:t>involving</w:t>
            </w:r>
            <w:r w:rsidRPr="0070159D">
              <w:t xml:space="preserve"> a b</w:t>
            </w:r>
            <w:r w:rsidR="004A464E" w:rsidRPr="0070159D">
              <w:t xml:space="preserve">uilding </w:t>
            </w:r>
            <w:r w:rsidR="00CF5867" w:rsidRPr="0070159D">
              <w:t>or</w:t>
            </w:r>
            <w:r w:rsidR="004A464E" w:rsidRPr="0070159D">
              <w:t xml:space="preserve"> structure </w:t>
            </w:r>
            <w:r w:rsidR="00CF5867" w:rsidRPr="0070159D">
              <w:t xml:space="preserve">that is not </w:t>
            </w:r>
            <w:r w:rsidR="004A464E" w:rsidRPr="0070159D">
              <w:t xml:space="preserve">intended for common use and sharing by </w:t>
            </w:r>
            <w:r w:rsidRPr="0070159D">
              <w:t>a formal title arrangement</w:t>
            </w:r>
            <w:r w:rsidR="00743BAD" w:rsidRPr="0070159D">
              <w:t xml:space="preserve"> </w:t>
            </w:r>
            <w:r w:rsidR="004A464E" w:rsidRPr="0070159D">
              <w:t xml:space="preserve">such as </w:t>
            </w:r>
            <w:r w:rsidRPr="0070159D">
              <w:t xml:space="preserve">a </w:t>
            </w:r>
            <w:r w:rsidR="004A464E" w:rsidRPr="0070159D">
              <w:t xml:space="preserve">shared wall between attached dwelling houses and </w:t>
            </w:r>
            <w:r w:rsidRPr="0070159D">
              <w:t xml:space="preserve">a </w:t>
            </w:r>
            <w:r w:rsidR="004A464E" w:rsidRPr="0070159D">
              <w:t>volumetric lo</w:t>
            </w:r>
            <w:r w:rsidRPr="0070159D">
              <w:t>t</w:t>
            </w:r>
            <w:r w:rsidR="00CF5867" w:rsidRPr="0070159D">
              <w:t>,</w:t>
            </w:r>
            <w:r w:rsidR="00F0086C" w:rsidRPr="0070159D">
              <w:t xml:space="preserve"> reconfiguring a lot does not result in development being</w:t>
            </w:r>
            <w:r w:rsidR="004A464E" w:rsidRPr="0070159D">
              <w:t xml:space="preserve"> located across a boundary or </w:t>
            </w:r>
            <w:r w:rsidR="004A464E" w:rsidRPr="00046BA8">
              <w:t>within</w:t>
            </w:r>
            <w:r w:rsidR="001303D4" w:rsidRPr="00046BA8">
              <w:t xml:space="preserve"> a </w:t>
            </w:r>
            <w:r w:rsidR="001303D4" w:rsidRPr="00AB035A">
              <w:t>setback</w:t>
            </w:r>
            <w:r w:rsidR="001303D4" w:rsidRPr="00046BA8">
              <w:t xml:space="preserve"> </w:t>
            </w:r>
            <w:r w:rsidR="004A464E" w:rsidRPr="00046BA8">
              <w:t>required by th</w:t>
            </w:r>
            <w:r w:rsidRPr="00046BA8">
              <w:t>e</w:t>
            </w:r>
            <w:r w:rsidR="004A464E" w:rsidRPr="00046BA8">
              <w:t xml:space="preserve"> plannin</w:t>
            </w:r>
            <w:r w:rsidR="00743BAD" w:rsidRPr="00046BA8">
              <w:t>g</w:t>
            </w:r>
            <w:r w:rsidR="00743BAD" w:rsidRPr="0070159D">
              <w:t xml:space="preserve"> scheme</w:t>
            </w:r>
            <w:r w:rsidR="004A464E" w:rsidRPr="0070159D">
              <w:t>.</w:t>
            </w:r>
          </w:p>
          <w:p w14:paraId="09725E71" w14:textId="77777777" w:rsidR="004A464E" w:rsidRPr="000964D6" w:rsidRDefault="004A464E" w:rsidP="005D5E7D">
            <w:pPr>
              <w:pStyle w:val="QPPEditorsNoteStyle1"/>
            </w:pPr>
            <w:r>
              <w:t>Note—</w:t>
            </w:r>
            <w:r w:rsidRPr="00F13AA3">
              <w:t xml:space="preserve">The </w:t>
            </w:r>
            <w:r>
              <w:t xml:space="preserve">development </w:t>
            </w:r>
            <w:r w:rsidR="003D64B8">
              <w:t>application may indicate that</w:t>
            </w:r>
            <w:r w:rsidR="00CF5867">
              <w:t xml:space="preserve"> a </w:t>
            </w:r>
            <w:r w:rsidRPr="00F13AA3">
              <w:t>building</w:t>
            </w:r>
            <w:r w:rsidR="008553B4">
              <w:t xml:space="preserve"> or structure</w:t>
            </w:r>
            <w:r w:rsidRPr="00F13AA3">
              <w:t xml:space="preserve"> </w:t>
            </w:r>
            <w:r w:rsidR="008553B4">
              <w:t>is</w:t>
            </w:r>
            <w:r w:rsidRPr="00F13AA3">
              <w:t xml:space="preserve"> to be demolished or redesigned pending approval of the </w:t>
            </w:r>
            <w:r w:rsidR="008553B4">
              <w:t xml:space="preserve">reconfiguring of a lot </w:t>
            </w:r>
            <w:r w:rsidRPr="00F13AA3">
              <w:t xml:space="preserve">to correct this situation. This </w:t>
            </w:r>
            <w:r w:rsidR="008553B4">
              <w:t xml:space="preserve">is to </w:t>
            </w:r>
            <w:r w:rsidRPr="00F13AA3">
              <w:t xml:space="preserve">be carried out before </w:t>
            </w:r>
            <w:r w:rsidR="008553B4">
              <w:t xml:space="preserve">the approval </w:t>
            </w:r>
            <w:r w:rsidRPr="00F13AA3">
              <w:t xml:space="preserve">of the </w:t>
            </w:r>
            <w:r w:rsidR="007B1346">
              <w:t>subdivision survey plan.</w:t>
            </w:r>
          </w:p>
          <w:p w14:paraId="039DC23D" w14:textId="1640AE9E" w:rsidR="004A464E" w:rsidRDefault="004A464E">
            <w:pPr>
              <w:pStyle w:val="QPPEditorsNoteStyle1"/>
            </w:pPr>
            <w:r>
              <w:t>Note—</w:t>
            </w:r>
            <w:r w:rsidRPr="00675FD2">
              <w:t xml:space="preserve">Where development </w:t>
            </w:r>
            <w:r w:rsidR="008553B4">
              <w:t xml:space="preserve">is </w:t>
            </w:r>
            <w:r w:rsidRPr="00675FD2">
              <w:t>intended on a propo</w:t>
            </w:r>
            <w:r w:rsidR="008553B4">
              <w:t>sed lot to involve work</w:t>
            </w:r>
            <w:r w:rsidRPr="00675FD2">
              <w:t xml:space="preserve"> for </w:t>
            </w:r>
            <w:r w:rsidR="008553B4">
              <w:t>a shared wall, built to the boundary wall or other structure and work</w:t>
            </w:r>
            <w:r>
              <w:t xml:space="preserve"> (other than </w:t>
            </w:r>
            <w:r w:rsidR="008553B4">
              <w:t xml:space="preserve">a </w:t>
            </w:r>
            <w:r>
              <w:t>fence)</w:t>
            </w:r>
            <w:r w:rsidRPr="00675FD2">
              <w:t xml:space="preserve"> on or near to the proposed lot boundary</w:t>
            </w:r>
            <w:r w:rsidR="00F0086C">
              <w:t xml:space="preserve"> and the proposed lots do not meet the requirements </w:t>
            </w:r>
            <w:r w:rsidR="00F0086C" w:rsidRPr="00815247">
              <w:t xml:space="preserve">of </w:t>
            </w:r>
            <w:r w:rsidR="00F0086C" w:rsidRPr="00AB035A">
              <w:t>Table 9.4.10.3.B</w:t>
            </w:r>
            <w:r w:rsidRPr="00675FD2">
              <w:t xml:space="preserve">, </w:t>
            </w:r>
            <w:r>
              <w:t>the</w:t>
            </w:r>
            <w:r w:rsidR="008553B4">
              <w:t xml:space="preserve"> structure</w:t>
            </w:r>
            <w:r>
              <w:t xml:space="preserve"> </w:t>
            </w:r>
            <w:r w:rsidR="008553B4">
              <w:t xml:space="preserve">is to be </w:t>
            </w:r>
            <w:r>
              <w:t xml:space="preserve">located in the position identified by the preceding development </w:t>
            </w:r>
            <w:r w:rsidR="002018FB">
              <w:t>approval</w:t>
            </w:r>
            <w:r w:rsidRPr="00675FD2">
              <w:t xml:space="preserve">, approved plans, planning scheme and </w:t>
            </w:r>
            <w:r w:rsidR="008553B4">
              <w:t>B</w:t>
            </w:r>
            <w:r w:rsidRPr="00675FD2">
              <w:t xml:space="preserve">uilding </w:t>
            </w:r>
            <w:r w:rsidR="008553B4">
              <w:t>R</w:t>
            </w:r>
            <w:r w:rsidR="00CF5867">
              <w:t>egulation</w:t>
            </w:r>
            <w:r w:rsidR="008553B4">
              <w:t>.</w:t>
            </w:r>
          </w:p>
          <w:p w14:paraId="56313F94" w14:textId="6D3F2EDE" w:rsidR="00620255" w:rsidRDefault="004A464E" w:rsidP="002421A7">
            <w:pPr>
              <w:pStyle w:val="QPPEditorsNoteStyle1"/>
            </w:pPr>
            <w:r>
              <w:t>Note</w:t>
            </w:r>
            <w:r w:rsidRPr="00CC1EC3">
              <w:t>—</w:t>
            </w:r>
            <w:r w:rsidR="008553B4">
              <w:t>I</w:t>
            </w:r>
            <w:r>
              <w:t xml:space="preserve">n the circumstance of </w:t>
            </w:r>
            <w:r w:rsidR="008553B4">
              <w:t xml:space="preserve">a </w:t>
            </w:r>
            <w:r>
              <w:t>shared building wall</w:t>
            </w:r>
            <w:r w:rsidR="002213FF">
              <w:t xml:space="preserve"> and the proposed lots do not meet the requirements of </w:t>
            </w:r>
            <w:r w:rsidR="0045583E" w:rsidRPr="00AB035A">
              <w:t>Table 9.4.10.3.B</w:t>
            </w:r>
            <w:r>
              <w:t xml:space="preserve">, </w:t>
            </w:r>
            <w:r w:rsidR="00620255">
              <w:t xml:space="preserve">the relevant </w:t>
            </w:r>
            <w:r>
              <w:t xml:space="preserve">plan of subdivision will </w:t>
            </w:r>
            <w:r w:rsidRPr="00675FD2">
              <w:t xml:space="preserve">not </w:t>
            </w:r>
            <w:r>
              <w:t xml:space="preserve">be </w:t>
            </w:r>
            <w:r w:rsidR="008553B4">
              <w:t xml:space="preserve">approved </w:t>
            </w:r>
            <w:r w:rsidRPr="00675FD2">
              <w:t>until</w:t>
            </w:r>
            <w:r w:rsidR="00620255" w:rsidRPr="00675FD2">
              <w:t xml:space="preserve"> </w:t>
            </w:r>
            <w:r w:rsidR="00620255">
              <w:t xml:space="preserve">the following </w:t>
            </w:r>
            <w:r w:rsidR="00620255" w:rsidRPr="00675FD2">
              <w:t xml:space="preserve">shows </w:t>
            </w:r>
            <w:r w:rsidR="008553B4">
              <w:t xml:space="preserve">that </w:t>
            </w:r>
            <w:r w:rsidR="00620255" w:rsidRPr="00675FD2">
              <w:t xml:space="preserve">the location of </w:t>
            </w:r>
            <w:r w:rsidR="00620255">
              <w:t>the</w:t>
            </w:r>
            <w:r w:rsidR="008553B4">
              <w:t xml:space="preserve"> structure is </w:t>
            </w:r>
            <w:r w:rsidR="00620255">
              <w:t>correctly located:</w:t>
            </w:r>
          </w:p>
          <w:p w14:paraId="3A60EB0E" w14:textId="77777777" w:rsidR="00620255" w:rsidRPr="002153F3" w:rsidRDefault="004A464E" w:rsidP="00A32C0C">
            <w:pPr>
              <w:pStyle w:val="QPPEditorsnotebulletpoint1"/>
            </w:pPr>
            <w:r w:rsidRPr="00A32C0C">
              <w:t xml:space="preserve">physical inspection is undertaken </w:t>
            </w:r>
            <w:r w:rsidRPr="00CC46EF">
              <w:t xml:space="preserve">at </w:t>
            </w:r>
            <w:r w:rsidR="008553B4" w:rsidRPr="009E093F">
              <w:t xml:space="preserve">the </w:t>
            </w:r>
            <w:r w:rsidRPr="006D1DD5">
              <w:t>framing stage of construction</w:t>
            </w:r>
            <w:r w:rsidR="0070159D">
              <w:t>;</w:t>
            </w:r>
          </w:p>
          <w:p w14:paraId="33264D35" w14:textId="77777777" w:rsidR="00620255" w:rsidRPr="00E50479" w:rsidRDefault="004A464E" w:rsidP="00CC46EF">
            <w:pPr>
              <w:pStyle w:val="QPPEditorsnotebulletpoint1"/>
            </w:pPr>
            <w:r w:rsidRPr="00A56825">
              <w:t xml:space="preserve">written </w:t>
            </w:r>
            <w:r w:rsidR="00743BAD" w:rsidRPr="00A46FAE">
              <w:t>evidence in the form of a plan</w:t>
            </w:r>
            <w:r w:rsidR="008553B4" w:rsidRPr="00A46FAE">
              <w:t xml:space="preserve"> of subdivision</w:t>
            </w:r>
            <w:r w:rsidR="00743BAD" w:rsidRPr="00A46FAE">
              <w:t xml:space="preserve"> </w:t>
            </w:r>
            <w:r w:rsidR="008553B4" w:rsidRPr="00A46FAE">
              <w:t xml:space="preserve">is </w:t>
            </w:r>
            <w:r w:rsidR="00743BAD" w:rsidRPr="00A46FAE">
              <w:t xml:space="preserve">prepared </w:t>
            </w:r>
            <w:r w:rsidRPr="00A46FAE">
              <w:t>by a suitably qualified person</w:t>
            </w:r>
            <w:r w:rsidR="00A458FB" w:rsidRPr="003765E7">
              <w:t>;</w:t>
            </w:r>
          </w:p>
          <w:p w14:paraId="5F6CAAEA" w14:textId="77777777" w:rsidR="004A464E" w:rsidRPr="000964D6" w:rsidRDefault="008553B4" w:rsidP="006B5F56">
            <w:pPr>
              <w:pStyle w:val="QPPEditorsnotebulletpoint1"/>
            </w:pPr>
            <w:r w:rsidRPr="00505840">
              <w:t>o</w:t>
            </w:r>
            <w:r w:rsidR="00620255" w:rsidRPr="00505840">
              <w:t>the</w:t>
            </w:r>
            <w:r w:rsidRPr="00A32C0C">
              <w:t>r</w:t>
            </w:r>
            <w:r w:rsidR="00620255" w:rsidRPr="00A32C0C">
              <w:t xml:space="preserve"> evidence </w:t>
            </w:r>
            <w:r w:rsidR="004A464E" w:rsidRPr="00A32C0C">
              <w:t xml:space="preserve">received </w:t>
            </w:r>
            <w:r w:rsidR="00620255" w:rsidRPr="00A32C0C">
              <w:t xml:space="preserve">and agreed </w:t>
            </w:r>
            <w:r w:rsidR="004A464E" w:rsidRPr="00A32C0C">
              <w:t>by</w:t>
            </w:r>
            <w:r w:rsidR="00CF5867" w:rsidRPr="00A32C0C">
              <w:t xml:space="preserve"> the</w:t>
            </w:r>
            <w:r w:rsidR="004A464E" w:rsidRPr="00A32C0C">
              <w:t xml:space="preserve"> Council</w:t>
            </w:r>
            <w:r w:rsidR="00620255" w:rsidRPr="00A32C0C">
              <w:t>.</w:t>
            </w:r>
          </w:p>
        </w:tc>
      </w:tr>
      <w:tr w:rsidR="005E1AAC" w:rsidRPr="00A05DEA" w14:paraId="1DCCB54A" w14:textId="77777777" w:rsidTr="001B353F">
        <w:trPr>
          <w:trHeight w:val="898"/>
        </w:trPr>
        <w:tc>
          <w:tcPr>
            <w:tcW w:w="4068" w:type="dxa"/>
            <w:vMerge/>
            <w:shd w:val="clear" w:color="auto" w:fill="auto"/>
          </w:tcPr>
          <w:p w14:paraId="187D4075" w14:textId="77777777" w:rsidR="005E1AAC" w:rsidRDefault="005E1AAC" w:rsidP="00F7796D"/>
        </w:tc>
        <w:tc>
          <w:tcPr>
            <w:tcW w:w="4860" w:type="dxa"/>
            <w:shd w:val="clear" w:color="auto" w:fill="auto"/>
          </w:tcPr>
          <w:p w14:paraId="181E8BF1" w14:textId="77777777" w:rsidR="005E1AAC" w:rsidRDefault="004A464E">
            <w:pPr>
              <w:pStyle w:val="QPPTableTextBold"/>
            </w:pPr>
            <w:r>
              <w:t>AO1.4</w:t>
            </w:r>
          </w:p>
          <w:p w14:paraId="66EB624F" w14:textId="77777777" w:rsidR="008553B4" w:rsidRPr="00231096" w:rsidRDefault="00834B90">
            <w:pPr>
              <w:pStyle w:val="QPPTableTextBody"/>
            </w:pPr>
            <w:r w:rsidRPr="00231096">
              <w:rPr>
                <w:rStyle w:val="QPPTableTextBodyChar"/>
              </w:rPr>
              <w:t xml:space="preserve">Development ensures </w:t>
            </w:r>
            <w:r w:rsidR="008553B4" w:rsidRPr="00231096">
              <w:rPr>
                <w:rStyle w:val="QPPTableTextBodyChar"/>
              </w:rPr>
              <w:t xml:space="preserve">that each </w:t>
            </w:r>
            <w:r w:rsidR="005E1AAC" w:rsidRPr="00231096">
              <w:rPr>
                <w:rStyle w:val="QPPTableTextBodyChar"/>
              </w:rPr>
              <w:t xml:space="preserve">lot </w:t>
            </w:r>
            <w:r w:rsidR="008553B4" w:rsidRPr="00231096">
              <w:rPr>
                <w:rStyle w:val="QPPTableTextBodyChar"/>
              </w:rPr>
              <w:t xml:space="preserve">is </w:t>
            </w:r>
            <w:r w:rsidR="005E1AAC" w:rsidRPr="00231096">
              <w:rPr>
                <w:rStyle w:val="QPPTableTextBodyChar"/>
              </w:rPr>
              <w:t>provided with</w:t>
            </w:r>
            <w:r w:rsidR="008553B4" w:rsidRPr="00231096">
              <w:t>:</w:t>
            </w:r>
          </w:p>
          <w:p w14:paraId="6F274EA8" w14:textId="77777777" w:rsidR="008553B4" w:rsidRDefault="005E1AAC">
            <w:pPr>
              <w:pStyle w:val="HGTableBullet2"/>
            </w:pPr>
            <w:r w:rsidRPr="008553B4">
              <w:t>direct access to a formed public road</w:t>
            </w:r>
            <w:r w:rsidR="00BF1DD8">
              <w:t xml:space="preserve"> which is not directly</w:t>
            </w:r>
            <w:r w:rsidR="00511D30">
              <w:t xml:space="preserve"> from a major road</w:t>
            </w:r>
            <w:r w:rsidR="008553B4">
              <w:t>;</w:t>
            </w:r>
            <w:r w:rsidR="0070159D">
              <w:t xml:space="preserve"> or</w:t>
            </w:r>
          </w:p>
          <w:p w14:paraId="52017AB1" w14:textId="77777777" w:rsidR="005E1AAC" w:rsidRPr="008553B4" w:rsidRDefault="008553B4">
            <w:pPr>
              <w:pStyle w:val="HGTableBullet2"/>
            </w:pPr>
            <w:r>
              <w:t xml:space="preserve">access to a formed public road </w:t>
            </w:r>
            <w:r w:rsidR="005E1AAC" w:rsidRPr="008553B4">
              <w:t xml:space="preserve">via a formal access arrangement </w:t>
            </w:r>
            <w:r w:rsidR="00620255" w:rsidRPr="008553B4">
              <w:t xml:space="preserve">registered </w:t>
            </w:r>
            <w:r w:rsidR="005E1AAC" w:rsidRPr="008553B4">
              <w:t>on</w:t>
            </w:r>
            <w:r w:rsidR="00C41BF8">
              <w:t xml:space="preserve"> a</w:t>
            </w:r>
            <w:r w:rsidR="005E1AAC" w:rsidRPr="008553B4">
              <w:t xml:space="preserve"> title over another lot, </w:t>
            </w:r>
            <w:r>
              <w:t xml:space="preserve">a </w:t>
            </w:r>
            <w:r w:rsidR="005E1AAC" w:rsidRPr="008553B4">
              <w:t xml:space="preserve">reciprocal access </w:t>
            </w:r>
            <w:r>
              <w:t xml:space="preserve">easement </w:t>
            </w:r>
            <w:r w:rsidR="005E1AAC" w:rsidRPr="008553B4">
              <w:t xml:space="preserve">or common property </w:t>
            </w:r>
            <w:r>
              <w:t xml:space="preserve">which </w:t>
            </w:r>
            <w:r w:rsidR="005E1AAC" w:rsidRPr="008553B4">
              <w:t>meets the standard ve</w:t>
            </w:r>
            <w:r>
              <w:t>hicle type requirements for the</w:t>
            </w:r>
            <w:r w:rsidR="005E1AAC" w:rsidRPr="008553B4">
              <w:t xml:space="preserve"> zone</w:t>
            </w:r>
            <w:r>
              <w:t xml:space="preserve"> and</w:t>
            </w:r>
            <w:r w:rsidR="005E1AAC" w:rsidRPr="008553B4">
              <w:t xml:space="preserve"> zone precinct </w:t>
            </w:r>
            <w:r>
              <w:t xml:space="preserve">applicable to the site and the </w:t>
            </w:r>
            <w:r w:rsidR="005E1AAC" w:rsidRPr="008553B4">
              <w:t>intended use.</w:t>
            </w:r>
          </w:p>
        </w:tc>
      </w:tr>
      <w:tr w:rsidR="005E1AAC" w:rsidRPr="001B353F" w14:paraId="53A9343F" w14:textId="77777777" w:rsidTr="001B353F">
        <w:trPr>
          <w:trHeight w:val="897"/>
        </w:trPr>
        <w:tc>
          <w:tcPr>
            <w:tcW w:w="4068" w:type="dxa"/>
            <w:vMerge/>
            <w:shd w:val="clear" w:color="auto" w:fill="auto"/>
          </w:tcPr>
          <w:p w14:paraId="51539B51" w14:textId="77777777" w:rsidR="005E1AAC" w:rsidRDefault="005E1AAC" w:rsidP="00F7796D"/>
        </w:tc>
        <w:tc>
          <w:tcPr>
            <w:tcW w:w="4860" w:type="dxa"/>
            <w:shd w:val="clear" w:color="auto" w:fill="auto"/>
          </w:tcPr>
          <w:p w14:paraId="0F7A5E8D" w14:textId="77777777" w:rsidR="005E1AAC" w:rsidRPr="0070159D" w:rsidRDefault="004A464E" w:rsidP="0070159D">
            <w:pPr>
              <w:pStyle w:val="QPPTableTextBold"/>
            </w:pPr>
            <w:r w:rsidRPr="0070159D">
              <w:t>AO1.5</w:t>
            </w:r>
          </w:p>
          <w:p w14:paraId="6489FED1" w14:textId="3662F3F8" w:rsidR="00103F7B" w:rsidRPr="00046BA8" w:rsidRDefault="00B34B57" w:rsidP="00046BA8">
            <w:pPr>
              <w:pStyle w:val="QPPTableTextBody"/>
            </w:pPr>
            <w:r w:rsidRPr="00046BA8">
              <w:t xml:space="preserve">Development </w:t>
            </w:r>
            <w:r w:rsidR="00CA6F68" w:rsidRPr="00046BA8">
              <w:t xml:space="preserve">requiring a </w:t>
            </w:r>
            <w:r w:rsidR="00CA6F68" w:rsidRPr="00AB035A">
              <w:t>building envelope plan</w:t>
            </w:r>
            <w:r w:rsidR="00CA6F68" w:rsidRPr="00046BA8">
              <w:t xml:space="preserve"> </w:t>
            </w:r>
            <w:r w:rsidR="00C75250" w:rsidRPr="00046BA8">
              <w:t xml:space="preserve">or a </w:t>
            </w:r>
            <w:r w:rsidR="00C75250" w:rsidRPr="00AB035A">
              <w:t>development footprint plan</w:t>
            </w:r>
            <w:r w:rsidR="00C75250" w:rsidRPr="00046BA8">
              <w:t xml:space="preserve"> ensures </w:t>
            </w:r>
            <w:r w:rsidR="00C94358" w:rsidRPr="00046BA8">
              <w:t>the</w:t>
            </w:r>
            <w:r w:rsidR="00B23FC6" w:rsidRPr="00046BA8">
              <w:t xml:space="preserve"> </w:t>
            </w:r>
            <w:r w:rsidR="00C51A5B" w:rsidRPr="00C51A5B">
              <w:t>building envelope plan</w:t>
            </w:r>
            <w:r w:rsidR="00B23FC6" w:rsidRPr="00046BA8">
              <w:t xml:space="preserve"> or </w:t>
            </w:r>
            <w:r w:rsidR="00C51A5B" w:rsidRPr="00C51A5B">
              <w:t>development footprint plan</w:t>
            </w:r>
            <w:r w:rsidR="00B23FC6" w:rsidRPr="00046BA8">
              <w:t xml:space="preserve"> is shown on the plan of subdivision to be registered for the lot</w:t>
            </w:r>
            <w:r w:rsidR="0070159D" w:rsidRPr="00046BA8">
              <w:t>.</w:t>
            </w:r>
          </w:p>
          <w:p w14:paraId="1D018F97" w14:textId="63EEA8AA" w:rsidR="005E1AAC" w:rsidRDefault="001E037F">
            <w:pPr>
              <w:pStyle w:val="QPPEditorsNoteStyle1"/>
            </w:pPr>
            <w:r>
              <w:t>Note—</w:t>
            </w:r>
            <w:r w:rsidR="00FB78D7">
              <w:t>A</w:t>
            </w:r>
            <w:r w:rsidR="00C12A4F">
              <w:t xml:space="preserve"> </w:t>
            </w:r>
            <w:r w:rsidR="00295732" w:rsidRPr="00AB035A">
              <w:t>building envelope plan</w:t>
            </w:r>
            <w:r w:rsidR="00C12A4F">
              <w:t xml:space="preserve"> or a </w:t>
            </w:r>
            <w:r w:rsidR="00C12A4F" w:rsidRPr="00AB035A">
              <w:t>development footprint plan</w:t>
            </w:r>
            <w:r w:rsidR="00FB78D7">
              <w:t xml:space="preserve"> </w:t>
            </w:r>
            <w:r w:rsidR="00103F7B" w:rsidRPr="00C07950">
              <w:t xml:space="preserve">can be a means of addressing a range of site development matters. Other parts of this code and other codes determine the circumstances for </w:t>
            </w:r>
            <w:r w:rsidR="00FB78D7">
              <w:t xml:space="preserve">the </w:t>
            </w:r>
            <w:r w:rsidR="00103F7B" w:rsidRPr="00C07950">
              <w:t xml:space="preserve">application of a </w:t>
            </w:r>
            <w:r w:rsidR="00240A49" w:rsidRPr="00295732">
              <w:t>building envelope plan</w:t>
            </w:r>
            <w:r w:rsidR="00240A49" w:rsidRPr="00045ED4">
              <w:t xml:space="preserve"> </w:t>
            </w:r>
            <w:r w:rsidR="00240A49" w:rsidRPr="00B47AA3">
              <w:t xml:space="preserve">or a </w:t>
            </w:r>
            <w:r w:rsidR="00240A49" w:rsidRPr="00295732">
              <w:t>development footprint plan</w:t>
            </w:r>
            <w:r w:rsidR="00103F7B" w:rsidRPr="00295732">
              <w:t>.</w:t>
            </w:r>
          </w:p>
          <w:p w14:paraId="5FEE4A67" w14:textId="43A959C1" w:rsidR="00160409" w:rsidRPr="00160409" w:rsidRDefault="00E61E45">
            <w:pPr>
              <w:pStyle w:val="QPPEditorsNoteStyle1"/>
            </w:pPr>
            <w:r>
              <w:t>Note—</w:t>
            </w:r>
            <w:r w:rsidR="00FB78D7">
              <w:t xml:space="preserve">A </w:t>
            </w:r>
            <w:r w:rsidR="00C12A4F" w:rsidRPr="00AB035A">
              <w:t>building envelope plan</w:t>
            </w:r>
            <w:r w:rsidR="00C12A4F">
              <w:t xml:space="preserve"> or a</w:t>
            </w:r>
            <w:r w:rsidR="00511D30">
              <w:t xml:space="preserve"> </w:t>
            </w:r>
            <w:r w:rsidR="00511D30" w:rsidRPr="00AB035A">
              <w:t>development footprint plan</w:t>
            </w:r>
            <w:r w:rsidR="00511D30">
              <w:t xml:space="preserve"> </w:t>
            </w:r>
            <w:r w:rsidR="00160409">
              <w:t xml:space="preserve">may also be used to determine where other matters are registered on title, such as a </w:t>
            </w:r>
            <w:r w:rsidR="00FB78D7">
              <w:t xml:space="preserve">registered environmental </w:t>
            </w:r>
            <w:r w:rsidR="00160409">
              <w:t xml:space="preserve">covenant over land </w:t>
            </w:r>
            <w:r w:rsidR="00FB78D7">
              <w:t xml:space="preserve">outside of the </w:t>
            </w:r>
            <w:r w:rsidR="00B23FC6">
              <w:t xml:space="preserve">building envelope or </w:t>
            </w:r>
            <w:r w:rsidR="00C94358" w:rsidRPr="00295732">
              <w:t>development footprint</w:t>
            </w:r>
            <w:r w:rsidR="00FB78D7">
              <w:t xml:space="preserve"> which </w:t>
            </w:r>
            <w:r w:rsidR="00160409">
              <w:t xml:space="preserve">is not </w:t>
            </w:r>
            <w:r w:rsidR="00FB78D7">
              <w:t>to be the subject of vegetation clearing</w:t>
            </w:r>
            <w:r w:rsidR="00160409">
              <w:t>.</w:t>
            </w:r>
          </w:p>
        </w:tc>
      </w:tr>
      <w:tr w:rsidR="00D07373" w:rsidRPr="00A05DEA" w14:paraId="3BC9907C" w14:textId="77777777" w:rsidTr="001B353F">
        <w:trPr>
          <w:trHeight w:val="526"/>
        </w:trPr>
        <w:tc>
          <w:tcPr>
            <w:tcW w:w="4068" w:type="dxa"/>
            <w:vMerge w:val="restart"/>
            <w:shd w:val="clear" w:color="auto" w:fill="auto"/>
          </w:tcPr>
          <w:p w14:paraId="1D464522" w14:textId="77777777" w:rsidR="00D07373" w:rsidRPr="00591C67" w:rsidRDefault="00D07373">
            <w:pPr>
              <w:pStyle w:val="QPPTableTextBold"/>
            </w:pPr>
            <w:r>
              <w:t>PO2</w:t>
            </w:r>
          </w:p>
          <w:p w14:paraId="2BD6E093" w14:textId="77777777" w:rsidR="00D07373" w:rsidRDefault="00D07373">
            <w:pPr>
              <w:pStyle w:val="QPPTableTextBody"/>
            </w:pPr>
            <w:r>
              <w:t>Development ensures that the l</w:t>
            </w:r>
            <w:r w:rsidRPr="00591C67">
              <w:t>ot size and layout minimise</w:t>
            </w:r>
            <w:r>
              <w:t>s impacts</w:t>
            </w:r>
            <w:r w:rsidRPr="00591C67">
              <w:t xml:space="preserve"> from </w:t>
            </w:r>
            <w:r>
              <w:t xml:space="preserve">cutting, filling, </w:t>
            </w:r>
            <w:r w:rsidRPr="00591C67">
              <w:t>retaining walls and earthworks</w:t>
            </w:r>
            <w:r>
              <w:t>.</w:t>
            </w:r>
          </w:p>
          <w:p w14:paraId="6D723C38" w14:textId="77777777" w:rsidR="00D07373" w:rsidRPr="00695085" w:rsidRDefault="00D07373" w:rsidP="00D07373">
            <w:pPr>
              <w:pStyle w:val="QPPTableTextBody"/>
            </w:pPr>
            <w:r>
              <w:t>Development ensures cutting and filling for the development of canals</w:t>
            </w:r>
            <w:r w:rsidRPr="00D07373">
              <w:t xml:space="preserve"> or artificial waterways</w:t>
            </w:r>
            <w:r>
              <w:t xml:space="preserve"> avoids adverse </w:t>
            </w:r>
            <w:r w:rsidRPr="00D07373">
              <w:t>impacts on coastal resources and processes.</w:t>
            </w:r>
          </w:p>
        </w:tc>
        <w:tc>
          <w:tcPr>
            <w:tcW w:w="4860" w:type="dxa"/>
            <w:shd w:val="clear" w:color="auto" w:fill="auto"/>
          </w:tcPr>
          <w:p w14:paraId="527D21DC" w14:textId="77777777" w:rsidR="00D07373" w:rsidRPr="00591C67" w:rsidRDefault="00D07373">
            <w:pPr>
              <w:pStyle w:val="QPPTableTextBold"/>
            </w:pPr>
            <w:r w:rsidRPr="00591C67">
              <w:t>AO</w:t>
            </w:r>
            <w:r>
              <w:t>2</w:t>
            </w:r>
            <w:r w:rsidRPr="00591C67">
              <w:t>.1</w:t>
            </w:r>
          </w:p>
          <w:p w14:paraId="2588D5F5" w14:textId="77777777" w:rsidR="00D07373" w:rsidRDefault="00D07373">
            <w:pPr>
              <w:pStyle w:val="QPPTableTextBody"/>
            </w:pPr>
            <w:r>
              <w:t xml:space="preserve">Development ensures that any </w:t>
            </w:r>
            <w:r w:rsidRPr="00695085">
              <w:t>c</w:t>
            </w:r>
            <w:r>
              <w:t>utting, filling, retaining walls and earthworks have maximum vertical and horizontal dimensions of 1m either as a single element or a step in a terrace or series of terraces.</w:t>
            </w:r>
          </w:p>
          <w:p w14:paraId="0D84D41A" w14:textId="3AFFCC09" w:rsidR="00D07373" w:rsidRPr="00591C67" w:rsidRDefault="00D07373">
            <w:pPr>
              <w:pStyle w:val="QPPEditorsNoteStyle1"/>
            </w:pPr>
            <w:r>
              <w:t xml:space="preserve">Note—Development may be required to accommodate cutting, filling, retaining walls and earthworks by providing larger lot dimensions than those stated in </w:t>
            </w:r>
            <w:r w:rsidRPr="00AB035A">
              <w:t>Table 9.4.10.3.B</w:t>
            </w:r>
            <w:r>
              <w:t>.</w:t>
            </w:r>
          </w:p>
        </w:tc>
      </w:tr>
      <w:tr w:rsidR="00D07373" w:rsidRPr="00A05DEA" w14:paraId="7544B81D" w14:textId="77777777" w:rsidTr="001B353F">
        <w:tc>
          <w:tcPr>
            <w:tcW w:w="4068" w:type="dxa"/>
            <w:vMerge/>
            <w:shd w:val="clear" w:color="auto" w:fill="auto"/>
          </w:tcPr>
          <w:p w14:paraId="3EB8B0E0" w14:textId="77777777" w:rsidR="00D07373" w:rsidRPr="001B353F" w:rsidRDefault="00D07373" w:rsidP="00115811">
            <w:pPr>
              <w:rPr>
                <w:highlight w:val="magenta"/>
              </w:rPr>
            </w:pPr>
          </w:p>
        </w:tc>
        <w:tc>
          <w:tcPr>
            <w:tcW w:w="4860" w:type="dxa"/>
            <w:shd w:val="clear" w:color="auto" w:fill="auto"/>
          </w:tcPr>
          <w:p w14:paraId="4E665452" w14:textId="77777777" w:rsidR="00D07373" w:rsidRPr="00591C67" w:rsidRDefault="00D07373">
            <w:pPr>
              <w:pStyle w:val="QPPTableTextBold"/>
            </w:pPr>
            <w:r w:rsidRPr="00591C67">
              <w:t>AO</w:t>
            </w:r>
            <w:r>
              <w:t>2</w:t>
            </w:r>
            <w:r w:rsidRPr="00591C67">
              <w:t>.2</w:t>
            </w:r>
          </w:p>
          <w:p w14:paraId="46BDAA8D" w14:textId="6BE56F57" w:rsidR="00D07373" w:rsidRPr="00591C67" w:rsidRDefault="00D07373">
            <w:pPr>
              <w:pStyle w:val="QPPTableTextBody"/>
            </w:pPr>
            <w:r>
              <w:t xml:space="preserve">Development provides an area of a minimum rectangular dimension identified in </w:t>
            </w:r>
            <w:r w:rsidRPr="00AB035A">
              <w:t>Table 9.4.10.3.B</w:t>
            </w:r>
            <w:r>
              <w:t xml:space="preserve"> which is located i</w:t>
            </w:r>
            <w:r w:rsidRPr="00591C67">
              <w:t>n the lot on land with a</w:t>
            </w:r>
            <w:r>
              <w:t xml:space="preserve">n existing </w:t>
            </w:r>
            <w:r w:rsidRPr="00591C67">
              <w:t xml:space="preserve">slope </w:t>
            </w:r>
            <w:r>
              <w:t>of less than 1 in 5 prior to any cutting, filling, retaining walls or earthworks</w:t>
            </w:r>
            <w:r w:rsidRPr="00591C67">
              <w:t>.</w:t>
            </w:r>
          </w:p>
        </w:tc>
      </w:tr>
      <w:tr w:rsidR="00D07373" w:rsidRPr="00A05DEA" w14:paraId="371CF49D" w14:textId="77777777" w:rsidTr="001B353F">
        <w:trPr>
          <w:trHeight w:val="1031"/>
        </w:trPr>
        <w:tc>
          <w:tcPr>
            <w:tcW w:w="4068" w:type="dxa"/>
            <w:vMerge/>
            <w:shd w:val="clear" w:color="auto" w:fill="auto"/>
          </w:tcPr>
          <w:p w14:paraId="68582905" w14:textId="77777777" w:rsidR="00D07373" w:rsidRPr="001B353F" w:rsidRDefault="00D07373" w:rsidP="00115811">
            <w:pPr>
              <w:rPr>
                <w:highlight w:val="magenta"/>
              </w:rPr>
            </w:pPr>
          </w:p>
        </w:tc>
        <w:tc>
          <w:tcPr>
            <w:tcW w:w="4860" w:type="dxa"/>
            <w:shd w:val="clear" w:color="auto" w:fill="auto"/>
          </w:tcPr>
          <w:p w14:paraId="192A81A8" w14:textId="77777777" w:rsidR="00D07373" w:rsidRPr="00591C67" w:rsidRDefault="00D07373">
            <w:pPr>
              <w:pStyle w:val="QPPTableTextBold"/>
            </w:pPr>
            <w:r w:rsidRPr="00591C67">
              <w:t>AO</w:t>
            </w:r>
            <w:r>
              <w:t>2</w:t>
            </w:r>
            <w:r w:rsidRPr="00591C67">
              <w:t>.3</w:t>
            </w:r>
          </w:p>
          <w:p w14:paraId="0EBCBF89" w14:textId="77777777" w:rsidR="00D07373" w:rsidRDefault="00D07373">
            <w:pPr>
              <w:pStyle w:val="QPPTableTextBody"/>
            </w:pPr>
            <w:r>
              <w:t xml:space="preserve">Development involving a lot with </w:t>
            </w:r>
            <w:r w:rsidRPr="00591C67">
              <w:t>an area less than 450m</w:t>
            </w:r>
            <w:r w:rsidRPr="00591C67">
              <w:rPr>
                <w:rStyle w:val="QPPSuperscriptChar"/>
              </w:rPr>
              <w:t xml:space="preserve">2 </w:t>
            </w:r>
            <w:r>
              <w:t xml:space="preserve">is </w:t>
            </w:r>
            <w:r w:rsidRPr="00591C67">
              <w:t xml:space="preserve">located on </w:t>
            </w:r>
            <w:r>
              <w:t xml:space="preserve">a site </w:t>
            </w:r>
            <w:r w:rsidRPr="00591C67">
              <w:t>with</w:t>
            </w:r>
            <w:r>
              <w:t>:</w:t>
            </w:r>
          </w:p>
          <w:p w14:paraId="7A0C9267" w14:textId="77777777" w:rsidR="00D07373" w:rsidRDefault="00D07373" w:rsidP="00B47AA3">
            <w:pPr>
              <w:pStyle w:val="HGTableBullet2"/>
              <w:numPr>
                <w:ilvl w:val="0"/>
                <w:numId w:val="13"/>
              </w:numPr>
            </w:pPr>
            <w:r w:rsidRPr="00591C67">
              <w:t xml:space="preserve">a maximum </w:t>
            </w:r>
            <w:r>
              <w:t>average</w:t>
            </w:r>
            <w:r w:rsidRPr="00591C67">
              <w:t xml:space="preserve"> slope on the short</w:t>
            </w:r>
            <w:r>
              <w:t>est lot</w:t>
            </w:r>
            <w:r w:rsidRPr="00591C67">
              <w:t xml:space="preserve"> axis of 1 in 10</w:t>
            </w:r>
            <w:r>
              <w:t>;</w:t>
            </w:r>
          </w:p>
          <w:p w14:paraId="4F597CFE" w14:textId="77777777" w:rsidR="00D07373" w:rsidRPr="00591C67" w:rsidRDefault="00D07373" w:rsidP="00B47AA3">
            <w:pPr>
              <w:pStyle w:val="HGTableBullet2"/>
              <w:numPr>
                <w:ilvl w:val="0"/>
                <w:numId w:val="13"/>
              </w:numPr>
            </w:pPr>
            <w:r w:rsidRPr="00591C67">
              <w:t xml:space="preserve">a maximum </w:t>
            </w:r>
            <w:r>
              <w:t>average</w:t>
            </w:r>
            <w:r w:rsidRPr="00591C67">
              <w:t xml:space="preserve"> slope </w:t>
            </w:r>
            <w:r>
              <w:t>on</w:t>
            </w:r>
            <w:r w:rsidRPr="00591C67">
              <w:t xml:space="preserve"> the long axis of 1 in 15.</w:t>
            </w:r>
          </w:p>
        </w:tc>
      </w:tr>
      <w:tr w:rsidR="00D07373" w:rsidRPr="00A05DEA" w14:paraId="4B90F3DD" w14:textId="77777777" w:rsidTr="001B353F">
        <w:tc>
          <w:tcPr>
            <w:tcW w:w="4068" w:type="dxa"/>
            <w:vMerge/>
            <w:shd w:val="clear" w:color="auto" w:fill="auto"/>
          </w:tcPr>
          <w:p w14:paraId="6CE10ACB" w14:textId="77777777" w:rsidR="00D07373" w:rsidRPr="001B353F" w:rsidRDefault="00D07373" w:rsidP="00115811">
            <w:pPr>
              <w:rPr>
                <w:highlight w:val="magenta"/>
              </w:rPr>
            </w:pPr>
          </w:p>
        </w:tc>
        <w:tc>
          <w:tcPr>
            <w:tcW w:w="4860" w:type="dxa"/>
            <w:shd w:val="clear" w:color="auto" w:fill="auto"/>
          </w:tcPr>
          <w:p w14:paraId="1067ECD5" w14:textId="77777777" w:rsidR="00D07373" w:rsidRPr="00591C67" w:rsidRDefault="00D07373">
            <w:pPr>
              <w:pStyle w:val="QPPTableTextBold"/>
            </w:pPr>
            <w:r w:rsidRPr="00591C67">
              <w:t>AO</w:t>
            </w:r>
            <w:r>
              <w:t>2</w:t>
            </w:r>
            <w:r w:rsidRPr="00591C67">
              <w:t>.4</w:t>
            </w:r>
          </w:p>
          <w:p w14:paraId="7DF56E2F" w14:textId="77777777" w:rsidR="00D07373" w:rsidRPr="00591C67" w:rsidRDefault="00D07373">
            <w:pPr>
              <w:pStyle w:val="QPPTableTextBody"/>
            </w:pPr>
            <w:r>
              <w:t>Development ensures that n</w:t>
            </w:r>
            <w:r w:rsidRPr="00591C67">
              <w:t>o crest of any cut or toe of any fill is located closer than 0.6m to any</w:t>
            </w:r>
            <w:r>
              <w:t xml:space="preserve"> lot</w:t>
            </w:r>
            <w:r w:rsidRPr="00591C67">
              <w:t xml:space="preserve"> boundary.</w:t>
            </w:r>
          </w:p>
        </w:tc>
      </w:tr>
      <w:tr w:rsidR="00D07373" w:rsidRPr="00A05DEA" w14:paraId="7B2353AF" w14:textId="77777777" w:rsidTr="001B353F">
        <w:tc>
          <w:tcPr>
            <w:tcW w:w="4068" w:type="dxa"/>
            <w:vMerge/>
            <w:shd w:val="clear" w:color="auto" w:fill="auto"/>
          </w:tcPr>
          <w:p w14:paraId="12E8499E" w14:textId="77777777" w:rsidR="00D07373" w:rsidRPr="001B353F" w:rsidRDefault="00D07373" w:rsidP="00115811">
            <w:pPr>
              <w:rPr>
                <w:highlight w:val="magenta"/>
              </w:rPr>
            </w:pPr>
          </w:p>
        </w:tc>
        <w:tc>
          <w:tcPr>
            <w:tcW w:w="4860" w:type="dxa"/>
            <w:shd w:val="clear" w:color="auto" w:fill="auto"/>
          </w:tcPr>
          <w:p w14:paraId="745CEE30" w14:textId="77777777" w:rsidR="00D07373" w:rsidRDefault="00D07373">
            <w:pPr>
              <w:pStyle w:val="QPPTableTextBold"/>
            </w:pPr>
            <w:r>
              <w:t>AO2.5</w:t>
            </w:r>
          </w:p>
          <w:p w14:paraId="2C2AA5B1" w14:textId="77777777" w:rsidR="00D07373" w:rsidRPr="00591C67" w:rsidRDefault="00D07373" w:rsidP="00D07373">
            <w:pPr>
              <w:pStyle w:val="QPPTableTextBody"/>
            </w:pPr>
            <w:r>
              <w:t>Development does not involve the creation of canals or artificial waterways.</w:t>
            </w:r>
          </w:p>
        </w:tc>
      </w:tr>
      <w:tr w:rsidR="00A902D0" w:rsidRPr="001B353F" w14:paraId="06D35FEF" w14:textId="77777777" w:rsidTr="001B353F">
        <w:trPr>
          <w:trHeight w:val="519"/>
        </w:trPr>
        <w:tc>
          <w:tcPr>
            <w:tcW w:w="4068" w:type="dxa"/>
            <w:vMerge w:val="restart"/>
            <w:shd w:val="clear" w:color="auto" w:fill="auto"/>
          </w:tcPr>
          <w:p w14:paraId="154E5F5B" w14:textId="77777777" w:rsidR="00A902D0" w:rsidRPr="009A00BF" w:rsidRDefault="00A902D0">
            <w:pPr>
              <w:pStyle w:val="QPPTableTextBold"/>
            </w:pPr>
            <w:r w:rsidRPr="009A00BF">
              <w:t>PO3</w:t>
            </w:r>
          </w:p>
          <w:p w14:paraId="7AACE66B" w14:textId="77777777" w:rsidR="009A00BF" w:rsidRPr="009A00BF" w:rsidRDefault="00D43657">
            <w:pPr>
              <w:pStyle w:val="QPPTableTextBody"/>
            </w:pPr>
            <w:r>
              <w:t>Development provides l</w:t>
            </w:r>
            <w:r w:rsidR="00A902D0" w:rsidRPr="009A00BF">
              <w:t>ot access</w:t>
            </w:r>
            <w:r>
              <w:t xml:space="preserve"> </w:t>
            </w:r>
            <w:r w:rsidR="00FB78D7">
              <w:t xml:space="preserve">which </w:t>
            </w:r>
            <w:r w:rsidR="00A902D0" w:rsidRPr="009A00BF">
              <w:t xml:space="preserve">is </w:t>
            </w:r>
            <w:r w:rsidR="00F47F11" w:rsidRPr="009A00BF">
              <w:t>designed</w:t>
            </w:r>
            <w:r w:rsidR="009A00BF" w:rsidRPr="009A00BF">
              <w:t>:</w:t>
            </w:r>
          </w:p>
          <w:p w14:paraId="56109832" w14:textId="77777777" w:rsidR="009A00BF" w:rsidRPr="009A00BF" w:rsidRDefault="009A00BF" w:rsidP="00B47AA3">
            <w:pPr>
              <w:pStyle w:val="HGTableBullet2"/>
              <w:numPr>
                <w:ilvl w:val="0"/>
                <w:numId w:val="14"/>
              </w:numPr>
            </w:pPr>
            <w:r w:rsidRPr="009A00BF">
              <w:t xml:space="preserve">for </w:t>
            </w:r>
            <w:r w:rsidR="00F47F11" w:rsidRPr="009A00BF">
              <w:t>the appropriate type of vehicle</w:t>
            </w:r>
            <w:r w:rsidR="00FB78D7">
              <w:t>, pedestrian and cyclist</w:t>
            </w:r>
            <w:r w:rsidR="00F47F11" w:rsidRPr="009A00BF">
              <w:t xml:space="preserve"> us</w:t>
            </w:r>
            <w:r w:rsidR="00FB78D7">
              <w:t>e of</w:t>
            </w:r>
            <w:r w:rsidR="00F47F11" w:rsidRPr="009A00BF">
              <w:t xml:space="preserve"> the site</w:t>
            </w:r>
            <w:r w:rsidR="00CF5867">
              <w:t>;</w:t>
            </w:r>
          </w:p>
          <w:p w14:paraId="55ABA3C8" w14:textId="77777777" w:rsidR="009A00BF" w:rsidRPr="009A00BF" w:rsidRDefault="00F47F11">
            <w:pPr>
              <w:pStyle w:val="HGTableBullet2"/>
            </w:pPr>
            <w:r w:rsidRPr="009A00BF">
              <w:t xml:space="preserve">to be </w:t>
            </w:r>
            <w:r w:rsidR="00A902D0" w:rsidRPr="009A00BF">
              <w:t>safe</w:t>
            </w:r>
            <w:r w:rsidR="00B55933">
              <w:t xml:space="preserve"> for the vehicles,</w:t>
            </w:r>
            <w:r w:rsidR="00232682">
              <w:t xml:space="preserve"> buses,</w:t>
            </w:r>
            <w:r w:rsidR="00B55933">
              <w:t xml:space="preserve"> pedestrians and cyclists expected to be accessing the lot</w:t>
            </w:r>
            <w:r w:rsidR="009A00BF" w:rsidRPr="009A00BF">
              <w:t>;</w:t>
            </w:r>
          </w:p>
          <w:p w14:paraId="34B725E5" w14:textId="77777777" w:rsidR="00A902D0" w:rsidRPr="009A00BF" w:rsidRDefault="00F96C96">
            <w:pPr>
              <w:pStyle w:val="HGTableBullet2"/>
            </w:pPr>
            <w:r>
              <w:t xml:space="preserve">to </w:t>
            </w:r>
            <w:r w:rsidR="00A902D0" w:rsidRPr="009A00BF">
              <w:t xml:space="preserve">maintain the </w:t>
            </w:r>
            <w:r>
              <w:t>safety and e</w:t>
            </w:r>
            <w:r w:rsidR="00A902D0" w:rsidRPr="009A00BF">
              <w:t xml:space="preserve">fficiency of the movement network for vehicles, </w:t>
            </w:r>
            <w:r w:rsidR="00555097">
              <w:t xml:space="preserve">buses, </w:t>
            </w:r>
            <w:r w:rsidR="00636829">
              <w:t>pedestrians and cyclists.</w:t>
            </w:r>
          </w:p>
        </w:tc>
        <w:tc>
          <w:tcPr>
            <w:tcW w:w="4860" w:type="dxa"/>
            <w:shd w:val="clear" w:color="auto" w:fill="auto"/>
          </w:tcPr>
          <w:p w14:paraId="71358DCB" w14:textId="77777777" w:rsidR="00A902D0" w:rsidRPr="009A00BF" w:rsidRDefault="00A902D0">
            <w:pPr>
              <w:pStyle w:val="QPPTableTextBold"/>
            </w:pPr>
            <w:r w:rsidRPr="009A00BF">
              <w:t>AO3.1</w:t>
            </w:r>
          </w:p>
          <w:p w14:paraId="2E8D8927" w14:textId="77777777" w:rsidR="00A902D0" w:rsidRPr="009A00BF" w:rsidRDefault="00D43657">
            <w:pPr>
              <w:pStyle w:val="QPPTableTextBody"/>
            </w:pPr>
            <w:r>
              <w:t>Development provides l</w:t>
            </w:r>
            <w:r w:rsidR="00A902D0" w:rsidRPr="009A00BF">
              <w:t xml:space="preserve">ot access for </w:t>
            </w:r>
            <w:r w:rsidR="00B1303F">
              <w:t xml:space="preserve">a </w:t>
            </w:r>
            <w:r w:rsidR="00A902D0" w:rsidRPr="009A00BF">
              <w:t>vehicle</w:t>
            </w:r>
            <w:r>
              <w:t xml:space="preserve"> </w:t>
            </w:r>
            <w:r w:rsidR="00B1303F">
              <w:t xml:space="preserve">which </w:t>
            </w:r>
            <w:r w:rsidR="00A902D0" w:rsidRPr="009A00BF">
              <w:t xml:space="preserve">is not directly </w:t>
            </w:r>
            <w:r w:rsidR="00B1303F">
              <w:t xml:space="preserve">from </w:t>
            </w:r>
            <w:r w:rsidR="00F96C96">
              <w:t>a</w:t>
            </w:r>
            <w:r w:rsidR="003C548F">
              <w:t xml:space="preserve"> major road.</w:t>
            </w:r>
          </w:p>
        </w:tc>
      </w:tr>
      <w:tr w:rsidR="00A902D0" w14:paraId="5F9A07A0" w14:textId="77777777" w:rsidTr="001B353F">
        <w:trPr>
          <w:trHeight w:val="1290"/>
        </w:trPr>
        <w:tc>
          <w:tcPr>
            <w:tcW w:w="4068" w:type="dxa"/>
            <w:vMerge/>
            <w:shd w:val="clear" w:color="auto" w:fill="auto"/>
          </w:tcPr>
          <w:p w14:paraId="7614013A" w14:textId="77777777" w:rsidR="00A902D0" w:rsidRDefault="00A902D0" w:rsidP="00B9050E"/>
        </w:tc>
        <w:tc>
          <w:tcPr>
            <w:tcW w:w="4860" w:type="dxa"/>
            <w:shd w:val="clear" w:color="auto" w:fill="auto"/>
          </w:tcPr>
          <w:p w14:paraId="7880111E" w14:textId="77777777" w:rsidR="00A902D0" w:rsidRDefault="00A902D0">
            <w:pPr>
              <w:pStyle w:val="QPPTableTextBold"/>
            </w:pPr>
            <w:r>
              <w:t>AO3.2</w:t>
            </w:r>
          </w:p>
          <w:p w14:paraId="641DA043" w14:textId="3AA9E9E9" w:rsidR="00A902D0" w:rsidRPr="00F73D7F" w:rsidRDefault="00D43657">
            <w:pPr>
              <w:pStyle w:val="QPPTableTextBody"/>
            </w:pPr>
            <w:r>
              <w:t>Development provides a</w:t>
            </w:r>
            <w:r w:rsidR="00A902D0">
              <w:t xml:space="preserve">ccess to each lot in </w:t>
            </w:r>
            <w:r w:rsidR="00B1303F">
              <w:t xml:space="preserve">compliance </w:t>
            </w:r>
            <w:r w:rsidR="00A902D0">
              <w:t xml:space="preserve">with the standards in the </w:t>
            </w:r>
            <w:r w:rsidR="00A902D0" w:rsidRPr="00AB035A">
              <w:t>Transport, access, parking and servicing planning scheme policy.</w:t>
            </w:r>
          </w:p>
        </w:tc>
      </w:tr>
      <w:tr w:rsidR="0030377F" w:rsidRPr="001B353F" w14:paraId="503190C5" w14:textId="77777777" w:rsidTr="001B353F">
        <w:trPr>
          <w:trHeight w:val="540"/>
        </w:trPr>
        <w:tc>
          <w:tcPr>
            <w:tcW w:w="4068" w:type="dxa"/>
            <w:vMerge w:val="restart"/>
            <w:shd w:val="clear" w:color="auto" w:fill="auto"/>
          </w:tcPr>
          <w:p w14:paraId="3323646F" w14:textId="77777777" w:rsidR="0030377F" w:rsidRDefault="0030377F">
            <w:pPr>
              <w:pStyle w:val="QPPTableTextBold"/>
            </w:pPr>
            <w:r>
              <w:t>PO4</w:t>
            </w:r>
          </w:p>
          <w:p w14:paraId="6FD0D1F5" w14:textId="77777777" w:rsidR="0030377F" w:rsidRDefault="0030377F">
            <w:pPr>
              <w:pStyle w:val="QPPTableTextBody"/>
            </w:pPr>
            <w:r>
              <w:t>Development provides land for the delivery of infrastructure and services.</w:t>
            </w:r>
          </w:p>
        </w:tc>
        <w:tc>
          <w:tcPr>
            <w:tcW w:w="4860" w:type="dxa"/>
            <w:shd w:val="clear" w:color="auto" w:fill="auto"/>
          </w:tcPr>
          <w:p w14:paraId="3913A9D4" w14:textId="77777777" w:rsidR="0030377F" w:rsidRDefault="002924D9">
            <w:pPr>
              <w:pStyle w:val="QPPTableTextBold"/>
            </w:pPr>
            <w:r>
              <w:t>AO4.1</w:t>
            </w:r>
          </w:p>
          <w:p w14:paraId="4266ED60" w14:textId="77777777" w:rsidR="00D4182B" w:rsidRDefault="0030377F">
            <w:pPr>
              <w:pStyle w:val="QPPTableTextBody"/>
            </w:pPr>
            <w:r>
              <w:t>Development provides land for infrastructure and services in compliance with the</w:t>
            </w:r>
            <w:r w:rsidR="0095668C">
              <w:t>:</w:t>
            </w:r>
          </w:p>
          <w:p w14:paraId="01AD6108" w14:textId="6A68E6EE" w:rsidR="0030377F" w:rsidRPr="00D4182B" w:rsidRDefault="000D6B91" w:rsidP="00B47AA3">
            <w:pPr>
              <w:pStyle w:val="HGTableBullet2"/>
              <w:numPr>
                <w:ilvl w:val="0"/>
                <w:numId w:val="93"/>
              </w:numPr>
            </w:pPr>
            <w:r w:rsidRPr="00AB035A">
              <w:t>Local government infrastructure plan</w:t>
            </w:r>
            <w:r w:rsidR="0095668C">
              <w:t>;</w:t>
            </w:r>
          </w:p>
          <w:p w14:paraId="73702B9F" w14:textId="4D4EC286" w:rsidR="0030377F" w:rsidRPr="00D4182B" w:rsidRDefault="0030377F" w:rsidP="00B47AA3">
            <w:pPr>
              <w:pStyle w:val="HGTableBullet2"/>
            </w:pPr>
            <w:r w:rsidRPr="00D4182B">
              <w:t xml:space="preserve">standards in the </w:t>
            </w:r>
            <w:r w:rsidRPr="00AB035A">
              <w:t>Infrastructure design planning scheme policy</w:t>
            </w:r>
            <w:r w:rsidRPr="00D4182B">
              <w:t>;</w:t>
            </w:r>
          </w:p>
          <w:p w14:paraId="31466A0D" w14:textId="70D75856" w:rsidR="0030377F" w:rsidRPr="00D4182B" w:rsidRDefault="0030377F" w:rsidP="00B47AA3">
            <w:pPr>
              <w:pStyle w:val="HGTableBullet2"/>
            </w:pPr>
            <w:r w:rsidRPr="00AB035A">
              <w:t>Refuse planning scheme policy</w:t>
            </w:r>
            <w:r w:rsidR="002924D9">
              <w:t>;</w:t>
            </w:r>
          </w:p>
          <w:p w14:paraId="755F45DE" w14:textId="083516E3" w:rsidR="0030377F" w:rsidRPr="00D4182B" w:rsidRDefault="0030377F" w:rsidP="00B47AA3">
            <w:pPr>
              <w:pStyle w:val="HGTableBullet2"/>
            </w:pPr>
            <w:r w:rsidRPr="00AB035A">
              <w:t>Transport, access, parking and servicing planning scheme policy</w:t>
            </w:r>
            <w:r w:rsidRPr="00B47AA3">
              <w:t>;</w:t>
            </w:r>
          </w:p>
          <w:p w14:paraId="63084AFC" w14:textId="77777777" w:rsidR="0030377F" w:rsidRPr="00B47AA3" w:rsidRDefault="0030377F" w:rsidP="00B47AA3">
            <w:pPr>
              <w:pStyle w:val="HGTableBullet2"/>
            </w:pPr>
            <w:r w:rsidRPr="001C6BF5">
              <w:t>other codes and planning scheme policies which apply to the site.</w:t>
            </w:r>
          </w:p>
        </w:tc>
      </w:tr>
      <w:tr w:rsidR="0030377F" w:rsidRPr="001B353F" w14:paraId="6AA15120" w14:textId="77777777" w:rsidTr="001B353F">
        <w:trPr>
          <w:trHeight w:val="540"/>
        </w:trPr>
        <w:tc>
          <w:tcPr>
            <w:tcW w:w="4068" w:type="dxa"/>
            <w:vMerge/>
            <w:shd w:val="clear" w:color="auto" w:fill="auto"/>
          </w:tcPr>
          <w:p w14:paraId="188BACA3" w14:textId="77777777" w:rsidR="0030377F" w:rsidRDefault="0030377F">
            <w:pPr>
              <w:pStyle w:val="QPPTableTextBold"/>
            </w:pPr>
          </w:p>
        </w:tc>
        <w:tc>
          <w:tcPr>
            <w:tcW w:w="4860" w:type="dxa"/>
            <w:shd w:val="clear" w:color="auto" w:fill="auto"/>
          </w:tcPr>
          <w:p w14:paraId="416A9F3D" w14:textId="77777777" w:rsidR="0030377F" w:rsidRDefault="002924D9">
            <w:pPr>
              <w:pStyle w:val="QPPTableTextBold"/>
            </w:pPr>
            <w:r>
              <w:t>AO4.2</w:t>
            </w:r>
          </w:p>
          <w:p w14:paraId="326BBF94" w14:textId="769BD797" w:rsidR="0030377F" w:rsidRPr="0030377F" w:rsidRDefault="0030377F" w:rsidP="00B47AA3">
            <w:pPr>
              <w:pStyle w:val="QPPTableTextBody"/>
            </w:pPr>
            <w:r>
              <w:t xml:space="preserve">Development provides a stormwater system in compliance with the standards in the </w:t>
            </w:r>
            <w:r w:rsidRPr="00AB035A">
              <w:t>Stormwater code</w:t>
            </w:r>
            <w:r>
              <w:t xml:space="preserve"> which has sufficient capacity to enable lawful uses appropriate to the intended use for the loca</w:t>
            </w:r>
            <w:r w:rsidR="002924D9">
              <w:t>lity under the planning scheme.</w:t>
            </w:r>
          </w:p>
        </w:tc>
      </w:tr>
      <w:tr w:rsidR="00111BA6" w:rsidRPr="001B353F" w14:paraId="55660CBF" w14:textId="77777777" w:rsidTr="001B353F">
        <w:tc>
          <w:tcPr>
            <w:tcW w:w="8928" w:type="dxa"/>
            <w:gridSpan w:val="2"/>
            <w:shd w:val="clear" w:color="auto" w:fill="auto"/>
          </w:tcPr>
          <w:p w14:paraId="49B239F3" w14:textId="77777777" w:rsidR="00111BA6" w:rsidRPr="00B91F5C" w:rsidRDefault="00B1303F" w:rsidP="002018FB">
            <w:pPr>
              <w:pStyle w:val="QPPTableTextBold"/>
            </w:pPr>
            <w:r>
              <w:t xml:space="preserve">Additional </w:t>
            </w:r>
            <w:r w:rsidR="002018FB">
              <w:t xml:space="preserve">performance outcomes and acceptable outcomes </w:t>
            </w:r>
            <w:r>
              <w:t>if rearranging the boundaries of a lot</w:t>
            </w:r>
          </w:p>
        </w:tc>
      </w:tr>
      <w:tr w:rsidR="008007B3" w:rsidRPr="00A05DEA" w14:paraId="695C92B1" w14:textId="77777777" w:rsidTr="001B353F">
        <w:trPr>
          <w:trHeight w:val="295"/>
        </w:trPr>
        <w:tc>
          <w:tcPr>
            <w:tcW w:w="4068" w:type="dxa"/>
            <w:shd w:val="clear" w:color="auto" w:fill="auto"/>
          </w:tcPr>
          <w:p w14:paraId="4703E3B0" w14:textId="77777777" w:rsidR="008007B3" w:rsidRDefault="00B9765C">
            <w:pPr>
              <w:pStyle w:val="QPPTableTextBold"/>
            </w:pPr>
            <w:r>
              <w:t>PO5</w:t>
            </w:r>
          </w:p>
          <w:p w14:paraId="7B42AAC7" w14:textId="77777777" w:rsidR="00B9765C" w:rsidRPr="00A05DEA" w:rsidRDefault="00B9765C" w:rsidP="00B47AA3">
            <w:pPr>
              <w:pStyle w:val="QPPTableTextBody"/>
            </w:pPr>
            <w:r>
              <w:t>Development provides for safe and healthy occupation of the lots relative to risks, hazards and land uses that adversely affect the normal occupation of the lot by the intended land use and activities associated with that use.</w:t>
            </w:r>
          </w:p>
        </w:tc>
        <w:tc>
          <w:tcPr>
            <w:tcW w:w="4860" w:type="dxa"/>
            <w:shd w:val="clear" w:color="auto" w:fill="auto"/>
          </w:tcPr>
          <w:p w14:paraId="479E9E50" w14:textId="77777777" w:rsidR="008007B3" w:rsidRDefault="008007B3">
            <w:pPr>
              <w:pStyle w:val="QPPTableTextBold"/>
            </w:pPr>
            <w:r w:rsidRPr="008007B3">
              <w:t>AO5</w:t>
            </w:r>
          </w:p>
          <w:p w14:paraId="2B2C2D05" w14:textId="77777777" w:rsidR="00B9765C" w:rsidRDefault="00B9765C" w:rsidP="00B47AA3">
            <w:pPr>
              <w:pStyle w:val="QPPTableTextBody"/>
            </w:pPr>
            <w:r>
              <w:t>Development ensures the lot density, location, arrangement</w:t>
            </w:r>
            <w:r w:rsidR="00DA00F0">
              <w:t xml:space="preserve"> and dimensions addresses potential adverse impacts on the normal occupation of the lot for its intended use and associated activities by:</w:t>
            </w:r>
          </w:p>
          <w:p w14:paraId="58C7D701" w14:textId="77777777" w:rsidR="00DA00F0" w:rsidRDefault="00DA00F0" w:rsidP="00B47AA3">
            <w:pPr>
              <w:pStyle w:val="HGTableBullet2"/>
              <w:numPr>
                <w:ilvl w:val="0"/>
                <w:numId w:val="94"/>
              </w:numPr>
            </w:pPr>
            <w:r>
              <w:t>identifying the sources of potential hazards including air, noise, dust, light, contaminated land and electromagnetic emissions;</w:t>
            </w:r>
          </w:p>
          <w:p w14:paraId="0590386E" w14:textId="77777777" w:rsidR="00DA00F0" w:rsidRDefault="00DA00F0" w:rsidP="00B47AA3">
            <w:pPr>
              <w:pStyle w:val="HGTableBullet2"/>
            </w:pPr>
            <w:r>
              <w:t>avoiding the hazard;</w:t>
            </w:r>
          </w:p>
          <w:p w14:paraId="08D17921" w14:textId="77777777" w:rsidR="00DA00F0" w:rsidRDefault="00DA00F0" w:rsidP="00B47AA3">
            <w:pPr>
              <w:pStyle w:val="HGTableBullet2"/>
            </w:pPr>
            <w:r>
              <w:t xml:space="preserve">including </w:t>
            </w:r>
            <w:r w:rsidR="004C5319">
              <w:t>buff</w:t>
            </w:r>
            <w:r>
              <w:t>ers and structures to mitigate the hazard.</w:t>
            </w:r>
          </w:p>
          <w:p w14:paraId="67209E0F" w14:textId="77777777" w:rsidR="00DA00F0" w:rsidRPr="00A05DEA" w:rsidRDefault="00DA00F0" w:rsidP="00B47AA3">
            <w:pPr>
              <w:pStyle w:val="QPPEditorsNoteStyle1"/>
            </w:pPr>
            <w:r>
              <w:t>Note—Information about potential risks and hazards and how these are addressed is provided in overlays and neighbourhood plans. There may however be other risks and hazards that are apparent as part of the analysis of the site and its surrounds, assessment of the development or changed circumstances not reflected in the planning scheme.</w:t>
            </w:r>
          </w:p>
        </w:tc>
      </w:tr>
      <w:tr w:rsidR="00111BA6" w:rsidRPr="00A05DEA" w14:paraId="6339D547" w14:textId="77777777" w:rsidTr="001B353F">
        <w:trPr>
          <w:trHeight w:val="295"/>
        </w:trPr>
        <w:tc>
          <w:tcPr>
            <w:tcW w:w="4068" w:type="dxa"/>
            <w:vMerge w:val="restart"/>
            <w:shd w:val="clear" w:color="auto" w:fill="auto"/>
          </w:tcPr>
          <w:p w14:paraId="1F748A10" w14:textId="77777777" w:rsidR="00111BA6" w:rsidRPr="00A05DEA" w:rsidRDefault="00111BA6">
            <w:pPr>
              <w:pStyle w:val="QPPTableTextBold"/>
            </w:pPr>
            <w:r w:rsidRPr="00A05DEA">
              <w:t>PO</w:t>
            </w:r>
            <w:r w:rsidR="004C5319">
              <w:t>6</w:t>
            </w:r>
          </w:p>
          <w:p w14:paraId="54E141A8" w14:textId="77777777" w:rsidR="00301A42" w:rsidRPr="00B637D6" w:rsidRDefault="001A0362" w:rsidP="00535F76">
            <w:pPr>
              <w:pStyle w:val="QPPTableTextBody"/>
            </w:pPr>
            <w:r>
              <w:t xml:space="preserve">Development provides </w:t>
            </w:r>
            <w:r w:rsidR="00374E91">
              <w:t xml:space="preserve">for the </w:t>
            </w:r>
            <w:r w:rsidR="00111BA6" w:rsidRPr="00F157E7">
              <w:t xml:space="preserve">rearrangement of a </w:t>
            </w:r>
            <w:r w:rsidR="00374E91">
              <w:t xml:space="preserve">lot </w:t>
            </w:r>
            <w:r w:rsidR="00111BA6" w:rsidRPr="00F157E7">
              <w:t xml:space="preserve">boundary </w:t>
            </w:r>
            <w:r w:rsidR="00374E91">
              <w:t xml:space="preserve">which </w:t>
            </w:r>
            <w:r w:rsidR="00CD705A">
              <w:t>result</w:t>
            </w:r>
            <w:r w:rsidR="00374E91">
              <w:t>s</w:t>
            </w:r>
            <w:r w:rsidR="00CD705A">
              <w:t xml:space="preserve"> in </w:t>
            </w:r>
            <w:r w:rsidR="00374E91">
              <w:t>the lot</w:t>
            </w:r>
            <w:r w:rsidR="00CD705A">
              <w:t xml:space="preserve"> </w:t>
            </w:r>
            <w:r w:rsidR="00374E91">
              <w:t>having a dimension</w:t>
            </w:r>
            <w:r w:rsidR="00A00EEB">
              <w:t xml:space="preserve"> and size </w:t>
            </w:r>
            <w:r w:rsidR="00CD705A">
              <w:t xml:space="preserve">that </w:t>
            </w:r>
            <w:r w:rsidR="00374E91">
              <w:t xml:space="preserve">is </w:t>
            </w:r>
            <w:r w:rsidR="00CD705A">
              <w:t xml:space="preserve">consistent with </w:t>
            </w:r>
            <w:r w:rsidR="00374E91">
              <w:t>a lawful use intended for the site and locality</w:t>
            </w:r>
            <w:r w:rsidR="00A00EEB">
              <w:t>.</w:t>
            </w:r>
          </w:p>
        </w:tc>
        <w:tc>
          <w:tcPr>
            <w:tcW w:w="4860" w:type="dxa"/>
            <w:shd w:val="clear" w:color="auto" w:fill="auto"/>
          </w:tcPr>
          <w:p w14:paraId="60A0AC8F" w14:textId="77777777" w:rsidR="00111BA6" w:rsidRPr="00A05DEA" w:rsidRDefault="00111BA6">
            <w:pPr>
              <w:pStyle w:val="QPPTableTextBold"/>
            </w:pPr>
            <w:r w:rsidRPr="00A05DEA">
              <w:t>AO</w:t>
            </w:r>
            <w:r w:rsidR="004C5319">
              <w:t>6</w:t>
            </w:r>
            <w:r>
              <w:t>.1</w:t>
            </w:r>
          </w:p>
          <w:p w14:paraId="0F08E4AF" w14:textId="77777777" w:rsidR="00111BA6" w:rsidRPr="00A05DEA" w:rsidRDefault="001A0362">
            <w:pPr>
              <w:pStyle w:val="QPPTableTextBody"/>
            </w:pPr>
            <w:r>
              <w:t>Development ensures that n</w:t>
            </w:r>
            <w:r w:rsidR="00111BA6" w:rsidRPr="00F157E7">
              <w:t>o additional lots are created</w:t>
            </w:r>
            <w:r w:rsidR="00111BA6">
              <w:t>.</w:t>
            </w:r>
          </w:p>
        </w:tc>
      </w:tr>
      <w:tr w:rsidR="00535F76" w:rsidRPr="00A05DEA" w14:paraId="3CEA4B17" w14:textId="77777777" w:rsidTr="00535F76">
        <w:trPr>
          <w:trHeight w:val="1337"/>
        </w:trPr>
        <w:tc>
          <w:tcPr>
            <w:tcW w:w="4068" w:type="dxa"/>
            <w:vMerge/>
            <w:shd w:val="clear" w:color="auto" w:fill="auto"/>
          </w:tcPr>
          <w:p w14:paraId="3CB7FE7A" w14:textId="77777777" w:rsidR="00535F76" w:rsidRPr="00F157E7" w:rsidRDefault="00535F76" w:rsidP="00115811"/>
        </w:tc>
        <w:tc>
          <w:tcPr>
            <w:tcW w:w="4860" w:type="dxa"/>
            <w:shd w:val="clear" w:color="auto" w:fill="auto"/>
          </w:tcPr>
          <w:p w14:paraId="79AA678F" w14:textId="77777777" w:rsidR="00535F76" w:rsidRPr="00A05DEA" w:rsidRDefault="00535F76">
            <w:pPr>
              <w:pStyle w:val="QPPTableTextBold"/>
            </w:pPr>
            <w:r>
              <w:t>AO6.2</w:t>
            </w:r>
          </w:p>
          <w:p w14:paraId="1953BF9B" w14:textId="77777777" w:rsidR="00535F76" w:rsidRPr="00CD705A" w:rsidRDefault="00535F76">
            <w:pPr>
              <w:pStyle w:val="QPPTableTextBody"/>
            </w:pPr>
            <w:r>
              <w:t xml:space="preserve">Development which is </w:t>
            </w:r>
            <w:r w:rsidRPr="00F157E7">
              <w:t>located in an established area</w:t>
            </w:r>
            <w:r>
              <w:t xml:space="preserve"> ensures that the pattern, character arrangement, </w:t>
            </w:r>
            <w:r w:rsidRPr="00F157E7">
              <w:t>size and configuration of lots</w:t>
            </w:r>
            <w:r>
              <w:t xml:space="preserve"> is </w:t>
            </w:r>
            <w:r w:rsidRPr="00F157E7">
              <w:t xml:space="preserve">consistent with </w:t>
            </w:r>
            <w:r>
              <w:t>the established area.</w:t>
            </w:r>
          </w:p>
        </w:tc>
      </w:tr>
      <w:tr w:rsidR="00111BA6" w:rsidRPr="001B353F" w14:paraId="1D81F001" w14:textId="77777777" w:rsidTr="001B353F">
        <w:trPr>
          <w:trHeight w:val="287"/>
        </w:trPr>
        <w:tc>
          <w:tcPr>
            <w:tcW w:w="8928" w:type="dxa"/>
            <w:gridSpan w:val="2"/>
            <w:shd w:val="clear" w:color="auto" w:fill="auto"/>
          </w:tcPr>
          <w:p w14:paraId="034F8A86" w14:textId="77777777" w:rsidR="00111BA6" w:rsidRPr="00B91F5C" w:rsidRDefault="00B903B8" w:rsidP="002018FB">
            <w:pPr>
              <w:pStyle w:val="QPPTableTextBold"/>
            </w:pPr>
            <w:r>
              <w:t xml:space="preserve">Additional </w:t>
            </w:r>
            <w:r w:rsidR="002018FB">
              <w:t xml:space="preserve">performance outcomes and acceptable outcomes </w:t>
            </w:r>
            <w:r>
              <w:t>if</w:t>
            </w:r>
            <w:r w:rsidR="00111BA6" w:rsidRPr="00B91F5C">
              <w:t xml:space="preserve"> creating an easement</w:t>
            </w:r>
            <w:r>
              <w:t xml:space="preserve"> giving access to a lot from a constructed road</w:t>
            </w:r>
          </w:p>
        </w:tc>
      </w:tr>
      <w:tr w:rsidR="00111BA6" w:rsidRPr="00B637D6" w14:paraId="428F30BE" w14:textId="77777777" w:rsidTr="001B353F">
        <w:trPr>
          <w:trHeight w:val="526"/>
        </w:trPr>
        <w:tc>
          <w:tcPr>
            <w:tcW w:w="4068" w:type="dxa"/>
            <w:vMerge w:val="restart"/>
            <w:shd w:val="clear" w:color="auto" w:fill="auto"/>
          </w:tcPr>
          <w:p w14:paraId="1CE1081F" w14:textId="77777777" w:rsidR="00111BA6" w:rsidRPr="00A05DEA" w:rsidRDefault="007E195A">
            <w:pPr>
              <w:pStyle w:val="QPPTableTextBold"/>
            </w:pPr>
            <w:r>
              <w:t>PO</w:t>
            </w:r>
            <w:r w:rsidR="004C5319">
              <w:t>7</w:t>
            </w:r>
          </w:p>
          <w:p w14:paraId="000148C2" w14:textId="77777777" w:rsidR="00111BA6" w:rsidRPr="0086368C" w:rsidRDefault="001A0362">
            <w:pPr>
              <w:pStyle w:val="QPPTableTextBody"/>
            </w:pPr>
            <w:r>
              <w:t>Development provides</w:t>
            </w:r>
            <w:r w:rsidR="00111BA6" w:rsidRPr="0086368C">
              <w:t xml:space="preserve"> </w:t>
            </w:r>
            <w:r w:rsidR="00B903B8">
              <w:t xml:space="preserve">an </w:t>
            </w:r>
            <w:r w:rsidR="00111BA6" w:rsidRPr="0086368C">
              <w:t xml:space="preserve">access easement </w:t>
            </w:r>
            <w:r w:rsidR="00B903B8">
              <w:t>which</w:t>
            </w:r>
            <w:r w:rsidR="00111BA6" w:rsidRPr="0086368C">
              <w:t>:</w:t>
            </w:r>
          </w:p>
          <w:p w14:paraId="4C50F67E" w14:textId="77777777" w:rsidR="00111BA6" w:rsidRDefault="00B903B8" w:rsidP="00B47AA3">
            <w:pPr>
              <w:pStyle w:val="HGTableBullet2"/>
              <w:numPr>
                <w:ilvl w:val="0"/>
                <w:numId w:val="15"/>
              </w:numPr>
            </w:pPr>
            <w:r>
              <w:t xml:space="preserve">is </w:t>
            </w:r>
            <w:r w:rsidR="00111BA6" w:rsidRPr="0086368C">
              <w:t xml:space="preserve">of </w:t>
            </w:r>
            <w:r>
              <w:t xml:space="preserve">an </w:t>
            </w:r>
            <w:r w:rsidR="00111BA6" w:rsidRPr="0086368C">
              <w:t>adequate width</w:t>
            </w:r>
            <w:r w:rsidR="00111BA6">
              <w:t>;</w:t>
            </w:r>
          </w:p>
          <w:p w14:paraId="590D2C92" w14:textId="77777777" w:rsidR="00111BA6" w:rsidRPr="0086368C" w:rsidRDefault="00B903B8">
            <w:pPr>
              <w:pStyle w:val="HGTableBullet2"/>
            </w:pPr>
            <w:r>
              <w:t xml:space="preserve">is </w:t>
            </w:r>
            <w:r w:rsidR="00111BA6" w:rsidRPr="0086368C">
              <w:t>constructed to a standard appropriate to</w:t>
            </w:r>
            <w:r w:rsidR="00111BA6">
              <w:t xml:space="preserve"> </w:t>
            </w:r>
            <w:r w:rsidR="00111BA6" w:rsidRPr="0086368C">
              <w:t>the situation</w:t>
            </w:r>
            <w:r w:rsidR="00111BA6">
              <w:t>;</w:t>
            </w:r>
          </w:p>
          <w:p w14:paraId="6973BAD9" w14:textId="77777777" w:rsidR="00111BA6" w:rsidRPr="00B637D6" w:rsidRDefault="00B903B8">
            <w:pPr>
              <w:pStyle w:val="HGTableBullet2"/>
            </w:pPr>
            <w:r>
              <w:t xml:space="preserve">does </w:t>
            </w:r>
            <w:r w:rsidR="00111BA6" w:rsidRPr="0086368C">
              <w:t>not result in unreasonable detriment or</w:t>
            </w:r>
            <w:r w:rsidR="00111BA6">
              <w:t xml:space="preserve"> </w:t>
            </w:r>
            <w:r w:rsidR="00111BA6" w:rsidRPr="0086368C">
              <w:t xml:space="preserve">nuisance to </w:t>
            </w:r>
            <w:r>
              <w:t>an adjacent premises</w:t>
            </w:r>
            <w:r w:rsidR="00111BA6">
              <w:t>.</w:t>
            </w:r>
          </w:p>
        </w:tc>
        <w:tc>
          <w:tcPr>
            <w:tcW w:w="4860" w:type="dxa"/>
            <w:shd w:val="clear" w:color="auto" w:fill="auto"/>
          </w:tcPr>
          <w:p w14:paraId="17D4008F" w14:textId="77777777" w:rsidR="00111BA6" w:rsidRDefault="00111BA6">
            <w:pPr>
              <w:pStyle w:val="QPPTableTextBold"/>
            </w:pPr>
            <w:r>
              <w:t>AO</w:t>
            </w:r>
            <w:r w:rsidR="004C5319">
              <w:t>7</w:t>
            </w:r>
            <w:r>
              <w:t>.1</w:t>
            </w:r>
          </w:p>
          <w:p w14:paraId="3B262CBD" w14:textId="3D5C358B" w:rsidR="00487BFD" w:rsidRPr="001B353F" w:rsidRDefault="001A0362">
            <w:pPr>
              <w:pStyle w:val="QPPTableTextBody"/>
              <w:rPr>
                <w:b/>
              </w:rPr>
            </w:pPr>
            <w:r>
              <w:t xml:space="preserve">Development provides </w:t>
            </w:r>
            <w:r w:rsidR="009B117F">
              <w:t xml:space="preserve">an </w:t>
            </w:r>
            <w:r>
              <w:t>a</w:t>
            </w:r>
            <w:r w:rsidR="009B117F">
              <w:t xml:space="preserve">ccess easement which is </w:t>
            </w:r>
            <w:r w:rsidR="00111BA6" w:rsidRPr="0086368C">
              <w:t>in</w:t>
            </w:r>
            <w:r w:rsidR="00111BA6">
              <w:t xml:space="preserve"> </w:t>
            </w:r>
            <w:r w:rsidR="009B117F">
              <w:t xml:space="preserve">compliance </w:t>
            </w:r>
            <w:r w:rsidR="00111BA6" w:rsidRPr="0086368C">
              <w:t xml:space="preserve">with the </w:t>
            </w:r>
            <w:r w:rsidR="00111BA6">
              <w:t xml:space="preserve">standards </w:t>
            </w:r>
            <w:r w:rsidR="00111BA6" w:rsidRPr="00C76E48">
              <w:t xml:space="preserve">in the </w:t>
            </w:r>
            <w:r w:rsidR="000A03F1">
              <w:t>r</w:t>
            </w:r>
            <w:r w:rsidR="00111BA6" w:rsidRPr="00C76E48">
              <w:t>oad corridor design section</w:t>
            </w:r>
            <w:r w:rsidR="00111BA6">
              <w:t xml:space="preserve"> of the </w:t>
            </w:r>
            <w:r w:rsidR="00111BA6" w:rsidRPr="00AB035A">
              <w:t>Infrastructure design planning scheme policy</w:t>
            </w:r>
            <w:r w:rsidR="000A03F1">
              <w:t xml:space="preserve"> and</w:t>
            </w:r>
            <w:r w:rsidR="009B117F">
              <w:t xml:space="preserve"> </w:t>
            </w:r>
            <w:r w:rsidR="00F94369" w:rsidRPr="00892216">
              <w:t xml:space="preserve">the </w:t>
            </w:r>
            <w:r w:rsidR="00B0763B" w:rsidRPr="00AB035A">
              <w:t>Transport, access, parking and servicing planning scheme policy</w:t>
            </w:r>
            <w:r w:rsidR="00F94369">
              <w:t>.</w:t>
            </w:r>
          </w:p>
        </w:tc>
      </w:tr>
      <w:tr w:rsidR="00111BA6" w:rsidRPr="00B637D6" w14:paraId="399C69CA" w14:textId="77777777" w:rsidTr="001B353F">
        <w:trPr>
          <w:trHeight w:val="706"/>
        </w:trPr>
        <w:tc>
          <w:tcPr>
            <w:tcW w:w="4068" w:type="dxa"/>
            <w:vMerge/>
            <w:shd w:val="clear" w:color="auto" w:fill="auto"/>
          </w:tcPr>
          <w:p w14:paraId="0A4DB9F3" w14:textId="77777777" w:rsidR="00111BA6" w:rsidRPr="0086368C" w:rsidRDefault="00111BA6" w:rsidP="00115811"/>
        </w:tc>
        <w:tc>
          <w:tcPr>
            <w:tcW w:w="4860" w:type="dxa"/>
            <w:shd w:val="clear" w:color="auto" w:fill="auto"/>
          </w:tcPr>
          <w:p w14:paraId="62E35958" w14:textId="77777777" w:rsidR="00111BA6" w:rsidRPr="0086368C" w:rsidRDefault="00111BA6">
            <w:pPr>
              <w:pStyle w:val="QPPTableTextBold"/>
            </w:pPr>
            <w:r w:rsidRPr="0086368C">
              <w:t>AO</w:t>
            </w:r>
            <w:r w:rsidR="004C5319">
              <w:t>7</w:t>
            </w:r>
            <w:r>
              <w:t>.</w:t>
            </w:r>
            <w:r w:rsidRPr="0086368C">
              <w:t>2</w:t>
            </w:r>
          </w:p>
          <w:p w14:paraId="46E77C68" w14:textId="77777777" w:rsidR="00111BA6" w:rsidRPr="0086368C" w:rsidRDefault="002E7F16">
            <w:pPr>
              <w:pStyle w:val="QPPTableTextBody"/>
            </w:pPr>
            <w:r>
              <w:t xml:space="preserve">Development provides </w:t>
            </w:r>
            <w:r w:rsidR="009B117F">
              <w:t xml:space="preserve">an </w:t>
            </w:r>
            <w:r>
              <w:t>a</w:t>
            </w:r>
            <w:r w:rsidR="009B117F">
              <w:t>ccess easement</w:t>
            </w:r>
            <w:r>
              <w:t xml:space="preserve"> </w:t>
            </w:r>
            <w:r w:rsidR="009B117F">
              <w:t xml:space="preserve">which is </w:t>
            </w:r>
            <w:r w:rsidR="00111BA6" w:rsidRPr="0086368C">
              <w:t>located as far</w:t>
            </w:r>
            <w:r w:rsidR="00830211">
              <w:t xml:space="preserve"> away</w:t>
            </w:r>
            <w:r w:rsidR="00111BA6" w:rsidRPr="0086368C">
              <w:t xml:space="preserve"> as</w:t>
            </w:r>
            <w:r w:rsidR="00111BA6">
              <w:t xml:space="preserve"> </w:t>
            </w:r>
            <w:r w:rsidR="00111BA6" w:rsidRPr="0086368C">
              <w:t>practic</w:t>
            </w:r>
            <w:r w:rsidR="00830211">
              <w:t>able</w:t>
            </w:r>
            <w:r w:rsidR="00111BA6" w:rsidRPr="0086368C">
              <w:t xml:space="preserve"> from </w:t>
            </w:r>
            <w:r w:rsidR="009B117F">
              <w:t xml:space="preserve">an </w:t>
            </w:r>
            <w:r w:rsidR="00111BA6" w:rsidRPr="0086368C">
              <w:t xml:space="preserve">existing </w:t>
            </w:r>
            <w:r w:rsidR="00830211">
              <w:t>or</w:t>
            </w:r>
            <w:r w:rsidR="00111BA6" w:rsidRPr="0086368C">
              <w:t xml:space="preserve"> proposed</w:t>
            </w:r>
            <w:r w:rsidR="00111BA6">
              <w:t xml:space="preserve"> </w:t>
            </w:r>
            <w:r w:rsidR="004C5319">
              <w:t>dwelling</w:t>
            </w:r>
            <w:r w:rsidR="00111BA6">
              <w:t>.</w:t>
            </w:r>
          </w:p>
        </w:tc>
      </w:tr>
      <w:tr w:rsidR="002F2C1A" w:rsidRPr="001B353F" w14:paraId="6A208DBC" w14:textId="77777777" w:rsidTr="001B353F">
        <w:trPr>
          <w:trHeight w:val="361"/>
        </w:trPr>
        <w:tc>
          <w:tcPr>
            <w:tcW w:w="8928" w:type="dxa"/>
            <w:gridSpan w:val="2"/>
            <w:shd w:val="clear" w:color="auto" w:fill="auto"/>
          </w:tcPr>
          <w:p w14:paraId="40933337" w14:textId="77777777" w:rsidR="002F2C1A" w:rsidRPr="00B91F5C" w:rsidRDefault="009B117F" w:rsidP="002018FB">
            <w:pPr>
              <w:pStyle w:val="QPPTableTextBold"/>
            </w:pPr>
            <w:r>
              <w:t xml:space="preserve">Additional </w:t>
            </w:r>
            <w:r w:rsidR="002018FB">
              <w:t xml:space="preserve">performance outcomes and acceptable outcomes </w:t>
            </w:r>
            <w:r>
              <w:t xml:space="preserve">if </w:t>
            </w:r>
            <w:r w:rsidR="002F2C1A" w:rsidRPr="00B91F5C">
              <w:t xml:space="preserve">involving </w:t>
            </w:r>
            <w:r>
              <w:t xml:space="preserve">a </w:t>
            </w:r>
            <w:r w:rsidR="002F2C1A" w:rsidRPr="00B91F5C">
              <w:t>volumetric subdivision</w:t>
            </w:r>
          </w:p>
        </w:tc>
      </w:tr>
      <w:tr w:rsidR="00551167" w:rsidRPr="00B637D6" w14:paraId="4A2008A4" w14:textId="77777777" w:rsidTr="000775D3">
        <w:trPr>
          <w:trHeight w:val="2020"/>
        </w:trPr>
        <w:tc>
          <w:tcPr>
            <w:tcW w:w="4068" w:type="dxa"/>
            <w:shd w:val="clear" w:color="auto" w:fill="auto"/>
          </w:tcPr>
          <w:p w14:paraId="7DEA4D72" w14:textId="77777777" w:rsidR="00551167" w:rsidRPr="00A05DEA" w:rsidRDefault="00551167">
            <w:pPr>
              <w:pStyle w:val="QPPTableTextBold"/>
            </w:pPr>
            <w:r>
              <w:t>PO8</w:t>
            </w:r>
          </w:p>
          <w:p w14:paraId="20A9FAB0" w14:textId="77777777" w:rsidR="00551167" w:rsidRPr="00B637D6" w:rsidRDefault="00551167">
            <w:pPr>
              <w:pStyle w:val="QPPTableTextBody"/>
            </w:pPr>
            <w:r>
              <w:t>Development ensures that th</w:t>
            </w:r>
            <w:r w:rsidRPr="0086368C">
              <w:t>e subdivision of the space above or below</w:t>
            </w:r>
            <w:r>
              <w:t xml:space="preserve"> </w:t>
            </w:r>
            <w:r w:rsidRPr="0086368C">
              <w:t>the surface of the land facilitate</w:t>
            </w:r>
            <w:r>
              <w:t>s</w:t>
            </w:r>
            <w:r w:rsidRPr="0086368C">
              <w:t xml:space="preserve"> efficient</w:t>
            </w:r>
            <w:r>
              <w:t xml:space="preserve"> </w:t>
            </w:r>
            <w:r w:rsidRPr="0086368C">
              <w:t>deve</w:t>
            </w:r>
            <w:r>
              <w:t xml:space="preserve">lopment in accordance with the outcomes </w:t>
            </w:r>
            <w:r w:rsidRPr="0086368C">
              <w:t>of</w:t>
            </w:r>
            <w:r>
              <w:t xml:space="preserve"> </w:t>
            </w:r>
            <w:r w:rsidRPr="0086368C">
              <w:t xml:space="preserve">the </w:t>
            </w:r>
            <w:r>
              <w:t>zones, zone precincts, neighbourhood plans</w:t>
            </w:r>
            <w:r w:rsidRPr="0086368C">
              <w:t xml:space="preserve"> </w:t>
            </w:r>
            <w:r>
              <w:t>and overlays applicable to the site and the locality.</w:t>
            </w:r>
          </w:p>
        </w:tc>
        <w:tc>
          <w:tcPr>
            <w:tcW w:w="4860" w:type="dxa"/>
            <w:shd w:val="clear" w:color="auto" w:fill="auto"/>
          </w:tcPr>
          <w:p w14:paraId="3402F78C" w14:textId="77777777" w:rsidR="00551167" w:rsidRDefault="00551167">
            <w:pPr>
              <w:pStyle w:val="QPPTableTextBold"/>
            </w:pPr>
            <w:r>
              <w:t>AO8</w:t>
            </w:r>
          </w:p>
          <w:p w14:paraId="70DF85E1" w14:textId="77777777" w:rsidR="00551167" w:rsidRPr="0086368C" w:rsidRDefault="00551167" w:rsidP="00B47AA3">
            <w:pPr>
              <w:pStyle w:val="QPPTableTextBody"/>
            </w:pPr>
            <w:r w:rsidRPr="001B353F">
              <w:t>Development ensures lots retain reasonable and practical access appropriate to their current and future intended use.</w:t>
            </w:r>
          </w:p>
        </w:tc>
      </w:tr>
      <w:tr w:rsidR="00E92E5E" w:rsidRPr="006D3F04" w14:paraId="574DB767" w14:textId="77777777" w:rsidTr="001B353F">
        <w:tc>
          <w:tcPr>
            <w:tcW w:w="8928" w:type="dxa"/>
            <w:gridSpan w:val="2"/>
            <w:shd w:val="clear" w:color="auto" w:fill="auto"/>
          </w:tcPr>
          <w:p w14:paraId="49F857D1" w14:textId="77777777" w:rsidR="00E92E5E" w:rsidRPr="001B353F" w:rsidRDefault="009B117F" w:rsidP="002018FB">
            <w:pPr>
              <w:pStyle w:val="QPPTableTextBold"/>
              <w:rPr>
                <w:b w:val="0"/>
              </w:rPr>
            </w:pPr>
            <w:r>
              <w:t xml:space="preserve">Additional </w:t>
            </w:r>
            <w:r w:rsidR="002018FB">
              <w:t xml:space="preserve">performance outcomes and acceptable outcomes </w:t>
            </w:r>
            <w:r>
              <w:t>if</w:t>
            </w:r>
            <w:r w:rsidR="00E92E5E" w:rsidRPr="006D3F04">
              <w:t xml:space="preserve"> involving </w:t>
            </w:r>
            <w:r w:rsidR="000E101E">
              <w:t xml:space="preserve">a site </w:t>
            </w:r>
            <w:r>
              <w:t xml:space="preserve">in </w:t>
            </w:r>
            <w:r w:rsidR="000E101E">
              <w:t xml:space="preserve">2 or more </w:t>
            </w:r>
            <w:r w:rsidR="00E92E5E" w:rsidRPr="006D3F04">
              <w:t>zone</w:t>
            </w:r>
            <w:r w:rsidR="000E101E">
              <w:t>s, zone precincts</w:t>
            </w:r>
            <w:r>
              <w:t>,</w:t>
            </w:r>
            <w:r w:rsidR="000E101E">
              <w:t xml:space="preserve"> neighbourhood plan precincts </w:t>
            </w:r>
            <w:r>
              <w:t>or overlay sub-categories</w:t>
            </w:r>
          </w:p>
        </w:tc>
      </w:tr>
      <w:tr w:rsidR="00E92E5E" w:rsidRPr="00A05DEA" w14:paraId="31A954A3" w14:textId="77777777" w:rsidTr="001B353F">
        <w:tc>
          <w:tcPr>
            <w:tcW w:w="4068" w:type="dxa"/>
            <w:vMerge w:val="restart"/>
            <w:shd w:val="clear" w:color="auto" w:fill="auto"/>
          </w:tcPr>
          <w:p w14:paraId="5B81D963" w14:textId="77777777" w:rsidR="00E92E5E" w:rsidRPr="00A05DEA" w:rsidRDefault="00E92E5E">
            <w:pPr>
              <w:pStyle w:val="QPPTableTextBold"/>
            </w:pPr>
            <w:r w:rsidRPr="00A05DEA">
              <w:t>PO</w:t>
            </w:r>
            <w:r w:rsidR="004C5319">
              <w:t>9</w:t>
            </w:r>
          </w:p>
          <w:p w14:paraId="1F7D852E" w14:textId="77777777" w:rsidR="00E92E5E" w:rsidRPr="00A05DEA" w:rsidRDefault="00612323" w:rsidP="000775D3">
            <w:pPr>
              <w:pStyle w:val="QPPTableTextBody"/>
            </w:pPr>
            <w:r>
              <w:t xml:space="preserve">Development ensures </w:t>
            </w:r>
            <w:r w:rsidR="009B117F">
              <w:t xml:space="preserve">that </w:t>
            </w:r>
            <w:r>
              <w:t>a s</w:t>
            </w:r>
            <w:r w:rsidR="00E92E5E">
              <w:t xml:space="preserve">ubdivision involving land included in </w:t>
            </w:r>
            <w:r w:rsidR="000775D3">
              <w:t>2</w:t>
            </w:r>
            <w:r w:rsidR="00E92E5E">
              <w:t xml:space="preserve"> or more </w:t>
            </w:r>
            <w:r w:rsidR="000E101E" w:rsidRPr="006D3F04">
              <w:t>zone</w:t>
            </w:r>
            <w:r w:rsidR="000E101E">
              <w:t>s, zone precincts</w:t>
            </w:r>
            <w:r w:rsidR="009B117F">
              <w:t>,</w:t>
            </w:r>
            <w:r w:rsidR="000E101E">
              <w:t xml:space="preserve"> a</w:t>
            </w:r>
            <w:r w:rsidR="009B117F">
              <w:t xml:space="preserve"> neighbourhood plan precinct or overlay sub-categories</w:t>
            </w:r>
            <w:r w:rsidR="000E101E">
              <w:t xml:space="preserve"> </w:t>
            </w:r>
            <w:r w:rsidR="00A42768">
              <w:t>provide</w:t>
            </w:r>
            <w:r w:rsidR="009B117F">
              <w:t>s</w:t>
            </w:r>
            <w:r w:rsidR="00A42768">
              <w:t xml:space="preserve"> for </w:t>
            </w:r>
            <w:r w:rsidR="00E92E5E">
              <w:t xml:space="preserve">different lot design requirements </w:t>
            </w:r>
            <w:r w:rsidR="009B117F">
              <w:t xml:space="preserve">which are applicable to the </w:t>
            </w:r>
            <w:r w:rsidR="00A42768">
              <w:t xml:space="preserve">zones, zone precincts, </w:t>
            </w:r>
            <w:r w:rsidR="00AE4244">
              <w:t>neighbourhood plan</w:t>
            </w:r>
            <w:r w:rsidR="00A42768">
              <w:t>s</w:t>
            </w:r>
            <w:r w:rsidR="009B117F">
              <w:t xml:space="preserve"> and</w:t>
            </w:r>
            <w:r w:rsidR="00A42768">
              <w:t xml:space="preserve"> overlays</w:t>
            </w:r>
            <w:r w:rsidR="00481A26">
              <w:t xml:space="preserve"> and</w:t>
            </w:r>
            <w:r w:rsidR="00A42768">
              <w:t xml:space="preserve"> </w:t>
            </w:r>
            <w:r w:rsidR="00B91CAC">
              <w:t xml:space="preserve">the </w:t>
            </w:r>
            <w:r w:rsidR="00A42768">
              <w:t xml:space="preserve">lawful uses </w:t>
            </w:r>
            <w:r w:rsidR="00487515">
              <w:t xml:space="preserve">intended </w:t>
            </w:r>
            <w:r w:rsidR="00481A26">
              <w:t xml:space="preserve">for the site and the </w:t>
            </w:r>
            <w:r w:rsidR="007F3292">
              <w:t>locality.</w:t>
            </w:r>
          </w:p>
        </w:tc>
        <w:tc>
          <w:tcPr>
            <w:tcW w:w="4860" w:type="dxa"/>
            <w:shd w:val="clear" w:color="auto" w:fill="auto"/>
          </w:tcPr>
          <w:p w14:paraId="2D6B03DD" w14:textId="77777777" w:rsidR="00E92E5E" w:rsidRPr="00A05DEA" w:rsidRDefault="00E92E5E">
            <w:pPr>
              <w:pStyle w:val="QPPTableTextBold"/>
            </w:pPr>
            <w:r w:rsidRPr="00A05DEA">
              <w:t>AO</w:t>
            </w:r>
            <w:r w:rsidR="00E33739">
              <w:t>9</w:t>
            </w:r>
            <w:r>
              <w:t>.1</w:t>
            </w:r>
          </w:p>
          <w:p w14:paraId="7D7FFA11" w14:textId="77777777" w:rsidR="00E92E5E" w:rsidRPr="00A05DEA" w:rsidRDefault="00612323">
            <w:pPr>
              <w:pStyle w:val="QPPTableTextBody"/>
            </w:pPr>
            <w:r>
              <w:t xml:space="preserve">Development ensures that the </w:t>
            </w:r>
            <w:r w:rsidR="00E92E5E">
              <w:t>boundary between the zones</w:t>
            </w:r>
            <w:r w:rsidR="00487515">
              <w:t xml:space="preserve">, zone precincts, </w:t>
            </w:r>
            <w:r w:rsidR="00AE4244">
              <w:t>neighbourhood plan</w:t>
            </w:r>
            <w:r w:rsidR="00487515">
              <w:t>s, overlays</w:t>
            </w:r>
            <w:r w:rsidR="00E92E5E">
              <w:t xml:space="preserve"> and land uses </w:t>
            </w:r>
            <w:r w:rsidR="000E101E">
              <w:t>are reflected in</w:t>
            </w:r>
            <w:r w:rsidR="00487515">
              <w:t xml:space="preserve"> the </w:t>
            </w:r>
            <w:r w:rsidR="000E101E">
              <w:t xml:space="preserve">design, </w:t>
            </w:r>
            <w:r w:rsidR="00487515">
              <w:t>arrangement and boundaries</w:t>
            </w:r>
            <w:r w:rsidR="00E92E5E">
              <w:t xml:space="preserve"> for proposed lots</w:t>
            </w:r>
            <w:r w:rsidR="000A03F1">
              <w:t xml:space="preserve"> to the extent relevant.</w:t>
            </w:r>
          </w:p>
        </w:tc>
      </w:tr>
      <w:tr w:rsidR="00E92E5E" w:rsidRPr="00A05DEA" w14:paraId="0AD25520" w14:textId="77777777" w:rsidTr="001B353F">
        <w:tc>
          <w:tcPr>
            <w:tcW w:w="4068" w:type="dxa"/>
            <w:vMerge/>
            <w:shd w:val="clear" w:color="auto" w:fill="auto"/>
          </w:tcPr>
          <w:p w14:paraId="4820D1CC" w14:textId="77777777" w:rsidR="00E92E5E" w:rsidRDefault="00E92E5E" w:rsidP="00115811"/>
        </w:tc>
        <w:tc>
          <w:tcPr>
            <w:tcW w:w="4860" w:type="dxa"/>
            <w:shd w:val="clear" w:color="auto" w:fill="auto"/>
          </w:tcPr>
          <w:p w14:paraId="2E1D5E1F" w14:textId="77777777" w:rsidR="00E92E5E" w:rsidRPr="00A05DEA" w:rsidRDefault="007E195A">
            <w:pPr>
              <w:pStyle w:val="QPPTableTextBold"/>
            </w:pPr>
            <w:r>
              <w:t>AO</w:t>
            </w:r>
            <w:r w:rsidR="00E33739">
              <w:t>9</w:t>
            </w:r>
            <w:r w:rsidR="00E92E5E">
              <w:t>.2</w:t>
            </w:r>
          </w:p>
          <w:p w14:paraId="37B08B07" w14:textId="77777777" w:rsidR="00E92E5E" w:rsidRDefault="00612323">
            <w:pPr>
              <w:pStyle w:val="QPPTableTextBody"/>
            </w:pPr>
            <w:r>
              <w:t xml:space="preserve">Development </w:t>
            </w:r>
            <w:r w:rsidR="00481A26">
              <w:t xml:space="preserve">includes separation, buffer management zones or other means to address any </w:t>
            </w:r>
            <w:r w:rsidR="0052464F">
              <w:t>adverse amenity, health or safety impacts</w:t>
            </w:r>
            <w:r w:rsidR="00481A26">
              <w:t xml:space="preserve"> caused by an adjacent use</w:t>
            </w:r>
            <w:r w:rsidR="006575C7">
              <w:t>.</w:t>
            </w:r>
          </w:p>
        </w:tc>
      </w:tr>
      <w:tr w:rsidR="00E92E5E" w:rsidRPr="00A05DEA" w14:paraId="0BCCF2A3" w14:textId="77777777" w:rsidTr="001B353F">
        <w:tc>
          <w:tcPr>
            <w:tcW w:w="4068" w:type="dxa"/>
            <w:vMerge/>
            <w:shd w:val="clear" w:color="auto" w:fill="auto"/>
          </w:tcPr>
          <w:p w14:paraId="42186E56" w14:textId="77777777" w:rsidR="00E92E5E" w:rsidRDefault="00E92E5E" w:rsidP="00115811"/>
        </w:tc>
        <w:tc>
          <w:tcPr>
            <w:tcW w:w="4860" w:type="dxa"/>
            <w:shd w:val="clear" w:color="auto" w:fill="auto"/>
          </w:tcPr>
          <w:p w14:paraId="3E4DBE8C" w14:textId="77777777" w:rsidR="00E92E5E" w:rsidRPr="00A05DEA" w:rsidRDefault="006575C7">
            <w:pPr>
              <w:pStyle w:val="QPPTableTextBold"/>
            </w:pPr>
            <w:r>
              <w:t>AO</w:t>
            </w:r>
            <w:r w:rsidR="00E33739">
              <w:t>9</w:t>
            </w:r>
            <w:r w:rsidR="00E92E5E">
              <w:t>.3</w:t>
            </w:r>
          </w:p>
          <w:p w14:paraId="4793CA84" w14:textId="438512D6" w:rsidR="00E92E5E" w:rsidRDefault="00612323">
            <w:pPr>
              <w:pStyle w:val="QPPTableTextBody"/>
            </w:pPr>
            <w:r>
              <w:t xml:space="preserve">Development provides </w:t>
            </w:r>
            <w:r w:rsidR="006575C7">
              <w:t xml:space="preserve">lot </w:t>
            </w:r>
            <w:r w:rsidR="00E33739">
              <w:t>dimensions and size</w:t>
            </w:r>
            <w:r w:rsidR="006575C7">
              <w:t xml:space="preserve"> in e</w:t>
            </w:r>
            <w:r w:rsidR="00E92E5E">
              <w:t xml:space="preserve">ach </w:t>
            </w:r>
            <w:r w:rsidR="006575C7">
              <w:t xml:space="preserve">different </w:t>
            </w:r>
            <w:r w:rsidR="00E92E5E">
              <w:t>zone</w:t>
            </w:r>
            <w:r w:rsidR="006575C7">
              <w:t xml:space="preserve">, zone precinct, </w:t>
            </w:r>
            <w:r w:rsidR="00AE4244">
              <w:t>neighbourhood plan</w:t>
            </w:r>
            <w:r w:rsidR="006575C7">
              <w:t xml:space="preserve"> and land use</w:t>
            </w:r>
            <w:r w:rsidR="00E92E5E">
              <w:t xml:space="preserve"> </w:t>
            </w:r>
            <w:r w:rsidR="00481A26">
              <w:t xml:space="preserve">that </w:t>
            </w:r>
            <w:r w:rsidR="00E92E5E">
              <w:t xml:space="preserve">is in </w:t>
            </w:r>
            <w:r w:rsidR="00E33739">
              <w:t>compliance</w:t>
            </w:r>
            <w:r w:rsidR="00E92E5E">
              <w:t xml:space="preserve"> with </w:t>
            </w:r>
            <w:r w:rsidR="0045583E" w:rsidRPr="00AB035A">
              <w:t>Table 9.4.10.3.B</w:t>
            </w:r>
            <w:r w:rsidR="0045583E">
              <w:t>.</w:t>
            </w:r>
          </w:p>
        </w:tc>
      </w:tr>
      <w:tr w:rsidR="00141AA5" w:rsidRPr="001B353F" w14:paraId="1C11AD4D" w14:textId="77777777" w:rsidTr="001B353F">
        <w:tc>
          <w:tcPr>
            <w:tcW w:w="8928" w:type="dxa"/>
            <w:gridSpan w:val="2"/>
            <w:shd w:val="clear" w:color="auto" w:fill="auto"/>
          </w:tcPr>
          <w:p w14:paraId="50851208" w14:textId="77777777" w:rsidR="00141AA5" w:rsidRPr="006D3F04" w:rsidRDefault="00135C22">
            <w:pPr>
              <w:pStyle w:val="QPPTableTextBold"/>
            </w:pPr>
            <w:r>
              <w:t>Section</w:t>
            </w:r>
            <w:r w:rsidR="00876821">
              <w:t xml:space="preserve"> B—</w:t>
            </w:r>
            <w:r w:rsidR="00606067">
              <w:t>Transport, traffic and movement</w:t>
            </w:r>
            <w:r w:rsidR="00481A26">
              <w:t xml:space="preserve"> outcomes for reconfiguring a lot involv</w:t>
            </w:r>
            <w:r w:rsidR="00876821">
              <w:t>ing</w:t>
            </w:r>
            <w:r w:rsidR="00481A26">
              <w:t xml:space="preserve"> </w:t>
            </w:r>
            <w:r w:rsidR="00876821">
              <w:t>the</w:t>
            </w:r>
            <w:r w:rsidR="00481A26">
              <w:t xml:space="preserve"> </w:t>
            </w:r>
            <w:r w:rsidR="00876821">
              <w:t>creation of</w:t>
            </w:r>
            <w:r w:rsidR="006575C7">
              <w:t xml:space="preserve"> </w:t>
            </w:r>
            <w:r w:rsidR="00E77EAA">
              <w:t xml:space="preserve">10 or more lots, </w:t>
            </w:r>
            <w:r w:rsidR="00481A26">
              <w:t xml:space="preserve">a </w:t>
            </w:r>
            <w:r w:rsidR="00E77EAA">
              <w:t xml:space="preserve">road reserve or </w:t>
            </w:r>
            <w:r w:rsidR="00481A26">
              <w:t xml:space="preserve">a </w:t>
            </w:r>
            <w:r w:rsidR="00E77EAA">
              <w:t xml:space="preserve">lot for </w:t>
            </w:r>
            <w:r w:rsidR="00481A26">
              <w:t>a new road, bikeway</w:t>
            </w:r>
            <w:r w:rsidR="00E77EAA">
              <w:t xml:space="preserve"> or pedestrian route</w:t>
            </w:r>
          </w:p>
        </w:tc>
      </w:tr>
      <w:tr w:rsidR="006B61B3" w:rsidRPr="001B353F" w14:paraId="4FB71A0E" w14:textId="77777777" w:rsidTr="002924D9">
        <w:trPr>
          <w:trHeight w:val="274"/>
        </w:trPr>
        <w:tc>
          <w:tcPr>
            <w:tcW w:w="4068" w:type="dxa"/>
            <w:vMerge w:val="restart"/>
            <w:shd w:val="clear" w:color="auto" w:fill="auto"/>
          </w:tcPr>
          <w:p w14:paraId="6D322821" w14:textId="77777777" w:rsidR="006B61B3" w:rsidRPr="00A05DEA" w:rsidRDefault="006B61B3">
            <w:pPr>
              <w:pStyle w:val="QPPTableTextBold"/>
            </w:pPr>
            <w:r>
              <w:t>PO</w:t>
            </w:r>
            <w:r w:rsidR="00365A57">
              <w:t>10</w:t>
            </w:r>
          </w:p>
          <w:p w14:paraId="383A6CEE" w14:textId="77777777" w:rsidR="006B61B3" w:rsidRPr="00B40AD4" w:rsidRDefault="00612323">
            <w:pPr>
              <w:pStyle w:val="QPPTableTextBody"/>
            </w:pPr>
            <w:r>
              <w:t xml:space="preserve">Development ensures </w:t>
            </w:r>
            <w:r w:rsidR="00481A26">
              <w:t xml:space="preserve">that </w:t>
            </w:r>
            <w:r>
              <w:t>the</w:t>
            </w:r>
            <w:r w:rsidR="006B61B3" w:rsidRPr="00B40AD4">
              <w:t xml:space="preserve"> </w:t>
            </w:r>
            <w:r w:rsidR="000775D3">
              <w:t>transport</w:t>
            </w:r>
            <w:r w:rsidR="006B61B3" w:rsidRPr="00B40AD4">
              <w:t xml:space="preserve"> network </w:t>
            </w:r>
            <w:r w:rsidR="006B61B3">
              <w:t xml:space="preserve">and all its elements </w:t>
            </w:r>
            <w:r w:rsidR="00481A26">
              <w:t>is designed to</w:t>
            </w:r>
            <w:r w:rsidR="006B61B3" w:rsidRPr="00B40AD4">
              <w:t>:</w:t>
            </w:r>
          </w:p>
          <w:p w14:paraId="3471B284" w14:textId="77777777" w:rsidR="006B61B3" w:rsidRDefault="006B61B3">
            <w:pPr>
              <w:pStyle w:val="HGTableBullet2"/>
              <w:numPr>
                <w:ilvl w:val="0"/>
                <w:numId w:val="26"/>
              </w:numPr>
            </w:pPr>
            <w:r w:rsidRPr="00BB73D5">
              <w:t>have</w:t>
            </w:r>
            <w:r>
              <w:t xml:space="preserve"> a clear hierarchical structure using </w:t>
            </w:r>
            <w:r w:rsidR="00481A26">
              <w:t xml:space="preserve">the </w:t>
            </w:r>
            <w:r>
              <w:t>existing network classification;</w:t>
            </w:r>
          </w:p>
          <w:p w14:paraId="08DA3372" w14:textId="77777777" w:rsidR="006B61B3" w:rsidRDefault="006B61B3" w:rsidP="00B47AA3">
            <w:pPr>
              <w:pStyle w:val="HGTableBullet2"/>
            </w:pPr>
            <w:r>
              <w:t>provide a high level of internal accessibility and good external connections for local vehicle, pedestrian and bicycle networks;</w:t>
            </w:r>
          </w:p>
          <w:p w14:paraId="35F44673" w14:textId="77777777" w:rsidR="006B61B3" w:rsidRDefault="006B61B3" w:rsidP="00B47AA3">
            <w:pPr>
              <w:pStyle w:val="HGTableBullet2"/>
            </w:pPr>
            <w:r>
              <w:t xml:space="preserve">include a minor road network that creates convenient and safe movement between uses and to </w:t>
            </w:r>
            <w:r w:rsidR="00A555EA">
              <w:t>major</w:t>
            </w:r>
            <w:r>
              <w:t xml:space="preserve"> roads;</w:t>
            </w:r>
          </w:p>
          <w:p w14:paraId="773F7FCB" w14:textId="77777777" w:rsidR="006B61B3" w:rsidRDefault="006B61B3" w:rsidP="00B47AA3">
            <w:pPr>
              <w:pStyle w:val="HGTableBullet2"/>
            </w:pPr>
            <w:r>
              <w:t>contribute to the bicycle network;</w:t>
            </w:r>
          </w:p>
          <w:p w14:paraId="5A167CAA" w14:textId="77777777" w:rsidR="006B61B3" w:rsidRDefault="006B61B3" w:rsidP="00B47AA3">
            <w:pPr>
              <w:pStyle w:val="HGTableBullet2"/>
            </w:pPr>
            <w:r>
              <w:t>cater for design vehicles based on the  road hierarchy</w:t>
            </w:r>
            <w:r w:rsidR="00A555EA">
              <w:t xml:space="preserve"> classification of the road network</w:t>
            </w:r>
            <w:r>
              <w:t xml:space="preserve"> and the expected vehicle, pedestrian a</w:t>
            </w:r>
            <w:r w:rsidR="00481A26">
              <w:t>nd</w:t>
            </w:r>
            <w:r>
              <w:t xml:space="preserve"> cyclist use of the site and surrounding </w:t>
            </w:r>
            <w:r w:rsidR="00481A26">
              <w:t>premises</w:t>
            </w:r>
            <w:r>
              <w:t>;</w:t>
            </w:r>
          </w:p>
          <w:p w14:paraId="2BB97195" w14:textId="77777777" w:rsidR="006B61B3" w:rsidRDefault="006B61B3" w:rsidP="00B47AA3">
            <w:pPr>
              <w:pStyle w:val="HGTableBullet2"/>
            </w:pPr>
            <w:r>
              <w:t xml:space="preserve">have an adequate horizontal and vertical alignment </w:t>
            </w:r>
            <w:r w:rsidR="00481A26">
              <w:t xml:space="preserve">which </w:t>
            </w:r>
            <w:r>
              <w:t>complies with the design speed;</w:t>
            </w:r>
          </w:p>
          <w:p w14:paraId="04472338" w14:textId="77777777" w:rsidR="006B61B3" w:rsidRDefault="006B61B3" w:rsidP="00B47AA3">
            <w:pPr>
              <w:pStyle w:val="HGTableBullet2"/>
            </w:pPr>
            <w:r>
              <w:t xml:space="preserve">have intersections </w:t>
            </w:r>
            <w:r w:rsidR="007F3292">
              <w:t xml:space="preserve">which </w:t>
            </w:r>
            <w:r>
              <w:t>are designed to best</w:t>
            </w:r>
            <w:r w:rsidR="00CC46EF">
              <w:t>-</w:t>
            </w:r>
            <w:r>
              <w:t>practice engineering standards;</w:t>
            </w:r>
          </w:p>
          <w:p w14:paraId="381ED6C3" w14:textId="77777777" w:rsidR="006B61B3" w:rsidRDefault="006B61B3">
            <w:pPr>
              <w:pStyle w:val="HGTableBullet2"/>
            </w:pPr>
            <w:r w:rsidRPr="005030D6">
              <w:t xml:space="preserve">have safe vehicular access to each lot </w:t>
            </w:r>
            <w:r w:rsidR="007F3292">
              <w:t xml:space="preserve">if </w:t>
            </w:r>
            <w:r w:rsidRPr="005030D6">
              <w:t>access is allowed</w:t>
            </w:r>
            <w:r>
              <w:t>;</w:t>
            </w:r>
          </w:p>
          <w:p w14:paraId="1221D241" w14:textId="77777777" w:rsidR="006B61B3" w:rsidRDefault="006B61B3">
            <w:pPr>
              <w:pStyle w:val="HGTableBullet2"/>
            </w:pPr>
            <w:r>
              <w:t>ensure s</w:t>
            </w:r>
            <w:r w:rsidRPr="00F73D7F">
              <w:t xml:space="preserve">peed </w:t>
            </w:r>
            <w:r>
              <w:t>management</w:t>
            </w:r>
            <w:r w:rsidRPr="00F73D7F">
              <w:t xml:space="preserve"> </w:t>
            </w:r>
            <w:r>
              <w:t xml:space="preserve">is achieved by geometric design and arrangement of roads and paths to meet </w:t>
            </w:r>
            <w:r w:rsidR="007F3292">
              <w:t xml:space="preserve">the </w:t>
            </w:r>
            <w:r>
              <w:t xml:space="preserve">vehicle design speed, deter through traffic and create safe conditions for vehicles, pedestrians and cyclists and the nature of uses intended for the site and </w:t>
            </w:r>
            <w:r w:rsidR="007F3292">
              <w:t>locality</w:t>
            </w:r>
            <w:r>
              <w:t>;</w:t>
            </w:r>
          </w:p>
          <w:p w14:paraId="368BD22B" w14:textId="77777777" w:rsidR="006B61B3" w:rsidRDefault="006B61B3">
            <w:pPr>
              <w:pStyle w:val="HGTableBullet2"/>
            </w:pPr>
            <w:r>
              <w:t xml:space="preserve">provide safe </w:t>
            </w:r>
            <w:r w:rsidRPr="00F73D7F">
              <w:t>pedestrian and cyclist crossings</w:t>
            </w:r>
            <w:r>
              <w:t>;</w:t>
            </w:r>
          </w:p>
          <w:p w14:paraId="2D0A8B32" w14:textId="77777777" w:rsidR="006B61B3" w:rsidRDefault="006B61B3">
            <w:pPr>
              <w:pStyle w:val="HGTableBullet2"/>
            </w:pPr>
            <w:r>
              <w:t>minimise the need for earthworks;</w:t>
            </w:r>
          </w:p>
          <w:p w14:paraId="088AD343" w14:textId="77777777" w:rsidR="006B61B3" w:rsidRDefault="006B61B3">
            <w:pPr>
              <w:pStyle w:val="HGTableBullet2"/>
            </w:pPr>
            <w:r>
              <w:t xml:space="preserve">provide minor roads adjoining the </w:t>
            </w:r>
            <w:r w:rsidR="00DC65DD">
              <w:t>park network</w:t>
            </w:r>
            <w:r>
              <w:t>.</w:t>
            </w:r>
          </w:p>
          <w:p w14:paraId="50D75980" w14:textId="521C2954" w:rsidR="006B61B3" w:rsidRDefault="006B61B3" w:rsidP="00DF232E">
            <w:pPr>
              <w:pStyle w:val="QPPEditorsNoteStyle1"/>
            </w:pPr>
            <w:r>
              <w:t>Note—</w:t>
            </w:r>
            <w:r w:rsidR="007F3292">
              <w:t>A</w:t>
            </w:r>
            <w:r>
              <w:t xml:space="preserve"> traffic impact assessment may be required in accordance </w:t>
            </w:r>
            <w:r w:rsidR="000A03F1">
              <w:t xml:space="preserve">with </w:t>
            </w:r>
            <w:r w:rsidRPr="00892216">
              <w:t xml:space="preserve">the </w:t>
            </w:r>
            <w:r w:rsidRPr="00AB035A">
              <w:t>Transport, access, parking and servicing planning scheme policy</w:t>
            </w:r>
            <w:r>
              <w:t xml:space="preserve"> to demonstrate this pe</w:t>
            </w:r>
            <w:r w:rsidR="00636829">
              <w:t>rformance outcome is satisfied.</w:t>
            </w:r>
          </w:p>
          <w:p w14:paraId="70916B20" w14:textId="77777777" w:rsidR="006B61B3" w:rsidRPr="0059652C" w:rsidRDefault="006B61B3" w:rsidP="000775D3">
            <w:pPr>
              <w:pStyle w:val="QPPEditorsNoteStyle1"/>
            </w:pPr>
            <w:r>
              <w:t>Note—</w:t>
            </w:r>
            <w:r w:rsidR="007F3292">
              <w:t>T</w:t>
            </w:r>
            <w:r>
              <w:t xml:space="preserve">he </w:t>
            </w:r>
            <w:r w:rsidR="000775D3">
              <w:t>transport</w:t>
            </w:r>
            <w:r>
              <w:t xml:space="preserve"> network is any element that provides for the movement of vehicles, pedestrians or cyclists other than the internal function and operation of a site and may include public space, publicly accessible private space or private space </w:t>
            </w:r>
            <w:r w:rsidR="00920C5D">
              <w:t xml:space="preserve">if </w:t>
            </w:r>
            <w:r>
              <w:t>through movement or public access is intended.</w:t>
            </w:r>
          </w:p>
        </w:tc>
        <w:tc>
          <w:tcPr>
            <w:tcW w:w="4860" w:type="dxa"/>
            <w:shd w:val="clear" w:color="auto" w:fill="auto"/>
          </w:tcPr>
          <w:p w14:paraId="15C78C7C" w14:textId="77777777" w:rsidR="006B61B3" w:rsidRPr="00A05DEA" w:rsidRDefault="006B61B3">
            <w:pPr>
              <w:pStyle w:val="QPPTableTextBold"/>
            </w:pPr>
            <w:r w:rsidRPr="00A05DEA">
              <w:t>AO</w:t>
            </w:r>
            <w:r w:rsidR="00365A57">
              <w:t>10</w:t>
            </w:r>
            <w:r>
              <w:t>.1</w:t>
            </w:r>
          </w:p>
          <w:p w14:paraId="23652D37" w14:textId="77777777" w:rsidR="006B61B3" w:rsidRPr="00B40AD4" w:rsidRDefault="00612323">
            <w:pPr>
              <w:pStyle w:val="QPPTableTextBody"/>
            </w:pPr>
            <w:r>
              <w:t>Development provides a</w:t>
            </w:r>
            <w:r w:rsidR="003C548F">
              <w:t xml:space="preserve"> </w:t>
            </w:r>
            <w:r w:rsidR="000775D3">
              <w:t>transport</w:t>
            </w:r>
            <w:r w:rsidR="003C548F">
              <w:t xml:space="preserve"> network</w:t>
            </w:r>
            <w:r w:rsidR="006B61B3" w:rsidRPr="00B40AD4">
              <w:t xml:space="preserve"> </w:t>
            </w:r>
            <w:r>
              <w:t xml:space="preserve">that </w:t>
            </w:r>
            <w:r w:rsidR="006B61B3" w:rsidRPr="00B40AD4">
              <w:t xml:space="preserve">aligns with and integrates with the surrounding </w:t>
            </w:r>
            <w:r w:rsidR="000775D3">
              <w:t>transport</w:t>
            </w:r>
            <w:r w:rsidR="006B61B3">
              <w:t xml:space="preserve"> network</w:t>
            </w:r>
            <w:r w:rsidR="006B61B3" w:rsidRPr="00B40AD4">
              <w:t xml:space="preserve"> (and completes </w:t>
            </w:r>
            <w:r w:rsidR="006B61B3">
              <w:t xml:space="preserve">relevant elements of this network </w:t>
            </w:r>
            <w:r w:rsidR="006B61B3" w:rsidRPr="00B40AD4">
              <w:t>where necessary) shown in:</w:t>
            </w:r>
          </w:p>
          <w:p w14:paraId="7B846B59" w14:textId="17334960" w:rsidR="00555097" w:rsidRPr="00F44A55" w:rsidRDefault="000775D3">
            <w:pPr>
              <w:pStyle w:val="HGTableBullet2"/>
              <w:numPr>
                <w:ilvl w:val="0"/>
                <w:numId w:val="27"/>
              </w:numPr>
            </w:pPr>
            <w:r>
              <w:t xml:space="preserve">the </w:t>
            </w:r>
            <w:r w:rsidR="00C636C4" w:rsidRPr="00AB035A">
              <w:t>R</w:t>
            </w:r>
            <w:r w:rsidR="00555097" w:rsidRPr="00AB035A">
              <w:t>oad hierarchy</w:t>
            </w:r>
            <w:r w:rsidR="00C636C4" w:rsidRPr="00AB035A">
              <w:t xml:space="preserve"> overlay</w:t>
            </w:r>
            <w:r w:rsidR="00555097" w:rsidRPr="00AB035A">
              <w:t xml:space="preserve"> map</w:t>
            </w:r>
            <w:r w:rsidR="00555097" w:rsidRPr="00F44A55">
              <w:t>;</w:t>
            </w:r>
          </w:p>
          <w:p w14:paraId="22172367" w14:textId="053073EE" w:rsidR="00555097" w:rsidRPr="00F44A55" w:rsidRDefault="000775D3">
            <w:pPr>
              <w:pStyle w:val="HGTableBullet2"/>
              <w:numPr>
                <w:ilvl w:val="0"/>
                <w:numId w:val="27"/>
              </w:numPr>
            </w:pPr>
            <w:r>
              <w:t xml:space="preserve">the </w:t>
            </w:r>
            <w:r w:rsidR="00C636C4" w:rsidRPr="00AB035A">
              <w:t>B</w:t>
            </w:r>
            <w:r w:rsidR="00555097" w:rsidRPr="00AB035A">
              <w:t>icycle network overlay map</w:t>
            </w:r>
            <w:r w:rsidR="00555097" w:rsidRPr="00F44A55">
              <w:t>;</w:t>
            </w:r>
          </w:p>
          <w:p w14:paraId="318D093D" w14:textId="4F597329" w:rsidR="00CA4172" w:rsidRDefault="00CA4172">
            <w:pPr>
              <w:pStyle w:val="HGTableBullet2"/>
              <w:numPr>
                <w:ilvl w:val="0"/>
                <w:numId w:val="27"/>
              </w:numPr>
            </w:pPr>
            <w:r>
              <w:t xml:space="preserve">the </w:t>
            </w:r>
            <w:r w:rsidRPr="00AB035A">
              <w:t>Streetscape hierarchy overlay map</w:t>
            </w:r>
            <w:r w:rsidR="00BF44F1">
              <w:t>infrastructiure</w:t>
            </w:r>
            <w:r>
              <w:t>;</w:t>
            </w:r>
          </w:p>
          <w:p w14:paraId="6CB5F9D0" w14:textId="1C563070" w:rsidR="006B61B3" w:rsidRPr="00F44A55" w:rsidRDefault="006B61B3">
            <w:pPr>
              <w:pStyle w:val="HGTableBullet2"/>
              <w:numPr>
                <w:ilvl w:val="0"/>
                <w:numId w:val="27"/>
              </w:numPr>
            </w:pPr>
            <w:r w:rsidRPr="00233B63">
              <w:t xml:space="preserve">a preliminary approval </w:t>
            </w:r>
            <w:r w:rsidR="000A03F1" w:rsidRPr="00F44A55">
              <w:t xml:space="preserve">or </w:t>
            </w:r>
            <w:r w:rsidRPr="00F44A55">
              <w:t>approved plan over the subject site;</w:t>
            </w:r>
          </w:p>
          <w:p w14:paraId="1C3D80C6" w14:textId="77777777" w:rsidR="006B61B3" w:rsidRPr="00F44A55" w:rsidRDefault="006B61B3" w:rsidP="00B47AA3">
            <w:pPr>
              <w:pStyle w:val="HGTableBullet2"/>
            </w:pPr>
            <w:r w:rsidRPr="00F44A55">
              <w:t xml:space="preserve">preliminary approvals and development </w:t>
            </w:r>
            <w:r w:rsidR="002018FB">
              <w:t>approval</w:t>
            </w:r>
            <w:r w:rsidR="00E63714">
              <w:t>s</w:t>
            </w:r>
            <w:r w:rsidR="002018FB" w:rsidRPr="00F44A55">
              <w:t xml:space="preserve"> </w:t>
            </w:r>
            <w:r w:rsidRPr="00F44A55">
              <w:t>o</w:t>
            </w:r>
            <w:r w:rsidR="00636829">
              <w:t>n land around the subject site;</w:t>
            </w:r>
          </w:p>
          <w:p w14:paraId="7E81E818" w14:textId="77777777" w:rsidR="006B61B3" w:rsidRPr="00F44A55" w:rsidRDefault="006B61B3" w:rsidP="00B47AA3">
            <w:pPr>
              <w:pStyle w:val="HGTableBullet2"/>
            </w:pPr>
            <w:r w:rsidRPr="00F44A55">
              <w:t xml:space="preserve">neighbourhood plans and/or structure plans or other plans agreed by </w:t>
            </w:r>
            <w:r w:rsidR="00876821" w:rsidRPr="00F44A55">
              <w:t xml:space="preserve">the </w:t>
            </w:r>
            <w:r w:rsidRPr="00F44A55">
              <w:t>Council;</w:t>
            </w:r>
          </w:p>
          <w:p w14:paraId="58B1DB73" w14:textId="6680F37E" w:rsidR="006B61B3" w:rsidRPr="00F44A55" w:rsidRDefault="006B61B3" w:rsidP="00B47AA3">
            <w:pPr>
              <w:pStyle w:val="HGTableBullet2"/>
            </w:pPr>
            <w:r w:rsidRPr="00F44A55">
              <w:t xml:space="preserve">a traffic impact assessment report in accordance with the </w:t>
            </w:r>
            <w:r w:rsidRPr="00AB035A">
              <w:t>Transport, access, parking and servicing planning scheme policy</w:t>
            </w:r>
            <w:r w:rsidRPr="008729EE">
              <w:t xml:space="preserve"> </w:t>
            </w:r>
            <w:r w:rsidRPr="00233B63">
              <w:t xml:space="preserve">and the report outcomes as agreed by </w:t>
            </w:r>
            <w:r w:rsidR="00A3200A" w:rsidRPr="00F44A55">
              <w:t xml:space="preserve">the </w:t>
            </w:r>
            <w:r w:rsidR="008729EE">
              <w:t>Council.</w:t>
            </w:r>
          </w:p>
          <w:p w14:paraId="3A3CB8FF" w14:textId="77777777" w:rsidR="006B61B3" w:rsidRPr="00086D04" w:rsidRDefault="006B61B3" w:rsidP="005178B4">
            <w:pPr>
              <w:pStyle w:val="QPPEditorsNoteStyle1"/>
            </w:pPr>
            <w:r>
              <w:t>Note—</w:t>
            </w:r>
            <w:r w:rsidRPr="00086D04">
              <w:t>This can be demonstrated through an application that:</w:t>
            </w:r>
          </w:p>
          <w:p w14:paraId="4691EFE5" w14:textId="2B60012D" w:rsidR="007D2802" w:rsidRPr="007D2802" w:rsidRDefault="007D2802" w:rsidP="007D2802">
            <w:pPr>
              <w:pStyle w:val="QPPEditorsnotebulletpoint1"/>
            </w:pPr>
            <w:r w:rsidRPr="007D2802">
              <w:t xml:space="preserve">is accompanied by sufficient information (including computer modelling input and output data) to allow the proposed development to be properly assessed against the requirements of this code and the standards and guidelines of the </w:t>
            </w:r>
            <w:r w:rsidRPr="00AB035A">
              <w:t>Transport, access, parking and servicing planning scheme policy</w:t>
            </w:r>
            <w:r w:rsidRPr="007D2802">
              <w:t>;</w:t>
            </w:r>
          </w:p>
          <w:p w14:paraId="67ACF530" w14:textId="06FFCE33" w:rsidR="007D2802" w:rsidRPr="007D2802" w:rsidRDefault="007D2802" w:rsidP="007D2802">
            <w:pPr>
              <w:pStyle w:val="QPPEditorsnotebulletpoint1"/>
            </w:pPr>
            <w:r w:rsidRPr="007D2802">
              <w:t xml:space="preserve">is certified by a </w:t>
            </w:r>
            <w:r w:rsidRPr="00AB035A">
              <w:t>Registered Professional Engineer Queensland</w:t>
            </w:r>
            <w:r w:rsidRPr="007D2802">
              <w:t xml:space="preserve"> that all plans, documents and dimensioned drawings comply with the requirements of this code and/or the standards and guidelines of the Transport, access, parking and servicing planning scheme policy;</w:t>
            </w:r>
          </w:p>
          <w:p w14:paraId="714719D6" w14:textId="77777777" w:rsidR="007D2802" w:rsidRPr="007D2802" w:rsidRDefault="007D2802" w:rsidP="00D4051E">
            <w:pPr>
              <w:pStyle w:val="QPPEditorsnotebulletpoint1"/>
            </w:pPr>
            <w:r w:rsidRPr="007D2802">
              <w:t xml:space="preserve">and is certified by a </w:t>
            </w:r>
            <w:r w:rsidRPr="0019255A">
              <w:t>Registered Professional Engineer Queensland</w:t>
            </w:r>
            <w:r w:rsidRPr="007D2802">
              <w:t xml:space="preserve"> that any computer modelling input and output data is accurate, reasonable and carried out in accordance with sound traffic engineering practices.</w:t>
            </w:r>
          </w:p>
        </w:tc>
      </w:tr>
      <w:tr w:rsidR="006B61B3" w:rsidRPr="001B353F" w14:paraId="7C021500" w14:textId="77777777" w:rsidTr="001B353F">
        <w:trPr>
          <w:trHeight w:val="1208"/>
        </w:trPr>
        <w:tc>
          <w:tcPr>
            <w:tcW w:w="4068" w:type="dxa"/>
            <w:vMerge/>
            <w:shd w:val="clear" w:color="auto" w:fill="auto"/>
          </w:tcPr>
          <w:p w14:paraId="3E6F79E8" w14:textId="77777777" w:rsidR="006B61B3" w:rsidRDefault="006B61B3" w:rsidP="00115811"/>
        </w:tc>
        <w:tc>
          <w:tcPr>
            <w:tcW w:w="4860" w:type="dxa"/>
            <w:shd w:val="clear" w:color="auto" w:fill="auto"/>
          </w:tcPr>
          <w:p w14:paraId="55A4858F" w14:textId="77777777" w:rsidR="006B61B3" w:rsidRPr="00A05DEA" w:rsidRDefault="006B61B3">
            <w:pPr>
              <w:pStyle w:val="QPPTableTextBold"/>
            </w:pPr>
            <w:r>
              <w:t>AO</w:t>
            </w:r>
            <w:r w:rsidR="00365A57">
              <w:t>10</w:t>
            </w:r>
            <w:r>
              <w:t>.2</w:t>
            </w:r>
          </w:p>
          <w:p w14:paraId="23A49558" w14:textId="77777777" w:rsidR="006B61B3" w:rsidRPr="0059652C" w:rsidRDefault="00612323" w:rsidP="000775D3">
            <w:pPr>
              <w:pStyle w:val="QPPTableTextBody"/>
            </w:pPr>
            <w:r>
              <w:t xml:space="preserve">Development provides a </w:t>
            </w:r>
            <w:r w:rsidR="000775D3">
              <w:t>transport</w:t>
            </w:r>
            <w:r w:rsidR="006B61B3">
              <w:t xml:space="preserve"> network</w:t>
            </w:r>
            <w:r>
              <w:t xml:space="preserve"> </w:t>
            </w:r>
            <w:r w:rsidR="00920C5D">
              <w:t xml:space="preserve">which </w:t>
            </w:r>
            <w:r w:rsidR="006B61B3">
              <w:t xml:space="preserve">is laid out and designed in </w:t>
            </w:r>
            <w:r w:rsidR="00920C5D">
              <w:t xml:space="preserve">compliance </w:t>
            </w:r>
            <w:r w:rsidR="006B61B3">
              <w:t>with the relevant standards and specifications identified in the planning scheme.</w:t>
            </w:r>
          </w:p>
        </w:tc>
      </w:tr>
      <w:tr w:rsidR="006B61B3" w14:paraId="0FD726D6" w14:textId="77777777" w:rsidTr="002924D9">
        <w:trPr>
          <w:trHeight w:val="1737"/>
        </w:trPr>
        <w:tc>
          <w:tcPr>
            <w:tcW w:w="4068" w:type="dxa"/>
            <w:vMerge/>
            <w:shd w:val="clear" w:color="auto" w:fill="auto"/>
          </w:tcPr>
          <w:p w14:paraId="76EC9E80" w14:textId="77777777" w:rsidR="006B61B3" w:rsidRDefault="006B61B3" w:rsidP="00115811"/>
        </w:tc>
        <w:tc>
          <w:tcPr>
            <w:tcW w:w="4860" w:type="dxa"/>
            <w:shd w:val="clear" w:color="auto" w:fill="auto"/>
          </w:tcPr>
          <w:p w14:paraId="6E899E4A" w14:textId="77777777" w:rsidR="006B61B3" w:rsidRPr="00A05DEA" w:rsidRDefault="006B61B3">
            <w:pPr>
              <w:pStyle w:val="QPPTableTextBold"/>
            </w:pPr>
            <w:r>
              <w:t>AO</w:t>
            </w:r>
            <w:r w:rsidR="00365A57">
              <w:t>10</w:t>
            </w:r>
            <w:r>
              <w:t>.3</w:t>
            </w:r>
          </w:p>
          <w:p w14:paraId="308A7E96" w14:textId="77777777" w:rsidR="00160270" w:rsidRDefault="00612323" w:rsidP="00D4051E">
            <w:pPr>
              <w:pStyle w:val="QPPTableTextBody"/>
            </w:pPr>
            <w:r>
              <w:t>Development provides r</w:t>
            </w:r>
            <w:r w:rsidR="006B61B3">
              <w:t xml:space="preserve">oads </w:t>
            </w:r>
            <w:r>
              <w:t xml:space="preserve">that </w:t>
            </w:r>
            <w:r w:rsidR="006B61B3">
              <w:t xml:space="preserve">are designed in </w:t>
            </w:r>
            <w:r w:rsidR="00920C5D">
              <w:t xml:space="preserve">compliance </w:t>
            </w:r>
            <w:r w:rsidR="006B61B3">
              <w:t xml:space="preserve">with the standards </w:t>
            </w:r>
            <w:r w:rsidR="00C210F1">
              <w:t xml:space="preserve">in </w:t>
            </w:r>
            <w:r w:rsidR="006B61B3">
              <w:t>the</w:t>
            </w:r>
            <w:r w:rsidR="00160270">
              <w:t>:</w:t>
            </w:r>
          </w:p>
          <w:p w14:paraId="4C270427" w14:textId="25EACFBE" w:rsidR="006B61B3" w:rsidRPr="00ED6D48" w:rsidRDefault="00920C5D" w:rsidP="00D4051E">
            <w:pPr>
              <w:pStyle w:val="QPPTableTextBody"/>
            </w:pPr>
            <w:r w:rsidRPr="00AB035A">
              <w:t>Infrastructure design planning scheme policy</w:t>
            </w:r>
            <w:r w:rsidR="00160270" w:rsidRPr="00D4051E">
              <w:rPr>
                <w:rStyle w:val="QPPTableTextBodyChar"/>
              </w:rPr>
              <w:t>;</w:t>
            </w:r>
            <w:r w:rsidRPr="00D4051E">
              <w:rPr>
                <w:rStyle w:val="QPPTableTextBodyChar"/>
              </w:rPr>
              <w:t xml:space="preserve"> </w:t>
            </w:r>
            <w:r w:rsidRPr="00EF3500">
              <w:t>and</w:t>
            </w:r>
            <w:r w:rsidR="00160270" w:rsidRPr="00D4051E">
              <w:rPr>
                <w:rStyle w:val="QPPTableTextBodyChar"/>
              </w:rPr>
              <w:t xml:space="preserve"> </w:t>
            </w:r>
            <w:r w:rsidRPr="00AB035A">
              <w:t>Transport, access, parking and servicing planning scheme policy</w:t>
            </w:r>
            <w:r w:rsidR="00D4051E">
              <w:t>.</w:t>
            </w:r>
          </w:p>
        </w:tc>
      </w:tr>
      <w:tr w:rsidR="006B61B3" w:rsidRPr="001B353F" w14:paraId="596E6563" w14:textId="77777777" w:rsidTr="001B353F">
        <w:trPr>
          <w:trHeight w:val="660"/>
        </w:trPr>
        <w:tc>
          <w:tcPr>
            <w:tcW w:w="4068" w:type="dxa"/>
            <w:vMerge/>
            <w:shd w:val="clear" w:color="auto" w:fill="auto"/>
          </w:tcPr>
          <w:p w14:paraId="4BF98AFA" w14:textId="77777777" w:rsidR="006B61B3" w:rsidRDefault="006B61B3" w:rsidP="00115811"/>
        </w:tc>
        <w:tc>
          <w:tcPr>
            <w:tcW w:w="4860" w:type="dxa"/>
            <w:shd w:val="clear" w:color="auto" w:fill="auto"/>
          </w:tcPr>
          <w:p w14:paraId="3F556B3E" w14:textId="77777777" w:rsidR="006B61B3" w:rsidRPr="00CA4F43" w:rsidRDefault="006B61B3">
            <w:pPr>
              <w:pStyle w:val="QPPTableTextBold"/>
            </w:pPr>
            <w:r>
              <w:t>AO</w:t>
            </w:r>
            <w:r w:rsidR="00365A57">
              <w:t>10</w:t>
            </w:r>
            <w:r>
              <w:t>.4</w:t>
            </w:r>
          </w:p>
          <w:p w14:paraId="4AFFFBDF" w14:textId="77777777" w:rsidR="006B61B3" w:rsidRDefault="00612323">
            <w:pPr>
              <w:pStyle w:val="QPPTableTextBody"/>
            </w:pPr>
            <w:r>
              <w:t xml:space="preserve">Development ensures </w:t>
            </w:r>
            <w:r w:rsidR="00920C5D">
              <w:t xml:space="preserve">that </w:t>
            </w:r>
            <w:r>
              <w:t>c</w:t>
            </w:r>
            <w:r w:rsidR="00920C5D">
              <w:t xml:space="preserve">ut and fill </w:t>
            </w:r>
            <w:r w:rsidR="00365A57">
              <w:t xml:space="preserve">for construction of transport network elements </w:t>
            </w:r>
            <w:r w:rsidR="00920C5D">
              <w:t>is less than 1</w:t>
            </w:r>
            <w:r w:rsidR="006B61B3">
              <w:t>m in height.</w:t>
            </w:r>
          </w:p>
        </w:tc>
      </w:tr>
      <w:tr w:rsidR="006B61B3" w14:paraId="6D1B3B75" w14:textId="77777777" w:rsidTr="001B353F">
        <w:trPr>
          <w:trHeight w:val="660"/>
        </w:trPr>
        <w:tc>
          <w:tcPr>
            <w:tcW w:w="4068" w:type="dxa"/>
            <w:vMerge/>
            <w:shd w:val="clear" w:color="auto" w:fill="auto"/>
          </w:tcPr>
          <w:p w14:paraId="7B347CD3" w14:textId="77777777" w:rsidR="006B61B3" w:rsidRDefault="006B61B3" w:rsidP="00115811"/>
        </w:tc>
        <w:tc>
          <w:tcPr>
            <w:tcW w:w="4860" w:type="dxa"/>
            <w:shd w:val="clear" w:color="auto" w:fill="auto"/>
          </w:tcPr>
          <w:p w14:paraId="27A5A024" w14:textId="77777777" w:rsidR="006B61B3" w:rsidRDefault="006B61B3">
            <w:pPr>
              <w:pStyle w:val="QPPTableTextBold"/>
            </w:pPr>
            <w:r>
              <w:t>AO</w:t>
            </w:r>
            <w:r w:rsidR="00365A57">
              <w:t>10</w:t>
            </w:r>
            <w:r>
              <w:t>.5</w:t>
            </w:r>
          </w:p>
          <w:p w14:paraId="17FD57BA" w14:textId="77777777" w:rsidR="006B61B3" w:rsidRPr="001B353F" w:rsidRDefault="00612323" w:rsidP="00B47AA3">
            <w:pPr>
              <w:pStyle w:val="QPPTableTextBody"/>
            </w:pPr>
            <w:r w:rsidRPr="001B353F">
              <w:t>Development provides a r</w:t>
            </w:r>
            <w:r w:rsidR="006B61B3" w:rsidRPr="001B353F">
              <w:t xml:space="preserve">oad network design </w:t>
            </w:r>
            <w:r w:rsidR="00920C5D" w:rsidRPr="001B353F">
              <w:t xml:space="preserve">which </w:t>
            </w:r>
            <w:r w:rsidR="006B61B3" w:rsidRPr="001B353F">
              <w:t xml:space="preserve">prevents the need for </w:t>
            </w:r>
            <w:r w:rsidR="00920C5D" w:rsidRPr="001B353F">
              <w:t>t</w:t>
            </w:r>
            <w:r w:rsidR="006B61B3" w:rsidRPr="001B353F">
              <w:t>raffic</w:t>
            </w:r>
            <w:r w:rsidR="009E093F">
              <w:t>-</w:t>
            </w:r>
            <w:r w:rsidR="006B61B3" w:rsidRPr="001B353F">
              <w:t>calming devices to manage vehicle design speed, de</w:t>
            </w:r>
            <w:r w:rsidR="00920C5D" w:rsidRPr="001B353F">
              <w:t>ter through</w:t>
            </w:r>
            <w:r w:rsidR="009E093F">
              <w:t>-</w:t>
            </w:r>
            <w:r w:rsidR="00920C5D" w:rsidRPr="001B353F">
              <w:t>traffic and create</w:t>
            </w:r>
            <w:r w:rsidR="006B61B3" w:rsidRPr="001B353F">
              <w:t xml:space="preserve"> safe conditions for pedestrians and cyclists.</w:t>
            </w:r>
          </w:p>
        </w:tc>
      </w:tr>
      <w:tr w:rsidR="006B61B3" w14:paraId="7B437A6E" w14:textId="77777777" w:rsidTr="001B353F">
        <w:trPr>
          <w:trHeight w:val="804"/>
        </w:trPr>
        <w:tc>
          <w:tcPr>
            <w:tcW w:w="4068" w:type="dxa"/>
            <w:vMerge/>
            <w:shd w:val="clear" w:color="auto" w:fill="auto"/>
          </w:tcPr>
          <w:p w14:paraId="48C4DCE2" w14:textId="77777777" w:rsidR="006B61B3" w:rsidRDefault="006B61B3" w:rsidP="00115811"/>
        </w:tc>
        <w:tc>
          <w:tcPr>
            <w:tcW w:w="4860" w:type="dxa"/>
            <w:shd w:val="clear" w:color="auto" w:fill="auto"/>
          </w:tcPr>
          <w:p w14:paraId="435A9ACD" w14:textId="77777777" w:rsidR="006B61B3" w:rsidRDefault="006B61B3">
            <w:pPr>
              <w:pStyle w:val="QPPTableTextBold"/>
            </w:pPr>
            <w:r>
              <w:t>AO</w:t>
            </w:r>
            <w:r w:rsidR="00365A57">
              <w:t>10</w:t>
            </w:r>
            <w:r>
              <w:t>.6</w:t>
            </w:r>
          </w:p>
          <w:p w14:paraId="05F17601" w14:textId="77777777" w:rsidR="00920C5D" w:rsidRDefault="008C5D8A">
            <w:pPr>
              <w:pStyle w:val="QPPTableTextBody"/>
            </w:pPr>
            <w:r>
              <w:t xml:space="preserve">Development </w:t>
            </w:r>
            <w:r w:rsidR="00920C5D">
              <w:t xml:space="preserve">provides </w:t>
            </w:r>
            <w:r>
              <w:t xml:space="preserve">a </w:t>
            </w:r>
            <w:r w:rsidR="00C210F1" w:rsidRPr="00460AFD">
              <w:t>m</w:t>
            </w:r>
            <w:r w:rsidRPr="00460AFD">
              <w:t>inor road</w:t>
            </w:r>
            <w:r>
              <w:t xml:space="preserve"> </w:t>
            </w:r>
            <w:r w:rsidR="00920C5D">
              <w:t>which:</w:t>
            </w:r>
          </w:p>
          <w:p w14:paraId="1B48BB70" w14:textId="77777777" w:rsidR="008B5D35" w:rsidRDefault="006B61B3">
            <w:pPr>
              <w:pStyle w:val="HGTableBullet2"/>
              <w:numPr>
                <w:ilvl w:val="0"/>
                <w:numId w:val="28"/>
              </w:numPr>
            </w:pPr>
            <w:r w:rsidRPr="00BB73D5">
              <w:t>adjoins</w:t>
            </w:r>
            <w:r>
              <w:t xml:space="preserve"> a minimum of 50% of the edge of </w:t>
            </w:r>
            <w:r w:rsidR="00DC65DD">
              <w:t>a park</w:t>
            </w:r>
            <w:r w:rsidR="008B5D35">
              <w:t>;</w:t>
            </w:r>
          </w:p>
          <w:p w14:paraId="504B7E92" w14:textId="77777777" w:rsidR="006B61B3" w:rsidRDefault="008B5D35">
            <w:pPr>
              <w:pStyle w:val="HGTableBullet2"/>
            </w:pPr>
            <w:r>
              <w:t xml:space="preserve">has an </w:t>
            </w:r>
            <w:r w:rsidR="006B61B3" w:rsidRPr="00892216">
              <w:t xml:space="preserve">interface </w:t>
            </w:r>
            <w:r>
              <w:t xml:space="preserve">that </w:t>
            </w:r>
            <w:r w:rsidR="006B61B3" w:rsidRPr="00892216">
              <w:t xml:space="preserve">is evenly distributed across </w:t>
            </w:r>
            <w:r w:rsidR="006B61B3" w:rsidRPr="00BB73D5">
              <w:t>the</w:t>
            </w:r>
            <w:r w:rsidR="006B61B3" w:rsidRPr="00892216">
              <w:t xml:space="preserve"> edge of the </w:t>
            </w:r>
            <w:r w:rsidR="00DC65DD">
              <w:t>park network</w:t>
            </w:r>
            <w:r w:rsidR="006B61B3">
              <w:t>.</w:t>
            </w:r>
          </w:p>
        </w:tc>
      </w:tr>
      <w:tr w:rsidR="006B61B3" w:rsidRPr="001B353F" w14:paraId="529AB4B7" w14:textId="77777777" w:rsidTr="001B353F">
        <w:trPr>
          <w:trHeight w:val="791"/>
        </w:trPr>
        <w:tc>
          <w:tcPr>
            <w:tcW w:w="4068" w:type="dxa"/>
            <w:vMerge/>
            <w:shd w:val="clear" w:color="auto" w:fill="auto"/>
          </w:tcPr>
          <w:p w14:paraId="66BCD488" w14:textId="77777777" w:rsidR="006B61B3" w:rsidRDefault="006B61B3" w:rsidP="00115811"/>
        </w:tc>
        <w:tc>
          <w:tcPr>
            <w:tcW w:w="4860" w:type="dxa"/>
            <w:shd w:val="clear" w:color="auto" w:fill="auto"/>
          </w:tcPr>
          <w:p w14:paraId="753247EF" w14:textId="77777777" w:rsidR="006B61B3" w:rsidRDefault="006B61B3">
            <w:pPr>
              <w:pStyle w:val="QPPTableTextBold"/>
            </w:pPr>
            <w:r>
              <w:t>AO</w:t>
            </w:r>
            <w:r w:rsidR="00365A57">
              <w:t>10</w:t>
            </w:r>
            <w:r>
              <w:t>.7</w:t>
            </w:r>
          </w:p>
          <w:p w14:paraId="24FE968F" w14:textId="77777777" w:rsidR="008B5D35" w:rsidRDefault="008C5D8A">
            <w:pPr>
              <w:pStyle w:val="QPPTableTextBody"/>
            </w:pPr>
            <w:r>
              <w:t>Development provides v</w:t>
            </w:r>
            <w:r w:rsidR="006B61B3">
              <w:t>ehicle a</w:t>
            </w:r>
            <w:r w:rsidR="006B61B3" w:rsidRPr="0059652C">
              <w:t>ccess to a residential lot</w:t>
            </w:r>
            <w:r w:rsidR="008B5D35">
              <w:t xml:space="preserve"> which</w:t>
            </w:r>
            <w:r w:rsidR="00C210F1">
              <w:t>:</w:t>
            </w:r>
          </w:p>
          <w:p w14:paraId="55E2B3CE" w14:textId="77777777" w:rsidR="008B5D35" w:rsidRDefault="008B5D35" w:rsidP="00B47AA3">
            <w:pPr>
              <w:pStyle w:val="HGTableBullet2"/>
              <w:numPr>
                <w:ilvl w:val="0"/>
                <w:numId w:val="16"/>
              </w:numPr>
            </w:pPr>
            <w:r>
              <w:t xml:space="preserve">has </w:t>
            </w:r>
            <w:r w:rsidR="006B61B3" w:rsidRPr="0059652C">
              <w:t>a slope of less than 1</w:t>
            </w:r>
            <w:r w:rsidR="00263267">
              <w:t>v:</w:t>
            </w:r>
            <w:r w:rsidR="006B61B3" w:rsidRPr="0059652C">
              <w:t>6</w:t>
            </w:r>
            <w:r w:rsidR="00263267">
              <w:t>h</w:t>
            </w:r>
            <w:r>
              <w:t>;</w:t>
            </w:r>
          </w:p>
          <w:p w14:paraId="7518C717" w14:textId="77777777" w:rsidR="006B61B3" w:rsidRDefault="006B61B3">
            <w:pPr>
              <w:pStyle w:val="HGTableBullet2"/>
            </w:pPr>
            <w:r w:rsidRPr="00BB73D5">
              <w:t>does</w:t>
            </w:r>
            <w:r w:rsidRPr="0059652C">
              <w:t xml:space="preserve"> not require cut and fill in excess of 1m</w:t>
            </w:r>
            <w:r>
              <w:t xml:space="preserve"> in height.</w:t>
            </w:r>
          </w:p>
        </w:tc>
      </w:tr>
      <w:tr w:rsidR="006B61B3" w14:paraId="717BE65D" w14:textId="77777777" w:rsidTr="00B47AA3">
        <w:trPr>
          <w:trHeight w:val="274"/>
        </w:trPr>
        <w:tc>
          <w:tcPr>
            <w:tcW w:w="4068" w:type="dxa"/>
            <w:vMerge/>
            <w:shd w:val="clear" w:color="auto" w:fill="auto"/>
          </w:tcPr>
          <w:p w14:paraId="1413B7F6" w14:textId="77777777" w:rsidR="006B61B3" w:rsidRDefault="006B61B3" w:rsidP="00115811"/>
        </w:tc>
        <w:tc>
          <w:tcPr>
            <w:tcW w:w="4860" w:type="dxa"/>
            <w:shd w:val="clear" w:color="auto" w:fill="auto"/>
          </w:tcPr>
          <w:p w14:paraId="538505EC" w14:textId="77777777" w:rsidR="006B61B3" w:rsidRDefault="006B61B3">
            <w:pPr>
              <w:pStyle w:val="QPPTableTextBold"/>
            </w:pPr>
            <w:r>
              <w:t>AO</w:t>
            </w:r>
            <w:r w:rsidR="007809D1">
              <w:t>10</w:t>
            </w:r>
            <w:r>
              <w:t>.8</w:t>
            </w:r>
          </w:p>
          <w:p w14:paraId="3141195C" w14:textId="77777777" w:rsidR="006B61B3" w:rsidRDefault="00713A2A">
            <w:pPr>
              <w:pStyle w:val="QPPTableTextBody"/>
            </w:pPr>
            <w:r>
              <w:t>Development provides s</w:t>
            </w:r>
            <w:r w:rsidR="006B61B3" w:rsidRPr="00F73D7F">
              <w:t>afe sight distances, based on</w:t>
            </w:r>
            <w:r w:rsidR="008B5D35">
              <w:t xml:space="preserve"> the</w:t>
            </w:r>
            <w:r w:rsidR="006B61B3" w:rsidRPr="00F73D7F">
              <w:t xml:space="preserve"> vehicle speed,</w:t>
            </w:r>
            <w:r w:rsidR="006B61B3">
              <w:t xml:space="preserve"> </w:t>
            </w:r>
            <w:r w:rsidR="006B61B3" w:rsidRPr="00F73D7F">
              <w:t>at</w:t>
            </w:r>
            <w:r w:rsidR="005F0702">
              <w:t xml:space="preserve"> the following</w:t>
            </w:r>
            <w:r w:rsidR="006B61B3">
              <w:t>:</w:t>
            </w:r>
          </w:p>
          <w:p w14:paraId="2976A41B" w14:textId="77777777" w:rsidR="006B61B3" w:rsidRPr="00F73D7F" w:rsidRDefault="005F0702" w:rsidP="00B47AA3">
            <w:pPr>
              <w:pStyle w:val="HGTableBullet2"/>
              <w:numPr>
                <w:ilvl w:val="0"/>
                <w:numId w:val="17"/>
              </w:numPr>
            </w:pPr>
            <w:r>
              <w:t>an access point</w:t>
            </w:r>
            <w:r w:rsidR="006B61B3">
              <w:t xml:space="preserve"> to </w:t>
            </w:r>
            <w:r>
              <w:t>a lot</w:t>
            </w:r>
            <w:r w:rsidR="006B61B3">
              <w:t>;</w:t>
            </w:r>
          </w:p>
          <w:p w14:paraId="478276CD" w14:textId="77777777" w:rsidR="006B61B3" w:rsidRDefault="005F0702">
            <w:pPr>
              <w:pStyle w:val="HGTableBullet2"/>
            </w:pPr>
            <w:r>
              <w:t xml:space="preserve">a </w:t>
            </w:r>
            <w:r w:rsidRPr="00BB73D5">
              <w:t>junction</w:t>
            </w:r>
            <w:r w:rsidR="006B61B3">
              <w:t xml:space="preserve"> and </w:t>
            </w:r>
            <w:r>
              <w:t>an intersection</w:t>
            </w:r>
            <w:r w:rsidR="00C210F1">
              <w:t>,</w:t>
            </w:r>
            <w:r w:rsidR="006B61B3" w:rsidRPr="00F73D7F">
              <w:t xml:space="preserve"> including</w:t>
            </w:r>
            <w:r w:rsidR="006B61B3">
              <w:t xml:space="preserve"> </w:t>
            </w:r>
            <w:r>
              <w:t>a corner truncation</w:t>
            </w:r>
            <w:r w:rsidR="006B61B3">
              <w:t>;</w:t>
            </w:r>
          </w:p>
          <w:p w14:paraId="73146BE3" w14:textId="77777777" w:rsidR="006B61B3" w:rsidRDefault="005F0702" w:rsidP="00B47AA3">
            <w:pPr>
              <w:pStyle w:val="HGTableBullet2"/>
            </w:pPr>
            <w:r>
              <w:t xml:space="preserve">a </w:t>
            </w:r>
            <w:r w:rsidR="006B61B3">
              <w:t xml:space="preserve">pedestrian </w:t>
            </w:r>
            <w:r>
              <w:t>or cyclist crossing</w:t>
            </w:r>
            <w:r w:rsidR="006B61B3">
              <w:t>.</w:t>
            </w:r>
          </w:p>
        </w:tc>
      </w:tr>
      <w:tr w:rsidR="00E92E5E" w14:paraId="13B053C9" w14:textId="77777777" w:rsidTr="001B353F">
        <w:tc>
          <w:tcPr>
            <w:tcW w:w="4068" w:type="dxa"/>
            <w:vMerge w:val="restart"/>
            <w:shd w:val="clear" w:color="auto" w:fill="auto"/>
          </w:tcPr>
          <w:p w14:paraId="39416436" w14:textId="77777777" w:rsidR="00E92E5E" w:rsidRPr="00A05DEA" w:rsidRDefault="007E195A">
            <w:pPr>
              <w:pStyle w:val="QPPTableTextBold"/>
            </w:pPr>
            <w:r>
              <w:t>PO1</w:t>
            </w:r>
            <w:r w:rsidR="007809D1">
              <w:t>1</w:t>
            </w:r>
          </w:p>
          <w:p w14:paraId="1CAE5126" w14:textId="77777777" w:rsidR="00E92E5E" w:rsidRDefault="00612323" w:rsidP="000775D3">
            <w:pPr>
              <w:pStyle w:val="QPPTableTextBody"/>
            </w:pPr>
            <w:r>
              <w:t xml:space="preserve">Development provides a </w:t>
            </w:r>
            <w:r w:rsidR="000775D3">
              <w:t>transport</w:t>
            </w:r>
            <w:r w:rsidR="00E92E5E">
              <w:t xml:space="preserve"> </w:t>
            </w:r>
            <w:r w:rsidR="00135C22">
              <w:t>network</w:t>
            </w:r>
            <w:r w:rsidR="00E92E5E">
              <w:t xml:space="preserve"> </w:t>
            </w:r>
            <w:r w:rsidR="005F0702">
              <w:t xml:space="preserve">which </w:t>
            </w:r>
            <w:r w:rsidR="008C5D8A">
              <w:t>has</w:t>
            </w:r>
            <w:r w:rsidR="006A5D66">
              <w:t xml:space="preserve"> </w:t>
            </w:r>
            <w:r w:rsidR="00E92E5E">
              <w:t>permeability, connectivity and safety</w:t>
            </w:r>
            <w:r w:rsidR="006A5D66">
              <w:t xml:space="preserve"> for vehicles, pedestrians and cyclists</w:t>
            </w:r>
            <w:r w:rsidR="00E92E5E">
              <w:t>.</w:t>
            </w:r>
          </w:p>
        </w:tc>
        <w:tc>
          <w:tcPr>
            <w:tcW w:w="4860" w:type="dxa"/>
            <w:shd w:val="clear" w:color="auto" w:fill="auto"/>
          </w:tcPr>
          <w:p w14:paraId="666BD700" w14:textId="77777777" w:rsidR="00E92E5E" w:rsidRDefault="00E92E5E">
            <w:pPr>
              <w:pStyle w:val="QPPTableTextBold"/>
            </w:pPr>
            <w:r w:rsidRPr="00767929">
              <w:t>AO</w:t>
            </w:r>
            <w:r w:rsidR="007E195A">
              <w:t>1</w:t>
            </w:r>
            <w:r w:rsidR="007809D1">
              <w:t>1</w:t>
            </w:r>
            <w:r>
              <w:t>.1</w:t>
            </w:r>
          </w:p>
          <w:p w14:paraId="5223FDAE" w14:textId="77777777" w:rsidR="00E92E5E" w:rsidRDefault="008C5D8A">
            <w:pPr>
              <w:pStyle w:val="QPPTableTextBody"/>
            </w:pPr>
            <w:r>
              <w:t xml:space="preserve">Development ensures that </w:t>
            </w:r>
            <w:r w:rsidR="00AE7DA5">
              <w:t xml:space="preserve">a </w:t>
            </w:r>
            <w:r>
              <w:t>c</w:t>
            </w:r>
            <w:r w:rsidR="00E92E5E">
              <w:t>ul-de-sac</w:t>
            </w:r>
            <w:r w:rsidR="00AE7DA5">
              <w:t xml:space="preserve"> i</w:t>
            </w:r>
            <w:r w:rsidR="00E92E5E">
              <w:t xml:space="preserve">s not included in design unless </w:t>
            </w:r>
            <w:r w:rsidR="002B271A">
              <w:t>a physical feature naturally breaks the continuance of the road network and no alternative arrangement is possible</w:t>
            </w:r>
            <w:r w:rsidR="00E92E5E">
              <w:t>.</w:t>
            </w:r>
          </w:p>
          <w:p w14:paraId="49C7DE84" w14:textId="77777777" w:rsidR="002B271A" w:rsidRDefault="00AE7DA5">
            <w:pPr>
              <w:pStyle w:val="QPPEditorsNoteStyle1"/>
            </w:pPr>
            <w:r>
              <w:t>Note—P</w:t>
            </w:r>
            <w:r w:rsidR="002B271A">
              <w:t>hysical features include waterways, parks</w:t>
            </w:r>
            <w:r w:rsidR="00C849B8">
              <w:t xml:space="preserve"> and</w:t>
            </w:r>
            <w:r w:rsidR="002B271A">
              <w:t xml:space="preserve"> major changes in land use such as residential changing to industrial </w:t>
            </w:r>
            <w:r>
              <w:t xml:space="preserve">which are to </w:t>
            </w:r>
            <w:r w:rsidR="002B271A" w:rsidRPr="00086D04">
              <w:t xml:space="preserve">be demonstrated </w:t>
            </w:r>
            <w:r>
              <w:t xml:space="preserve">in the development </w:t>
            </w:r>
            <w:r w:rsidR="002B271A" w:rsidRPr="00086D04">
              <w:t>application</w:t>
            </w:r>
            <w:r w:rsidR="00C849B8">
              <w:t>. While the roa</w:t>
            </w:r>
            <w:r w:rsidR="00C210F1">
              <w:t>d network may have a cul-de-sac;</w:t>
            </w:r>
            <w:r w:rsidR="00C849B8">
              <w:t xml:space="preserve"> the pedestrian and bicy</w:t>
            </w:r>
            <w:r w:rsidR="009C207D">
              <w:t>cl</w:t>
            </w:r>
            <w:r w:rsidR="00C849B8">
              <w:t>e</w:t>
            </w:r>
            <w:r w:rsidR="009C207D">
              <w:t xml:space="preserve"> network may not</w:t>
            </w:r>
            <w:r>
              <w:t>.</w:t>
            </w:r>
          </w:p>
        </w:tc>
      </w:tr>
      <w:tr w:rsidR="00E92E5E" w14:paraId="7B3F7704" w14:textId="77777777" w:rsidTr="001B353F">
        <w:trPr>
          <w:trHeight w:val="773"/>
        </w:trPr>
        <w:tc>
          <w:tcPr>
            <w:tcW w:w="4068" w:type="dxa"/>
            <w:vMerge/>
            <w:shd w:val="clear" w:color="auto" w:fill="auto"/>
          </w:tcPr>
          <w:p w14:paraId="6E8AF3B9" w14:textId="77777777" w:rsidR="00E92E5E" w:rsidRDefault="00E92E5E" w:rsidP="00115811"/>
        </w:tc>
        <w:tc>
          <w:tcPr>
            <w:tcW w:w="4860" w:type="dxa"/>
            <w:shd w:val="clear" w:color="auto" w:fill="auto"/>
          </w:tcPr>
          <w:p w14:paraId="63B4F8C4" w14:textId="77777777" w:rsidR="00E92E5E" w:rsidRPr="00767929" w:rsidRDefault="009817B3">
            <w:pPr>
              <w:pStyle w:val="QPPTableTextBold"/>
            </w:pPr>
            <w:r>
              <w:t>AO</w:t>
            </w:r>
            <w:r w:rsidR="007E195A">
              <w:t>1</w:t>
            </w:r>
            <w:r w:rsidR="007809D1">
              <w:t>1</w:t>
            </w:r>
            <w:r w:rsidR="00E92E5E">
              <w:t>.2</w:t>
            </w:r>
          </w:p>
          <w:p w14:paraId="30B85B15" w14:textId="77777777" w:rsidR="00E92E5E" w:rsidRDefault="0051438F">
            <w:pPr>
              <w:pStyle w:val="QPPTableTextBody"/>
            </w:pPr>
            <w:r>
              <w:t xml:space="preserve">Development </w:t>
            </w:r>
            <w:r w:rsidR="00AE7DA5">
              <w:t>ensures that if a</w:t>
            </w:r>
            <w:r w:rsidR="00E92E5E">
              <w:t xml:space="preserve"> cul-de-sac </w:t>
            </w:r>
            <w:r w:rsidR="00AE7DA5">
              <w:t xml:space="preserve">is required </w:t>
            </w:r>
            <w:r w:rsidR="009E093F">
              <w:t>based on there being</w:t>
            </w:r>
            <w:r w:rsidR="00AE7DA5">
              <w:t xml:space="preserve"> </w:t>
            </w:r>
            <w:r w:rsidR="00E92E5E">
              <w:t>no other practical option:</w:t>
            </w:r>
          </w:p>
          <w:p w14:paraId="2B8B1357" w14:textId="77777777" w:rsidR="00E92E5E" w:rsidRPr="00844267" w:rsidRDefault="00E92E5E" w:rsidP="00B47AA3">
            <w:pPr>
              <w:pStyle w:val="HGTableBullet2"/>
              <w:numPr>
                <w:ilvl w:val="0"/>
                <w:numId w:val="18"/>
              </w:numPr>
            </w:pPr>
            <w:r>
              <w:t xml:space="preserve">for residential development, </w:t>
            </w:r>
            <w:r w:rsidR="00AE7DA5">
              <w:t>the cul-de-sac</w:t>
            </w:r>
            <w:r>
              <w:t xml:space="preserve"> accommodate</w:t>
            </w:r>
            <w:r w:rsidR="00AE7DA5">
              <w:t>s</w:t>
            </w:r>
            <w:r>
              <w:t xml:space="preserve"> a maximum of </w:t>
            </w:r>
            <w:r w:rsidRPr="00844267">
              <w:t>2</w:t>
            </w:r>
            <w:r>
              <w:t>0</w:t>
            </w:r>
            <w:r w:rsidRPr="00844267">
              <w:t>0 vehicle movements per day</w:t>
            </w:r>
            <w:r>
              <w:t>;</w:t>
            </w:r>
          </w:p>
          <w:p w14:paraId="1171BADD" w14:textId="77777777" w:rsidR="00E92E5E" w:rsidRDefault="00E92E5E" w:rsidP="00B47AA3">
            <w:pPr>
              <w:pStyle w:val="HGTableBullet2"/>
            </w:pPr>
            <w:r>
              <w:t xml:space="preserve">for </w:t>
            </w:r>
            <w:r w:rsidR="00AE7DA5">
              <w:t xml:space="preserve">an </w:t>
            </w:r>
            <w:r>
              <w:t xml:space="preserve">industrial area, </w:t>
            </w:r>
            <w:r w:rsidR="00AE7DA5">
              <w:t xml:space="preserve">the </w:t>
            </w:r>
            <w:r>
              <w:t>cul-de-sac do</w:t>
            </w:r>
            <w:r w:rsidR="00AE7DA5">
              <w:t>es</w:t>
            </w:r>
            <w:r>
              <w:t xml:space="preserve"> not support more than 1000 vehicle movements </w:t>
            </w:r>
            <w:r w:rsidR="009E093F">
              <w:t xml:space="preserve">per </w:t>
            </w:r>
            <w:r w:rsidR="00ED548A">
              <w:t>day;</w:t>
            </w:r>
          </w:p>
          <w:p w14:paraId="531A63FC" w14:textId="77777777" w:rsidR="00E92E5E" w:rsidRDefault="00E92E5E" w:rsidP="00B47AA3">
            <w:pPr>
              <w:pStyle w:val="HGTableBullet2"/>
            </w:pPr>
            <w:r>
              <w:t xml:space="preserve">at the head of the cul-de-sac, connections </w:t>
            </w:r>
            <w:r w:rsidR="007809D1">
              <w:t xml:space="preserve">with a direct line of sight </w:t>
            </w:r>
            <w:r>
              <w:t>are provided to the through</w:t>
            </w:r>
            <w:r w:rsidR="009E093F">
              <w:t>-</w:t>
            </w:r>
            <w:r>
              <w:t>streets for pedestrians and cyclists;</w:t>
            </w:r>
          </w:p>
          <w:p w14:paraId="367AA120" w14:textId="77777777" w:rsidR="00E92E5E" w:rsidRDefault="00AE7DA5" w:rsidP="00B47AA3">
            <w:pPr>
              <w:pStyle w:val="HGTableBullet2"/>
            </w:pPr>
            <w:r>
              <w:t xml:space="preserve">a </w:t>
            </w:r>
            <w:r w:rsidR="00E92E5E">
              <w:t xml:space="preserve">residential cul-de-sac head </w:t>
            </w:r>
            <w:r>
              <w:t xml:space="preserve">is </w:t>
            </w:r>
            <w:r w:rsidR="00E92E5E">
              <w:t>visible from the cul-de-sac street entrance and</w:t>
            </w:r>
            <w:r>
              <w:t xml:space="preserve"> is</w:t>
            </w:r>
            <w:r w:rsidR="00E92E5E">
              <w:t xml:space="preserve"> no longer than 150</w:t>
            </w:r>
            <w:r>
              <w:t>m</w:t>
            </w:r>
            <w:r w:rsidR="00E92E5E">
              <w:t>;</w:t>
            </w:r>
          </w:p>
          <w:p w14:paraId="198415A7" w14:textId="7D774007" w:rsidR="00E92E5E" w:rsidRDefault="00E92E5E" w:rsidP="00B47AA3">
            <w:pPr>
              <w:pStyle w:val="HGTableBullet2"/>
            </w:pPr>
            <w:r>
              <w:t xml:space="preserve">where a site has </w:t>
            </w:r>
            <w:r w:rsidR="00AE7DA5">
              <w:t xml:space="preserve">a </w:t>
            </w:r>
            <w:r>
              <w:t xml:space="preserve">frontage to the road stub at the end of a ‘no through’ minor road and no cul-de-sac head is provided, a cul-de-sac head is dedicated in </w:t>
            </w:r>
            <w:r w:rsidR="00AE7DA5">
              <w:t xml:space="preserve">compliance </w:t>
            </w:r>
            <w:r>
              <w:t xml:space="preserve">with the standards </w:t>
            </w:r>
            <w:r w:rsidR="00C210F1">
              <w:t>in</w:t>
            </w:r>
            <w:r>
              <w:t xml:space="preserve"> </w:t>
            </w:r>
            <w:r w:rsidRPr="00C76E48">
              <w:t xml:space="preserve">the </w:t>
            </w:r>
            <w:r w:rsidR="00AE7DA5" w:rsidRPr="00AB035A">
              <w:t>Infrastructure design planning scheme policy</w:t>
            </w:r>
            <w:r w:rsidR="004846E5">
              <w:t>;</w:t>
            </w:r>
            <w:r w:rsidR="00AE7DA5">
              <w:t xml:space="preserve"> </w:t>
            </w:r>
            <w:r w:rsidR="00AE7DA5" w:rsidRPr="00892216">
              <w:t xml:space="preserve">and the </w:t>
            </w:r>
            <w:r w:rsidR="00AE7DA5" w:rsidRPr="00AB035A">
              <w:t>Transport, access, parking and servicing planning scheme policy</w:t>
            </w:r>
            <w:r>
              <w:t>.</w:t>
            </w:r>
          </w:p>
        </w:tc>
      </w:tr>
      <w:tr w:rsidR="00E92E5E" w14:paraId="15D5FAC9" w14:textId="77777777" w:rsidTr="001B353F">
        <w:trPr>
          <w:trHeight w:val="526"/>
        </w:trPr>
        <w:tc>
          <w:tcPr>
            <w:tcW w:w="4068" w:type="dxa"/>
            <w:vMerge w:val="restart"/>
            <w:shd w:val="clear" w:color="auto" w:fill="auto"/>
          </w:tcPr>
          <w:p w14:paraId="4CC5BC01" w14:textId="77777777" w:rsidR="00E92E5E" w:rsidRPr="00A05DEA" w:rsidRDefault="00E92E5E">
            <w:pPr>
              <w:pStyle w:val="QPPTableTextBold"/>
            </w:pPr>
            <w:r>
              <w:t>PO</w:t>
            </w:r>
            <w:r w:rsidR="009817B3">
              <w:t>1</w:t>
            </w:r>
            <w:r w:rsidR="007809D1">
              <w:t>2</w:t>
            </w:r>
          </w:p>
          <w:p w14:paraId="58CA4D66" w14:textId="77777777" w:rsidR="000833CC" w:rsidRDefault="0051438F">
            <w:pPr>
              <w:pStyle w:val="QPPTableTextBody"/>
            </w:pPr>
            <w:r>
              <w:t xml:space="preserve">Development provides </w:t>
            </w:r>
            <w:r w:rsidR="000833CC">
              <w:t xml:space="preserve">a </w:t>
            </w:r>
            <w:r w:rsidR="000A03F1">
              <w:t>pedestrian</w:t>
            </w:r>
            <w:r w:rsidR="00E92E5E">
              <w:t xml:space="preserve"> and </w:t>
            </w:r>
            <w:r w:rsidR="004846E5">
              <w:t>bicycle</w:t>
            </w:r>
            <w:r w:rsidR="000833CC">
              <w:t xml:space="preserve"> network which:</w:t>
            </w:r>
          </w:p>
          <w:p w14:paraId="6408367E" w14:textId="77777777" w:rsidR="00E92E5E" w:rsidRDefault="000833CC">
            <w:pPr>
              <w:pStyle w:val="HGTableBullet2"/>
              <w:numPr>
                <w:ilvl w:val="0"/>
                <w:numId w:val="29"/>
              </w:numPr>
            </w:pPr>
            <w:r>
              <w:t xml:space="preserve">is </w:t>
            </w:r>
            <w:r w:rsidR="00E92E5E" w:rsidRPr="00BB73D5">
              <w:t>designed</w:t>
            </w:r>
            <w:r w:rsidR="00E92E5E">
              <w:t xml:space="preserve"> to provide permeability for pedestrians and cyclists in conjunction with the design of the road network and lot layout </w:t>
            </w:r>
            <w:r w:rsidR="007B7F7C">
              <w:t xml:space="preserve">having regard to the </w:t>
            </w:r>
            <w:r w:rsidR="00E92E5E">
              <w:t>surrounding area and existing and future networks</w:t>
            </w:r>
            <w:r w:rsidR="007B7F7C">
              <w:t>;</w:t>
            </w:r>
          </w:p>
          <w:p w14:paraId="2A1F63F4" w14:textId="77777777" w:rsidR="00E92E5E" w:rsidRDefault="00E92E5E" w:rsidP="00B47AA3">
            <w:pPr>
              <w:pStyle w:val="HGTableBullet2"/>
            </w:pPr>
            <w:r>
              <w:t>is safe, suitably shaded, attractive and efficient;</w:t>
            </w:r>
          </w:p>
          <w:p w14:paraId="114A5BDD" w14:textId="77777777" w:rsidR="00E92E5E" w:rsidRDefault="00E92E5E" w:rsidP="00B47AA3">
            <w:pPr>
              <w:pStyle w:val="HGTableBullet2"/>
            </w:pPr>
            <w:r>
              <w:t xml:space="preserve">links destinations such as schools, shopping centres, </w:t>
            </w:r>
            <w:r w:rsidR="00CF086F">
              <w:t>parks</w:t>
            </w:r>
            <w:r w:rsidR="007B7F7C">
              <w:t>, public transport station</w:t>
            </w:r>
            <w:r w:rsidR="000A03F1">
              <w:t>s</w:t>
            </w:r>
            <w:r w:rsidR="007B7F7C">
              <w:t xml:space="preserve">, </w:t>
            </w:r>
            <w:r w:rsidR="000A03F1">
              <w:t xml:space="preserve">public transport </w:t>
            </w:r>
            <w:r>
              <w:t>stops and local activity centres along the safest, most direct and convenient routes;</w:t>
            </w:r>
          </w:p>
          <w:p w14:paraId="6CB2E70D" w14:textId="77777777" w:rsidR="00E92E5E" w:rsidRDefault="00D75F88" w:rsidP="00B47AA3">
            <w:pPr>
              <w:pStyle w:val="HGTableBullet2"/>
            </w:pPr>
            <w:r>
              <w:t>provides routes that are on areas of least slope and avoid potential hazards such as flooding</w:t>
            </w:r>
            <w:r w:rsidR="00E92E5E">
              <w:t>;</w:t>
            </w:r>
          </w:p>
          <w:p w14:paraId="2656DFA6" w14:textId="77777777" w:rsidR="00E92E5E" w:rsidRDefault="00E92E5E">
            <w:pPr>
              <w:pStyle w:val="HGTableBullet2"/>
            </w:pPr>
            <w:r>
              <w:t xml:space="preserve">runs largely along public spaces including streets </w:t>
            </w:r>
            <w:r w:rsidR="00CF086F">
              <w:t>or parks</w:t>
            </w:r>
            <w:r>
              <w:t>, fronted by</w:t>
            </w:r>
            <w:r w:rsidR="007B7F7C">
              <w:t xml:space="preserve"> dwelling</w:t>
            </w:r>
            <w:r>
              <w:t xml:space="preserve"> houses;</w:t>
            </w:r>
          </w:p>
          <w:p w14:paraId="6DCEBBF1" w14:textId="77777777" w:rsidR="00E92E5E" w:rsidRDefault="00304BFA">
            <w:pPr>
              <w:pStyle w:val="HGTableBullet2"/>
            </w:pPr>
            <w:r>
              <w:t>is</w:t>
            </w:r>
            <w:r w:rsidR="00E92E5E">
              <w:t xml:space="preserve"> located where there is casual surveillance, avoiding </w:t>
            </w:r>
            <w:r w:rsidR="007B7F7C">
              <w:t xml:space="preserve">an </w:t>
            </w:r>
            <w:r w:rsidR="00E92E5E">
              <w:t xml:space="preserve">area with </w:t>
            </w:r>
            <w:r w:rsidR="007B7F7C">
              <w:t>a major break</w:t>
            </w:r>
            <w:r w:rsidR="00E92E5E">
              <w:t xml:space="preserve"> in surveillance and </w:t>
            </w:r>
            <w:r w:rsidR="007B7F7C">
              <w:t>an unlit area</w:t>
            </w:r>
            <w:r w:rsidR="00E92E5E">
              <w:t xml:space="preserve"> at night;</w:t>
            </w:r>
          </w:p>
          <w:p w14:paraId="2F0D082F" w14:textId="77777777" w:rsidR="00E92E5E" w:rsidRPr="0059652C" w:rsidRDefault="00E92E5E">
            <w:pPr>
              <w:pStyle w:val="HGTableBullet2"/>
            </w:pPr>
            <w:r>
              <w:t xml:space="preserve">is widened at potential </w:t>
            </w:r>
            <w:r w:rsidR="00304BFA">
              <w:t xml:space="preserve">vehicle </w:t>
            </w:r>
            <w:r>
              <w:t>conflict points.</w:t>
            </w:r>
          </w:p>
        </w:tc>
        <w:tc>
          <w:tcPr>
            <w:tcW w:w="4860" w:type="dxa"/>
            <w:shd w:val="clear" w:color="auto" w:fill="auto"/>
          </w:tcPr>
          <w:p w14:paraId="21FFC1D3" w14:textId="77777777" w:rsidR="00E92E5E" w:rsidRDefault="00E92E5E">
            <w:pPr>
              <w:pStyle w:val="QPPTableTextBold"/>
            </w:pPr>
            <w:r w:rsidRPr="00767929">
              <w:t>AO</w:t>
            </w:r>
            <w:r w:rsidR="009817B3">
              <w:t>1</w:t>
            </w:r>
            <w:r w:rsidR="007809D1">
              <w:t>2</w:t>
            </w:r>
            <w:r>
              <w:t>.1</w:t>
            </w:r>
          </w:p>
          <w:p w14:paraId="6BBB91D1" w14:textId="706B28D2" w:rsidR="00E92E5E" w:rsidRPr="00B40AD4" w:rsidRDefault="0051438F" w:rsidP="00ED548A">
            <w:pPr>
              <w:pStyle w:val="QPPTableTextBody"/>
            </w:pPr>
            <w:r>
              <w:t xml:space="preserve">Development </w:t>
            </w:r>
            <w:r w:rsidR="000A03F1">
              <w:t>on</w:t>
            </w:r>
            <w:r w:rsidR="004846E5">
              <w:t xml:space="preserve"> a site in</w:t>
            </w:r>
            <w:r w:rsidR="00ED548A">
              <w:t xml:space="preserve"> the </w:t>
            </w:r>
            <w:r w:rsidR="00ED548A" w:rsidRPr="00AB035A">
              <w:t>Bicycle network overlay</w:t>
            </w:r>
            <w:r w:rsidR="00ED548A">
              <w:t xml:space="preserve"> provides </w:t>
            </w:r>
            <w:r w:rsidR="000A03F1">
              <w:t>that component of</w:t>
            </w:r>
            <w:r w:rsidR="00E92E5E" w:rsidRPr="00B40AD4">
              <w:t xml:space="preserve"> the bicycle network </w:t>
            </w:r>
            <w:r w:rsidR="004846E5">
              <w:t>in compliance with the</w:t>
            </w:r>
            <w:r w:rsidR="00E92E5E" w:rsidRPr="00B40AD4">
              <w:t xml:space="preserve"> hierarchy of bicycle paths </w:t>
            </w:r>
            <w:r w:rsidR="004846E5">
              <w:t>and</w:t>
            </w:r>
            <w:r w:rsidR="00E92E5E" w:rsidRPr="00C76E48">
              <w:t xml:space="preserve"> the </w:t>
            </w:r>
            <w:r w:rsidR="000775D3">
              <w:t>transport</w:t>
            </w:r>
            <w:r w:rsidR="00E92E5E" w:rsidRPr="00C76E48">
              <w:t xml:space="preserve"> network section of</w:t>
            </w:r>
            <w:r w:rsidR="00E92E5E">
              <w:t xml:space="preserve"> the </w:t>
            </w:r>
            <w:r w:rsidR="00E92E5E" w:rsidRPr="00AB035A">
              <w:t>Infrastructure design planning scheme policy</w:t>
            </w:r>
            <w:r w:rsidR="00D75F88" w:rsidRPr="00892216">
              <w:t xml:space="preserve"> and the </w:t>
            </w:r>
            <w:r w:rsidR="00D75F88" w:rsidRPr="00AB035A">
              <w:t>Transport, access, parking and servicing planning scheme policy</w:t>
            </w:r>
            <w:r w:rsidR="004846E5">
              <w:t>.</w:t>
            </w:r>
          </w:p>
        </w:tc>
      </w:tr>
      <w:tr w:rsidR="00E92E5E" w14:paraId="72D396D1" w14:textId="77777777" w:rsidTr="001B353F">
        <w:trPr>
          <w:trHeight w:val="855"/>
        </w:trPr>
        <w:tc>
          <w:tcPr>
            <w:tcW w:w="4068" w:type="dxa"/>
            <w:vMerge/>
            <w:shd w:val="clear" w:color="auto" w:fill="auto"/>
          </w:tcPr>
          <w:p w14:paraId="4D02AE3C" w14:textId="77777777" w:rsidR="00E92E5E" w:rsidRDefault="00E92E5E" w:rsidP="00115811"/>
        </w:tc>
        <w:tc>
          <w:tcPr>
            <w:tcW w:w="4860" w:type="dxa"/>
            <w:shd w:val="clear" w:color="auto" w:fill="auto"/>
          </w:tcPr>
          <w:p w14:paraId="7AE31CFE" w14:textId="77777777" w:rsidR="00E92E5E" w:rsidRPr="00767929" w:rsidRDefault="00E92E5E">
            <w:pPr>
              <w:pStyle w:val="QPPTableTextBold"/>
            </w:pPr>
            <w:r>
              <w:t>AO</w:t>
            </w:r>
            <w:r w:rsidR="00D75F88">
              <w:t>1</w:t>
            </w:r>
            <w:r w:rsidR="007809D1">
              <w:t>2</w:t>
            </w:r>
            <w:r>
              <w:t>.2</w:t>
            </w:r>
          </w:p>
          <w:p w14:paraId="75DC3D5F" w14:textId="77777777" w:rsidR="007B7F7C" w:rsidRDefault="0051438F">
            <w:pPr>
              <w:pStyle w:val="QPPTableTextBody"/>
            </w:pPr>
            <w:r>
              <w:t>Development provides</w:t>
            </w:r>
            <w:r w:rsidR="00BC58CD">
              <w:t xml:space="preserve"> </w:t>
            </w:r>
            <w:r>
              <w:t xml:space="preserve">a </w:t>
            </w:r>
            <w:r w:rsidR="000A03F1">
              <w:t>pedestrian</w:t>
            </w:r>
            <w:r w:rsidR="00BC58CD">
              <w:t xml:space="preserve"> and bicycle network </w:t>
            </w:r>
            <w:r w:rsidR="007B7F7C">
              <w:t>which:</w:t>
            </w:r>
          </w:p>
          <w:p w14:paraId="1D2B6485" w14:textId="77777777" w:rsidR="00BC58CD" w:rsidRDefault="00BC58CD">
            <w:pPr>
              <w:pStyle w:val="HGTableBullet2"/>
              <w:numPr>
                <w:ilvl w:val="0"/>
                <w:numId w:val="30"/>
              </w:numPr>
            </w:pPr>
            <w:r>
              <w:t xml:space="preserve">is in </w:t>
            </w:r>
            <w:r w:rsidR="007B7F7C">
              <w:t xml:space="preserve">compliance </w:t>
            </w:r>
            <w:r>
              <w:t>with</w:t>
            </w:r>
            <w:r w:rsidR="00E92E5E" w:rsidRPr="00B40AD4">
              <w:t xml:space="preserve"> </w:t>
            </w:r>
            <w:r>
              <w:t>a</w:t>
            </w:r>
            <w:r w:rsidR="00F17CD2">
              <w:t>n overlay,</w:t>
            </w:r>
            <w:r>
              <w:t xml:space="preserve"> </w:t>
            </w:r>
            <w:r w:rsidR="00AE4244">
              <w:t>neighbourhood plan</w:t>
            </w:r>
            <w:r w:rsidR="00304BFA">
              <w:t xml:space="preserve">, preliminary approval, development </w:t>
            </w:r>
            <w:r w:rsidR="002018FB">
              <w:t xml:space="preserve">approval </w:t>
            </w:r>
            <w:r w:rsidR="00304BFA">
              <w:t xml:space="preserve">or </w:t>
            </w:r>
            <w:r w:rsidR="00E92E5E" w:rsidRPr="00B40AD4">
              <w:t>structure plan</w:t>
            </w:r>
            <w:r w:rsidR="007B7F7C">
              <w:t>; or</w:t>
            </w:r>
          </w:p>
          <w:p w14:paraId="24BBF14C" w14:textId="77777777" w:rsidR="00E92E5E" w:rsidRPr="00B40AD4" w:rsidRDefault="007B7F7C">
            <w:pPr>
              <w:pStyle w:val="HGTableBullet2"/>
            </w:pPr>
            <w:r w:rsidRPr="00B40AD4">
              <w:t>a pedestrian</w:t>
            </w:r>
            <w:r>
              <w:t xml:space="preserve"> and </w:t>
            </w:r>
            <w:r w:rsidRPr="00B40AD4">
              <w:t>bicycle accessibility grid</w:t>
            </w:r>
            <w:r w:rsidR="0055173C">
              <w:t>-</w:t>
            </w:r>
            <w:r>
              <w:t xml:space="preserve">based </w:t>
            </w:r>
            <w:r w:rsidRPr="00BB73D5">
              <w:t>network</w:t>
            </w:r>
            <w:r w:rsidRPr="00B40AD4">
              <w:t xml:space="preserve"> through the </w:t>
            </w:r>
            <w:r>
              <w:t xml:space="preserve">development </w:t>
            </w:r>
            <w:r w:rsidRPr="00B40AD4">
              <w:t>that connects into the broader network of proposed and existing pathways</w:t>
            </w:r>
            <w:r>
              <w:t xml:space="preserve">, if </w:t>
            </w:r>
            <w:r w:rsidR="00BC58CD">
              <w:t xml:space="preserve">no </w:t>
            </w:r>
            <w:r w:rsidR="00F17CD2">
              <w:t xml:space="preserve">overlay, </w:t>
            </w:r>
            <w:r w:rsidR="00AE4244">
              <w:t>neighbourhood plan</w:t>
            </w:r>
            <w:r w:rsidR="00BC58CD">
              <w:t xml:space="preserve">, preliminary approval, development </w:t>
            </w:r>
            <w:r w:rsidR="002018FB">
              <w:t xml:space="preserve">approval </w:t>
            </w:r>
            <w:r w:rsidR="00BC58CD">
              <w:t xml:space="preserve">or </w:t>
            </w:r>
            <w:r w:rsidR="00BC58CD" w:rsidRPr="00B40AD4">
              <w:t xml:space="preserve">structure plan </w:t>
            </w:r>
            <w:r w:rsidR="00E92E5E" w:rsidRPr="00B40AD4">
              <w:t>exists.</w:t>
            </w:r>
          </w:p>
          <w:p w14:paraId="5924C62D" w14:textId="4BD8DE12" w:rsidR="00E92E5E" w:rsidRPr="00B40AD4" w:rsidRDefault="00E92E5E">
            <w:pPr>
              <w:pStyle w:val="QPPTableTextBody"/>
            </w:pPr>
            <w:r w:rsidRPr="00B40AD4">
              <w:t>Refer to</w:t>
            </w:r>
            <w:r w:rsidR="00B23AEE">
              <w:t xml:space="preserve"> </w:t>
            </w:r>
            <w:r w:rsidR="000A03F1" w:rsidRPr="00AB035A">
              <w:t>Figure a</w:t>
            </w:r>
            <w:r w:rsidR="00B23AEE">
              <w:t>.</w:t>
            </w:r>
          </w:p>
        </w:tc>
      </w:tr>
      <w:tr w:rsidR="00E92E5E" w14:paraId="2F0874AC" w14:textId="77777777" w:rsidTr="001B353F">
        <w:trPr>
          <w:trHeight w:val="855"/>
        </w:trPr>
        <w:tc>
          <w:tcPr>
            <w:tcW w:w="4068" w:type="dxa"/>
            <w:vMerge/>
            <w:shd w:val="clear" w:color="auto" w:fill="auto"/>
          </w:tcPr>
          <w:p w14:paraId="3A4DD466" w14:textId="77777777" w:rsidR="00E92E5E" w:rsidRDefault="00E92E5E" w:rsidP="00115811"/>
        </w:tc>
        <w:tc>
          <w:tcPr>
            <w:tcW w:w="4860" w:type="dxa"/>
            <w:shd w:val="clear" w:color="auto" w:fill="auto"/>
          </w:tcPr>
          <w:p w14:paraId="56DA2C4A" w14:textId="77777777" w:rsidR="00E92E5E" w:rsidRPr="00767929" w:rsidRDefault="00E92E5E">
            <w:pPr>
              <w:pStyle w:val="QPPTableTextBold"/>
            </w:pPr>
            <w:r>
              <w:t>AO</w:t>
            </w:r>
            <w:r w:rsidR="00D75F88">
              <w:t>1</w:t>
            </w:r>
            <w:r w:rsidR="007809D1">
              <w:t>2</w:t>
            </w:r>
            <w:r>
              <w:t>.3</w:t>
            </w:r>
          </w:p>
          <w:p w14:paraId="0AE1E78E" w14:textId="0A03216C" w:rsidR="00E92E5E" w:rsidRPr="00BE070E" w:rsidRDefault="0051438F">
            <w:pPr>
              <w:pStyle w:val="QPPTableTextBody"/>
            </w:pPr>
            <w:r>
              <w:t>Development provides a p</w:t>
            </w:r>
            <w:r w:rsidR="00E92E5E">
              <w:t xml:space="preserve">edestrian </w:t>
            </w:r>
            <w:r w:rsidR="008F4B56">
              <w:t xml:space="preserve">and bicycle </w:t>
            </w:r>
            <w:r w:rsidR="007B7F7C">
              <w:t>route</w:t>
            </w:r>
            <w:r w:rsidR="00E92E5E">
              <w:t xml:space="preserve"> </w:t>
            </w:r>
            <w:r>
              <w:t>i</w:t>
            </w:r>
            <w:r w:rsidR="008F4B56">
              <w:t xml:space="preserve">n </w:t>
            </w:r>
            <w:r w:rsidR="007B7F7C">
              <w:t xml:space="preserve">compliance </w:t>
            </w:r>
            <w:r w:rsidR="008F4B56">
              <w:t xml:space="preserve">with </w:t>
            </w:r>
            <w:r w:rsidR="007B7F7C">
              <w:t xml:space="preserve">the </w:t>
            </w:r>
            <w:r w:rsidR="008F4B56">
              <w:t>outcomes and standards id</w:t>
            </w:r>
            <w:r w:rsidR="00C64B91">
              <w:t xml:space="preserve">entified in </w:t>
            </w:r>
            <w:r w:rsidR="00004BDF" w:rsidRPr="00892216">
              <w:t xml:space="preserve">the </w:t>
            </w:r>
            <w:r w:rsidR="00004BDF" w:rsidRPr="00AB035A">
              <w:t>Infrastructure design planning scheme policy</w:t>
            </w:r>
            <w:r w:rsidR="00C64B91">
              <w:t>.</w:t>
            </w:r>
          </w:p>
          <w:p w14:paraId="177CEFCE" w14:textId="761CE347" w:rsidR="00E92E5E" w:rsidRPr="00AE745D" w:rsidRDefault="00E92E5E" w:rsidP="000775D3">
            <w:pPr>
              <w:pStyle w:val="QPPEditorsNoteStyle1"/>
            </w:pPr>
            <w:r>
              <w:t>Note</w:t>
            </w:r>
            <w:r w:rsidR="001E037F" w:rsidRPr="001E037F">
              <w:t>—</w:t>
            </w:r>
            <w:r>
              <w:t xml:space="preserve">The </w:t>
            </w:r>
            <w:r w:rsidRPr="00AB035A">
              <w:t>Infrastructure design code</w:t>
            </w:r>
            <w:r w:rsidRPr="00892216">
              <w:t xml:space="preserve"> requires the creation of footpaths and bikeways in</w:t>
            </w:r>
            <w:r w:rsidR="007B7F7C">
              <w:t xml:space="preserve"> compliance</w:t>
            </w:r>
            <w:r w:rsidRPr="00892216">
              <w:t xml:space="preserve"> with the stan</w:t>
            </w:r>
            <w:r w:rsidR="00C76E48">
              <w:t>dard</w:t>
            </w:r>
            <w:r w:rsidR="00BA57CA">
              <w:t>s</w:t>
            </w:r>
            <w:r w:rsidR="00C76E48">
              <w:t xml:space="preserve"> and specifications in the </w:t>
            </w:r>
            <w:r w:rsidR="000775D3">
              <w:t>transport</w:t>
            </w:r>
            <w:r w:rsidRPr="00892216">
              <w:t xml:space="preserve"> network and road </w:t>
            </w:r>
            <w:r w:rsidR="00C76E48">
              <w:t xml:space="preserve">corridor </w:t>
            </w:r>
            <w:r w:rsidRPr="00892216">
              <w:t xml:space="preserve">design sections of the </w:t>
            </w:r>
            <w:r w:rsidRPr="00AB035A">
              <w:t>Infrastructure design planning scheme policy</w:t>
            </w:r>
            <w:r w:rsidRPr="00892216">
              <w:t>,</w:t>
            </w:r>
            <w:r w:rsidRPr="00B40AD4">
              <w:t xml:space="preserve"> whether in the road reserve or through </w:t>
            </w:r>
            <w:r w:rsidR="00CF086F">
              <w:t>a park</w:t>
            </w:r>
            <w:r w:rsidRPr="00B40AD4">
              <w:t>.</w:t>
            </w:r>
          </w:p>
        </w:tc>
      </w:tr>
      <w:tr w:rsidR="00E92E5E" w14:paraId="07C46B79" w14:textId="77777777" w:rsidTr="001B353F">
        <w:trPr>
          <w:trHeight w:val="934"/>
        </w:trPr>
        <w:tc>
          <w:tcPr>
            <w:tcW w:w="4068" w:type="dxa"/>
            <w:vMerge/>
            <w:shd w:val="clear" w:color="auto" w:fill="auto"/>
          </w:tcPr>
          <w:p w14:paraId="7270C538" w14:textId="77777777" w:rsidR="00E92E5E" w:rsidRDefault="00E92E5E" w:rsidP="00115811"/>
        </w:tc>
        <w:tc>
          <w:tcPr>
            <w:tcW w:w="4860" w:type="dxa"/>
            <w:shd w:val="clear" w:color="auto" w:fill="auto"/>
          </w:tcPr>
          <w:p w14:paraId="6B4AF445" w14:textId="77777777" w:rsidR="00E92E5E" w:rsidRPr="00767929" w:rsidRDefault="00E92E5E">
            <w:pPr>
              <w:pStyle w:val="QPPTableTextBold"/>
            </w:pPr>
            <w:r>
              <w:t>AO</w:t>
            </w:r>
            <w:r w:rsidR="00D75F88">
              <w:t>1</w:t>
            </w:r>
            <w:r w:rsidR="007809D1">
              <w:t>2</w:t>
            </w:r>
            <w:r>
              <w:t>.4</w:t>
            </w:r>
          </w:p>
          <w:p w14:paraId="3589EFE1" w14:textId="77777777" w:rsidR="00E92E5E" w:rsidRDefault="0051438F">
            <w:pPr>
              <w:pStyle w:val="QPPTableTextBody"/>
            </w:pPr>
            <w:r>
              <w:t xml:space="preserve">Development provides </w:t>
            </w:r>
            <w:r w:rsidR="007B7F7C" w:rsidRPr="00460AFD">
              <w:t>p</w:t>
            </w:r>
            <w:r w:rsidR="00E92E5E" w:rsidRPr="00460AFD">
              <w:t>athway links</w:t>
            </w:r>
            <w:r w:rsidR="00E92E5E">
              <w:t xml:space="preserve"> </w:t>
            </w:r>
            <w:r w:rsidR="007809D1">
              <w:t>interconnecting between the street network and open space network with a direct line of sight between both ends of the link which are suitable for pedestrians and bicycles and have</w:t>
            </w:r>
            <w:r w:rsidR="007B7F7C">
              <w:t xml:space="preserve"> a minimum width of 5</w:t>
            </w:r>
            <w:r w:rsidR="00E92E5E">
              <w:t>m</w:t>
            </w:r>
            <w:r w:rsidR="007B7F7C">
              <w:t xml:space="preserve"> and a maximum length of 40</w:t>
            </w:r>
            <w:r w:rsidR="00E92E5E">
              <w:t>m.</w:t>
            </w:r>
          </w:p>
        </w:tc>
      </w:tr>
      <w:tr w:rsidR="00E92E5E" w:rsidRPr="00977ADF" w14:paraId="33B883FF" w14:textId="77777777" w:rsidTr="001B353F">
        <w:tc>
          <w:tcPr>
            <w:tcW w:w="4068" w:type="dxa"/>
            <w:shd w:val="clear" w:color="auto" w:fill="auto"/>
          </w:tcPr>
          <w:p w14:paraId="155BC78B" w14:textId="77777777" w:rsidR="00E92E5E" w:rsidRDefault="00E92E5E">
            <w:pPr>
              <w:pStyle w:val="QPPTableTextBold"/>
            </w:pPr>
            <w:r>
              <w:t>PO</w:t>
            </w:r>
            <w:r w:rsidR="00BC58CD">
              <w:t>1</w:t>
            </w:r>
            <w:r w:rsidR="007809D1">
              <w:t>3</w:t>
            </w:r>
          </w:p>
          <w:p w14:paraId="7D02D704" w14:textId="77777777" w:rsidR="00E92E5E" w:rsidRPr="00FB3343" w:rsidRDefault="0051438F">
            <w:pPr>
              <w:pStyle w:val="QPPTableTextBody"/>
            </w:pPr>
            <w:r>
              <w:t xml:space="preserve">Development provides a </w:t>
            </w:r>
            <w:r w:rsidR="00E92E5E">
              <w:t>road network</w:t>
            </w:r>
            <w:r>
              <w:t xml:space="preserve"> </w:t>
            </w:r>
            <w:r w:rsidR="007B7F7C">
              <w:t xml:space="preserve">which </w:t>
            </w:r>
            <w:r w:rsidR="008F4B56">
              <w:t xml:space="preserve">enables the creation of lots that </w:t>
            </w:r>
            <w:r w:rsidR="00E92E5E">
              <w:t>facilitate sufficient solar access for potential dwellings</w:t>
            </w:r>
            <w:r w:rsidR="008F4B56">
              <w:t>, buildings, structures and activity areas</w:t>
            </w:r>
            <w:r w:rsidR="00E92E5E">
              <w:t>.</w:t>
            </w:r>
          </w:p>
        </w:tc>
        <w:tc>
          <w:tcPr>
            <w:tcW w:w="4860" w:type="dxa"/>
            <w:shd w:val="clear" w:color="auto" w:fill="auto"/>
          </w:tcPr>
          <w:p w14:paraId="70FFA525" w14:textId="77777777" w:rsidR="00E92E5E" w:rsidRDefault="00E92E5E">
            <w:pPr>
              <w:pStyle w:val="QPPTableTextBold"/>
            </w:pPr>
            <w:r>
              <w:t>AO</w:t>
            </w:r>
            <w:r w:rsidR="00BC58CD">
              <w:t>1</w:t>
            </w:r>
            <w:r w:rsidR="007809D1">
              <w:t>3</w:t>
            </w:r>
          </w:p>
          <w:p w14:paraId="1A6F5D7A" w14:textId="77777777" w:rsidR="00A17613" w:rsidRDefault="0051438F">
            <w:pPr>
              <w:pStyle w:val="QPPTableTextBody"/>
            </w:pPr>
            <w:r>
              <w:t xml:space="preserve">Development provides a </w:t>
            </w:r>
            <w:r w:rsidR="00E92E5E">
              <w:t>road network</w:t>
            </w:r>
            <w:r>
              <w:t xml:space="preserve"> </w:t>
            </w:r>
            <w:r w:rsidR="007B7F7C">
              <w:t>which</w:t>
            </w:r>
            <w:r w:rsidR="00A17613">
              <w:t>:</w:t>
            </w:r>
          </w:p>
          <w:p w14:paraId="3D61CD7D" w14:textId="77777777" w:rsidR="00A17613" w:rsidRDefault="00E92E5E">
            <w:pPr>
              <w:pStyle w:val="HGTableBullet2"/>
              <w:numPr>
                <w:ilvl w:val="0"/>
                <w:numId w:val="31"/>
              </w:numPr>
            </w:pPr>
            <w:r w:rsidRPr="00BB73D5">
              <w:t>is</w:t>
            </w:r>
            <w:r>
              <w:t xml:space="preserve"> generally orient</w:t>
            </w:r>
            <w:r w:rsidR="006D1DD5">
              <w:t>at</w:t>
            </w:r>
            <w:r>
              <w:t xml:space="preserve">ed on a modified grid pattern </w:t>
            </w:r>
            <w:r w:rsidR="007B7F7C">
              <w:t xml:space="preserve">that </w:t>
            </w:r>
            <w:r>
              <w:t>allows for topographic constraints</w:t>
            </w:r>
            <w:r w:rsidR="00A17613">
              <w:t>;</w:t>
            </w:r>
            <w:r>
              <w:t xml:space="preserve"> </w:t>
            </w:r>
          </w:p>
          <w:p w14:paraId="6C1508C7" w14:textId="77777777" w:rsidR="00E92E5E" w:rsidRDefault="00E92E5E">
            <w:pPr>
              <w:pStyle w:val="HGTableBullet2"/>
            </w:pPr>
            <w:r w:rsidRPr="00BB73D5">
              <w:t>facilitates</w:t>
            </w:r>
            <w:r>
              <w:t xml:space="preserve"> the following orientation wherever possible:</w:t>
            </w:r>
          </w:p>
          <w:p w14:paraId="7DFEA85C" w14:textId="77777777" w:rsidR="00E92E5E" w:rsidRDefault="00E92E5E" w:rsidP="00B47AA3">
            <w:pPr>
              <w:pStyle w:val="HGTableBullet3"/>
            </w:pPr>
            <w:r>
              <w:t>generally north</w:t>
            </w:r>
            <w:r w:rsidR="006D1DD5">
              <w:t>–</w:t>
            </w:r>
            <w:r>
              <w:t>south roads, to allow lots to have their long axes typically orient</w:t>
            </w:r>
            <w:r w:rsidR="006D1DD5">
              <w:t>at</w:t>
            </w:r>
            <w:r>
              <w:t>ed east</w:t>
            </w:r>
            <w:r w:rsidR="006D1DD5">
              <w:t>–</w:t>
            </w:r>
            <w:r>
              <w:t>west;</w:t>
            </w:r>
          </w:p>
          <w:p w14:paraId="2D8DCB2F" w14:textId="77777777" w:rsidR="00E92E5E" w:rsidRPr="00892216" w:rsidRDefault="00E92E5E" w:rsidP="00B47AA3">
            <w:pPr>
              <w:pStyle w:val="HGTableBullet3"/>
            </w:pPr>
            <w:r>
              <w:t>generally east-west roads, to allow lots to have their long axes typically oriented north</w:t>
            </w:r>
            <w:r w:rsidR="006D1DD5">
              <w:t>–</w:t>
            </w:r>
            <w:r>
              <w:t>south.</w:t>
            </w:r>
          </w:p>
        </w:tc>
      </w:tr>
      <w:tr w:rsidR="00E92E5E" w:rsidRPr="001B353F" w14:paraId="308C367F" w14:textId="77777777" w:rsidTr="001B353F">
        <w:tc>
          <w:tcPr>
            <w:tcW w:w="4068" w:type="dxa"/>
            <w:shd w:val="clear" w:color="auto" w:fill="auto"/>
          </w:tcPr>
          <w:p w14:paraId="48AC90C6" w14:textId="77777777" w:rsidR="00E92E5E" w:rsidRDefault="00E92E5E">
            <w:pPr>
              <w:pStyle w:val="QPPTableTextBold"/>
            </w:pPr>
            <w:r>
              <w:t>PO</w:t>
            </w:r>
            <w:r w:rsidR="008F4B56">
              <w:t>1</w:t>
            </w:r>
            <w:r w:rsidR="007809D1">
              <w:t>4</w:t>
            </w:r>
          </w:p>
          <w:p w14:paraId="1F3ACC2E" w14:textId="77777777" w:rsidR="00E92E5E" w:rsidRPr="00FB3343" w:rsidRDefault="004707D2" w:rsidP="000775D3">
            <w:pPr>
              <w:pStyle w:val="QPPTableTextBody"/>
            </w:pPr>
            <w:r>
              <w:t xml:space="preserve">Development provides a </w:t>
            </w:r>
            <w:r w:rsidR="000775D3">
              <w:t>transport</w:t>
            </w:r>
            <w:r w:rsidR="00E92E5E">
              <w:t xml:space="preserve"> network </w:t>
            </w:r>
            <w:r w:rsidR="00A17613">
              <w:t xml:space="preserve">which </w:t>
            </w:r>
            <w:r w:rsidR="00E92E5E">
              <w:t>facilitate</w:t>
            </w:r>
            <w:r w:rsidR="00A17613">
              <w:t>s</w:t>
            </w:r>
            <w:r w:rsidR="00E92E5E">
              <w:t xml:space="preserve"> </w:t>
            </w:r>
            <w:r w:rsidR="00A17613">
              <w:t xml:space="preserve">the </w:t>
            </w:r>
            <w:r w:rsidR="00E92E5E">
              <w:t>efficient and cost-effective provision and maintenance of infrastructure.</w:t>
            </w:r>
          </w:p>
        </w:tc>
        <w:tc>
          <w:tcPr>
            <w:tcW w:w="4860" w:type="dxa"/>
            <w:shd w:val="clear" w:color="auto" w:fill="auto"/>
          </w:tcPr>
          <w:p w14:paraId="2DB7C8CB" w14:textId="77777777" w:rsidR="00E92E5E" w:rsidRDefault="00E92E5E">
            <w:pPr>
              <w:pStyle w:val="QPPTableTextBold"/>
            </w:pPr>
            <w:r>
              <w:t>AO</w:t>
            </w:r>
            <w:r w:rsidR="008F4B56">
              <w:t>1</w:t>
            </w:r>
            <w:r w:rsidR="007809D1">
              <w:t>4</w:t>
            </w:r>
          </w:p>
          <w:p w14:paraId="7E9EE38B" w14:textId="77777777" w:rsidR="00E92E5E" w:rsidRPr="00FB3343" w:rsidRDefault="004707D2" w:rsidP="000775D3">
            <w:pPr>
              <w:pStyle w:val="QPPTableTextBody"/>
            </w:pPr>
            <w:r>
              <w:t>Development provides a</w:t>
            </w:r>
            <w:r w:rsidR="00185C11">
              <w:t xml:space="preserve"> </w:t>
            </w:r>
            <w:r w:rsidR="000775D3">
              <w:t>transport</w:t>
            </w:r>
            <w:r w:rsidR="00185C11">
              <w:t xml:space="preserve"> network </w:t>
            </w:r>
            <w:r w:rsidR="00A17613">
              <w:t xml:space="preserve">which </w:t>
            </w:r>
            <w:r w:rsidR="00185C11">
              <w:t xml:space="preserve">enables the logical alignment of infrastructure </w:t>
            </w:r>
            <w:r w:rsidR="00A17613">
              <w:t xml:space="preserve">in </w:t>
            </w:r>
            <w:r w:rsidR="00185C11">
              <w:t>the network</w:t>
            </w:r>
            <w:r w:rsidR="00A17613">
              <w:t>.</w:t>
            </w:r>
          </w:p>
        </w:tc>
      </w:tr>
      <w:tr w:rsidR="00E92E5E" w14:paraId="2DAB44E9" w14:textId="77777777" w:rsidTr="001B353F">
        <w:trPr>
          <w:trHeight w:val="1367"/>
        </w:trPr>
        <w:tc>
          <w:tcPr>
            <w:tcW w:w="4068" w:type="dxa"/>
            <w:shd w:val="clear" w:color="auto" w:fill="auto"/>
          </w:tcPr>
          <w:p w14:paraId="0E13684D" w14:textId="77777777" w:rsidR="00E92E5E" w:rsidRDefault="00E92E5E">
            <w:pPr>
              <w:pStyle w:val="QPPTableTextBold"/>
            </w:pPr>
            <w:r>
              <w:t>PO</w:t>
            </w:r>
            <w:r w:rsidR="00C979A9">
              <w:t>1</w:t>
            </w:r>
            <w:r w:rsidR="007809D1">
              <w:t>5</w:t>
            </w:r>
          </w:p>
          <w:p w14:paraId="1995145D" w14:textId="77777777" w:rsidR="00E92E5E" w:rsidRDefault="004707D2">
            <w:pPr>
              <w:pStyle w:val="QPPTableTextBody"/>
            </w:pPr>
            <w:r>
              <w:t xml:space="preserve">Development provides a </w:t>
            </w:r>
            <w:r w:rsidR="00E92E5E">
              <w:t xml:space="preserve">road reserve and carriageway </w:t>
            </w:r>
            <w:r w:rsidR="00A17613">
              <w:t xml:space="preserve">which is of </w:t>
            </w:r>
            <w:r w:rsidR="00447E47">
              <w:t xml:space="preserve">sufficient design, width and arrangement </w:t>
            </w:r>
            <w:r w:rsidR="00E92E5E">
              <w:t xml:space="preserve">to </w:t>
            </w:r>
            <w:r w:rsidR="00A555EA">
              <w:t>preserve the function of the road hierarchy and a</w:t>
            </w:r>
            <w:r w:rsidR="00F804BE">
              <w:t>d</w:t>
            </w:r>
            <w:r w:rsidR="00A555EA">
              <w:t>dress all impact</w:t>
            </w:r>
            <w:r w:rsidR="00F804BE">
              <w:t>s</w:t>
            </w:r>
            <w:r w:rsidR="00A555EA">
              <w:t xml:space="preserve"> </w:t>
            </w:r>
            <w:r w:rsidR="00F804BE">
              <w:t xml:space="preserve">on </w:t>
            </w:r>
            <w:r w:rsidR="00A555EA">
              <w:t>the road network</w:t>
            </w:r>
            <w:r w:rsidR="00E92E5E">
              <w:t>, including:</w:t>
            </w:r>
          </w:p>
          <w:p w14:paraId="073AE4B8" w14:textId="77777777" w:rsidR="00E92E5E" w:rsidRDefault="00E92E5E">
            <w:pPr>
              <w:pStyle w:val="HGTableBullet2"/>
              <w:numPr>
                <w:ilvl w:val="0"/>
                <w:numId w:val="32"/>
              </w:numPr>
            </w:pPr>
            <w:r>
              <w:t>safe and efficient movement of users, including vehicles, cyclists and pedestrians;</w:t>
            </w:r>
          </w:p>
          <w:p w14:paraId="79650B68" w14:textId="77777777" w:rsidR="00E92E5E" w:rsidRDefault="00E92E5E">
            <w:pPr>
              <w:pStyle w:val="HGTableBullet2"/>
            </w:pPr>
            <w:r>
              <w:t>efficient vehicle parking;</w:t>
            </w:r>
          </w:p>
          <w:p w14:paraId="34738733" w14:textId="77777777" w:rsidR="00E92E5E" w:rsidRDefault="00E92E5E">
            <w:pPr>
              <w:pStyle w:val="HGTableBullet2"/>
            </w:pPr>
            <w:r>
              <w:t xml:space="preserve">access to properties, including accommodation of the largest service vehicle likely to access </w:t>
            </w:r>
            <w:r w:rsidR="00C61561">
              <w:t>lots</w:t>
            </w:r>
            <w:r>
              <w:t>;</w:t>
            </w:r>
          </w:p>
          <w:p w14:paraId="4F167117" w14:textId="77777777" w:rsidR="00E92E5E" w:rsidRDefault="00E92E5E">
            <w:pPr>
              <w:pStyle w:val="HGTableBullet2"/>
            </w:pPr>
            <w:r>
              <w:t>construction and maintenance of public utilities;</w:t>
            </w:r>
          </w:p>
          <w:p w14:paraId="2AFD56B9" w14:textId="77777777" w:rsidR="00C61561" w:rsidRDefault="00E92E5E">
            <w:pPr>
              <w:pStyle w:val="HGTableBullet2"/>
            </w:pPr>
            <w:r>
              <w:t>landscaping, street trees and shading</w:t>
            </w:r>
            <w:r w:rsidR="00A17613">
              <w:t>;</w:t>
            </w:r>
          </w:p>
          <w:p w14:paraId="53F4C91A" w14:textId="77777777" w:rsidR="00C61561" w:rsidRDefault="00C61561">
            <w:pPr>
              <w:pStyle w:val="HGTableBullet2"/>
            </w:pPr>
            <w:r w:rsidRPr="00B10EBA">
              <w:t>safety and visibility</w:t>
            </w:r>
            <w:r>
              <w:t>;</w:t>
            </w:r>
          </w:p>
          <w:p w14:paraId="70D3D8BD" w14:textId="77777777" w:rsidR="00C61561" w:rsidRDefault="00C61561">
            <w:pPr>
              <w:pStyle w:val="HGTableBullet2"/>
            </w:pPr>
            <w:r w:rsidRPr="00B10EBA">
              <w:t xml:space="preserve">integrated pedestrian </w:t>
            </w:r>
            <w:r>
              <w:t>and cyclist movement and safety;</w:t>
            </w:r>
          </w:p>
          <w:p w14:paraId="0A2EB2E4" w14:textId="77777777" w:rsidR="00C61561" w:rsidRDefault="00C61561">
            <w:pPr>
              <w:pStyle w:val="HGTableBullet2"/>
            </w:pPr>
            <w:r w:rsidRPr="00B10EBA">
              <w:t>noise reduction</w:t>
            </w:r>
            <w:r>
              <w:t>;</w:t>
            </w:r>
          </w:p>
          <w:p w14:paraId="3C917B6B" w14:textId="77777777" w:rsidR="00C61561" w:rsidRDefault="00C61561">
            <w:pPr>
              <w:pStyle w:val="HGTableBullet2"/>
            </w:pPr>
            <w:r>
              <w:t>required design vehicles;</w:t>
            </w:r>
          </w:p>
          <w:p w14:paraId="34388041" w14:textId="77777777" w:rsidR="00E92E5E" w:rsidRDefault="00C61561">
            <w:pPr>
              <w:pStyle w:val="HGTableBullet2"/>
            </w:pPr>
            <w:r w:rsidRPr="00B10EBA">
              <w:t>utility services</w:t>
            </w:r>
            <w:r w:rsidR="00697063">
              <w:t>.</w:t>
            </w:r>
          </w:p>
        </w:tc>
        <w:tc>
          <w:tcPr>
            <w:tcW w:w="4860" w:type="dxa"/>
            <w:shd w:val="clear" w:color="auto" w:fill="auto"/>
          </w:tcPr>
          <w:p w14:paraId="769D02EB" w14:textId="77777777" w:rsidR="00E92E5E" w:rsidRDefault="00E92E5E">
            <w:pPr>
              <w:pStyle w:val="QPPTableTextBold"/>
            </w:pPr>
            <w:r>
              <w:t>AO</w:t>
            </w:r>
            <w:r w:rsidR="00C979A9">
              <w:t>1</w:t>
            </w:r>
            <w:r w:rsidR="007809D1">
              <w:t>5</w:t>
            </w:r>
          </w:p>
          <w:p w14:paraId="0085F240" w14:textId="5F637B49" w:rsidR="00E92E5E" w:rsidRDefault="004707D2" w:rsidP="00A62053">
            <w:pPr>
              <w:pStyle w:val="QPPTableTextBody"/>
            </w:pPr>
            <w:r>
              <w:t>Development provides a</w:t>
            </w:r>
            <w:r w:rsidR="00E92E5E">
              <w:t xml:space="preserve"> road reserve and carriageway </w:t>
            </w:r>
            <w:r w:rsidR="00A17613">
              <w:t xml:space="preserve">which </w:t>
            </w:r>
            <w:r w:rsidR="00E92E5E">
              <w:t xml:space="preserve">is designed in </w:t>
            </w:r>
            <w:r w:rsidR="0089436F">
              <w:t>compliance</w:t>
            </w:r>
            <w:r w:rsidR="00F44A55">
              <w:t xml:space="preserve"> with its road </w:t>
            </w:r>
            <w:r w:rsidR="0089436F">
              <w:t xml:space="preserve">hierarchy </w:t>
            </w:r>
            <w:r w:rsidR="00F44A55">
              <w:t xml:space="preserve">classification and in </w:t>
            </w:r>
            <w:r w:rsidR="00A17613">
              <w:t xml:space="preserve">compliance </w:t>
            </w:r>
            <w:r w:rsidR="00E92E5E">
              <w:t xml:space="preserve">with the </w:t>
            </w:r>
            <w:r w:rsidR="00A17613">
              <w:t>r</w:t>
            </w:r>
            <w:r w:rsidR="00E92E5E" w:rsidRPr="00C07950">
              <w:t>oad corridor design</w:t>
            </w:r>
            <w:r w:rsidR="00E92E5E">
              <w:t xml:space="preserve"> </w:t>
            </w:r>
            <w:r w:rsidR="00C64B91">
              <w:t xml:space="preserve">standards in </w:t>
            </w:r>
            <w:r w:rsidR="00E92E5E">
              <w:t xml:space="preserve">the </w:t>
            </w:r>
            <w:r w:rsidR="00E92E5E" w:rsidRPr="00AB035A">
              <w:t>Infrastructure design planning scheme policy.</w:t>
            </w:r>
          </w:p>
        </w:tc>
      </w:tr>
      <w:tr w:rsidR="00E92E5E" w:rsidRPr="001B353F" w14:paraId="408AE83A" w14:textId="77777777" w:rsidTr="001B353F">
        <w:trPr>
          <w:trHeight w:val="1578"/>
        </w:trPr>
        <w:tc>
          <w:tcPr>
            <w:tcW w:w="4068" w:type="dxa"/>
            <w:shd w:val="clear" w:color="auto" w:fill="auto"/>
          </w:tcPr>
          <w:p w14:paraId="1E7F7950" w14:textId="77777777" w:rsidR="00E92E5E" w:rsidRPr="00C61561" w:rsidRDefault="00E92E5E">
            <w:pPr>
              <w:pStyle w:val="QPPTableTextBold"/>
            </w:pPr>
            <w:r w:rsidRPr="00C61561">
              <w:t>PO</w:t>
            </w:r>
            <w:r w:rsidR="00C979A9" w:rsidRPr="00C61561">
              <w:t>1</w:t>
            </w:r>
            <w:r w:rsidR="007809D1">
              <w:t>6</w:t>
            </w:r>
          </w:p>
          <w:p w14:paraId="1B5DA8CD" w14:textId="77777777" w:rsidR="00E92E5E" w:rsidRPr="00C61561" w:rsidRDefault="00F429E7">
            <w:pPr>
              <w:pStyle w:val="QPPTableTextBody"/>
            </w:pPr>
            <w:r>
              <w:t>Development provide</w:t>
            </w:r>
            <w:r w:rsidR="00A17613">
              <w:t>s</w:t>
            </w:r>
            <w:r>
              <w:t xml:space="preserve"> c</w:t>
            </w:r>
            <w:r w:rsidR="00E92E5E" w:rsidRPr="00C61561">
              <w:t>orner lot</w:t>
            </w:r>
            <w:r w:rsidR="00C979A9" w:rsidRPr="00C61561">
              <w:t>s</w:t>
            </w:r>
            <w:r w:rsidR="00E92E5E" w:rsidRPr="00C61561">
              <w:t xml:space="preserve"> </w:t>
            </w:r>
            <w:r>
              <w:t>with</w:t>
            </w:r>
            <w:r w:rsidR="00E92E5E" w:rsidRPr="00C61561">
              <w:t xml:space="preserve"> </w:t>
            </w:r>
            <w:r w:rsidR="00A17613">
              <w:t>a corner truncation</w:t>
            </w:r>
            <w:r w:rsidR="00E92E5E" w:rsidRPr="00C61561">
              <w:t xml:space="preserve"> to ensure safety, functioning and visibility at </w:t>
            </w:r>
            <w:r w:rsidR="008344F2">
              <w:t>the intersection</w:t>
            </w:r>
            <w:r w:rsidR="00E92E5E" w:rsidRPr="00C61561">
              <w:t>.</w:t>
            </w:r>
          </w:p>
        </w:tc>
        <w:tc>
          <w:tcPr>
            <w:tcW w:w="4860" w:type="dxa"/>
            <w:shd w:val="clear" w:color="auto" w:fill="auto"/>
          </w:tcPr>
          <w:p w14:paraId="73217B2D" w14:textId="77777777" w:rsidR="00E92E5E" w:rsidRPr="00C61561" w:rsidRDefault="00E92E5E">
            <w:pPr>
              <w:pStyle w:val="QPPTableTextBold"/>
            </w:pPr>
            <w:r w:rsidRPr="00C61561">
              <w:t>AO</w:t>
            </w:r>
            <w:r w:rsidR="00C979A9" w:rsidRPr="00C61561">
              <w:t>1</w:t>
            </w:r>
            <w:r w:rsidR="007809D1">
              <w:t>6</w:t>
            </w:r>
          </w:p>
          <w:p w14:paraId="667F6678" w14:textId="18D616E1" w:rsidR="00E92E5E" w:rsidRPr="00C61561" w:rsidRDefault="00F429E7">
            <w:pPr>
              <w:pStyle w:val="QPPTableTextBody"/>
            </w:pPr>
            <w:r>
              <w:t xml:space="preserve">Development provides </w:t>
            </w:r>
            <w:r w:rsidR="008344F2">
              <w:t>for a corner truncation, if not already provided, of each corner</w:t>
            </w:r>
            <w:r w:rsidR="00697063" w:rsidRPr="00C61561">
              <w:t xml:space="preserve"> of a site to a </w:t>
            </w:r>
            <w:r w:rsidR="008344F2">
              <w:t xml:space="preserve">road </w:t>
            </w:r>
            <w:r w:rsidR="00697063" w:rsidRPr="00C61561">
              <w:t>frontage</w:t>
            </w:r>
            <w:r>
              <w:t>,</w:t>
            </w:r>
            <w:r w:rsidR="00697063" w:rsidRPr="00C61561">
              <w:t xml:space="preserve"> in </w:t>
            </w:r>
            <w:r w:rsidR="008344F2">
              <w:t xml:space="preserve">compliance </w:t>
            </w:r>
            <w:r w:rsidR="00697063" w:rsidRPr="00C61561">
              <w:t xml:space="preserve">with </w:t>
            </w:r>
            <w:r w:rsidR="00697063" w:rsidRPr="00C07950">
              <w:t xml:space="preserve">the </w:t>
            </w:r>
            <w:r w:rsidR="008344F2">
              <w:t>r</w:t>
            </w:r>
            <w:r w:rsidR="00697063" w:rsidRPr="00C07950">
              <w:t>oad corridor design</w:t>
            </w:r>
            <w:r w:rsidR="00697063">
              <w:t xml:space="preserve"> </w:t>
            </w:r>
            <w:r w:rsidR="00C64B91">
              <w:t>standards in</w:t>
            </w:r>
            <w:r w:rsidR="00697063">
              <w:t xml:space="preserve"> the </w:t>
            </w:r>
            <w:r w:rsidR="00697063" w:rsidRPr="00AB035A">
              <w:t>Infrastructure design planning scheme policy.</w:t>
            </w:r>
          </w:p>
        </w:tc>
      </w:tr>
      <w:tr w:rsidR="00E92E5E" w:rsidRPr="001B353F" w14:paraId="1D6012E1" w14:textId="77777777" w:rsidTr="007356F6">
        <w:trPr>
          <w:trHeight w:val="70"/>
        </w:trPr>
        <w:tc>
          <w:tcPr>
            <w:tcW w:w="4068" w:type="dxa"/>
            <w:shd w:val="clear" w:color="auto" w:fill="auto"/>
          </w:tcPr>
          <w:p w14:paraId="2BFBE2B9" w14:textId="77777777" w:rsidR="00E92E5E" w:rsidRPr="00977ADF" w:rsidRDefault="00E92E5E">
            <w:pPr>
              <w:pStyle w:val="QPPTableTextBold"/>
            </w:pPr>
            <w:r w:rsidRPr="00977ADF">
              <w:t>PO</w:t>
            </w:r>
            <w:r w:rsidR="007E195A">
              <w:t>1</w:t>
            </w:r>
            <w:r w:rsidR="007809D1">
              <w:t>7</w:t>
            </w:r>
          </w:p>
          <w:p w14:paraId="79358B07" w14:textId="77777777" w:rsidR="008344F2" w:rsidRDefault="00F429E7">
            <w:pPr>
              <w:pStyle w:val="QPPTableTextBody"/>
            </w:pPr>
            <w:r>
              <w:t>Development provides on</w:t>
            </w:r>
            <w:r w:rsidR="000A03F1">
              <w:t>-</w:t>
            </w:r>
            <w:r w:rsidR="00E92E5E" w:rsidRPr="00977ADF">
              <w:t>road car</w:t>
            </w:r>
            <w:r>
              <w:t xml:space="preserve"> </w:t>
            </w:r>
            <w:r w:rsidR="00E92E5E" w:rsidRPr="00977ADF">
              <w:t xml:space="preserve">parking </w:t>
            </w:r>
            <w:r w:rsidR="008344F2">
              <w:t xml:space="preserve">which is in compliance with </w:t>
            </w:r>
            <w:r w:rsidR="00E92E5E">
              <w:t xml:space="preserve">the intended function of the road and the </w:t>
            </w:r>
            <w:r w:rsidR="00E92E5E" w:rsidRPr="00977ADF">
              <w:t>projected needs taking into account kerb space for</w:t>
            </w:r>
            <w:r w:rsidR="008344F2">
              <w:t>:</w:t>
            </w:r>
          </w:p>
          <w:p w14:paraId="162371BF" w14:textId="77777777" w:rsidR="00E92E5E" w:rsidRPr="00977ADF" w:rsidRDefault="00E92E5E" w:rsidP="00B47AA3">
            <w:pPr>
              <w:pStyle w:val="HGTableBullet2"/>
              <w:numPr>
                <w:ilvl w:val="0"/>
                <w:numId w:val="19"/>
              </w:numPr>
            </w:pPr>
            <w:r w:rsidRPr="00977ADF">
              <w:t>on</w:t>
            </w:r>
            <w:r w:rsidR="006D1DD5">
              <w:t>-</w:t>
            </w:r>
            <w:r w:rsidRPr="00977ADF">
              <w:t>street parking</w:t>
            </w:r>
            <w:r w:rsidR="008344F2">
              <w:t>;</w:t>
            </w:r>
          </w:p>
          <w:p w14:paraId="68CF7CEF" w14:textId="77777777" w:rsidR="00E92E5E" w:rsidRDefault="00E92E5E">
            <w:pPr>
              <w:pStyle w:val="HGTableBullet2"/>
            </w:pPr>
            <w:r w:rsidRPr="00977ADF">
              <w:t>the number and location of driveway</w:t>
            </w:r>
            <w:r w:rsidR="00A5483A">
              <w:t>s</w:t>
            </w:r>
            <w:r w:rsidRPr="00977ADF">
              <w:t xml:space="preserve"> and shared driveway crossovers;</w:t>
            </w:r>
          </w:p>
          <w:p w14:paraId="7AF8C0C6" w14:textId="77777777" w:rsidR="00F44A55" w:rsidRPr="00977ADF" w:rsidRDefault="00F44A55">
            <w:pPr>
              <w:pStyle w:val="HGTableBullet2"/>
            </w:pPr>
            <w:r>
              <w:t>bus stops;</w:t>
            </w:r>
          </w:p>
          <w:p w14:paraId="340877F9" w14:textId="77777777" w:rsidR="00E92E5E" w:rsidRPr="00977ADF" w:rsidRDefault="00E92E5E">
            <w:pPr>
              <w:pStyle w:val="HGTableBullet2"/>
            </w:pPr>
            <w:r w:rsidRPr="00977ADF">
              <w:t>street furniture;</w:t>
            </w:r>
          </w:p>
          <w:p w14:paraId="43EF51AA" w14:textId="77777777" w:rsidR="00E92E5E" w:rsidRPr="00977ADF" w:rsidRDefault="00E92E5E">
            <w:pPr>
              <w:pStyle w:val="HGTableBullet2"/>
            </w:pPr>
            <w:r w:rsidRPr="00977ADF">
              <w:t>landscaping and street trees;</w:t>
            </w:r>
          </w:p>
          <w:p w14:paraId="4F1CC82A" w14:textId="77777777" w:rsidR="00E92E5E" w:rsidRPr="00977ADF" w:rsidRDefault="008344F2">
            <w:pPr>
              <w:pStyle w:val="HGTableBullet2"/>
            </w:pPr>
            <w:r>
              <w:t xml:space="preserve">the </w:t>
            </w:r>
            <w:r w:rsidR="00E92E5E" w:rsidRPr="00977ADF">
              <w:t xml:space="preserve">location of </w:t>
            </w:r>
            <w:r w:rsidR="00C61561">
              <w:t xml:space="preserve">traffic </w:t>
            </w:r>
            <w:r w:rsidR="00E92E5E" w:rsidRPr="00977ADF">
              <w:t>control devices</w:t>
            </w:r>
            <w:r w:rsidR="00C61561">
              <w:t xml:space="preserve"> and other infrastructure</w:t>
            </w:r>
            <w:r w:rsidR="00E92E5E" w:rsidRPr="00977ADF">
              <w:t>.</w:t>
            </w:r>
          </w:p>
        </w:tc>
        <w:tc>
          <w:tcPr>
            <w:tcW w:w="4860" w:type="dxa"/>
            <w:shd w:val="clear" w:color="auto" w:fill="auto"/>
          </w:tcPr>
          <w:p w14:paraId="1E37D232" w14:textId="77777777" w:rsidR="00E92E5E" w:rsidRPr="00977ADF" w:rsidRDefault="00E92E5E">
            <w:pPr>
              <w:pStyle w:val="QPPTableTextBold"/>
            </w:pPr>
            <w:r w:rsidRPr="00977ADF">
              <w:t>AO</w:t>
            </w:r>
            <w:r w:rsidR="007E195A">
              <w:t>1</w:t>
            </w:r>
            <w:r w:rsidR="007809D1">
              <w:t>7</w:t>
            </w:r>
          </w:p>
          <w:p w14:paraId="5E8780F5" w14:textId="77777777" w:rsidR="00D80E69" w:rsidRDefault="00F429E7" w:rsidP="00ED548A">
            <w:pPr>
              <w:pStyle w:val="QPPTableTextBody"/>
            </w:pPr>
            <w:r>
              <w:t>Development provides on-</w:t>
            </w:r>
            <w:r w:rsidR="00E92E5E" w:rsidRPr="00977ADF">
              <w:t>road car</w:t>
            </w:r>
            <w:r w:rsidR="000A03F1">
              <w:t xml:space="preserve"> </w:t>
            </w:r>
            <w:r w:rsidR="00E92E5E" w:rsidRPr="00977ADF">
              <w:t xml:space="preserve">parking </w:t>
            </w:r>
            <w:r w:rsidR="00C64B91">
              <w:t xml:space="preserve">spaces </w:t>
            </w:r>
            <w:r w:rsidR="008344F2">
              <w:t xml:space="preserve">which </w:t>
            </w:r>
            <w:r w:rsidR="00787282">
              <w:t xml:space="preserve">are in </w:t>
            </w:r>
            <w:r w:rsidR="008344F2">
              <w:t xml:space="preserve">compliance </w:t>
            </w:r>
            <w:r w:rsidR="00E92E5E" w:rsidRPr="00977ADF">
              <w:t xml:space="preserve">with the </w:t>
            </w:r>
            <w:r w:rsidR="008344F2">
              <w:t>r</w:t>
            </w:r>
            <w:r w:rsidR="001825DF" w:rsidRPr="00C07950">
              <w:t>oad corridor design</w:t>
            </w:r>
            <w:r w:rsidR="00E92E5E" w:rsidRPr="00C07950">
              <w:t xml:space="preserve"> </w:t>
            </w:r>
            <w:r w:rsidR="00C64B91">
              <w:t>standards</w:t>
            </w:r>
            <w:r w:rsidR="00E92E5E">
              <w:t xml:space="preserve"> of the</w:t>
            </w:r>
          </w:p>
          <w:p w14:paraId="0F6B2B12" w14:textId="0311D5F0" w:rsidR="00E92E5E" w:rsidRPr="00977ADF" w:rsidRDefault="008344F2" w:rsidP="00ED548A">
            <w:pPr>
              <w:pStyle w:val="QPPTableTextBody"/>
            </w:pPr>
            <w:r w:rsidRPr="00AB035A">
              <w:t>Infrastructure design planning scheme policy</w:t>
            </w:r>
            <w:r w:rsidR="00052DA5" w:rsidRPr="00B47AA3">
              <w:t>; and</w:t>
            </w:r>
            <w:r w:rsidR="00A62053">
              <w:t xml:space="preserve"> </w:t>
            </w:r>
            <w:r w:rsidRPr="00AB035A">
              <w:t>Transport, access, parking and servicing planning scheme policy</w:t>
            </w:r>
          </w:p>
        </w:tc>
      </w:tr>
      <w:tr w:rsidR="00E92E5E" w14:paraId="412F5C8A" w14:textId="77777777" w:rsidTr="001B353F">
        <w:tc>
          <w:tcPr>
            <w:tcW w:w="4068" w:type="dxa"/>
            <w:shd w:val="clear" w:color="auto" w:fill="auto"/>
          </w:tcPr>
          <w:p w14:paraId="09C10434" w14:textId="77777777" w:rsidR="00E92E5E" w:rsidRDefault="007E195A">
            <w:pPr>
              <w:pStyle w:val="QPPTableTextBold"/>
            </w:pPr>
            <w:r>
              <w:t>PO1</w:t>
            </w:r>
            <w:r w:rsidR="00416204">
              <w:t>8</w:t>
            </w:r>
          </w:p>
          <w:p w14:paraId="4CCAF6C9" w14:textId="77777777" w:rsidR="00C61561" w:rsidRDefault="00F429E7">
            <w:pPr>
              <w:pStyle w:val="QPPTableTextBody"/>
            </w:pPr>
            <w:r>
              <w:t>Development provides i</w:t>
            </w:r>
            <w:r w:rsidR="00E92E5E">
              <w:t xml:space="preserve">ntersection </w:t>
            </w:r>
            <w:r w:rsidR="00C61561">
              <w:t>design</w:t>
            </w:r>
            <w:r w:rsidR="00416204">
              <w:t>s</w:t>
            </w:r>
            <w:r w:rsidR="00C61561">
              <w:t xml:space="preserve"> </w:t>
            </w:r>
            <w:r w:rsidR="008344F2">
              <w:t xml:space="preserve">which </w:t>
            </w:r>
            <w:r w:rsidR="00E92E5E" w:rsidRPr="00233785">
              <w:t>ensure</w:t>
            </w:r>
            <w:r w:rsidR="00C61561">
              <w:t>:</w:t>
            </w:r>
          </w:p>
          <w:p w14:paraId="216A6A31" w14:textId="77777777" w:rsidR="00C61561" w:rsidRDefault="00E92E5E">
            <w:pPr>
              <w:pStyle w:val="HGTableBullet2"/>
              <w:numPr>
                <w:ilvl w:val="0"/>
                <w:numId w:val="33"/>
              </w:numPr>
            </w:pPr>
            <w:r w:rsidRPr="00BB73D5">
              <w:t>safety</w:t>
            </w:r>
            <w:r w:rsidRPr="00233785">
              <w:t xml:space="preserve">, </w:t>
            </w:r>
            <w:r w:rsidR="00C61561">
              <w:t xml:space="preserve">efficient </w:t>
            </w:r>
            <w:r w:rsidRPr="00233785">
              <w:t>function</w:t>
            </w:r>
            <w:r>
              <w:t xml:space="preserve"> </w:t>
            </w:r>
            <w:r w:rsidRPr="00233785">
              <w:t>and visibility</w:t>
            </w:r>
            <w:r>
              <w:t xml:space="preserve"> for </w:t>
            </w:r>
            <w:r w:rsidR="00C61561">
              <w:t>vehicles, pedestrians and cyclists;</w:t>
            </w:r>
          </w:p>
          <w:p w14:paraId="0A78A63B" w14:textId="77777777" w:rsidR="00C61561" w:rsidRDefault="00E92E5E">
            <w:pPr>
              <w:pStyle w:val="HGTableBullet2"/>
            </w:pPr>
            <w:r>
              <w:t xml:space="preserve">verge </w:t>
            </w:r>
            <w:r w:rsidR="00C61561">
              <w:t>areas</w:t>
            </w:r>
            <w:r>
              <w:t xml:space="preserve"> </w:t>
            </w:r>
            <w:r w:rsidR="008344F2">
              <w:t xml:space="preserve">that </w:t>
            </w:r>
            <w:r>
              <w:t>provide sufficient space for safe pedestrian movement</w:t>
            </w:r>
            <w:r w:rsidR="00C61561">
              <w:t>;</w:t>
            </w:r>
          </w:p>
          <w:p w14:paraId="518DE366" w14:textId="77777777" w:rsidR="00E92E5E" w:rsidRPr="0059652C" w:rsidRDefault="00C61561">
            <w:pPr>
              <w:pStyle w:val="HGTableBullet2"/>
            </w:pPr>
            <w:r>
              <w:t>sufficient space for infrastructure and traffic management</w:t>
            </w:r>
            <w:r w:rsidR="00E92E5E">
              <w:t>.</w:t>
            </w:r>
          </w:p>
        </w:tc>
        <w:tc>
          <w:tcPr>
            <w:tcW w:w="4860" w:type="dxa"/>
            <w:shd w:val="clear" w:color="auto" w:fill="auto"/>
          </w:tcPr>
          <w:p w14:paraId="4B59A236" w14:textId="77777777" w:rsidR="00E92E5E" w:rsidRDefault="007E195A">
            <w:pPr>
              <w:pStyle w:val="QPPTableTextBold"/>
            </w:pPr>
            <w:r>
              <w:t>AO1</w:t>
            </w:r>
            <w:r w:rsidR="00416204">
              <w:t>8</w:t>
            </w:r>
          </w:p>
          <w:p w14:paraId="48B0C982" w14:textId="31A21DD5" w:rsidR="00E92E5E" w:rsidRPr="00233785" w:rsidRDefault="00F429E7">
            <w:pPr>
              <w:pStyle w:val="QPPTableTextBody"/>
            </w:pPr>
            <w:r>
              <w:t>Development provides i</w:t>
            </w:r>
            <w:r w:rsidR="00E92E5E">
              <w:t>ntersections</w:t>
            </w:r>
            <w:r>
              <w:t xml:space="preserve"> </w:t>
            </w:r>
            <w:r w:rsidR="008344F2">
              <w:t xml:space="preserve">which </w:t>
            </w:r>
            <w:r w:rsidR="00E92E5E">
              <w:t xml:space="preserve">are designed in </w:t>
            </w:r>
            <w:r w:rsidR="008344F2">
              <w:t xml:space="preserve">compliance </w:t>
            </w:r>
            <w:r w:rsidR="00E92E5E">
              <w:t xml:space="preserve">with the standards and specifications </w:t>
            </w:r>
            <w:r w:rsidR="00E92E5E" w:rsidRPr="00C07950">
              <w:t xml:space="preserve">in the </w:t>
            </w:r>
            <w:r w:rsidR="008344F2">
              <w:t>r</w:t>
            </w:r>
            <w:r w:rsidR="00E92E5E" w:rsidRPr="00C07950">
              <w:t xml:space="preserve">oad corridor design </w:t>
            </w:r>
            <w:r w:rsidR="00787282">
              <w:t>standards in the</w:t>
            </w:r>
            <w:r w:rsidR="00E92E5E" w:rsidRPr="00892216">
              <w:t xml:space="preserve"> </w:t>
            </w:r>
            <w:r w:rsidR="00E92E5E" w:rsidRPr="00AB035A">
              <w:t>Infrastructure design planning scheme policy</w:t>
            </w:r>
            <w:r w:rsidR="008344F2">
              <w:t>.</w:t>
            </w:r>
          </w:p>
        </w:tc>
      </w:tr>
      <w:tr w:rsidR="00E92E5E" w14:paraId="5A1372A7" w14:textId="77777777" w:rsidTr="001B353F">
        <w:trPr>
          <w:trHeight w:val="1150"/>
        </w:trPr>
        <w:tc>
          <w:tcPr>
            <w:tcW w:w="4068" w:type="dxa"/>
            <w:shd w:val="clear" w:color="auto" w:fill="auto"/>
          </w:tcPr>
          <w:p w14:paraId="50FDEB94" w14:textId="77777777" w:rsidR="00E92E5E" w:rsidRPr="00A05DEA" w:rsidRDefault="00E92E5E">
            <w:pPr>
              <w:pStyle w:val="QPPTableTextBold"/>
            </w:pPr>
            <w:r w:rsidRPr="00A05DEA">
              <w:t>PO</w:t>
            </w:r>
            <w:r w:rsidR="007E195A">
              <w:t>1</w:t>
            </w:r>
            <w:r w:rsidR="00416204">
              <w:t>9</w:t>
            </w:r>
          </w:p>
          <w:p w14:paraId="3843779D" w14:textId="77777777" w:rsidR="00E92E5E" w:rsidRPr="00A05DEA" w:rsidRDefault="00F429E7" w:rsidP="000174EB">
            <w:pPr>
              <w:pStyle w:val="QPPTableTextBody"/>
            </w:pPr>
            <w:r>
              <w:t>Development provides a</w:t>
            </w:r>
            <w:r w:rsidR="00E92E5E" w:rsidRPr="00740667">
              <w:t xml:space="preserve"> </w:t>
            </w:r>
            <w:r w:rsidR="000174EB">
              <w:t xml:space="preserve">transport </w:t>
            </w:r>
            <w:r w:rsidR="00E92E5E" w:rsidRPr="00740667">
              <w:t xml:space="preserve">network </w:t>
            </w:r>
            <w:r w:rsidR="008344F2">
              <w:t xml:space="preserve">which </w:t>
            </w:r>
            <w:r w:rsidR="00E92E5E" w:rsidRPr="00740667">
              <w:t>cater</w:t>
            </w:r>
            <w:r w:rsidR="008344F2">
              <w:t>s</w:t>
            </w:r>
            <w:r w:rsidR="00E92E5E" w:rsidRPr="00740667">
              <w:t xml:space="preserve"> for the</w:t>
            </w:r>
            <w:r w:rsidR="00E92E5E">
              <w:t xml:space="preserve"> </w:t>
            </w:r>
            <w:r w:rsidR="00E92E5E" w:rsidRPr="00740667">
              <w:t>extension of existing or future public transport</w:t>
            </w:r>
            <w:r w:rsidR="00E92E5E">
              <w:t xml:space="preserve"> </w:t>
            </w:r>
            <w:r w:rsidR="00E92E5E" w:rsidRPr="00740667">
              <w:t xml:space="preserve">routes </w:t>
            </w:r>
            <w:r w:rsidR="00C61561">
              <w:t xml:space="preserve">and infrastructure </w:t>
            </w:r>
            <w:r w:rsidR="00E92E5E">
              <w:t>including safe pedestrian set</w:t>
            </w:r>
            <w:r w:rsidR="00787282">
              <w:t>-</w:t>
            </w:r>
            <w:r w:rsidR="00E92E5E">
              <w:t>down and pick</w:t>
            </w:r>
            <w:r w:rsidR="00787282">
              <w:t>-</w:t>
            </w:r>
            <w:r w:rsidR="00E92E5E">
              <w:t>up facilities.</w:t>
            </w:r>
          </w:p>
        </w:tc>
        <w:tc>
          <w:tcPr>
            <w:tcW w:w="4860" w:type="dxa"/>
            <w:shd w:val="clear" w:color="auto" w:fill="auto"/>
          </w:tcPr>
          <w:p w14:paraId="0F509CA0" w14:textId="77777777" w:rsidR="00E92E5E" w:rsidRPr="00A05DEA" w:rsidRDefault="00E92E5E">
            <w:pPr>
              <w:pStyle w:val="QPPTableTextBold"/>
            </w:pPr>
            <w:r w:rsidRPr="00A05DEA">
              <w:t>AO</w:t>
            </w:r>
            <w:r w:rsidR="007E195A">
              <w:t>1</w:t>
            </w:r>
            <w:r w:rsidR="00416204">
              <w:t>9</w:t>
            </w:r>
          </w:p>
          <w:p w14:paraId="229570C1" w14:textId="6BB193AB" w:rsidR="00E92E5E" w:rsidRPr="00A05DEA" w:rsidRDefault="00F429E7">
            <w:pPr>
              <w:pStyle w:val="QPPTableTextBody"/>
            </w:pPr>
            <w:r>
              <w:t>Development provides</w:t>
            </w:r>
            <w:r w:rsidR="00F44A55">
              <w:t xml:space="preserve"> bus infrastructure and</w:t>
            </w:r>
            <w:r>
              <w:t xml:space="preserve"> i</w:t>
            </w:r>
            <w:r w:rsidR="00C61561">
              <w:t>ntersections</w:t>
            </w:r>
            <w:r>
              <w:t xml:space="preserve"> </w:t>
            </w:r>
            <w:r w:rsidR="008344F2">
              <w:t xml:space="preserve">which </w:t>
            </w:r>
            <w:r w:rsidR="00C61561">
              <w:t xml:space="preserve">are designed in </w:t>
            </w:r>
            <w:r w:rsidR="00787282">
              <w:t>compliance</w:t>
            </w:r>
            <w:r w:rsidR="00C61561">
              <w:t xml:space="preserve"> with the </w:t>
            </w:r>
            <w:r w:rsidR="008344F2">
              <w:t>r</w:t>
            </w:r>
            <w:r w:rsidR="00C61561" w:rsidRPr="00C07950">
              <w:t xml:space="preserve">oad corridor design </w:t>
            </w:r>
            <w:r w:rsidR="00787282">
              <w:t>standards of</w:t>
            </w:r>
            <w:r w:rsidR="00C61561">
              <w:t xml:space="preserve"> </w:t>
            </w:r>
            <w:r w:rsidR="00A5483A">
              <w:t xml:space="preserve">the </w:t>
            </w:r>
            <w:r w:rsidR="008344F2" w:rsidRPr="00AB035A">
              <w:t>Infrastructure design planning scheme policy</w:t>
            </w:r>
            <w:r w:rsidR="008344F2">
              <w:t xml:space="preserve"> </w:t>
            </w:r>
            <w:r w:rsidR="008344F2" w:rsidRPr="00892216">
              <w:t xml:space="preserve">and the </w:t>
            </w:r>
            <w:r w:rsidR="008344F2" w:rsidRPr="00AB035A">
              <w:t>Transport, access, parking and servicing planning scheme policy</w:t>
            </w:r>
            <w:r w:rsidR="008344F2">
              <w:t>.</w:t>
            </w:r>
          </w:p>
        </w:tc>
      </w:tr>
      <w:tr w:rsidR="00495AF9" w14:paraId="3A37278E" w14:textId="77777777" w:rsidTr="001B353F">
        <w:trPr>
          <w:trHeight w:val="2084"/>
        </w:trPr>
        <w:tc>
          <w:tcPr>
            <w:tcW w:w="4068" w:type="dxa"/>
            <w:shd w:val="clear" w:color="auto" w:fill="auto"/>
          </w:tcPr>
          <w:p w14:paraId="37226901" w14:textId="77777777" w:rsidR="00495AF9" w:rsidRDefault="007E195A">
            <w:pPr>
              <w:pStyle w:val="QPPTableTextBold"/>
            </w:pPr>
            <w:r>
              <w:t>PO</w:t>
            </w:r>
            <w:r w:rsidR="00416204">
              <w:t>20</w:t>
            </w:r>
          </w:p>
          <w:p w14:paraId="3E231A43" w14:textId="77777777" w:rsidR="008344F2" w:rsidRDefault="00E95B61">
            <w:pPr>
              <w:pStyle w:val="QPPTableTextBody"/>
            </w:pPr>
            <w:r>
              <w:t>Development provides</w:t>
            </w:r>
            <w:r w:rsidR="008344F2">
              <w:t xml:space="preserve"> a</w:t>
            </w:r>
            <w:r>
              <w:t xml:space="preserve"> </w:t>
            </w:r>
            <w:r w:rsidR="000174EB">
              <w:t xml:space="preserve">transport </w:t>
            </w:r>
            <w:r w:rsidR="008344F2">
              <w:t>network which is:</w:t>
            </w:r>
          </w:p>
          <w:p w14:paraId="63B36071" w14:textId="77777777" w:rsidR="008344F2" w:rsidRDefault="00495AF9">
            <w:pPr>
              <w:pStyle w:val="HGTableBullet2"/>
              <w:numPr>
                <w:ilvl w:val="0"/>
                <w:numId w:val="34"/>
              </w:numPr>
            </w:pPr>
            <w:r w:rsidRPr="00F73D7F">
              <w:t xml:space="preserve">designed </w:t>
            </w:r>
            <w:r>
              <w:t xml:space="preserve">to operate safely </w:t>
            </w:r>
            <w:r w:rsidRPr="00F73D7F">
              <w:t>for</w:t>
            </w:r>
            <w:r>
              <w:t xml:space="preserve"> users,</w:t>
            </w:r>
            <w:r w:rsidRPr="00F73D7F">
              <w:t xml:space="preserve"> pedestrians</w:t>
            </w:r>
            <w:r>
              <w:t xml:space="preserve"> and</w:t>
            </w:r>
            <w:r w:rsidRPr="00F73D7F">
              <w:t xml:space="preserve"> cyclists</w:t>
            </w:r>
            <w:r w:rsidR="008344F2">
              <w:t>;</w:t>
            </w:r>
          </w:p>
          <w:p w14:paraId="7387C2AA" w14:textId="77777777" w:rsidR="00495AF9" w:rsidRDefault="00495AF9" w:rsidP="00ED548A">
            <w:pPr>
              <w:pStyle w:val="HGTableBullet2"/>
            </w:pPr>
            <w:r w:rsidRPr="00F73D7F">
              <w:t xml:space="preserve">ensures </w:t>
            </w:r>
            <w:r>
              <w:t xml:space="preserve">emergency </w:t>
            </w:r>
            <w:r w:rsidRPr="00F73D7F">
              <w:t>access or evacuation in</w:t>
            </w:r>
            <w:r>
              <w:t xml:space="preserve"> </w:t>
            </w:r>
            <w:r w:rsidRPr="00F73D7F">
              <w:t>emergencies</w:t>
            </w:r>
            <w:r w:rsidR="00ED548A">
              <w:t>.</w:t>
            </w:r>
          </w:p>
        </w:tc>
        <w:tc>
          <w:tcPr>
            <w:tcW w:w="4860" w:type="dxa"/>
            <w:shd w:val="clear" w:color="auto" w:fill="auto"/>
          </w:tcPr>
          <w:p w14:paraId="3A43D803" w14:textId="77777777" w:rsidR="00495AF9" w:rsidRDefault="007E195A">
            <w:pPr>
              <w:pStyle w:val="QPPTableTextBold"/>
            </w:pPr>
            <w:r>
              <w:t>AO</w:t>
            </w:r>
            <w:r w:rsidR="00416204">
              <w:t>20</w:t>
            </w:r>
          </w:p>
          <w:p w14:paraId="57C2C66D" w14:textId="77777777" w:rsidR="00495AF9" w:rsidRDefault="00E95B61">
            <w:pPr>
              <w:pStyle w:val="QPPTableTextBody"/>
            </w:pPr>
            <w:r>
              <w:t xml:space="preserve">Development </w:t>
            </w:r>
            <w:r w:rsidR="008344F2">
              <w:t xml:space="preserve">provides a secondary local street access if </w:t>
            </w:r>
            <w:r w:rsidR="00495AF9">
              <w:t>access to lots is used by more than 1</w:t>
            </w:r>
            <w:r w:rsidR="00787282">
              <w:t>,</w:t>
            </w:r>
            <w:r w:rsidR="00495AF9">
              <w:t>000 vehicles per day.</w:t>
            </w:r>
          </w:p>
          <w:p w14:paraId="66432D8B" w14:textId="77777777" w:rsidR="00495AF9" w:rsidRDefault="001E037F" w:rsidP="00845930">
            <w:pPr>
              <w:pStyle w:val="QPPEditorsNoteStyle1"/>
            </w:pPr>
            <w:r>
              <w:t>Note—</w:t>
            </w:r>
            <w:r w:rsidR="008344F2">
              <w:t>T</w:t>
            </w:r>
            <w:r w:rsidR="00495AF9">
              <w:t xml:space="preserve">he secondary access is to </w:t>
            </w:r>
            <w:r w:rsidR="008344F2">
              <w:t xml:space="preserve">provide </w:t>
            </w:r>
            <w:r w:rsidR="00495AF9">
              <w:t xml:space="preserve">emergency vehicles </w:t>
            </w:r>
            <w:r w:rsidR="008344F2">
              <w:t xml:space="preserve">with an </w:t>
            </w:r>
            <w:r w:rsidR="00495AF9">
              <w:t xml:space="preserve">alternative route where </w:t>
            </w:r>
            <w:r w:rsidR="008344F2">
              <w:t xml:space="preserve">the primary </w:t>
            </w:r>
            <w:r w:rsidR="00495AF9">
              <w:t xml:space="preserve">route may be heavily trafficked and </w:t>
            </w:r>
            <w:r w:rsidR="00845930">
              <w:t xml:space="preserve">the </w:t>
            </w:r>
            <w:r w:rsidR="00495AF9">
              <w:t>effectiveness of emergency response</w:t>
            </w:r>
            <w:r w:rsidR="00845930">
              <w:t xml:space="preserve"> is reduced.</w:t>
            </w:r>
          </w:p>
        </w:tc>
      </w:tr>
      <w:tr w:rsidR="00885C90" w:rsidRPr="001B353F" w14:paraId="0CE3AA63" w14:textId="77777777" w:rsidTr="001B353F">
        <w:tc>
          <w:tcPr>
            <w:tcW w:w="8928" w:type="dxa"/>
            <w:gridSpan w:val="2"/>
            <w:shd w:val="clear" w:color="auto" w:fill="auto"/>
          </w:tcPr>
          <w:p w14:paraId="70F5484D" w14:textId="77777777" w:rsidR="00885C90" w:rsidRPr="009719AA" w:rsidRDefault="009C207D" w:rsidP="002018FB">
            <w:pPr>
              <w:pStyle w:val="QPPTableTextBold"/>
            </w:pPr>
            <w:r>
              <w:t>Section</w:t>
            </w:r>
            <w:r w:rsidR="00787282">
              <w:t xml:space="preserve"> C—</w:t>
            </w:r>
            <w:r w:rsidR="00885C90">
              <w:t xml:space="preserve">Specific </w:t>
            </w:r>
            <w:r w:rsidR="002018FB">
              <w:t xml:space="preserve">performance outcomes and acceptable outcomes </w:t>
            </w:r>
            <w:r w:rsidR="00885C90">
              <w:t>applicable to development</w:t>
            </w:r>
          </w:p>
        </w:tc>
      </w:tr>
      <w:tr w:rsidR="00A35C10" w:rsidRPr="009719AA" w14:paraId="74D02E3F" w14:textId="77777777" w:rsidTr="001B353F">
        <w:tc>
          <w:tcPr>
            <w:tcW w:w="8928" w:type="dxa"/>
            <w:gridSpan w:val="2"/>
            <w:shd w:val="clear" w:color="auto" w:fill="auto"/>
          </w:tcPr>
          <w:p w14:paraId="150C478C" w14:textId="77777777" w:rsidR="009C207D" w:rsidRDefault="00787282">
            <w:pPr>
              <w:pStyle w:val="QPPTableTextBold"/>
            </w:pPr>
            <w:r>
              <w:t>Section C1—</w:t>
            </w:r>
            <w:r w:rsidR="00845930">
              <w:t>Development for reconfiguring a lot involving any of the following</w:t>
            </w:r>
            <w:r w:rsidR="001B2B62">
              <w:t>:</w:t>
            </w:r>
          </w:p>
          <w:p w14:paraId="13218673" w14:textId="77777777" w:rsidR="009C207D" w:rsidRPr="00F60D67" w:rsidRDefault="009C207D" w:rsidP="00B47AA3">
            <w:pPr>
              <w:pStyle w:val="HGTableBullet2"/>
              <w:numPr>
                <w:ilvl w:val="0"/>
                <w:numId w:val="20"/>
              </w:numPr>
            </w:pPr>
            <w:r w:rsidRPr="00F60D67">
              <w:t xml:space="preserve">a site </w:t>
            </w:r>
            <w:r w:rsidR="00845930">
              <w:t>which is more than 1</w:t>
            </w:r>
            <w:r w:rsidRPr="00F60D67">
              <w:t>h</w:t>
            </w:r>
            <w:r w:rsidR="0043153C">
              <w:t>a</w:t>
            </w:r>
            <w:r w:rsidR="00845930">
              <w:t xml:space="preserve"> </w:t>
            </w:r>
            <w:r w:rsidRPr="00F60D67">
              <w:t>in t</w:t>
            </w:r>
            <w:r w:rsidR="00845930">
              <w:t xml:space="preserve">he </w:t>
            </w:r>
            <w:r w:rsidR="009E0980" w:rsidRPr="009E0980">
              <w:t>Emerging community zone</w:t>
            </w:r>
            <w:r w:rsidR="00845930">
              <w:t xml:space="preserve">; </w:t>
            </w:r>
            <w:r w:rsidR="005A0B15">
              <w:t>or</w:t>
            </w:r>
          </w:p>
          <w:p w14:paraId="082FB349" w14:textId="77777777" w:rsidR="009C207D" w:rsidRPr="00F60D67" w:rsidRDefault="009C207D">
            <w:pPr>
              <w:pStyle w:val="HGTableBullet2"/>
            </w:pPr>
            <w:r w:rsidRPr="00F60D67">
              <w:t xml:space="preserve">a site </w:t>
            </w:r>
            <w:r w:rsidR="00845930">
              <w:t xml:space="preserve">which is </w:t>
            </w:r>
            <w:r w:rsidRPr="00F60D67">
              <w:t>more than 7,000m</w:t>
            </w:r>
            <w:r w:rsidRPr="009E0980">
              <w:rPr>
                <w:rStyle w:val="QPPSuperscriptChar"/>
              </w:rPr>
              <w:t>2</w:t>
            </w:r>
            <w:r w:rsidRPr="00F60D67">
              <w:t xml:space="preserve"> in the </w:t>
            </w:r>
            <w:r w:rsidR="00845930" w:rsidRPr="009E0980">
              <w:t>Low density residential zone</w:t>
            </w:r>
            <w:r w:rsidR="00845930">
              <w:t xml:space="preserve">; </w:t>
            </w:r>
            <w:r w:rsidR="005A0B15">
              <w:t>or</w:t>
            </w:r>
          </w:p>
          <w:p w14:paraId="28FDB244" w14:textId="77777777" w:rsidR="009C207D" w:rsidRPr="00F60D67" w:rsidRDefault="009C207D">
            <w:pPr>
              <w:pStyle w:val="HGTableBullet2"/>
            </w:pPr>
            <w:r w:rsidRPr="00F60D67">
              <w:t xml:space="preserve">the number of lots </w:t>
            </w:r>
            <w:r w:rsidR="00F60D67" w:rsidRPr="00F60D67">
              <w:t xml:space="preserve">is </w:t>
            </w:r>
            <w:r w:rsidR="00845930">
              <w:t xml:space="preserve">20 or more; </w:t>
            </w:r>
            <w:r w:rsidR="005A0B15">
              <w:t>or</w:t>
            </w:r>
          </w:p>
          <w:p w14:paraId="27AC9DC4" w14:textId="77777777" w:rsidR="009C207D" w:rsidRPr="00F60D67" w:rsidRDefault="00845930">
            <w:pPr>
              <w:pStyle w:val="HGTableBullet2"/>
            </w:pPr>
            <w:r>
              <w:t xml:space="preserve">the </w:t>
            </w:r>
            <w:r w:rsidR="009C207D" w:rsidRPr="00F60D67">
              <w:t>open</w:t>
            </w:r>
            <w:r>
              <w:t>ing</w:t>
            </w:r>
            <w:r w:rsidR="009C207D" w:rsidRPr="00F60D67">
              <w:t xml:space="preserve"> </w:t>
            </w:r>
            <w:r>
              <w:t xml:space="preserve">of a </w:t>
            </w:r>
            <w:r w:rsidR="009C207D" w:rsidRPr="00F60D67">
              <w:t>new road, creat</w:t>
            </w:r>
            <w:r>
              <w:t>ion of a</w:t>
            </w:r>
            <w:r w:rsidR="009C207D" w:rsidRPr="00F60D67">
              <w:t xml:space="preserve"> park, </w:t>
            </w:r>
            <w:r>
              <w:t>the creation of a</w:t>
            </w:r>
            <w:r w:rsidR="009C207D" w:rsidRPr="00F60D67">
              <w:t xml:space="preserve"> bicycle and</w:t>
            </w:r>
            <w:r>
              <w:t xml:space="preserve"> pedestrian network element; </w:t>
            </w:r>
            <w:r w:rsidR="005A0B15">
              <w:t>or</w:t>
            </w:r>
          </w:p>
          <w:p w14:paraId="242D317C" w14:textId="77777777" w:rsidR="00A35C10" w:rsidRPr="00F60D67" w:rsidRDefault="00845930">
            <w:pPr>
              <w:pStyle w:val="HGTableBullet2"/>
            </w:pPr>
            <w:r>
              <w:t xml:space="preserve">the creation of </w:t>
            </w:r>
            <w:r w:rsidR="00F60D67">
              <w:t xml:space="preserve">more than 50% of </w:t>
            </w:r>
            <w:r>
              <w:t xml:space="preserve">the </w:t>
            </w:r>
            <w:r w:rsidR="009C207D" w:rsidRPr="00F60D67">
              <w:t xml:space="preserve">lots </w:t>
            </w:r>
            <w:r w:rsidR="00515145">
              <w:t xml:space="preserve">with an area </w:t>
            </w:r>
            <w:r w:rsidR="009C207D" w:rsidRPr="00F60D67">
              <w:t>less than 350m</w:t>
            </w:r>
            <w:r w:rsidR="009C207D" w:rsidRPr="009E0980">
              <w:rPr>
                <w:rStyle w:val="QPPSuperscriptChar"/>
              </w:rPr>
              <w:t>2</w:t>
            </w:r>
            <w:r w:rsidR="00F60D67">
              <w:t>.</w:t>
            </w:r>
          </w:p>
        </w:tc>
      </w:tr>
      <w:tr w:rsidR="00CA37E2" w:rsidRPr="001B353F" w14:paraId="65D19F0C" w14:textId="77777777" w:rsidTr="001B353F">
        <w:trPr>
          <w:trHeight w:val="4371"/>
        </w:trPr>
        <w:tc>
          <w:tcPr>
            <w:tcW w:w="4068" w:type="dxa"/>
            <w:vMerge w:val="restart"/>
            <w:shd w:val="clear" w:color="auto" w:fill="auto"/>
          </w:tcPr>
          <w:p w14:paraId="718B1CAC" w14:textId="77777777" w:rsidR="00CA37E2" w:rsidRPr="00161778" w:rsidRDefault="00CA37E2">
            <w:pPr>
              <w:pStyle w:val="QPPTableTextBold"/>
            </w:pPr>
            <w:r w:rsidRPr="00161778">
              <w:t>PO</w:t>
            </w:r>
            <w:r w:rsidR="007E195A">
              <w:t>2</w:t>
            </w:r>
            <w:r w:rsidR="00416204">
              <w:t>1</w:t>
            </w:r>
          </w:p>
          <w:p w14:paraId="00D7E102" w14:textId="77777777" w:rsidR="00CA37E2" w:rsidRDefault="00E95B61">
            <w:pPr>
              <w:pStyle w:val="QPPTableTextBody"/>
            </w:pPr>
            <w:r>
              <w:t xml:space="preserve">Development </w:t>
            </w:r>
            <w:r w:rsidR="00CA37E2">
              <w:t xml:space="preserve">delivers a structure of highly connected and legible neighbourhoods </w:t>
            </w:r>
            <w:r w:rsidR="00515145">
              <w:t>which</w:t>
            </w:r>
            <w:r w:rsidR="00CA37E2">
              <w:t>:</w:t>
            </w:r>
          </w:p>
          <w:p w14:paraId="74DFBA34" w14:textId="06FA8251" w:rsidR="00CA37E2" w:rsidRDefault="00CA37E2">
            <w:pPr>
              <w:pStyle w:val="HGTableBullet2"/>
              <w:numPr>
                <w:ilvl w:val="0"/>
                <w:numId w:val="35"/>
              </w:numPr>
            </w:pPr>
            <w:r>
              <w:t xml:space="preserve">are </w:t>
            </w:r>
            <w:r w:rsidR="00BC3EB6">
              <w:t xml:space="preserve">based on a </w:t>
            </w:r>
            <w:r>
              <w:t xml:space="preserve">400m </w:t>
            </w:r>
            <w:r w:rsidR="00C163E9" w:rsidRPr="00AB035A">
              <w:t>walking distance</w:t>
            </w:r>
            <w:r w:rsidR="00BC3EB6">
              <w:t xml:space="preserve"> from a central point</w:t>
            </w:r>
            <w:r>
              <w:t>;</w:t>
            </w:r>
          </w:p>
          <w:p w14:paraId="45F74ABD" w14:textId="0E135A8D" w:rsidR="00CA37E2" w:rsidRDefault="00CA37E2">
            <w:pPr>
              <w:pStyle w:val="HGTableBullet2"/>
            </w:pPr>
            <w:r>
              <w:t xml:space="preserve">include or are within </w:t>
            </w:r>
            <w:r w:rsidR="00515145">
              <w:t>a</w:t>
            </w:r>
            <w:r w:rsidR="00B23895">
              <w:t>n</w:t>
            </w:r>
            <w:r w:rsidR="00515145">
              <w:t xml:space="preserve"> </w:t>
            </w:r>
            <w:r>
              <w:t xml:space="preserve">800m </w:t>
            </w:r>
            <w:r w:rsidR="008E2D07" w:rsidRPr="00AB035A">
              <w:t>walking distance</w:t>
            </w:r>
            <w:r w:rsidR="00BC3EB6">
              <w:t xml:space="preserve"> </w:t>
            </w:r>
            <w:r>
              <w:t xml:space="preserve">of </w:t>
            </w:r>
            <w:r w:rsidR="00515145">
              <w:t xml:space="preserve">a local shop </w:t>
            </w:r>
            <w:r>
              <w:t>and services;</w:t>
            </w:r>
          </w:p>
          <w:p w14:paraId="3AFAFE9D" w14:textId="77777777" w:rsidR="00CA37E2" w:rsidRDefault="00CA37E2">
            <w:pPr>
              <w:pStyle w:val="HGTableBullet2"/>
            </w:pPr>
            <w:r>
              <w:t>include a range of lot sizes and types;</w:t>
            </w:r>
          </w:p>
          <w:p w14:paraId="4A06B197" w14:textId="77777777" w:rsidR="00CA37E2" w:rsidRDefault="00CA37E2">
            <w:pPr>
              <w:pStyle w:val="HGTableBullet2"/>
            </w:pPr>
            <w:r>
              <w:t xml:space="preserve">have connected </w:t>
            </w:r>
            <w:r w:rsidR="00416204">
              <w:t xml:space="preserve">transport and open space </w:t>
            </w:r>
            <w:r>
              <w:t>network</w:t>
            </w:r>
            <w:r w:rsidR="00CD2A26">
              <w:t>s</w:t>
            </w:r>
            <w:r>
              <w:t>;</w:t>
            </w:r>
          </w:p>
          <w:p w14:paraId="7DD7BE8D" w14:textId="77777777" w:rsidR="00CA37E2" w:rsidRDefault="00515145">
            <w:pPr>
              <w:pStyle w:val="HGTableBullet2"/>
            </w:pPr>
            <w:r>
              <w:t xml:space="preserve">have </w:t>
            </w:r>
            <w:r w:rsidR="00CA37E2">
              <w:t xml:space="preserve">centrally located </w:t>
            </w:r>
            <w:r w:rsidR="00CF086F">
              <w:t>parks</w:t>
            </w:r>
            <w:r w:rsidR="00CA37E2">
              <w:t>;</w:t>
            </w:r>
          </w:p>
          <w:p w14:paraId="58B6191D" w14:textId="77777777" w:rsidR="00515145" w:rsidRDefault="00CA37E2">
            <w:pPr>
              <w:pStyle w:val="HGTableBullet2"/>
            </w:pPr>
            <w:r>
              <w:t>provide sites for communit</w:t>
            </w:r>
            <w:r w:rsidR="00B50D4A">
              <w:t>y activit</w:t>
            </w:r>
            <w:r>
              <w:t>ies</w:t>
            </w:r>
            <w:r w:rsidR="00B50D4A">
              <w:t>, services and facilities</w:t>
            </w:r>
            <w:r>
              <w:t xml:space="preserve"> and utilities</w:t>
            </w:r>
            <w:r w:rsidR="00515145">
              <w:t>;</w:t>
            </w:r>
          </w:p>
          <w:p w14:paraId="5CEE4AF8" w14:textId="77777777" w:rsidR="00CA37E2" w:rsidRPr="002B04EF" w:rsidRDefault="00CA37E2">
            <w:pPr>
              <w:pStyle w:val="HGTableBullet2"/>
            </w:pPr>
            <w:r w:rsidRPr="002B04EF">
              <w:t>create a strong and positive neighbourhood identity;</w:t>
            </w:r>
          </w:p>
          <w:p w14:paraId="3CBEF957" w14:textId="77777777" w:rsidR="00CA37E2" w:rsidRPr="002B04EF" w:rsidRDefault="00CA37E2">
            <w:pPr>
              <w:pStyle w:val="HGTableBullet2"/>
            </w:pPr>
            <w:r w:rsidRPr="002B04EF">
              <w:t xml:space="preserve">create a legible </w:t>
            </w:r>
            <w:r w:rsidR="000174EB">
              <w:t>transport</w:t>
            </w:r>
            <w:r w:rsidRPr="002B04EF">
              <w:t xml:space="preserve"> network;</w:t>
            </w:r>
          </w:p>
          <w:p w14:paraId="05705201" w14:textId="77777777" w:rsidR="00CA37E2" w:rsidRPr="002B04EF" w:rsidRDefault="00CA37E2">
            <w:pPr>
              <w:pStyle w:val="HGTableBullet2"/>
            </w:pPr>
            <w:r w:rsidRPr="002B04EF">
              <w:t>result in a safe, connected and permeable neighbourhood;</w:t>
            </w:r>
          </w:p>
          <w:p w14:paraId="4106AA35" w14:textId="77777777" w:rsidR="00CA37E2" w:rsidRPr="002B04EF" w:rsidRDefault="00CA37E2">
            <w:pPr>
              <w:pStyle w:val="HGTableBullet2"/>
            </w:pPr>
            <w:r w:rsidRPr="002B04EF">
              <w:t xml:space="preserve">integrate with surrounding </w:t>
            </w:r>
            <w:r w:rsidR="00515145">
              <w:t xml:space="preserve">development </w:t>
            </w:r>
            <w:r w:rsidRPr="002B04EF">
              <w:t xml:space="preserve">approvals and </w:t>
            </w:r>
            <w:r>
              <w:t>areas</w:t>
            </w:r>
            <w:r w:rsidRPr="002B04EF">
              <w:t>;</w:t>
            </w:r>
          </w:p>
          <w:p w14:paraId="37BC95C9" w14:textId="77777777" w:rsidR="00CA37E2" w:rsidRPr="002B04EF" w:rsidRDefault="00CA37E2">
            <w:pPr>
              <w:pStyle w:val="HGTableBullet2"/>
            </w:pPr>
            <w:r w:rsidRPr="002B04EF">
              <w:t xml:space="preserve">integrate the requirements of </w:t>
            </w:r>
            <w:r w:rsidR="00AE4244">
              <w:t>neighbourhood plan</w:t>
            </w:r>
            <w:r w:rsidRPr="002B04EF">
              <w:t>s;</w:t>
            </w:r>
          </w:p>
          <w:p w14:paraId="58CB1463" w14:textId="77777777" w:rsidR="00CA37E2" w:rsidRPr="002B04EF" w:rsidRDefault="00CA37E2">
            <w:pPr>
              <w:pStyle w:val="HGTableBullet2"/>
            </w:pPr>
            <w:r w:rsidRPr="002B04EF">
              <w:t xml:space="preserve">respond to site characteristics and setting as detailed in </w:t>
            </w:r>
            <w:r w:rsidR="00515145">
              <w:t xml:space="preserve">an applicable </w:t>
            </w:r>
            <w:r w:rsidR="00AE4244">
              <w:t>neighbourhood plan</w:t>
            </w:r>
            <w:r w:rsidR="00B23895">
              <w:t xml:space="preserve"> or overlay</w:t>
            </w:r>
            <w:r>
              <w:t>.</w:t>
            </w:r>
          </w:p>
          <w:p w14:paraId="01DA080A" w14:textId="77654004" w:rsidR="00CA37E2" w:rsidRDefault="00CA37E2" w:rsidP="002153F3">
            <w:pPr>
              <w:pStyle w:val="QPPEditorsNoteStyle1"/>
            </w:pPr>
            <w:r w:rsidRPr="002B04EF">
              <w:t>Note—</w:t>
            </w:r>
            <w:r w:rsidR="002153F3">
              <w:t>A</w:t>
            </w:r>
            <w:r w:rsidRPr="002B04EF">
              <w:t xml:space="preserve"> structure plan</w:t>
            </w:r>
            <w:r w:rsidR="002153F3">
              <w:t xml:space="preserve"> prepared </w:t>
            </w:r>
            <w:r w:rsidRPr="002B04EF">
              <w:t>in accordance wit</w:t>
            </w:r>
            <w:r w:rsidRPr="00CF7A8F">
              <w:t xml:space="preserve">h the </w:t>
            </w:r>
            <w:r w:rsidRPr="00AB035A">
              <w:t>Structure planning planning scheme policy</w:t>
            </w:r>
            <w:r w:rsidRPr="002B04EF">
              <w:t xml:space="preserve"> can assist in demonstrating </w:t>
            </w:r>
            <w:r w:rsidR="00B23895">
              <w:t>the achievement</w:t>
            </w:r>
            <w:r w:rsidRPr="002B04EF">
              <w:t xml:space="preserve"> </w:t>
            </w:r>
            <w:r w:rsidR="002153F3">
              <w:t xml:space="preserve">of </w:t>
            </w:r>
            <w:r w:rsidRPr="002B04EF">
              <w:t xml:space="preserve">this outcome and is a useful tool to integrate subdivision layout with all relevant spatial attributes as addressed in overlays and </w:t>
            </w:r>
            <w:r w:rsidR="00AE4244">
              <w:t>neighbourhood plan</w:t>
            </w:r>
            <w:r w:rsidRPr="002B04EF">
              <w:t>s.</w:t>
            </w:r>
          </w:p>
        </w:tc>
        <w:tc>
          <w:tcPr>
            <w:tcW w:w="4860" w:type="dxa"/>
            <w:shd w:val="clear" w:color="auto" w:fill="auto"/>
          </w:tcPr>
          <w:p w14:paraId="24731498" w14:textId="77777777" w:rsidR="00CA37E2" w:rsidRPr="00161778" w:rsidRDefault="00CA37E2">
            <w:pPr>
              <w:pStyle w:val="QPPTableTextBold"/>
            </w:pPr>
            <w:r w:rsidRPr="00161778">
              <w:t>AO</w:t>
            </w:r>
            <w:r w:rsidR="007E195A">
              <w:t>2</w:t>
            </w:r>
            <w:r w:rsidR="00416204">
              <w:t>1</w:t>
            </w:r>
            <w:r>
              <w:t>.1</w:t>
            </w:r>
          </w:p>
          <w:p w14:paraId="6DE9BE18" w14:textId="77777777" w:rsidR="00515145" w:rsidRDefault="00E95B61">
            <w:pPr>
              <w:pStyle w:val="QPPTableTextBody"/>
            </w:pPr>
            <w:r>
              <w:t xml:space="preserve">Development </w:t>
            </w:r>
            <w:r w:rsidR="0043153C">
              <w:t>complies with</w:t>
            </w:r>
            <w:r w:rsidR="00515145">
              <w:t xml:space="preserve"> any of the following:</w:t>
            </w:r>
          </w:p>
          <w:p w14:paraId="3B2E9C60" w14:textId="77777777" w:rsidR="00CA37E2" w:rsidRDefault="00CA37E2">
            <w:pPr>
              <w:pStyle w:val="HGTableBullet2"/>
              <w:numPr>
                <w:ilvl w:val="0"/>
                <w:numId w:val="36"/>
              </w:numPr>
            </w:pPr>
            <w:r>
              <w:t xml:space="preserve">a </w:t>
            </w:r>
            <w:r w:rsidR="00AE4244" w:rsidRPr="00BB73D5">
              <w:t>neighbourhood</w:t>
            </w:r>
            <w:r>
              <w:t xml:space="preserve"> plan, preliminary approval or development </w:t>
            </w:r>
            <w:r w:rsidR="002018FB">
              <w:t>approval</w:t>
            </w:r>
            <w:r w:rsidR="00E63714">
              <w:t>s</w:t>
            </w:r>
            <w:r w:rsidR="002018FB">
              <w:t xml:space="preserve"> </w:t>
            </w:r>
            <w:r w:rsidR="00515145">
              <w:t xml:space="preserve">which </w:t>
            </w:r>
            <w:r w:rsidR="00555B1C">
              <w:t xml:space="preserve">provide comprehensive information to guide the land use pattern, scale, arrangement, connections, </w:t>
            </w:r>
            <w:r w:rsidR="000174EB">
              <w:t xml:space="preserve">transport </w:t>
            </w:r>
            <w:r w:rsidR="00555B1C">
              <w:t xml:space="preserve">network and relationship to surrounding features and </w:t>
            </w:r>
            <w:r w:rsidR="00502310">
              <w:t>values</w:t>
            </w:r>
            <w:r>
              <w:t>;</w:t>
            </w:r>
          </w:p>
          <w:p w14:paraId="0631D9E2" w14:textId="77777777" w:rsidR="00CA37E2" w:rsidRPr="00B9050E" w:rsidRDefault="00515145">
            <w:pPr>
              <w:pStyle w:val="HGTableBullet2"/>
            </w:pPr>
            <w:r>
              <w:t xml:space="preserve">a structure plan which satisfies the performance outcome if there is no </w:t>
            </w:r>
            <w:r w:rsidR="00AE4244">
              <w:t>neighbourhood</w:t>
            </w:r>
            <w:r w:rsidR="00CA37E2">
              <w:t xml:space="preserve"> plan, preliminary approval or development </w:t>
            </w:r>
            <w:r w:rsidR="002018FB">
              <w:t xml:space="preserve">approval </w:t>
            </w:r>
            <w:r>
              <w:t xml:space="preserve">which </w:t>
            </w:r>
            <w:r w:rsidR="00CA37E2">
              <w:t>provide</w:t>
            </w:r>
            <w:r>
              <w:t>s</w:t>
            </w:r>
            <w:r w:rsidR="00CA37E2">
              <w:t xml:space="preserve"> comprehensive information</w:t>
            </w:r>
            <w:r>
              <w:t>; where:</w:t>
            </w:r>
          </w:p>
          <w:p w14:paraId="41805FC2" w14:textId="77777777" w:rsidR="00CA37E2" w:rsidRDefault="00515145" w:rsidP="00B47AA3">
            <w:pPr>
              <w:pStyle w:val="HGTableBullet3"/>
              <w:numPr>
                <w:ilvl w:val="0"/>
                <w:numId w:val="21"/>
              </w:numPr>
            </w:pPr>
            <w:r>
              <w:t xml:space="preserve">the </w:t>
            </w:r>
            <w:r w:rsidR="00CA37E2">
              <w:t xml:space="preserve">site </w:t>
            </w:r>
            <w:r>
              <w:t>is more than 1</w:t>
            </w:r>
            <w:r w:rsidR="00CA37E2">
              <w:t>ha in the Emerging communit</w:t>
            </w:r>
            <w:r w:rsidR="009E0980">
              <w:t>y</w:t>
            </w:r>
            <w:r w:rsidR="00CA37E2">
              <w:t xml:space="preserve"> zone; or</w:t>
            </w:r>
          </w:p>
          <w:p w14:paraId="74E67934" w14:textId="77777777" w:rsidR="00CA37E2" w:rsidRPr="004E1A44" w:rsidRDefault="00515145" w:rsidP="00B47AA3">
            <w:pPr>
              <w:pStyle w:val="HGTableBullet3"/>
            </w:pPr>
            <w:r>
              <w:t xml:space="preserve">the </w:t>
            </w:r>
            <w:r w:rsidR="00CA37E2">
              <w:t xml:space="preserve">site </w:t>
            </w:r>
            <w:r>
              <w:t xml:space="preserve">is </w:t>
            </w:r>
            <w:r w:rsidR="00CA37E2">
              <w:t>more than 7,000m</w:t>
            </w:r>
            <w:r w:rsidR="00CA37E2" w:rsidRPr="00B9050E">
              <w:rPr>
                <w:rStyle w:val="QPPSuperscriptChar"/>
              </w:rPr>
              <w:t>2</w:t>
            </w:r>
            <w:r w:rsidR="00CA37E2">
              <w:t xml:space="preserve"> in the Low density residential zone; or</w:t>
            </w:r>
          </w:p>
          <w:p w14:paraId="48C4B707" w14:textId="77777777" w:rsidR="00CA37E2" w:rsidRDefault="00CA37E2" w:rsidP="00B47AA3">
            <w:pPr>
              <w:pStyle w:val="HGTableBullet3"/>
            </w:pPr>
            <w:r>
              <w:t>the</w:t>
            </w:r>
            <w:r w:rsidR="00515145">
              <w:t>re</w:t>
            </w:r>
            <w:r>
              <w:t xml:space="preserve"> </w:t>
            </w:r>
            <w:r w:rsidR="00515145">
              <w:t xml:space="preserve">are </w:t>
            </w:r>
            <w:r>
              <w:t>20</w:t>
            </w:r>
            <w:r w:rsidR="0073083A">
              <w:t xml:space="preserve"> or more</w:t>
            </w:r>
            <w:r w:rsidR="00515145">
              <w:t xml:space="preserve"> lots</w:t>
            </w:r>
            <w:r>
              <w:t>; or</w:t>
            </w:r>
          </w:p>
          <w:p w14:paraId="3DAE5A30" w14:textId="77777777" w:rsidR="00CA37E2" w:rsidRDefault="00515145" w:rsidP="00B47AA3">
            <w:pPr>
              <w:pStyle w:val="HGTableBullet3"/>
            </w:pPr>
            <w:r>
              <w:t xml:space="preserve">the development </w:t>
            </w:r>
            <w:r w:rsidR="00CA37E2">
              <w:t xml:space="preserve">opens </w:t>
            </w:r>
            <w:r>
              <w:t xml:space="preserve">a </w:t>
            </w:r>
            <w:r w:rsidR="00CA37E2">
              <w:t xml:space="preserve">new road, creates </w:t>
            </w:r>
            <w:r>
              <w:t xml:space="preserve">a </w:t>
            </w:r>
            <w:r w:rsidR="00CA37E2">
              <w:t xml:space="preserve">park or </w:t>
            </w:r>
            <w:r w:rsidR="00B23895">
              <w:t xml:space="preserve">creates </w:t>
            </w:r>
            <w:r w:rsidR="00CA37E2">
              <w:t>bicycle and pedestrian network element</w:t>
            </w:r>
            <w:r w:rsidR="00B23895">
              <w:t>s</w:t>
            </w:r>
            <w:r w:rsidR="00CA37E2">
              <w:t>; or</w:t>
            </w:r>
          </w:p>
          <w:p w14:paraId="64C6CAB0" w14:textId="77777777" w:rsidR="00CA37E2" w:rsidRDefault="00CA37E2" w:rsidP="00B47AA3">
            <w:pPr>
              <w:pStyle w:val="HGTableBullet3"/>
            </w:pPr>
            <w:r>
              <w:t xml:space="preserve">includes a </w:t>
            </w:r>
            <w:r w:rsidR="00B50D4A">
              <w:t>minimum of 50%</w:t>
            </w:r>
            <w:r>
              <w:t xml:space="preserve"> of lots less than 350m</w:t>
            </w:r>
            <w:r w:rsidRPr="00B9050E">
              <w:rPr>
                <w:rStyle w:val="QPPSuperscriptChar"/>
              </w:rPr>
              <w:t>2</w:t>
            </w:r>
            <w:r>
              <w:t>;</w:t>
            </w:r>
          </w:p>
          <w:p w14:paraId="395AA751" w14:textId="77777777" w:rsidR="00CA37E2" w:rsidRDefault="00B70DA8">
            <w:pPr>
              <w:pStyle w:val="HGTableBullet2"/>
            </w:pPr>
            <w:r>
              <w:t xml:space="preserve">if paragraphs (a) and (b) do not apply, the </w:t>
            </w:r>
            <w:r w:rsidR="00CA37E2">
              <w:t xml:space="preserve">plans </w:t>
            </w:r>
            <w:r>
              <w:t xml:space="preserve">of the development </w:t>
            </w:r>
            <w:r w:rsidR="00CA37E2">
              <w:t xml:space="preserve">clearly indicate the integration, connection and relationship of the site with surrounding land uses, roads, pathways, bicycle routes, </w:t>
            </w:r>
            <w:r w:rsidR="00CF086F">
              <w:t>parks</w:t>
            </w:r>
            <w:r w:rsidR="00CA37E2">
              <w:t>, environmental values and key destinations such as ce</w:t>
            </w:r>
            <w:r w:rsidR="00A62053">
              <w:t>ntres and community facilities.</w:t>
            </w:r>
          </w:p>
        </w:tc>
      </w:tr>
      <w:tr w:rsidR="00CA37E2" w:rsidRPr="00A05DEA" w14:paraId="5FD431B8" w14:textId="77777777" w:rsidTr="00CD7CD9">
        <w:trPr>
          <w:trHeight w:val="2008"/>
        </w:trPr>
        <w:tc>
          <w:tcPr>
            <w:tcW w:w="4068" w:type="dxa"/>
            <w:vMerge/>
            <w:shd w:val="clear" w:color="auto" w:fill="auto"/>
          </w:tcPr>
          <w:p w14:paraId="35CF7A48" w14:textId="77777777" w:rsidR="00CA37E2" w:rsidRPr="00161778" w:rsidRDefault="00CA37E2">
            <w:pPr>
              <w:pStyle w:val="QPPTableTextBold"/>
            </w:pPr>
          </w:p>
        </w:tc>
        <w:tc>
          <w:tcPr>
            <w:tcW w:w="4860" w:type="dxa"/>
            <w:shd w:val="clear" w:color="auto" w:fill="auto"/>
          </w:tcPr>
          <w:p w14:paraId="7392FDB6" w14:textId="77777777" w:rsidR="00CA37E2" w:rsidRPr="00832898" w:rsidRDefault="00CA37E2">
            <w:pPr>
              <w:pStyle w:val="QPPTableTextBold"/>
            </w:pPr>
            <w:r w:rsidRPr="00B43419">
              <w:t>AO</w:t>
            </w:r>
            <w:r w:rsidR="007E195A" w:rsidRPr="00B43419">
              <w:t>2</w:t>
            </w:r>
            <w:r w:rsidR="00B50D4A">
              <w:t>1</w:t>
            </w:r>
            <w:r w:rsidR="00C82B0B" w:rsidRPr="00B43419">
              <w:t>.2</w:t>
            </w:r>
          </w:p>
          <w:p w14:paraId="691C1BFC" w14:textId="77777777" w:rsidR="00CA37E2" w:rsidRDefault="00B0786A">
            <w:pPr>
              <w:pStyle w:val="QPPTableTextBody"/>
            </w:pPr>
            <w:r>
              <w:t xml:space="preserve">Development </w:t>
            </w:r>
            <w:r w:rsidR="00CA37E2">
              <w:t>involving all</w:t>
            </w:r>
            <w:r w:rsidR="003855CA">
              <w:t xml:space="preserve"> residential,</w:t>
            </w:r>
            <w:r w:rsidR="00CA37E2">
              <w:t xml:space="preserve"> or significant residential, centre or mixed use development </w:t>
            </w:r>
            <w:r w:rsidR="00B70DA8">
              <w:t>provides</w:t>
            </w:r>
            <w:r w:rsidR="00CA37E2">
              <w:t>:</w:t>
            </w:r>
          </w:p>
          <w:p w14:paraId="766A8FE6" w14:textId="77777777" w:rsidR="00CA37E2" w:rsidRPr="00832898" w:rsidRDefault="00CA37E2">
            <w:pPr>
              <w:pStyle w:val="HGTableBullet2"/>
              <w:numPr>
                <w:ilvl w:val="0"/>
                <w:numId w:val="37"/>
              </w:numPr>
            </w:pPr>
            <w:r>
              <w:t>a</w:t>
            </w:r>
            <w:r w:rsidRPr="00832898">
              <w:t xml:space="preserve"> maximum street block length </w:t>
            </w:r>
            <w:r>
              <w:t>of</w:t>
            </w:r>
            <w:r w:rsidRPr="00832898">
              <w:t xml:space="preserve"> 220m;</w:t>
            </w:r>
          </w:p>
          <w:p w14:paraId="711F6655" w14:textId="77777777" w:rsidR="00CA37E2" w:rsidRPr="00832898" w:rsidRDefault="00CA37E2">
            <w:pPr>
              <w:pStyle w:val="HGTableBullet2"/>
            </w:pPr>
            <w:r>
              <w:t>a</w:t>
            </w:r>
            <w:r w:rsidRPr="00832898">
              <w:t xml:space="preserve"> </w:t>
            </w:r>
            <w:r w:rsidRPr="00BB73D5">
              <w:t>maximum</w:t>
            </w:r>
            <w:r w:rsidRPr="00832898">
              <w:t xml:space="preserve"> street block depth </w:t>
            </w:r>
            <w:r>
              <w:t>of</w:t>
            </w:r>
            <w:r w:rsidR="002924D9">
              <w:t xml:space="preserve"> 80m;</w:t>
            </w:r>
          </w:p>
          <w:p w14:paraId="5CA5CDC7" w14:textId="77777777" w:rsidR="00CA37E2" w:rsidRPr="00161778" w:rsidRDefault="00CA37E2">
            <w:pPr>
              <w:pStyle w:val="HGTableBullet2"/>
            </w:pPr>
            <w:r w:rsidRPr="00832898">
              <w:t xml:space="preserve">a mid-block link </w:t>
            </w:r>
            <w:r w:rsidR="00B50D4A">
              <w:t xml:space="preserve">with a direct line of sight between the link ends </w:t>
            </w:r>
            <w:r w:rsidRPr="00832898">
              <w:t xml:space="preserve">of a minimum width of 5m </w:t>
            </w:r>
            <w:r w:rsidR="00B70DA8">
              <w:t xml:space="preserve">if a </w:t>
            </w:r>
            <w:r w:rsidRPr="00832898">
              <w:t>street block exceeds 150m in length</w:t>
            </w:r>
            <w:r w:rsidR="000174EB">
              <w:t xml:space="preserve"> and provides a mid-</w:t>
            </w:r>
            <w:r w:rsidR="00B50D4A">
              <w:t>block link for every 150m of block length or part thereof where a block length exceeds 200m</w:t>
            </w:r>
            <w:r w:rsidRPr="00832898">
              <w:t>.</w:t>
            </w:r>
          </w:p>
        </w:tc>
      </w:tr>
      <w:tr w:rsidR="00A06233" w:rsidRPr="00A05DEA" w14:paraId="018D76A2" w14:textId="77777777" w:rsidTr="001B353F">
        <w:tc>
          <w:tcPr>
            <w:tcW w:w="4068" w:type="dxa"/>
            <w:vMerge w:val="restart"/>
            <w:shd w:val="clear" w:color="auto" w:fill="auto"/>
          </w:tcPr>
          <w:p w14:paraId="6A84454B" w14:textId="77777777" w:rsidR="00A06233" w:rsidRPr="00CA37E2" w:rsidRDefault="00A06233">
            <w:pPr>
              <w:pStyle w:val="QPPTableTextBold"/>
            </w:pPr>
            <w:r w:rsidRPr="00B43419">
              <w:t>PO2</w:t>
            </w:r>
            <w:r w:rsidR="00B50D4A">
              <w:t>2</w:t>
            </w:r>
          </w:p>
          <w:p w14:paraId="6F634C33" w14:textId="77777777" w:rsidR="00A06233" w:rsidRDefault="00A06233">
            <w:pPr>
              <w:pStyle w:val="QPPTableTextBody"/>
            </w:pPr>
            <w:r>
              <w:t>Development ensures that the layout retains and responds to:</w:t>
            </w:r>
          </w:p>
          <w:p w14:paraId="4F6F2754" w14:textId="77777777" w:rsidR="00A06233" w:rsidRPr="00432A48" w:rsidRDefault="00A06233">
            <w:pPr>
              <w:pStyle w:val="HGTableBullet2"/>
              <w:numPr>
                <w:ilvl w:val="0"/>
                <w:numId w:val="38"/>
              </w:numPr>
            </w:pPr>
            <w:r w:rsidRPr="00BB73D5">
              <w:t>physical</w:t>
            </w:r>
            <w:r w:rsidRPr="00432A48">
              <w:t xml:space="preserve"> features such as topography, natural drainage systems and </w:t>
            </w:r>
            <w:r>
              <w:t xml:space="preserve">significant </w:t>
            </w:r>
            <w:r w:rsidRPr="00432A48">
              <w:t>vegetation;</w:t>
            </w:r>
          </w:p>
          <w:p w14:paraId="7644A372" w14:textId="77777777" w:rsidR="00A06233" w:rsidRDefault="00A06233">
            <w:pPr>
              <w:pStyle w:val="HGTableBullet2"/>
            </w:pPr>
            <w:r>
              <w:t>existing heritage or character buildings;</w:t>
            </w:r>
          </w:p>
          <w:p w14:paraId="423F35C3" w14:textId="77777777" w:rsidR="00A06233" w:rsidRDefault="00A06233">
            <w:pPr>
              <w:pStyle w:val="HGTableBullet2"/>
            </w:pPr>
            <w:r>
              <w:t>adjoining existing uses, movement and park networks and services.</w:t>
            </w:r>
          </w:p>
        </w:tc>
        <w:tc>
          <w:tcPr>
            <w:tcW w:w="4860" w:type="dxa"/>
            <w:shd w:val="clear" w:color="auto" w:fill="auto"/>
          </w:tcPr>
          <w:p w14:paraId="0DFE62AB" w14:textId="77777777" w:rsidR="00A06233" w:rsidRPr="00B43419" w:rsidRDefault="00A06233">
            <w:pPr>
              <w:pStyle w:val="QPPTableTextBold"/>
            </w:pPr>
            <w:r w:rsidRPr="00B43419">
              <w:t>AO2</w:t>
            </w:r>
            <w:r w:rsidR="00B50D4A">
              <w:t>2</w:t>
            </w:r>
            <w:r>
              <w:t>.1</w:t>
            </w:r>
          </w:p>
          <w:p w14:paraId="731BF204" w14:textId="77777777" w:rsidR="00B50D4A" w:rsidRDefault="00A06233" w:rsidP="00B47AA3">
            <w:pPr>
              <w:pStyle w:val="QPPTableTextBody"/>
            </w:pPr>
            <w:r>
              <w:t xml:space="preserve">Development retains </w:t>
            </w:r>
            <w:r w:rsidR="00B50D4A">
              <w:t xml:space="preserve">and incorporates </w:t>
            </w:r>
            <w:r>
              <w:t>significant vegetation with</w:t>
            </w:r>
            <w:r w:rsidR="00D32836">
              <w:t>in</w:t>
            </w:r>
            <w:r>
              <w:t xml:space="preserve"> a park, private open space</w:t>
            </w:r>
            <w:r w:rsidR="00D32836">
              <w:t xml:space="preserve"> areas</w:t>
            </w:r>
            <w:r w:rsidR="00B50D4A">
              <w:t>,</w:t>
            </w:r>
            <w:r>
              <w:t xml:space="preserve"> road reserve</w:t>
            </w:r>
            <w:r w:rsidR="00B50D4A">
              <w:t>, waterways or corridors</w:t>
            </w:r>
            <w:r>
              <w:t>.</w:t>
            </w:r>
          </w:p>
          <w:p w14:paraId="122070A0" w14:textId="32D9705D" w:rsidR="00A06233" w:rsidRPr="00161778" w:rsidRDefault="00B50D4A" w:rsidP="00B47AA3">
            <w:pPr>
              <w:pStyle w:val="QPPEditorsNoteStyle1"/>
            </w:pPr>
            <w:r>
              <w:t xml:space="preserve">Note—The </w:t>
            </w:r>
            <w:r w:rsidRPr="00AB035A">
              <w:t>Vegetation planning scheme policy</w:t>
            </w:r>
            <w:r>
              <w:t xml:space="preserve"> provides guidance on determining what significant vegetation is to be considered in demonstrating achievement of this outcome</w:t>
            </w:r>
          </w:p>
        </w:tc>
      </w:tr>
      <w:tr w:rsidR="00A06233" w:rsidRPr="00A05DEA" w14:paraId="5D38E8D1" w14:textId="77777777" w:rsidTr="001B353F">
        <w:tc>
          <w:tcPr>
            <w:tcW w:w="4068" w:type="dxa"/>
            <w:vMerge/>
            <w:shd w:val="clear" w:color="auto" w:fill="auto"/>
          </w:tcPr>
          <w:p w14:paraId="2B0CC36D" w14:textId="77777777" w:rsidR="00A06233" w:rsidRPr="00B43419" w:rsidRDefault="00A06233">
            <w:pPr>
              <w:pStyle w:val="QPPTableTextBold"/>
            </w:pPr>
          </w:p>
        </w:tc>
        <w:tc>
          <w:tcPr>
            <w:tcW w:w="4860" w:type="dxa"/>
            <w:shd w:val="clear" w:color="auto" w:fill="auto"/>
          </w:tcPr>
          <w:p w14:paraId="23B1E446" w14:textId="77777777" w:rsidR="00A06233" w:rsidRDefault="00A06233">
            <w:pPr>
              <w:pStyle w:val="QPPTableTextBold"/>
            </w:pPr>
            <w:r>
              <w:t>AO2</w:t>
            </w:r>
            <w:r w:rsidR="008F0211">
              <w:t>2</w:t>
            </w:r>
            <w:r>
              <w:t>.2</w:t>
            </w:r>
          </w:p>
          <w:p w14:paraId="7A8F0ED5" w14:textId="77777777" w:rsidR="00A06233" w:rsidRPr="00B43419" w:rsidRDefault="00A06233" w:rsidP="00B47AA3">
            <w:pPr>
              <w:pStyle w:val="QPPTableTextBody"/>
            </w:pPr>
            <w:r>
              <w:t>Development integrates heritage or character buildings with community f</w:t>
            </w:r>
            <w:r w:rsidR="00A62053">
              <w:t>acilities or shared facilities.</w:t>
            </w:r>
          </w:p>
        </w:tc>
      </w:tr>
      <w:tr w:rsidR="00CA37E2" w:rsidRPr="00A05DEA" w14:paraId="0D7CD826" w14:textId="77777777" w:rsidTr="001B353F">
        <w:trPr>
          <w:trHeight w:val="2627"/>
        </w:trPr>
        <w:tc>
          <w:tcPr>
            <w:tcW w:w="4068" w:type="dxa"/>
            <w:shd w:val="clear" w:color="auto" w:fill="auto"/>
          </w:tcPr>
          <w:p w14:paraId="6B487DA7" w14:textId="77777777" w:rsidR="00CA37E2" w:rsidRPr="00CA37E2" w:rsidRDefault="00CA37E2">
            <w:pPr>
              <w:pStyle w:val="QPPTableTextBold"/>
            </w:pPr>
            <w:r w:rsidRPr="00B43419">
              <w:t>PO</w:t>
            </w:r>
            <w:r w:rsidR="00C82B0B" w:rsidRPr="00B43419">
              <w:t>2</w:t>
            </w:r>
            <w:r w:rsidR="008F0211">
              <w:t>3</w:t>
            </w:r>
          </w:p>
          <w:p w14:paraId="570966CE" w14:textId="77777777" w:rsidR="00CA37E2" w:rsidRDefault="00547944">
            <w:pPr>
              <w:pStyle w:val="QPPTableTextBody"/>
            </w:pPr>
            <w:r>
              <w:t xml:space="preserve">Development provides a </w:t>
            </w:r>
            <w:r w:rsidR="00CA37E2">
              <w:t xml:space="preserve">layout </w:t>
            </w:r>
            <w:r w:rsidR="00B70DA8">
              <w:t xml:space="preserve">which </w:t>
            </w:r>
            <w:r w:rsidR="00CA37E2">
              <w:t>support</w:t>
            </w:r>
            <w:r>
              <w:t>s</w:t>
            </w:r>
            <w:r w:rsidR="00CA37E2">
              <w:t xml:space="preserve"> </w:t>
            </w:r>
            <w:r w:rsidR="008F0211">
              <w:t xml:space="preserve">pedestrian access to </w:t>
            </w:r>
            <w:r w:rsidR="00CA37E2">
              <w:t>public transport services by</w:t>
            </w:r>
            <w:r w:rsidR="00B23895">
              <w:t xml:space="preserve"> locating</w:t>
            </w:r>
            <w:r w:rsidR="00CA37E2">
              <w:t>:</w:t>
            </w:r>
          </w:p>
          <w:p w14:paraId="1EB9BF7C" w14:textId="77777777" w:rsidR="00CA37E2" w:rsidRPr="00CA37E2" w:rsidRDefault="00CA37E2">
            <w:pPr>
              <w:pStyle w:val="HGTableBullet2"/>
              <w:numPr>
                <w:ilvl w:val="0"/>
                <w:numId w:val="39"/>
              </w:numPr>
            </w:pPr>
            <w:r w:rsidRPr="00CA37E2">
              <w:t>a high proportion of dwellings close to public transport stops;</w:t>
            </w:r>
          </w:p>
          <w:p w14:paraId="56F3B8EF" w14:textId="77777777" w:rsidR="00CA37E2" w:rsidRPr="00CA37E2" w:rsidRDefault="00CA37E2">
            <w:pPr>
              <w:pStyle w:val="HGTableBullet2"/>
            </w:pPr>
            <w:r w:rsidRPr="00CA37E2">
              <w:t>higher density residential development close to transport</w:t>
            </w:r>
            <w:r w:rsidR="008F0211">
              <w:t xml:space="preserve"> stops</w:t>
            </w:r>
            <w:r w:rsidRPr="00CA37E2">
              <w:t>;</w:t>
            </w:r>
          </w:p>
          <w:p w14:paraId="5F0A8E33" w14:textId="77777777" w:rsidR="00CA37E2" w:rsidRDefault="00B23895">
            <w:pPr>
              <w:pStyle w:val="HGTableBullet2"/>
            </w:pPr>
            <w:r>
              <w:t>non-residential or high trip-</w:t>
            </w:r>
            <w:r w:rsidR="00CA37E2" w:rsidRPr="00CA37E2">
              <w:t>generating uses immediately proximate to transport</w:t>
            </w:r>
            <w:r w:rsidR="008F0211">
              <w:t xml:space="preserve"> stops</w:t>
            </w:r>
            <w:r w:rsidR="00CA37E2" w:rsidRPr="00CA37E2">
              <w:t>.</w:t>
            </w:r>
          </w:p>
        </w:tc>
        <w:tc>
          <w:tcPr>
            <w:tcW w:w="4860" w:type="dxa"/>
            <w:shd w:val="clear" w:color="auto" w:fill="auto"/>
          </w:tcPr>
          <w:p w14:paraId="32FE3184" w14:textId="77777777" w:rsidR="00CA37E2" w:rsidRPr="00CA37E2" w:rsidRDefault="00CA37E2">
            <w:pPr>
              <w:pStyle w:val="QPPTableTextBold"/>
            </w:pPr>
            <w:r w:rsidRPr="00B43419">
              <w:t>AO</w:t>
            </w:r>
            <w:r w:rsidR="00C82B0B" w:rsidRPr="00B43419">
              <w:t>2</w:t>
            </w:r>
            <w:r w:rsidR="008F0211">
              <w:t>3</w:t>
            </w:r>
          </w:p>
          <w:p w14:paraId="5CBE5983" w14:textId="6EF71C23" w:rsidR="00CA37E2" w:rsidRPr="00CA37E2" w:rsidRDefault="00547944" w:rsidP="0039636A">
            <w:pPr>
              <w:pStyle w:val="QPPTableTextBody"/>
            </w:pPr>
            <w:r>
              <w:t xml:space="preserve">Development provides </w:t>
            </w:r>
            <w:r w:rsidR="00CA37E2" w:rsidRPr="00CA37E2">
              <w:t xml:space="preserve">90% </w:t>
            </w:r>
            <w:r w:rsidR="00BF5A15">
              <w:t xml:space="preserve">or more </w:t>
            </w:r>
            <w:r w:rsidR="00CA37E2" w:rsidRPr="00CA37E2">
              <w:t xml:space="preserve">of lots </w:t>
            </w:r>
            <w:r w:rsidR="00CA37E2">
              <w:t xml:space="preserve">and all non-residential uses intended for public visitation </w:t>
            </w:r>
            <w:r w:rsidR="00CA37E2" w:rsidRPr="00CA37E2">
              <w:t xml:space="preserve">within </w:t>
            </w:r>
            <w:r w:rsidR="00B70DA8">
              <w:t xml:space="preserve">a </w:t>
            </w:r>
            <w:r w:rsidR="00CA37E2" w:rsidRPr="00CA37E2">
              <w:t>400m</w:t>
            </w:r>
            <w:r w:rsidR="00C163E9">
              <w:t xml:space="preserve"> </w:t>
            </w:r>
            <w:r w:rsidR="00C163E9" w:rsidRPr="00AB035A">
              <w:t>walking distance</w:t>
            </w:r>
            <w:r w:rsidR="00C163E9">
              <w:t xml:space="preserve"> </w:t>
            </w:r>
            <w:r w:rsidR="00BC3EB6">
              <w:t>of</w:t>
            </w:r>
            <w:r w:rsidR="00CA37E2" w:rsidRPr="00CA37E2">
              <w:t xml:space="preserve"> an existing or future stop </w:t>
            </w:r>
            <w:r w:rsidR="0039636A">
              <w:t xml:space="preserve">on a public transport route </w:t>
            </w:r>
            <w:r w:rsidR="00CA37E2">
              <w:t xml:space="preserve">or </w:t>
            </w:r>
            <w:r w:rsidR="0039636A">
              <w:t xml:space="preserve">a dedicated public pedestrian access point to a railway or busway </w:t>
            </w:r>
            <w:r w:rsidR="00CA37E2">
              <w:t>station</w:t>
            </w:r>
            <w:r w:rsidR="00CA37E2" w:rsidRPr="00CA37E2">
              <w:t>.</w:t>
            </w:r>
          </w:p>
        </w:tc>
      </w:tr>
      <w:tr w:rsidR="00C82B0B" w:rsidRPr="001B353F" w14:paraId="01CDCB83" w14:textId="77777777" w:rsidTr="001B353F">
        <w:trPr>
          <w:trHeight w:val="3024"/>
        </w:trPr>
        <w:tc>
          <w:tcPr>
            <w:tcW w:w="4068" w:type="dxa"/>
            <w:vMerge w:val="restart"/>
            <w:shd w:val="clear" w:color="auto" w:fill="auto"/>
          </w:tcPr>
          <w:p w14:paraId="097CF051" w14:textId="77777777" w:rsidR="00C82B0B" w:rsidRPr="00B9050E" w:rsidRDefault="00C82B0B">
            <w:pPr>
              <w:pStyle w:val="QPPTableTextBold"/>
            </w:pPr>
            <w:r w:rsidRPr="00B43419">
              <w:t>PO2</w:t>
            </w:r>
            <w:r w:rsidR="008F0211">
              <w:t>4</w:t>
            </w:r>
          </w:p>
          <w:p w14:paraId="191C03FB" w14:textId="77777777" w:rsidR="00C82B0B" w:rsidRPr="00B9050E" w:rsidRDefault="00547944" w:rsidP="00A62053">
            <w:pPr>
              <w:pStyle w:val="QPPTableTextBody"/>
            </w:pPr>
            <w:r>
              <w:t>Development provides a</w:t>
            </w:r>
            <w:r w:rsidR="00C82B0B" w:rsidRPr="00B9050E">
              <w:t xml:space="preserve"> high proportion of lots</w:t>
            </w:r>
            <w:r w:rsidR="00B70DA8">
              <w:t xml:space="preserve"> which</w:t>
            </w:r>
            <w:r>
              <w:t xml:space="preserve"> can </w:t>
            </w:r>
            <w:r w:rsidR="00C82B0B" w:rsidRPr="00B9050E">
              <w:t>accommodate climate-responsive subtropical building design for solar access and breeze.</w:t>
            </w:r>
          </w:p>
        </w:tc>
        <w:tc>
          <w:tcPr>
            <w:tcW w:w="4860" w:type="dxa"/>
            <w:shd w:val="clear" w:color="auto" w:fill="auto"/>
          </w:tcPr>
          <w:p w14:paraId="62D182A2" w14:textId="77777777" w:rsidR="00C82B0B" w:rsidRPr="00C82B0B" w:rsidRDefault="00C82B0B">
            <w:pPr>
              <w:pStyle w:val="QPPTableTextBold"/>
            </w:pPr>
            <w:r w:rsidRPr="00B43419">
              <w:t>AO2</w:t>
            </w:r>
            <w:r w:rsidR="008F0211">
              <w:t>4</w:t>
            </w:r>
            <w:r w:rsidRPr="00B43419">
              <w:t>.1</w:t>
            </w:r>
          </w:p>
          <w:p w14:paraId="1A8D6183" w14:textId="77777777" w:rsidR="00C82B0B" w:rsidRPr="00B9050E" w:rsidRDefault="00547944">
            <w:pPr>
              <w:pStyle w:val="QPPTableTextBody"/>
            </w:pPr>
            <w:r>
              <w:t>Development provides l</w:t>
            </w:r>
            <w:r w:rsidR="00C82B0B" w:rsidRPr="00B9050E">
              <w:t xml:space="preserve">ots </w:t>
            </w:r>
            <w:r w:rsidR="00B70DA8">
              <w:t xml:space="preserve">which </w:t>
            </w:r>
            <w:r w:rsidR="00C82B0B" w:rsidRPr="00B9050E">
              <w:t>are generally designed and positioned as follows:</w:t>
            </w:r>
          </w:p>
          <w:p w14:paraId="3CE29E34" w14:textId="77777777" w:rsidR="00C82B0B" w:rsidRPr="00C82B0B" w:rsidRDefault="00C82B0B" w:rsidP="00B47AA3">
            <w:pPr>
              <w:pStyle w:val="HGTableBullet2"/>
              <w:numPr>
                <w:ilvl w:val="0"/>
                <w:numId w:val="95"/>
              </w:numPr>
            </w:pPr>
            <w:r w:rsidRPr="00BB73D5">
              <w:t>small</w:t>
            </w:r>
            <w:r w:rsidRPr="00C82B0B">
              <w:t xml:space="preserve"> lots are located on north-facing slopes with gradients of less than 15%;</w:t>
            </w:r>
          </w:p>
          <w:p w14:paraId="5CDC12E5" w14:textId="77777777" w:rsidR="00C82B0B" w:rsidRPr="00B9050E" w:rsidRDefault="00C82B0B">
            <w:pPr>
              <w:pStyle w:val="HGTableBullet2"/>
            </w:pPr>
            <w:r w:rsidRPr="00BB73D5">
              <w:t>large</w:t>
            </w:r>
            <w:r w:rsidR="00630D06" w:rsidRPr="00BB73D5">
              <w:t>st</w:t>
            </w:r>
            <w:r w:rsidRPr="00C82B0B">
              <w:t xml:space="preserve"> lots and lowest densities are located on south-facing slopes or other areas where solar access is poo</w:t>
            </w:r>
            <w:r w:rsidR="00B70DA8">
              <w:t>r.</w:t>
            </w:r>
          </w:p>
        </w:tc>
      </w:tr>
      <w:tr w:rsidR="000F7D57" w:rsidRPr="00A05DEA" w14:paraId="0A0A2D3A" w14:textId="77777777" w:rsidTr="001B353F">
        <w:tc>
          <w:tcPr>
            <w:tcW w:w="4068" w:type="dxa"/>
            <w:vMerge/>
            <w:shd w:val="clear" w:color="auto" w:fill="auto"/>
          </w:tcPr>
          <w:p w14:paraId="4F051EC8" w14:textId="77777777" w:rsidR="000F7D57" w:rsidRPr="002B04EF" w:rsidRDefault="000F7D57">
            <w:pPr>
              <w:pStyle w:val="QPPTableTextBold"/>
            </w:pPr>
          </w:p>
        </w:tc>
        <w:tc>
          <w:tcPr>
            <w:tcW w:w="4860" w:type="dxa"/>
            <w:shd w:val="clear" w:color="auto" w:fill="auto"/>
          </w:tcPr>
          <w:p w14:paraId="127AAF5C" w14:textId="77777777" w:rsidR="000F7D57" w:rsidRDefault="000F7D57">
            <w:pPr>
              <w:pStyle w:val="QPPTableTextBold"/>
            </w:pPr>
            <w:r w:rsidRPr="00B43419">
              <w:t>AO</w:t>
            </w:r>
            <w:r w:rsidR="00C82B0B" w:rsidRPr="00B43419">
              <w:t>2</w:t>
            </w:r>
            <w:r w:rsidR="008F0211">
              <w:t>4</w:t>
            </w:r>
            <w:r w:rsidR="00C82B0B" w:rsidRPr="00B43419">
              <w:t>.2</w:t>
            </w:r>
          </w:p>
          <w:p w14:paraId="07A61898" w14:textId="77777777" w:rsidR="000F7D57" w:rsidRDefault="00547944">
            <w:pPr>
              <w:pStyle w:val="QPPTableTextBody"/>
            </w:pPr>
            <w:r>
              <w:t xml:space="preserve">Development </w:t>
            </w:r>
            <w:r w:rsidR="0089436F">
              <w:t>involving a small lot which has a building envelope plan</w:t>
            </w:r>
            <w:r w:rsidR="00077E26">
              <w:t>,</w:t>
            </w:r>
            <w:r w:rsidR="0089436F">
              <w:t xml:space="preserve"> or provides for integrated small lot development</w:t>
            </w:r>
            <w:r w:rsidR="00077E26">
              <w:t>,</w:t>
            </w:r>
            <w:r w:rsidR="00623593">
              <w:t xml:space="preserve"> identifies</w:t>
            </w:r>
            <w:r w:rsidR="0089436F">
              <w:t xml:space="preserve"> on the building envelope plan</w:t>
            </w:r>
            <w:r w:rsidR="000F7D57">
              <w:t xml:space="preserve"> private open space </w:t>
            </w:r>
            <w:r w:rsidR="00630D06">
              <w:t>orientated to</w:t>
            </w:r>
            <w:r w:rsidR="000F7D57">
              <w:t xml:space="preserve"> the north or north-east</w:t>
            </w:r>
            <w:r w:rsidR="009F44D6">
              <w:t xml:space="preserve"> if</w:t>
            </w:r>
            <w:r w:rsidR="000F7D57">
              <w:t xml:space="preserve"> this can be accommodated to the rear or side of buildings.</w:t>
            </w:r>
          </w:p>
        </w:tc>
      </w:tr>
      <w:tr w:rsidR="00782480" w:rsidRPr="00A05DEA" w14:paraId="3EAB76E3" w14:textId="77777777" w:rsidTr="001B353F">
        <w:trPr>
          <w:trHeight w:val="109"/>
        </w:trPr>
        <w:tc>
          <w:tcPr>
            <w:tcW w:w="4068" w:type="dxa"/>
            <w:vMerge w:val="restart"/>
            <w:shd w:val="clear" w:color="auto" w:fill="auto"/>
          </w:tcPr>
          <w:p w14:paraId="4375D1C7" w14:textId="77777777" w:rsidR="00782480" w:rsidRPr="00161778" w:rsidRDefault="00782480">
            <w:pPr>
              <w:pStyle w:val="QPPTableTextBold"/>
            </w:pPr>
            <w:r w:rsidRPr="00B43419">
              <w:t>PO2</w:t>
            </w:r>
            <w:r w:rsidR="008F0211">
              <w:t>5</w:t>
            </w:r>
          </w:p>
          <w:p w14:paraId="19FD929E" w14:textId="77777777" w:rsidR="00782480" w:rsidRDefault="00547944" w:rsidP="00A62053">
            <w:pPr>
              <w:pStyle w:val="QPPTableTextBody"/>
            </w:pPr>
            <w:r>
              <w:t xml:space="preserve">Development provides </w:t>
            </w:r>
            <w:r w:rsidR="00782480">
              <w:t xml:space="preserve">a range of lot sizes and types </w:t>
            </w:r>
            <w:r w:rsidR="00245763">
              <w:t xml:space="preserve">mixed in one location </w:t>
            </w:r>
            <w:r w:rsidR="00782480">
              <w:t xml:space="preserve">to support </w:t>
            </w:r>
            <w:r w:rsidR="00555B1C">
              <w:t xml:space="preserve">increased </w:t>
            </w:r>
            <w:r w:rsidR="00782480">
              <w:t>housing choice appropriate for a range of household types</w:t>
            </w:r>
            <w:r w:rsidR="008F0211">
              <w:t xml:space="preserve"> and is consistent with the proposed uses of the site and the surrounding lot character or provides transitions from that surrounding lot character</w:t>
            </w:r>
            <w:r w:rsidR="00782480">
              <w:t>.</w:t>
            </w:r>
          </w:p>
        </w:tc>
        <w:tc>
          <w:tcPr>
            <w:tcW w:w="4860" w:type="dxa"/>
            <w:shd w:val="clear" w:color="auto" w:fill="auto"/>
          </w:tcPr>
          <w:p w14:paraId="2FEE6A47" w14:textId="77777777" w:rsidR="00782480" w:rsidRPr="00161778" w:rsidRDefault="00782480">
            <w:pPr>
              <w:pStyle w:val="QPPTableTextBold"/>
            </w:pPr>
            <w:r w:rsidRPr="00B43419">
              <w:t>AO2</w:t>
            </w:r>
            <w:r w:rsidR="008F0211">
              <w:t>5</w:t>
            </w:r>
            <w:r w:rsidRPr="00B43419">
              <w:t>.1</w:t>
            </w:r>
          </w:p>
          <w:p w14:paraId="686FE614" w14:textId="77777777" w:rsidR="00782480" w:rsidRDefault="00547944">
            <w:pPr>
              <w:pStyle w:val="QPPTableTextBody"/>
            </w:pPr>
            <w:r>
              <w:t>Development provides a</w:t>
            </w:r>
            <w:r w:rsidR="00782480">
              <w:t xml:space="preserve"> range of lot</w:t>
            </w:r>
            <w:r w:rsidR="00245763">
              <w:t xml:space="preserve"> </w:t>
            </w:r>
            <w:r w:rsidR="00782480">
              <w:t>s</w:t>
            </w:r>
            <w:r w:rsidR="00245763">
              <w:t>izes</w:t>
            </w:r>
            <w:r w:rsidR="00782480">
              <w:t xml:space="preserve"> </w:t>
            </w:r>
            <w:r w:rsidR="009F44D6">
              <w:t xml:space="preserve">which </w:t>
            </w:r>
            <w:r w:rsidR="004366C0">
              <w:t xml:space="preserve">comply </w:t>
            </w:r>
            <w:r w:rsidR="00782480">
              <w:t>with:</w:t>
            </w:r>
          </w:p>
          <w:p w14:paraId="27DA87A0" w14:textId="77777777" w:rsidR="00782480" w:rsidRDefault="00245763">
            <w:pPr>
              <w:pStyle w:val="HGTableBullet2"/>
              <w:numPr>
                <w:ilvl w:val="0"/>
                <w:numId w:val="41"/>
              </w:numPr>
            </w:pPr>
            <w:r w:rsidRPr="00BB73D5">
              <w:t>the</w:t>
            </w:r>
            <w:r>
              <w:t xml:space="preserve"> zone, zone precinct, </w:t>
            </w:r>
            <w:r w:rsidR="009F44D6">
              <w:t>n</w:t>
            </w:r>
            <w:r w:rsidR="00782480">
              <w:t xml:space="preserve">eighbourhood </w:t>
            </w:r>
            <w:r w:rsidR="009F44D6">
              <w:t>p</w:t>
            </w:r>
            <w:r w:rsidR="00782480">
              <w:t xml:space="preserve">lan, preliminary approval or development </w:t>
            </w:r>
            <w:r w:rsidR="002018FB">
              <w:t>approval</w:t>
            </w:r>
            <w:r w:rsidR="00782480">
              <w:t>; or</w:t>
            </w:r>
          </w:p>
          <w:p w14:paraId="0591D05B" w14:textId="071F4D99" w:rsidR="00C1600C" w:rsidRDefault="009F44D6">
            <w:pPr>
              <w:pStyle w:val="HGTableBullet2"/>
            </w:pPr>
            <w:r w:rsidRPr="00BB73D5">
              <w:t>if</w:t>
            </w:r>
            <w:r>
              <w:t xml:space="preserve"> </w:t>
            </w:r>
            <w:r w:rsidR="00782480">
              <w:t xml:space="preserve">there is no </w:t>
            </w:r>
            <w:r>
              <w:t>n</w:t>
            </w:r>
            <w:r w:rsidR="00782480">
              <w:t xml:space="preserve">eighbourhood </w:t>
            </w:r>
            <w:r>
              <w:t>p</w:t>
            </w:r>
            <w:r w:rsidR="00782480">
              <w:t xml:space="preserve">lan, preliminary approval or development </w:t>
            </w:r>
            <w:r w:rsidR="002018FB">
              <w:t xml:space="preserve">approval </w:t>
            </w:r>
            <w:r>
              <w:t>which specifies</w:t>
            </w:r>
            <w:r w:rsidR="00555B1C">
              <w:t xml:space="preserve"> or provide</w:t>
            </w:r>
            <w:r>
              <w:t>s</w:t>
            </w:r>
            <w:r w:rsidR="00555B1C">
              <w:t xml:space="preserve"> sufficient information on </w:t>
            </w:r>
            <w:r>
              <w:t xml:space="preserve">the </w:t>
            </w:r>
            <w:r w:rsidR="00C1600C">
              <w:t xml:space="preserve">range, </w:t>
            </w:r>
            <w:r>
              <w:t>scale, mix and density</w:t>
            </w:r>
            <w:r w:rsidR="00C1600C">
              <w:t xml:space="preserve"> of lots</w:t>
            </w:r>
            <w:r>
              <w:t>,</w:t>
            </w:r>
            <w:r w:rsidR="00555B1C">
              <w:t xml:space="preserve"> </w:t>
            </w:r>
            <w:r w:rsidR="00782480">
              <w:t xml:space="preserve">a </w:t>
            </w:r>
            <w:r w:rsidR="00171931">
              <w:t xml:space="preserve">maximum </w:t>
            </w:r>
            <w:r w:rsidR="00782480">
              <w:t xml:space="preserve">of </w:t>
            </w:r>
            <w:r w:rsidR="00F02765">
              <w:t>18</w:t>
            </w:r>
            <w:r w:rsidR="00ED6D48">
              <w:t xml:space="preserve"> </w:t>
            </w:r>
            <w:r w:rsidR="00782480" w:rsidRPr="00AB035A">
              <w:t>dwellings</w:t>
            </w:r>
            <w:r w:rsidR="00782480">
              <w:t xml:space="preserve"> per </w:t>
            </w:r>
            <w:r w:rsidR="00781E4B">
              <w:t>hectare</w:t>
            </w:r>
            <w:r w:rsidR="00782480">
              <w:t xml:space="preserve"> in </w:t>
            </w:r>
            <w:r>
              <w:t xml:space="preserve">the </w:t>
            </w:r>
            <w:r w:rsidR="00782480">
              <w:t xml:space="preserve">Emerging community </w:t>
            </w:r>
            <w:r>
              <w:t xml:space="preserve">zone </w:t>
            </w:r>
            <w:r w:rsidR="00782480">
              <w:t>a</w:t>
            </w:r>
            <w:r>
              <w:t>nd</w:t>
            </w:r>
            <w:r w:rsidR="003855CA">
              <w:t xml:space="preserve"> </w:t>
            </w:r>
            <w:r w:rsidR="00F02765">
              <w:t>in the</w:t>
            </w:r>
            <w:r>
              <w:t xml:space="preserve"> Low density residential zone</w:t>
            </w:r>
            <w:r w:rsidR="00F02765">
              <w:t>,</w:t>
            </w:r>
            <w:r w:rsidR="00782480">
              <w:t xml:space="preserve"> and </w:t>
            </w:r>
            <w:r w:rsidR="00F02765">
              <w:t>24</w:t>
            </w:r>
            <w:r w:rsidR="00ED6D48">
              <w:t xml:space="preserve"> </w:t>
            </w:r>
            <w:r w:rsidR="00782480" w:rsidRPr="00AB035A">
              <w:t>dwellings</w:t>
            </w:r>
            <w:r w:rsidR="00782480">
              <w:t xml:space="preserve"> per hectare in the </w:t>
            </w:r>
            <w:r w:rsidR="00781E4B">
              <w:t>Low-m</w:t>
            </w:r>
            <w:r w:rsidR="00782480">
              <w:t>edium density residential zone</w:t>
            </w:r>
            <w:r w:rsidR="00C1600C">
              <w:t>; or</w:t>
            </w:r>
          </w:p>
          <w:p w14:paraId="45F2F49F" w14:textId="64E8FEED" w:rsidR="00782480" w:rsidRDefault="00C1600C">
            <w:pPr>
              <w:pStyle w:val="HGTableBullet2"/>
            </w:pPr>
            <w:r>
              <w:t xml:space="preserve">if there is no neighbourhood plan, preliminary approval or development </w:t>
            </w:r>
            <w:r w:rsidR="002018FB">
              <w:t xml:space="preserve">approval </w:t>
            </w:r>
            <w:r>
              <w:t xml:space="preserve">which specifies or provides sufficient information on the range, scale, mix and density of lots, the minimum requirements of </w:t>
            </w:r>
            <w:r w:rsidR="0045583E" w:rsidRPr="00AB035A">
              <w:t>Table 9.4.10.3.B</w:t>
            </w:r>
            <w:r w:rsidR="0045583E">
              <w:t xml:space="preserve"> </w:t>
            </w:r>
            <w:r>
              <w:t>and surrounding lot character consistent with</w:t>
            </w:r>
            <w:r w:rsidR="00A62053">
              <w:t xml:space="preserve"> the proposed uses of the site.</w:t>
            </w:r>
          </w:p>
          <w:p w14:paraId="149F4F22" w14:textId="77777777" w:rsidR="00AD3FDF" w:rsidRPr="00AD3FDF" w:rsidRDefault="00782480" w:rsidP="001C6BF5">
            <w:pPr>
              <w:pStyle w:val="QPPEditorsNoteStyle1"/>
            </w:pPr>
            <w:r>
              <w:t>Note—</w:t>
            </w:r>
            <w:r w:rsidR="00AD3FDF" w:rsidRPr="008426E0">
              <w:t xml:space="preserve">The density of dwellings per hectare is calculated </w:t>
            </w:r>
            <w:r w:rsidR="002153F3">
              <w:t xml:space="preserve">based </w:t>
            </w:r>
            <w:r w:rsidR="00AD3FDF" w:rsidRPr="008426E0">
              <w:t>on the number of dwellings (</w:t>
            </w:r>
            <w:r w:rsidR="00C636C4">
              <w:t xml:space="preserve">such as </w:t>
            </w:r>
            <w:r w:rsidR="00AD3FDF" w:rsidRPr="008426E0">
              <w:t>dwelling houses, multiple dwellings) relative to the area of the site proposed lots intended for dwellings and inclusive of land intended to be included in the</w:t>
            </w:r>
            <w:r w:rsidR="001C6BF5">
              <w:t xml:space="preserve"> Local zone precinct of the</w:t>
            </w:r>
            <w:r w:rsidR="00AD3FDF" w:rsidRPr="008426E0">
              <w:t xml:space="preserve"> </w:t>
            </w:r>
            <w:r w:rsidR="001C6BF5">
              <w:t>O</w:t>
            </w:r>
            <w:r w:rsidR="00AD3FDF" w:rsidRPr="008426E0">
              <w:t>pen space zone and local roads</w:t>
            </w:r>
            <w:r w:rsidR="00AD3FDF">
              <w:t>.</w:t>
            </w:r>
          </w:p>
        </w:tc>
      </w:tr>
      <w:tr w:rsidR="00782480" w:rsidRPr="00A05DEA" w14:paraId="38254155" w14:textId="77777777" w:rsidTr="00ED6D48">
        <w:trPr>
          <w:trHeight w:val="889"/>
        </w:trPr>
        <w:tc>
          <w:tcPr>
            <w:tcW w:w="4068" w:type="dxa"/>
            <w:vMerge/>
            <w:shd w:val="clear" w:color="auto" w:fill="auto"/>
          </w:tcPr>
          <w:p w14:paraId="52FCAA65" w14:textId="77777777" w:rsidR="00782480" w:rsidRPr="001B353F" w:rsidRDefault="00782480">
            <w:pPr>
              <w:pStyle w:val="QPPTableTextBody"/>
            </w:pPr>
          </w:p>
        </w:tc>
        <w:tc>
          <w:tcPr>
            <w:tcW w:w="4860" w:type="dxa"/>
            <w:shd w:val="clear" w:color="auto" w:fill="auto"/>
          </w:tcPr>
          <w:p w14:paraId="4221CCEB" w14:textId="77777777" w:rsidR="00782480" w:rsidRDefault="00782480">
            <w:pPr>
              <w:pStyle w:val="QPPTableTextBold"/>
            </w:pPr>
            <w:r w:rsidRPr="00767929">
              <w:t>AO</w:t>
            </w:r>
            <w:r>
              <w:t>2</w:t>
            </w:r>
            <w:r w:rsidR="008F0211">
              <w:t>5</w:t>
            </w:r>
            <w:r>
              <w:t>.2</w:t>
            </w:r>
          </w:p>
          <w:p w14:paraId="25BF2040" w14:textId="77777777" w:rsidR="004E2659" w:rsidRDefault="00E81FF7">
            <w:pPr>
              <w:pStyle w:val="QPPTableTextBody"/>
            </w:pPr>
            <w:r>
              <w:t xml:space="preserve">Development provides a </w:t>
            </w:r>
            <w:r w:rsidR="00782480">
              <w:t xml:space="preserve">frequency of standard and small </w:t>
            </w:r>
            <w:r w:rsidR="00D71B18">
              <w:t>lots</w:t>
            </w:r>
            <w:r w:rsidR="009F44D6">
              <w:t xml:space="preserve"> which are</w:t>
            </w:r>
            <w:r w:rsidR="00782480">
              <w:t xml:space="preserve"> varied to facilitate housing variety that</w:t>
            </w:r>
            <w:r w:rsidR="009F44D6">
              <w:t xml:space="preserve"> ensures</w:t>
            </w:r>
            <w:r w:rsidR="004E2659">
              <w:t>:</w:t>
            </w:r>
          </w:p>
          <w:p w14:paraId="3044F8AA" w14:textId="1F8D372C" w:rsidR="004E2659" w:rsidRDefault="004E2659">
            <w:pPr>
              <w:pStyle w:val="HGTableBullet2"/>
              <w:numPr>
                <w:ilvl w:val="0"/>
                <w:numId w:val="42"/>
              </w:numPr>
            </w:pPr>
            <w:r>
              <w:t xml:space="preserve">in the </w:t>
            </w:r>
            <w:r w:rsidR="009F44D6" w:rsidRPr="00AB035A">
              <w:t>E</w:t>
            </w:r>
            <w:r w:rsidRPr="00AB035A">
              <w:t>merging community</w:t>
            </w:r>
            <w:r w:rsidR="00781E4B" w:rsidRPr="00AB035A">
              <w:t xml:space="preserve"> zone</w:t>
            </w:r>
            <w:r w:rsidRPr="006F6893">
              <w:t xml:space="preserve">, </w:t>
            </w:r>
            <w:r w:rsidR="009F44D6" w:rsidRPr="00AB035A">
              <w:t>L</w:t>
            </w:r>
            <w:r w:rsidRPr="00AB035A">
              <w:t xml:space="preserve">ow density residential </w:t>
            </w:r>
            <w:r w:rsidR="009F44D6" w:rsidRPr="00AB035A">
              <w:t>zone</w:t>
            </w:r>
            <w:r w:rsidR="009F44D6">
              <w:t xml:space="preserve"> </w:t>
            </w:r>
            <w:r>
              <w:t xml:space="preserve">and </w:t>
            </w:r>
            <w:r w:rsidR="009F44D6" w:rsidRPr="00AB035A">
              <w:t>C</w:t>
            </w:r>
            <w:r w:rsidRPr="00AB035A">
              <w:t>haracter residential zone</w:t>
            </w:r>
            <w:r>
              <w:t>,</w:t>
            </w:r>
            <w:r w:rsidR="00781E4B">
              <w:t xml:space="preserve"> there</w:t>
            </w:r>
            <w:r>
              <w:t xml:space="preserve"> </w:t>
            </w:r>
            <w:r w:rsidR="009F44D6">
              <w:t xml:space="preserve">is </w:t>
            </w:r>
            <w:r w:rsidR="00782480">
              <w:t xml:space="preserve">no more than 6 </w:t>
            </w:r>
            <w:r w:rsidR="00D71B18">
              <w:t xml:space="preserve">contiguous small </w:t>
            </w:r>
            <w:r w:rsidR="00782480">
              <w:t>lots</w:t>
            </w:r>
            <w:r w:rsidR="00D71B18">
              <w:t xml:space="preserve"> </w:t>
            </w:r>
            <w:r w:rsidR="00782480">
              <w:t>along a street frontage</w:t>
            </w:r>
            <w:r w:rsidR="00D71B18">
              <w:t xml:space="preserve"> </w:t>
            </w:r>
            <w:r w:rsidR="009F44D6">
              <w:t xml:space="preserve">which </w:t>
            </w:r>
            <w:r w:rsidR="00D71B18">
              <w:t>are separated by no less than 2 standard lots</w:t>
            </w:r>
            <w:r w:rsidR="008F0211">
              <w:t xml:space="preserve"> from other small lots</w:t>
            </w:r>
            <w:r>
              <w:t>;</w:t>
            </w:r>
          </w:p>
          <w:p w14:paraId="61045B30" w14:textId="605EBBC9" w:rsidR="00782480" w:rsidRDefault="009F44D6">
            <w:pPr>
              <w:pStyle w:val="HGTableBullet2"/>
            </w:pPr>
            <w:r>
              <w:t>i</w:t>
            </w:r>
            <w:r w:rsidR="004E2659">
              <w:t xml:space="preserve">n the </w:t>
            </w:r>
            <w:r w:rsidR="00004BDF" w:rsidRPr="00AB035A">
              <w:t>Low-</w:t>
            </w:r>
            <w:r w:rsidR="00AD1CEE" w:rsidRPr="00AB035A">
              <w:t>m</w:t>
            </w:r>
            <w:r w:rsidRPr="00AB035A">
              <w:t>edium density</w:t>
            </w:r>
            <w:r w:rsidR="00AD1CEE" w:rsidRPr="00AB035A">
              <w:t xml:space="preserve"> residential</w:t>
            </w:r>
            <w:r w:rsidRPr="00AB035A">
              <w:t xml:space="preserve"> zone</w:t>
            </w:r>
            <w:r w:rsidR="004E2659">
              <w:t xml:space="preserve">, </w:t>
            </w:r>
            <w:r>
              <w:t xml:space="preserve">there is </w:t>
            </w:r>
            <w:r w:rsidR="004E2659">
              <w:t xml:space="preserve">no more than 6 contiguous small lots </w:t>
            </w:r>
            <w:r w:rsidR="004E2659" w:rsidRPr="00BB73D5">
              <w:t>joined</w:t>
            </w:r>
            <w:r w:rsidR="004E2659">
              <w:t xml:space="preserve"> by sharing boundary walls along a street frontage</w:t>
            </w:r>
            <w:r w:rsidR="00782480">
              <w:t>.</w:t>
            </w:r>
          </w:p>
          <w:p w14:paraId="7F2B1A93" w14:textId="77777777" w:rsidR="008F0211" w:rsidRDefault="00CD2A26">
            <w:pPr>
              <w:pStyle w:val="HGTableBullet2"/>
            </w:pPr>
            <w:r>
              <w:t>t</w:t>
            </w:r>
            <w:r w:rsidR="008F0211">
              <w:t>here is a transition between the surrounding lot size character of land in a zone in the Residential zones category or the Emerging community zone and the site that provides lots consistent with the size of adjoining lots.</w:t>
            </w:r>
          </w:p>
          <w:p w14:paraId="33A766F3" w14:textId="77777777" w:rsidR="00C1600C" w:rsidRPr="00D71B18" w:rsidRDefault="00C1600C" w:rsidP="00B47AA3">
            <w:pPr>
              <w:pStyle w:val="QPPEditorsNoteStyle1"/>
            </w:pPr>
            <w:r>
              <w:t xml:space="preserve">Note—The limitations for sharing boundary walls </w:t>
            </w:r>
            <w:r w:rsidR="009C7652">
              <w:t xml:space="preserve">(AO25.2(b)) </w:t>
            </w:r>
            <w:r>
              <w:t>can be registered on title to clearly indicate where shared walls are located or not in order to de</w:t>
            </w:r>
            <w:r w:rsidR="00A62053">
              <w:t>monstrate meeting this outcome.</w:t>
            </w:r>
          </w:p>
        </w:tc>
      </w:tr>
      <w:tr w:rsidR="00366D06" w:rsidRPr="001B353F" w14:paraId="316B5DF7" w14:textId="77777777" w:rsidTr="001B353F">
        <w:tc>
          <w:tcPr>
            <w:tcW w:w="4068" w:type="dxa"/>
            <w:shd w:val="clear" w:color="auto" w:fill="auto"/>
          </w:tcPr>
          <w:p w14:paraId="0848378B" w14:textId="77777777" w:rsidR="00366D06" w:rsidRDefault="00366D06">
            <w:pPr>
              <w:pStyle w:val="QPPTableTextBold"/>
            </w:pPr>
            <w:r w:rsidRPr="00B43419">
              <w:t>PO</w:t>
            </w:r>
            <w:r w:rsidR="009D4E98" w:rsidRPr="00B43419">
              <w:t>2</w:t>
            </w:r>
            <w:r w:rsidR="009C7652">
              <w:t>6</w:t>
            </w:r>
          </w:p>
          <w:p w14:paraId="558784EB" w14:textId="77777777" w:rsidR="00366D06" w:rsidRDefault="00E81FF7">
            <w:pPr>
              <w:pStyle w:val="QPPTableTextBody"/>
            </w:pPr>
            <w:r>
              <w:t xml:space="preserve">Development </w:t>
            </w:r>
            <w:r w:rsidR="009F44D6">
              <w:t xml:space="preserve">involving </w:t>
            </w:r>
            <w:r>
              <w:t>l</w:t>
            </w:r>
            <w:r w:rsidR="00366D06">
              <w:t xml:space="preserve">ots for non-residential, centre or mixed use development </w:t>
            </w:r>
            <w:r w:rsidR="009F44D6">
              <w:t xml:space="preserve">is </w:t>
            </w:r>
            <w:r w:rsidR="00366D06">
              <w:t xml:space="preserve">provided in </w:t>
            </w:r>
            <w:r w:rsidR="009F44D6">
              <w:t xml:space="preserve">the following </w:t>
            </w:r>
            <w:r w:rsidR="00781E4B">
              <w:t xml:space="preserve">appropriate </w:t>
            </w:r>
            <w:r w:rsidR="009F44D6">
              <w:t>locations</w:t>
            </w:r>
            <w:r w:rsidR="00C1600C">
              <w:t xml:space="preserve"> that take advantage of</w:t>
            </w:r>
            <w:r w:rsidR="00366D06">
              <w:t>:</w:t>
            </w:r>
          </w:p>
          <w:p w14:paraId="4B0318C4" w14:textId="77777777" w:rsidR="00366D06" w:rsidRDefault="00366D06">
            <w:pPr>
              <w:pStyle w:val="HGTableBullet2"/>
              <w:numPr>
                <w:ilvl w:val="0"/>
                <w:numId w:val="43"/>
              </w:numPr>
            </w:pPr>
            <w:r>
              <w:t xml:space="preserve">site access opportunities or </w:t>
            </w:r>
            <w:r w:rsidRPr="00BB73D5">
              <w:t>restrictions</w:t>
            </w:r>
            <w:r>
              <w:t>;</w:t>
            </w:r>
          </w:p>
          <w:p w14:paraId="50D9F889" w14:textId="77777777" w:rsidR="00366D06" w:rsidRDefault="00366D06">
            <w:pPr>
              <w:pStyle w:val="HGTableBullet2"/>
            </w:pPr>
            <w:r>
              <w:t xml:space="preserve">positive streetscape or </w:t>
            </w:r>
            <w:r w:rsidR="00A06233">
              <w:t>park</w:t>
            </w:r>
            <w:r>
              <w:t xml:space="preserve"> interface opportunities;</w:t>
            </w:r>
          </w:p>
          <w:p w14:paraId="552077BC" w14:textId="77777777" w:rsidR="00366D06" w:rsidRPr="00E8482C" w:rsidRDefault="00366D06">
            <w:pPr>
              <w:pStyle w:val="HGTableBullet2"/>
            </w:pPr>
            <w:r>
              <w:t>o</w:t>
            </w:r>
            <w:r w:rsidRPr="00E8482C">
              <w:t>pportunities to locate near transport stops or on transport routes;</w:t>
            </w:r>
          </w:p>
          <w:p w14:paraId="599E4A93" w14:textId="77777777" w:rsidR="00366D06" w:rsidRDefault="00366D06">
            <w:pPr>
              <w:pStyle w:val="HGTableBullet2"/>
            </w:pPr>
            <w:r>
              <w:t>uses and building forms to act as noise buffers to external noise sources such as major roads, railways or other non-residential uses;</w:t>
            </w:r>
          </w:p>
          <w:p w14:paraId="289FDD18" w14:textId="77777777" w:rsidR="00366D06" w:rsidRPr="002B04EF" w:rsidRDefault="00366D06">
            <w:pPr>
              <w:pStyle w:val="HGTableBullet2"/>
            </w:pPr>
            <w:r>
              <w:t>development interfaces and land use transitions to residential uses.</w:t>
            </w:r>
          </w:p>
        </w:tc>
        <w:tc>
          <w:tcPr>
            <w:tcW w:w="4860" w:type="dxa"/>
            <w:shd w:val="clear" w:color="auto" w:fill="auto"/>
          </w:tcPr>
          <w:p w14:paraId="17F1A695" w14:textId="77777777" w:rsidR="00366D06" w:rsidRDefault="00366D06">
            <w:pPr>
              <w:pStyle w:val="QPPTableTextBold"/>
            </w:pPr>
            <w:r w:rsidRPr="00B43419">
              <w:t>AO</w:t>
            </w:r>
            <w:r w:rsidR="009D4E98" w:rsidRPr="00B43419">
              <w:t>2</w:t>
            </w:r>
            <w:r w:rsidR="009C7652">
              <w:t>6</w:t>
            </w:r>
          </w:p>
          <w:p w14:paraId="2C9052D5" w14:textId="77777777" w:rsidR="00366D06" w:rsidRDefault="00E81FF7">
            <w:pPr>
              <w:pStyle w:val="QPPTableTextBody"/>
            </w:pPr>
            <w:r>
              <w:t xml:space="preserve">Development </w:t>
            </w:r>
            <w:r w:rsidR="009F44D6">
              <w:t xml:space="preserve">involving </w:t>
            </w:r>
            <w:r w:rsidR="00366D06">
              <w:t xml:space="preserve">lots for non-residential, centre or mixed use </w:t>
            </w:r>
            <w:r w:rsidR="009F44D6">
              <w:t xml:space="preserve">development in </w:t>
            </w:r>
            <w:r w:rsidR="00366D06">
              <w:t>a residential neighbourhood or subdivision are located:</w:t>
            </w:r>
          </w:p>
          <w:p w14:paraId="37C691C4" w14:textId="77777777" w:rsidR="00366D06" w:rsidRDefault="00134DAA">
            <w:pPr>
              <w:pStyle w:val="HGTableBullet2"/>
              <w:numPr>
                <w:ilvl w:val="0"/>
                <w:numId w:val="44"/>
              </w:numPr>
            </w:pPr>
            <w:r>
              <w:t>with a frontage to a</w:t>
            </w:r>
            <w:r w:rsidR="00366D06">
              <w:t xml:space="preserve"> road </w:t>
            </w:r>
            <w:r w:rsidR="009D4E98">
              <w:t xml:space="preserve">higher than </w:t>
            </w:r>
            <w:r w:rsidR="00C52071">
              <w:t>a m</w:t>
            </w:r>
            <w:r w:rsidR="009D4E98">
              <w:t>inor road in the roa</w:t>
            </w:r>
            <w:r w:rsidR="00366D06">
              <w:t>d hierarchy</w:t>
            </w:r>
            <w:r>
              <w:t xml:space="preserve"> </w:t>
            </w:r>
            <w:r w:rsidR="00C52071">
              <w:t xml:space="preserve">which </w:t>
            </w:r>
            <w:r>
              <w:t>can serve as the primary vehicle access point</w:t>
            </w:r>
            <w:r w:rsidR="00366D06">
              <w:t>;</w:t>
            </w:r>
          </w:p>
          <w:p w14:paraId="57D2E49E" w14:textId="77777777" w:rsidR="00366D06" w:rsidRDefault="00366D06">
            <w:pPr>
              <w:pStyle w:val="HGTableBullet2"/>
            </w:pPr>
            <w:r>
              <w:t xml:space="preserve">on </w:t>
            </w:r>
            <w:r w:rsidR="00893527">
              <w:t xml:space="preserve">the end of </w:t>
            </w:r>
            <w:r w:rsidRPr="00BB73D5">
              <w:t>street</w:t>
            </w:r>
            <w:r>
              <w:t xml:space="preserve"> block</w:t>
            </w:r>
            <w:r w:rsidR="00893527">
              <w:t>s</w:t>
            </w:r>
            <w:r>
              <w:t xml:space="preserve"> or corners;</w:t>
            </w:r>
          </w:p>
          <w:p w14:paraId="50996820" w14:textId="77777777" w:rsidR="00366D06" w:rsidRDefault="00366D06">
            <w:pPr>
              <w:pStyle w:val="HGTableBullet2"/>
            </w:pPr>
            <w:r>
              <w:t xml:space="preserve">within </w:t>
            </w:r>
            <w:r w:rsidRPr="00BB73D5">
              <w:t>200m</w:t>
            </w:r>
            <w:r>
              <w:t xml:space="preserve"> </w:t>
            </w:r>
            <w:r w:rsidR="00893527">
              <w:t xml:space="preserve">walking distance </w:t>
            </w:r>
            <w:r>
              <w:t>of</w:t>
            </w:r>
            <w:r w:rsidR="0039636A">
              <w:t xml:space="preserve"> a dedicated public pedestrian access point of, </w:t>
            </w:r>
            <w:r w:rsidR="00134DAA">
              <w:t>or</w:t>
            </w:r>
            <w:r w:rsidR="008B4C0E">
              <w:t xml:space="preserve"> is</w:t>
            </w:r>
            <w:r w:rsidR="00C52071">
              <w:t xml:space="preserve"> integrated with</w:t>
            </w:r>
            <w:r w:rsidR="0039636A">
              <w:t>,</w:t>
            </w:r>
            <w:r w:rsidR="00C52071">
              <w:t xml:space="preserve"> </w:t>
            </w:r>
            <w:r>
              <w:t>a public transport stop</w:t>
            </w:r>
            <w:r w:rsidR="009D4E98">
              <w:t xml:space="preserve"> or station</w:t>
            </w:r>
            <w:r>
              <w:t>;</w:t>
            </w:r>
          </w:p>
          <w:p w14:paraId="283C6E97" w14:textId="77777777" w:rsidR="00366D06" w:rsidRPr="002B04EF" w:rsidRDefault="00366D06" w:rsidP="00A62053">
            <w:pPr>
              <w:pStyle w:val="HGTableBullet2"/>
            </w:pPr>
            <w:r>
              <w:t xml:space="preserve">so that the change of use </w:t>
            </w:r>
            <w:r w:rsidR="00893527">
              <w:t xml:space="preserve">between residential and non-residential uses </w:t>
            </w:r>
            <w:r>
              <w:t xml:space="preserve">occurs along the </w:t>
            </w:r>
            <w:r w:rsidR="00893527">
              <w:t xml:space="preserve">shared </w:t>
            </w:r>
            <w:r>
              <w:t>rear boundar</w:t>
            </w:r>
            <w:r w:rsidR="00893527">
              <w:t>ies</w:t>
            </w:r>
            <w:r>
              <w:t xml:space="preserve"> of lots</w:t>
            </w:r>
            <w:r w:rsidR="00893527">
              <w:t>.</w:t>
            </w:r>
          </w:p>
        </w:tc>
      </w:tr>
      <w:tr w:rsidR="009D4E98" w:rsidRPr="00A05DEA" w14:paraId="09FB1514" w14:textId="77777777" w:rsidTr="001B353F">
        <w:tc>
          <w:tcPr>
            <w:tcW w:w="4068" w:type="dxa"/>
            <w:vMerge w:val="restart"/>
            <w:shd w:val="clear" w:color="auto" w:fill="auto"/>
          </w:tcPr>
          <w:p w14:paraId="7F008EAA" w14:textId="77777777" w:rsidR="009D4E98" w:rsidRDefault="009D4E98">
            <w:pPr>
              <w:pStyle w:val="QPPTableTextBold"/>
            </w:pPr>
            <w:r w:rsidRPr="00B43419">
              <w:t>PO2</w:t>
            </w:r>
            <w:r w:rsidR="009C7652">
              <w:t>7</w:t>
            </w:r>
          </w:p>
          <w:p w14:paraId="536E09F7" w14:textId="77777777" w:rsidR="009D4E98" w:rsidRPr="00366D06" w:rsidRDefault="00E81FF7">
            <w:pPr>
              <w:pStyle w:val="QPPTableTextBody"/>
            </w:pPr>
            <w:r>
              <w:t xml:space="preserve">Development provides a </w:t>
            </w:r>
            <w:r w:rsidR="00F40583">
              <w:t>l</w:t>
            </w:r>
            <w:r w:rsidR="009D4E98" w:rsidRPr="00366D06">
              <w:t xml:space="preserve">ot mix and location within a residential neighbourhood or subdivision </w:t>
            </w:r>
            <w:r w:rsidR="00C52071">
              <w:t xml:space="preserve">which </w:t>
            </w:r>
            <w:r w:rsidR="009D4E98" w:rsidRPr="00366D06">
              <w:t>supports positive streetscape outcomes and balances expected building forms, driveway frequency, on-street parking, water sensitive urban design and other elements</w:t>
            </w:r>
            <w:r w:rsidR="00C52071">
              <w:t>.</w:t>
            </w:r>
          </w:p>
        </w:tc>
        <w:tc>
          <w:tcPr>
            <w:tcW w:w="4860" w:type="dxa"/>
            <w:shd w:val="clear" w:color="auto" w:fill="auto"/>
          </w:tcPr>
          <w:p w14:paraId="3F812C76" w14:textId="77777777" w:rsidR="009D4E98" w:rsidRPr="00366D06" w:rsidRDefault="009D4E98">
            <w:pPr>
              <w:pStyle w:val="QPPTableTextBold"/>
            </w:pPr>
            <w:r w:rsidRPr="00B43419">
              <w:t>AO2</w:t>
            </w:r>
            <w:r w:rsidR="009C7652">
              <w:t>7</w:t>
            </w:r>
            <w:r w:rsidRPr="00B43419">
              <w:t>.1</w:t>
            </w:r>
          </w:p>
          <w:p w14:paraId="59937BA3" w14:textId="7C68394D" w:rsidR="009D4E98" w:rsidRPr="00366D06" w:rsidRDefault="00F40583">
            <w:pPr>
              <w:pStyle w:val="QPPTableTextBody"/>
            </w:pPr>
            <w:r>
              <w:t>Development provid</w:t>
            </w:r>
            <w:r w:rsidR="009C7652">
              <w:t>ing</w:t>
            </w:r>
            <w:r>
              <w:t xml:space="preserve"> l</w:t>
            </w:r>
            <w:r w:rsidR="009D4E98" w:rsidRPr="00366D06">
              <w:t xml:space="preserve">ots for </w:t>
            </w:r>
            <w:r w:rsidR="009D4E98" w:rsidRPr="00AB035A">
              <w:t>multiple dwellings</w:t>
            </w:r>
            <w:r w:rsidR="009D4E98" w:rsidRPr="00366D06">
              <w:t xml:space="preserve"> locate</w:t>
            </w:r>
            <w:r w:rsidR="009C7652">
              <w:t>s</w:t>
            </w:r>
            <w:r w:rsidR="009D4E98" w:rsidRPr="00366D06">
              <w:t xml:space="preserve"> </w:t>
            </w:r>
            <w:r w:rsidR="009C7652">
              <w:t xml:space="preserve">these </w:t>
            </w:r>
            <w:r w:rsidR="009D4E98" w:rsidRPr="00366D06">
              <w:t xml:space="preserve">on corner sites, </w:t>
            </w:r>
            <w:r w:rsidR="009C7652">
              <w:t xml:space="preserve">at the </w:t>
            </w:r>
            <w:r w:rsidR="003E420C">
              <w:t xml:space="preserve">ends of </w:t>
            </w:r>
            <w:r w:rsidR="009D4E98" w:rsidRPr="00366D06">
              <w:t>street block</w:t>
            </w:r>
            <w:r w:rsidR="003E420C">
              <w:t>s</w:t>
            </w:r>
            <w:r w:rsidR="009D4E98" w:rsidRPr="00366D06">
              <w:t xml:space="preserve"> or </w:t>
            </w:r>
            <w:r w:rsidR="009C7652">
              <w:t xml:space="preserve">where they </w:t>
            </w:r>
            <w:r w:rsidR="009D4E98" w:rsidRPr="00366D06">
              <w:t>have dual frontage to facilitate direct vehicle and pedestrian access to each dwelling.</w:t>
            </w:r>
          </w:p>
        </w:tc>
      </w:tr>
      <w:tr w:rsidR="009D4E98" w:rsidRPr="00A05DEA" w14:paraId="3F0A7BA7" w14:textId="77777777" w:rsidTr="001B353F">
        <w:tc>
          <w:tcPr>
            <w:tcW w:w="4068" w:type="dxa"/>
            <w:vMerge/>
            <w:shd w:val="clear" w:color="auto" w:fill="auto"/>
          </w:tcPr>
          <w:p w14:paraId="00645339" w14:textId="77777777" w:rsidR="009D4E98" w:rsidRPr="00366D06" w:rsidRDefault="009D4E98">
            <w:pPr>
              <w:pStyle w:val="QPPTableTextBody"/>
            </w:pPr>
          </w:p>
        </w:tc>
        <w:tc>
          <w:tcPr>
            <w:tcW w:w="4860" w:type="dxa"/>
            <w:shd w:val="clear" w:color="auto" w:fill="auto"/>
          </w:tcPr>
          <w:p w14:paraId="23D9529A" w14:textId="77777777" w:rsidR="009D4E98" w:rsidRPr="00366D06" w:rsidRDefault="009D4E98">
            <w:pPr>
              <w:pStyle w:val="QPPTableTextBold"/>
            </w:pPr>
            <w:r w:rsidRPr="00B43419">
              <w:t>AO2</w:t>
            </w:r>
            <w:r w:rsidR="009C7652">
              <w:t>7</w:t>
            </w:r>
            <w:r w:rsidRPr="00B43419">
              <w:t>.2</w:t>
            </w:r>
          </w:p>
          <w:p w14:paraId="6342ADD2" w14:textId="77777777" w:rsidR="009D4E98" w:rsidRPr="00366D06" w:rsidRDefault="00C52071">
            <w:pPr>
              <w:pStyle w:val="QPPTableTextBody"/>
            </w:pPr>
            <w:r>
              <w:t>Development</w:t>
            </w:r>
            <w:r w:rsidR="00F40583">
              <w:t xml:space="preserve"> ensure</w:t>
            </w:r>
            <w:r>
              <w:t xml:space="preserve">s that a </w:t>
            </w:r>
            <w:r w:rsidR="00F40583">
              <w:t>l</w:t>
            </w:r>
            <w:r w:rsidR="009D4E98" w:rsidRPr="00366D06">
              <w:t>ot</w:t>
            </w:r>
            <w:r>
              <w:t xml:space="preserve"> which is</w:t>
            </w:r>
            <w:r w:rsidR="009D4E98" w:rsidRPr="00366D06">
              <w:t xml:space="preserve"> less than 350m</w:t>
            </w:r>
            <w:r w:rsidR="009D4E98" w:rsidRPr="009D4E98">
              <w:rPr>
                <w:rStyle w:val="QPPSuperscriptChar"/>
              </w:rPr>
              <w:t>2</w:t>
            </w:r>
            <w:r w:rsidR="009D4E98" w:rsidRPr="00366D06">
              <w:t xml:space="preserve"> or with a front</w:t>
            </w:r>
            <w:r>
              <w:t>age width less than 10m</w:t>
            </w:r>
            <w:r w:rsidR="009D4E98" w:rsidRPr="00366D06">
              <w:t>:</w:t>
            </w:r>
          </w:p>
          <w:p w14:paraId="10132B48" w14:textId="77777777" w:rsidR="009D4E98" w:rsidRPr="00366D06" w:rsidRDefault="00C52071">
            <w:pPr>
              <w:pStyle w:val="HGTableBullet2"/>
              <w:numPr>
                <w:ilvl w:val="0"/>
                <w:numId w:val="45"/>
              </w:numPr>
            </w:pPr>
            <w:r>
              <w:t xml:space="preserve">is </w:t>
            </w:r>
            <w:r w:rsidR="009D4E98" w:rsidRPr="00BB73D5">
              <w:t>located</w:t>
            </w:r>
            <w:r w:rsidR="009D4E98" w:rsidRPr="00366D06">
              <w:t xml:space="preserve"> mid-block or adjacent to </w:t>
            </w:r>
            <w:r w:rsidR="001E0005">
              <w:t xml:space="preserve">a </w:t>
            </w:r>
            <w:r w:rsidR="00A06233">
              <w:t>park</w:t>
            </w:r>
            <w:r w:rsidR="00AD1CEE">
              <w:t xml:space="preserve"> where </w:t>
            </w:r>
            <w:r>
              <w:t>t</w:t>
            </w:r>
            <w:r w:rsidR="009D4E98" w:rsidRPr="00366D06">
              <w:t xml:space="preserve">here </w:t>
            </w:r>
            <w:r>
              <w:t xml:space="preserve">is </w:t>
            </w:r>
            <w:r w:rsidR="002924D9">
              <w:t>dual frontage;</w:t>
            </w:r>
          </w:p>
          <w:p w14:paraId="4A702267" w14:textId="77777777" w:rsidR="009D4E98" w:rsidRPr="00366D06" w:rsidRDefault="00C52071">
            <w:pPr>
              <w:pStyle w:val="HGTableBullet2"/>
            </w:pPr>
            <w:r>
              <w:t xml:space="preserve">is </w:t>
            </w:r>
            <w:r w:rsidR="009D4E98" w:rsidRPr="00366D06">
              <w:t xml:space="preserve">located in </w:t>
            </w:r>
            <w:r>
              <w:t>a group</w:t>
            </w:r>
            <w:r w:rsidR="009D4E98" w:rsidRPr="00366D06">
              <w:t xml:space="preserve"> up to but not more </w:t>
            </w:r>
            <w:r w:rsidR="003E420C">
              <w:t>than</w:t>
            </w:r>
            <w:r w:rsidR="003E420C" w:rsidRPr="00366D06">
              <w:t xml:space="preserve"> </w:t>
            </w:r>
            <w:r w:rsidR="009D4E98" w:rsidRPr="00366D06">
              <w:t>6 in a row to enable integrated des</w:t>
            </w:r>
            <w:r w:rsidR="002924D9">
              <w:t>ign and construction solutions;</w:t>
            </w:r>
          </w:p>
          <w:p w14:paraId="4AE49A91" w14:textId="77777777" w:rsidR="009D4E98" w:rsidRPr="00366D06" w:rsidRDefault="00C52071">
            <w:pPr>
              <w:pStyle w:val="HGTableBullet2"/>
            </w:pPr>
            <w:r>
              <w:t>i</w:t>
            </w:r>
            <w:r w:rsidR="00C05C99">
              <w:t>f</w:t>
            </w:r>
            <w:r>
              <w:t xml:space="preserve"> </w:t>
            </w:r>
            <w:r w:rsidR="009D4E98" w:rsidRPr="00366D06">
              <w:t>serviced by a rear lane</w:t>
            </w:r>
            <w:r w:rsidR="00C05C99">
              <w:t>, the lane is</w:t>
            </w:r>
            <w:r w:rsidR="009D4E98">
              <w:t xml:space="preserve"> no longer than 60m in length</w:t>
            </w:r>
            <w:r w:rsidR="009D4E98" w:rsidRPr="00366D06">
              <w:t>.</w:t>
            </w:r>
          </w:p>
        </w:tc>
      </w:tr>
      <w:tr w:rsidR="009D4E98" w:rsidRPr="001B353F" w14:paraId="05713FF7" w14:textId="77777777" w:rsidTr="001B353F">
        <w:tc>
          <w:tcPr>
            <w:tcW w:w="4068" w:type="dxa"/>
            <w:vMerge/>
            <w:shd w:val="clear" w:color="auto" w:fill="auto"/>
          </w:tcPr>
          <w:p w14:paraId="10367A61" w14:textId="77777777" w:rsidR="009D4E98" w:rsidRPr="002B04EF" w:rsidRDefault="009D4E98">
            <w:pPr>
              <w:pStyle w:val="QPPTableTextBold"/>
            </w:pPr>
          </w:p>
        </w:tc>
        <w:tc>
          <w:tcPr>
            <w:tcW w:w="4860" w:type="dxa"/>
            <w:shd w:val="clear" w:color="auto" w:fill="auto"/>
          </w:tcPr>
          <w:p w14:paraId="1501A45F" w14:textId="77777777" w:rsidR="009D4E98" w:rsidRDefault="009D4E98">
            <w:pPr>
              <w:pStyle w:val="QPPTableTextBold"/>
            </w:pPr>
            <w:r w:rsidRPr="00B43419">
              <w:t>AO2</w:t>
            </w:r>
            <w:r w:rsidR="009C7652">
              <w:t>7</w:t>
            </w:r>
            <w:r w:rsidRPr="00B43419">
              <w:t>.3</w:t>
            </w:r>
          </w:p>
          <w:p w14:paraId="7B0B8EC6" w14:textId="77777777" w:rsidR="009D4E98" w:rsidRPr="009D4E98" w:rsidRDefault="00F40583">
            <w:pPr>
              <w:pStyle w:val="QPPTableTextBody"/>
            </w:pPr>
            <w:r>
              <w:t xml:space="preserve">Development provides </w:t>
            </w:r>
            <w:r w:rsidR="00C52071">
              <w:t xml:space="preserve">for </w:t>
            </w:r>
            <w:r>
              <w:t>l</w:t>
            </w:r>
            <w:r w:rsidR="009D4E98">
              <w:t>arger lots located on corners or at the end of T-intersections.</w:t>
            </w:r>
          </w:p>
        </w:tc>
      </w:tr>
      <w:tr w:rsidR="00781170" w14:paraId="47C3DE69" w14:textId="77777777" w:rsidTr="00ED6D48">
        <w:trPr>
          <w:trHeight w:val="889"/>
        </w:trPr>
        <w:tc>
          <w:tcPr>
            <w:tcW w:w="4068" w:type="dxa"/>
            <w:vMerge w:val="restart"/>
            <w:shd w:val="clear" w:color="auto" w:fill="auto"/>
          </w:tcPr>
          <w:p w14:paraId="64AF87EC" w14:textId="77777777" w:rsidR="00781170" w:rsidRPr="00A05DEA" w:rsidRDefault="00781170">
            <w:pPr>
              <w:pStyle w:val="QPPTableTextBold"/>
            </w:pPr>
            <w:r>
              <w:t>PO</w:t>
            </w:r>
            <w:r w:rsidR="00462168">
              <w:t>2</w:t>
            </w:r>
            <w:r w:rsidR="009C7652">
              <w:t>8</w:t>
            </w:r>
          </w:p>
          <w:p w14:paraId="3CFE547B" w14:textId="403DBDAE" w:rsidR="00781170" w:rsidRDefault="00A1723B">
            <w:pPr>
              <w:pStyle w:val="QPPTableTextBody"/>
            </w:pPr>
            <w:r>
              <w:t xml:space="preserve">Development </w:t>
            </w:r>
            <w:r w:rsidR="00C52071">
              <w:t xml:space="preserve">involving a </w:t>
            </w:r>
            <w:r>
              <w:t>l</w:t>
            </w:r>
            <w:r w:rsidR="00781170">
              <w:t xml:space="preserve">ot </w:t>
            </w:r>
            <w:r w:rsidR="00F937CC">
              <w:t xml:space="preserve">intended for </w:t>
            </w:r>
            <w:r w:rsidR="00C52071">
              <w:t xml:space="preserve">a </w:t>
            </w:r>
            <w:r w:rsidR="00F937CC" w:rsidRPr="00AB035A">
              <w:t>dwelling house</w:t>
            </w:r>
            <w:r w:rsidR="00F937CC">
              <w:t xml:space="preserve"> </w:t>
            </w:r>
            <w:r w:rsidR="00C52071">
              <w:t xml:space="preserve">is of </w:t>
            </w:r>
            <w:r w:rsidR="00781170">
              <w:t xml:space="preserve">a regular shape and </w:t>
            </w:r>
            <w:r w:rsidR="00C52071">
              <w:t xml:space="preserve">an </w:t>
            </w:r>
            <w:r w:rsidR="00781170">
              <w:t>appropriate size and dimensions:</w:t>
            </w:r>
          </w:p>
          <w:p w14:paraId="03FBD42B" w14:textId="48E750EF" w:rsidR="00781170" w:rsidRDefault="00781170">
            <w:pPr>
              <w:pStyle w:val="HGTableBullet2"/>
              <w:numPr>
                <w:ilvl w:val="0"/>
                <w:numId w:val="46"/>
              </w:numPr>
            </w:pPr>
            <w:r>
              <w:t xml:space="preserve">for the siting and construction of </w:t>
            </w:r>
            <w:r w:rsidR="00C52071">
              <w:t xml:space="preserve">any </w:t>
            </w:r>
            <w:r>
              <w:t xml:space="preserve">existing or potential </w:t>
            </w:r>
            <w:r w:rsidR="00C163E9" w:rsidRPr="00AB035A">
              <w:t>dwelling houses</w:t>
            </w:r>
            <w:r w:rsidR="00C163E9">
              <w:t xml:space="preserve"> </w:t>
            </w:r>
            <w:r w:rsidR="00F937CC">
              <w:t>a</w:t>
            </w:r>
            <w:r>
              <w:t xml:space="preserve">nd </w:t>
            </w:r>
            <w:r w:rsidR="00781E4B">
              <w:t xml:space="preserve">any </w:t>
            </w:r>
            <w:r>
              <w:t>ancillary building</w:t>
            </w:r>
            <w:r w:rsidR="00C52071">
              <w:t xml:space="preserve"> or activity</w:t>
            </w:r>
            <w:r>
              <w:t>;</w:t>
            </w:r>
          </w:p>
          <w:p w14:paraId="6F073528" w14:textId="77777777" w:rsidR="00781170" w:rsidRDefault="00781170">
            <w:pPr>
              <w:pStyle w:val="HGTableBullet2"/>
            </w:pPr>
            <w:r>
              <w:t>to maximise outdoor priv</w:t>
            </w:r>
            <w:r w:rsidR="00751732">
              <w:t>ate space, privacy and amenity;</w:t>
            </w:r>
          </w:p>
          <w:p w14:paraId="028F40F0" w14:textId="77777777" w:rsidR="00781170" w:rsidRDefault="00781170">
            <w:pPr>
              <w:pStyle w:val="HGTableBullet2"/>
            </w:pPr>
            <w:r>
              <w:t>to provide convenient on-site vehicle access and parking.</w:t>
            </w:r>
          </w:p>
        </w:tc>
        <w:tc>
          <w:tcPr>
            <w:tcW w:w="4860" w:type="dxa"/>
            <w:shd w:val="clear" w:color="auto" w:fill="auto"/>
          </w:tcPr>
          <w:p w14:paraId="4CBADEF9" w14:textId="77777777" w:rsidR="00781170" w:rsidRDefault="00781170">
            <w:pPr>
              <w:pStyle w:val="QPPTableTextBold"/>
            </w:pPr>
            <w:r>
              <w:t>AO</w:t>
            </w:r>
            <w:r w:rsidR="00462168">
              <w:t>2</w:t>
            </w:r>
            <w:r w:rsidR="009C7652">
              <w:t>8</w:t>
            </w:r>
            <w:r>
              <w:t>.</w:t>
            </w:r>
            <w:r w:rsidR="005D01DF">
              <w:t>1</w:t>
            </w:r>
          </w:p>
          <w:p w14:paraId="3808E19C" w14:textId="6B899D3A" w:rsidR="00781170" w:rsidRDefault="00A1723B">
            <w:pPr>
              <w:pStyle w:val="QPPTableTextBody"/>
            </w:pPr>
            <w:r>
              <w:t>Development provides l</w:t>
            </w:r>
            <w:r w:rsidR="00781170">
              <w:t xml:space="preserve">ots </w:t>
            </w:r>
            <w:r w:rsidR="00C52071">
              <w:t xml:space="preserve">which </w:t>
            </w:r>
            <w:r w:rsidR="00781170">
              <w:t>are rectangular or regular in shape, with the depth dimension greater than the width dimension</w:t>
            </w:r>
            <w:r w:rsidR="003E420C">
              <w:t xml:space="preserve"> and in accordance with </w:t>
            </w:r>
            <w:r w:rsidR="003E420C" w:rsidRPr="00AB035A">
              <w:t>Table 9.4.10.3.B</w:t>
            </w:r>
            <w:r w:rsidR="00781170">
              <w:t>.</w:t>
            </w:r>
          </w:p>
        </w:tc>
      </w:tr>
      <w:tr w:rsidR="003855CA" w14:paraId="5D4D4108" w14:textId="77777777" w:rsidTr="00B47AA3">
        <w:trPr>
          <w:trHeight w:val="1639"/>
        </w:trPr>
        <w:tc>
          <w:tcPr>
            <w:tcW w:w="4068" w:type="dxa"/>
            <w:vMerge/>
            <w:shd w:val="clear" w:color="auto" w:fill="auto"/>
          </w:tcPr>
          <w:p w14:paraId="40383996" w14:textId="77777777" w:rsidR="003855CA" w:rsidRDefault="003855CA" w:rsidP="00BA2DF6"/>
        </w:tc>
        <w:tc>
          <w:tcPr>
            <w:tcW w:w="4860" w:type="dxa"/>
            <w:shd w:val="clear" w:color="auto" w:fill="auto"/>
          </w:tcPr>
          <w:p w14:paraId="4806085B" w14:textId="77777777" w:rsidR="003855CA" w:rsidRDefault="003855CA">
            <w:pPr>
              <w:pStyle w:val="QPPTableTextBold"/>
            </w:pPr>
            <w:r>
              <w:t>AO2</w:t>
            </w:r>
            <w:r w:rsidR="009C7652">
              <w:t>8</w:t>
            </w:r>
            <w:r>
              <w:t>.2</w:t>
            </w:r>
          </w:p>
          <w:p w14:paraId="2A7B753C" w14:textId="50D8935B" w:rsidR="003855CA" w:rsidRDefault="003855CA" w:rsidP="00F87D5D">
            <w:pPr>
              <w:pStyle w:val="QPPTableTextBody"/>
            </w:pPr>
            <w:r>
              <w:t>Development with lots less than 600m</w:t>
            </w:r>
            <w:r w:rsidRPr="005320C1">
              <w:rPr>
                <w:rStyle w:val="QPPSuperscriptChar"/>
              </w:rPr>
              <w:t>2</w:t>
            </w:r>
            <w:r>
              <w:t xml:space="preserve"> </w:t>
            </w:r>
            <w:r w:rsidR="003E420C">
              <w:t>provides</w:t>
            </w:r>
            <w:r w:rsidR="00F87D5D">
              <w:t xml:space="preserve"> lots that are</w:t>
            </w:r>
            <w:r w:rsidR="003E420C">
              <w:t xml:space="preserve"> rectangular or regular in shape and </w:t>
            </w:r>
            <w:r>
              <w:t>has a minimum of 65% of lots orient</w:t>
            </w:r>
            <w:r w:rsidR="00C3317A">
              <w:t>at</w:t>
            </w:r>
            <w:r>
              <w:t xml:space="preserve">ed in accordance with </w:t>
            </w:r>
            <w:r w:rsidRPr="00AB035A">
              <w:t>Figure b.</w:t>
            </w:r>
          </w:p>
        </w:tc>
      </w:tr>
      <w:tr w:rsidR="00A35C10" w:rsidRPr="00A05DEA" w14:paraId="70EB1831" w14:textId="77777777" w:rsidTr="001B353F">
        <w:tc>
          <w:tcPr>
            <w:tcW w:w="4068" w:type="dxa"/>
            <w:shd w:val="clear" w:color="auto" w:fill="auto"/>
          </w:tcPr>
          <w:p w14:paraId="77C4BF9F" w14:textId="77777777" w:rsidR="00A35C10" w:rsidRDefault="00A35C10">
            <w:pPr>
              <w:pStyle w:val="QPPTableTextBold"/>
            </w:pPr>
            <w:r>
              <w:t>PO</w:t>
            </w:r>
            <w:r w:rsidR="00F937CC">
              <w:t>2</w:t>
            </w:r>
            <w:r w:rsidR="009C7652">
              <w:t>9</w:t>
            </w:r>
          </w:p>
          <w:p w14:paraId="51F8304B" w14:textId="77777777" w:rsidR="00B9050E" w:rsidRDefault="00A1723B">
            <w:pPr>
              <w:pStyle w:val="QPPTableTextBody"/>
            </w:pPr>
            <w:r>
              <w:t xml:space="preserve">Development </w:t>
            </w:r>
            <w:r w:rsidR="00A35C10">
              <w:t>provide</w:t>
            </w:r>
            <w:r w:rsidR="00C46434">
              <w:t>s</w:t>
            </w:r>
            <w:r w:rsidR="00A35C10">
              <w:t xml:space="preserve"> </w:t>
            </w:r>
            <w:r w:rsidR="00A06233">
              <w:t xml:space="preserve">land for park purposes </w:t>
            </w:r>
            <w:r w:rsidR="00781E4B">
              <w:t>which is well distributed and located and is consistent with</w:t>
            </w:r>
            <w:r w:rsidR="00F807FB">
              <w:t>:</w:t>
            </w:r>
          </w:p>
          <w:p w14:paraId="39619F10" w14:textId="77777777" w:rsidR="00B9050E" w:rsidRDefault="00B9050E" w:rsidP="00B47AA3">
            <w:pPr>
              <w:pStyle w:val="HGTableBullet2"/>
              <w:numPr>
                <w:ilvl w:val="0"/>
                <w:numId w:val="23"/>
              </w:numPr>
            </w:pPr>
            <w:r>
              <w:t xml:space="preserve">the nature of surrounding </w:t>
            </w:r>
            <w:r w:rsidR="00A06233">
              <w:t>parks</w:t>
            </w:r>
            <w:r w:rsidR="000174EB">
              <w:t>;</w:t>
            </w:r>
          </w:p>
          <w:p w14:paraId="711FFF47" w14:textId="77777777" w:rsidR="00B9050E" w:rsidRDefault="00C46434">
            <w:pPr>
              <w:pStyle w:val="HGTableBullet2"/>
            </w:pPr>
            <w:r>
              <w:t xml:space="preserve">the </w:t>
            </w:r>
            <w:r w:rsidR="00B9050E">
              <w:t>needs of occupants and visitors;</w:t>
            </w:r>
          </w:p>
          <w:p w14:paraId="73913828" w14:textId="77777777" w:rsidR="00A35C10" w:rsidRPr="00900F9C" w:rsidRDefault="00C46434" w:rsidP="000174EB">
            <w:pPr>
              <w:pStyle w:val="HGTableBullet2"/>
            </w:pPr>
            <w:r>
              <w:t xml:space="preserve">the </w:t>
            </w:r>
            <w:r w:rsidR="00B9050E">
              <w:t xml:space="preserve">safety and connection to the </w:t>
            </w:r>
            <w:r w:rsidR="000174EB">
              <w:t>transport</w:t>
            </w:r>
            <w:r w:rsidR="00B9050E">
              <w:t xml:space="preserve"> network</w:t>
            </w:r>
            <w:r w:rsidR="00741EBE">
              <w:t>.</w:t>
            </w:r>
          </w:p>
        </w:tc>
        <w:tc>
          <w:tcPr>
            <w:tcW w:w="4860" w:type="dxa"/>
            <w:shd w:val="clear" w:color="auto" w:fill="auto"/>
          </w:tcPr>
          <w:p w14:paraId="25244FFE" w14:textId="77777777" w:rsidR="00A35C10" w:rsidRPr="00A05DEA" w:rsidRDefault="00A35C10">
            <w:pPr>
              <w:pStyle w:val="QPPTableTextBold"/>
            </w:pPr>
            <w:r>
              <w:t>AO</w:t>
            </w:r>
            <w:r w:rsidR="007E195A">
              <w:t>2</w:t>
            </w:r>
            <w:r w:rsidR="009C7652">
              <w:t>9</w:t>
            </w:r>
          </w:p>
          <w:p w14:paraId="7D1D87AE" w14:textId="4ED83F7B" w:rsidR="00A35C10" w:rsidRDefault="00A1723B" w:rsidP="00096EDA">
            <w:pPr>
              <w:pStyle w:val="QPPTableTextBody"/>
            </w:pPr>
            <w:r>
              <w:t xml:space="preserve">Development provides </w:t>
            </w:r>
            <w:r w:rsidR="00A06233">
              <w:t xml:space="preserve">land for park purposes </w:t>
            </w:r>
            <w:r w:rsidR="00C46434">
              <w:t xml:space="preserve">which </w:t>
            </w:r>
            <w:r>
              <w:t>is</w:t>
            </w:r>
            <w:r w:rsidR="00741EBE">
              <w:t xml:space="preserve"> in </w:t>
            </w:r>
            <w:r w:rsidR="00C46434">
              <w:t xml:space="preserve">compliance </w:t>
            </w:r>
            <w:r w:rsidR="00741EBE">
              <w:t>with</w:t>
            </w:r>
            <w:r w:rsidR="00751732">
              <w:t xml:space="preserve"> the </w:t>
            </w:r>
            <w:r w:rsidR="00751732" w:rsidRPr="00AB035A">
              <w:t>Park planning and design code</w:t>
            </w:r>
            <w:r w:rsidR="00751732">
              <w:t xml:space="preserve"> and </w:t>
            </w:r>
            <w:r w:rsidR="00763492">
              <w:t xml:space="preserve">the </w:t>
            </w:r>
            <w:r w:rsidR="000D6B91" w:rsidRPr="00AB035A">
              <w:t>Local government</w:t>
            </w:r>
            <w:r w:rsidR="00096EDA" w:rsidRPr="00AB035A">
              <w:t> </w:t>
            </w:r>
            <w:r w:rsidR="00B50018" w:rsidRPr="00AB035A">
              <w:t>infrastructure plan</w:t>
            </w:r>
            <w:r w:rsidR="00F4720B">
              <w:t>.</w:t>
            </w:r>
          </w:p>
        </w:tc>
      </w:tr>
      <w:tr w:rsidR="00AC0EB9" w:rsidRPr="001B353F" w14:paraId="16255B41" w14:textId="77777777" w:rsidTr="001B353F">
        <w:trPr>
          <w:trHeight w:val="320"/>
        </w:trPr>
        <w:tc>
          <w:tcPr>
            <w:tcW w:w="8928" w:type="dxa"/>
            <w:gridSpan w:val="2"/>
            <w:shd w:val="clear" w:color="auto" w:fill="auto"/>
          </w:tcPr>
          <w:p w14:paraId="060C04EB" w14:textId="242CD632" w:rsidR="0073083A" w:rsidRPr="00A46FAE" w:rsidRDefault="00F60D67" w:rsidP="002018FB">
            <w:pPr>
              <w:pStyle w:val="QPPTableTextBold"/>
            </w:pPr>
            <w:r w:rsidRPr="00EF3500">
              <w:t>Section C2</w:t>
            </w:r>
            <w:r w:rsidR="00763492" w:rsidRPr="00EF3500">
              <w:t>—</w:t>
            </w:r>
            <w:r w:rsidR="003855CA" w:rsidRPr="00EF3500">
              <w:t>D</w:t>
            </w:r>
            <w:r w:rsidR="00C46434" w:rsidRPr="00EF3500">
              <w:t>etailed</w:t>
            </w:r>
            <w:r w:rsidR="00C46434" w:rsidRPr="00A46FAE">
              <w:t xml:space="preserve"> </w:t>
            </w:r>
            <w:r w:rsidR="002018FB">
              <w:t>performance outcomes and acceptable outcomes</w:t>
            </w:r>
            <w:r w:rsidR="002018FB" w:rsidRPr="00A46FAE">
              <w:t xml:space="preserve"> </w:t>
            </w:r>
            <w:r w:rsidR="00C46434" w:rsidRPr="00A46FAE">
              <w:t xml:space="preserve">for a </w:t>
            </w:r>
            <w:r w:rsidR="00BD343B" w:rsidRPr="00AB035A">
              <w:t>development footprint plan</w:t>
            </w:r>
            <w:r w:rsidR="00067F64" w:rsidRPr="00EF3500">
              <w:t xml:space="preserve"> </w:t>
            </w:r>
            <w:r w:rsidR="00C46434" w:rsidRPr="00EF3500">
              <w:t xml:space="preserve">involving </w:t>
            </w:r>
            <w:r w:rsidR="00067F64" w:rsidRPr="00EF3500">
              <w:t>r</w:t>
            </w:r>
            <w:r w:rsidR="00AC0EB9" w:rsidRPr="00EF3500">
              <w:t xml:space="preserve">esidential </w:t>
            </w:r>
            <w:r w:rsidR="00947BAC" w:rsidRPr="00AB035A">
              <w:t>small lots</w:t>
            </w:r>
          </w:p>
        </w:tc>
      </w:tr>
      <w:tr w:rsidR="00E30223" w:rsidRPr="001B353F" w14:paraId="2B6B59A7" w14:textId="77777777" w:rsidTr="001B353F">
        <w:trPr>
          <w:trHeight w:val="289"/>
        </w:trPr>
        <w:tc>
          <w:tcPr>
            <w:tcW w:w="4068" w:type="dxa"/>
            <w:vMerge w:val="restart"/>
            <w:shd w:val="clear" w:color="auto" w:fill="auto"/>
          </w:tcPr>
          <w:p w14:paraId="322A82B6" w14:textId="77777777" w:rsidR="00E30223" w:rsidRDefault="00E30223">
            <w:pPr>
              <w:pStyle w:val="QPPTableTextBold"/>
            </w:pPr>
            <w:r>
              <w:t>PO</w:t>
            </w:r>
            <w:r w:rsidR="009C7652">
              <w:t>30</w:t>
            </w:r>
          </w:p>
          <w:p w14:paraId="23E55F81" w14:textId="0CF8105F" w:rsidR="00E30223" w:rsidRDefault="00171B24">
            <w:pPr>
              <w:pStyle w:val="QPPTableTextBody"/>
            </w:pPr>
            <w:r>
              <w:t xml:space="preserve">Development ensures </w:t>
            </w:r>
            <w:r w:rsidR="00C46434">
              <w:t xml:space="preserve">that </w:t>
            </w:r>
            <w:r>
              <w:t>e</w:t>
            </w:r>
            <w:r w:rsidR="00E30223">
              <w:t xml:space="preserve">ach </w:t>
            </w:r>
            <w:r w:rsidR="00B50018" w:rsidRPr="00AB035A">
              <w:t>small lot</w:t>
            </w:r>
            <w:r w:rsidR="00B50018" w:rsidRPr="009E0980">
              <w:rPr>
                <w:rStyle w:val="QPPTableTextBoldChar"/>
              </w:rPr>
              <w:t xml:space="preserve"> </w:t>
            </w:r>
            <w:r w:rsidR="00C46434">
              <w:t xml:space="preserve">has </w:t>
            </w:r>
            <w:r w:rsidR="00E30223">
              <w:t xml:space="preserve">an area of suitable size, dimensions and arrangement to enable the development of a </w:t>
            </w:r>
            <w:r w:rsidR="00B50018" w:rsidRPr="00AB035A">
              <w:t>dwelling house</w:t>
            </w:r>
            <w:r w:rsidR="00B50018">
              <w:t xml:space="preserve"> </w:t>
            </w:r>
            <w:r w:rsidR="00E30223">
              <w:t xml:space="preserve">and associated ancillary structures and access </w:t>
            </w:r>
            <w:r w:rsidR="00C46434">
              <w:t xml:space="preserve">without </w:t>
            </w:r>
            <w:r w:rsidR="00E30223">
              <w:t xml:space="preserve">adversely </w:t>
            </w:r>
            <w:r w:rsidR="00C46434">
              <w:t xml:space="preserve">impacting </w:t>
            </w:r>
            <w:r w:rsidR="00E30223">
              <w:t xml:space="preserve">the intended character of a locality </w:t>
            </w:r>
            <w:r w:rsidR="00C46434">
              <w:t xml:space="preserve">and the </w:t>
            </w:r>
            <w:r w:rsidR="00E30223">
              <w:t xml:space="preserve">natural, character or heritage features of </w:t>
            </w:r>
            <w:r w:rsidR="00C46434">
              <w:t>the</w:t>
            </w:r>
            <w:r w:rsidR="00E30223">
              <w:t xml:space="preserve"> lot.</w:t>
            </w:r>
          </w:p>
          <w:p w14:paraId="318D941B" w14:textId="343E3346" w:rsidR="00E30223" w:rsidRDefault="00E30223" w:rsidP="0009129C">
            <w:pPr>
              <w:pStyle w:val="QPPEditorsNoteStyle1"/>
            </w:pPr>
            <w:r>
              <w:t xml:space="preserve">Note—This performance outcome is reflected in a </w:t>
            </w:r>
            <w:r w:rsidR="00BD343B" w:rsidRPr="00AB035A">
              <w:t>development footprint plan</w:t>
            </w:r>
            <w:r w:rsidR="00FB1DB7" w:rsidRPr="009E0980">
              <w:t xml:space="preserve"> </w:t>
            </w:r>
            <w:r>
              <w:t>that forms part of the survey plan and title.</w:t>
            </w:r>
          </w:p>
          <w:p w14:paraId="1F77AB26" w14:textId="79CFAD32" w:rsidR="004529F1" w:rsidRPr="004529F1" w:rsidRDefault="004529F1" w:rsidP="004529F1">
            <w:pPr>
              <w:pStyle w:val="QPPEditorsNoteStyle1"/>
            </w:pPr>
            <w:r>
              <w:t xml:space="preserve">Note—Compliance with all of the minimum requirements indicated in </w:t>
            </w:r>
            <w:r w:rsidR="00A53FD5" w:rsidRPr="00AB035A">
              <w:t>Table 9.4.10.3.B</w:t>
            </w:r>
            <w:r w:rsidR="00A53FD5">
              <w:t xml:space="preserve"> </w:t>
            </w:r>
            <w:r>
              <w:t xml:space="preserve">satisfies this outcome other than potentially where a </w:t>
            </w:r>
            <w:r w:rsidRPr="00AB035A">
              <w:t>development footprint plan</w:t>
            </w:r>
            <w:r>
              <w:t xml:space="preserve"> </w:t>
            </w:r>
            <w:r w:rsidR="00A17DE0">
              <w:t>is needed to address AO</w:t>
            </w:r>
            <w:r w:rsidR="006822A7">
              <w:t>30</w:t>
            </w:r>
            <w:r w:rsidR="00F4720B">
              <w:t>.1(e).</w:t>
            </w:r>
          </w:p>
        </w:tc>
        <w:tc>
          <w:tcPr>
            <w:tcW w:w="4860" w:type="dxa"/>
            <w:shd w:val="clear" w:color="auto" w:fill="auto"/>
          </w:tcPr>
          <w:p w14:paraId="4CED9464" w14:textId="77777777" w:rsidR="00E30223" w:rsidRDefault="00E30223">
            <w:pPr>
              <w:pStyle w:val="QPPTableTextBold"/>
            </w:pPr>
            <w:r>
              <w:t>AO</w:t>
            </w:r>
            <w:r w:rsidR="009C7652">
              <w:t>30</w:t>
            </w:r>
            <w:r>
              <w:t>.1</w:t>
            </w:r>
          </w:p>
          <w:p w14:paraId="51629406" w14:textId="5937E909" w:rsidR="00E30223" w:rsidRDefault="00171B24">
            <w:pPr>
              <w:pStyle w:val="QPPTableTextBody"/>
            </w:pPr>
            <w:r>
              <w:t xml:space="preserve">Development ensures </w:t>
            </w:r>
            <w:r w:rsidR="00E30223">
              <w:t xml:space="preserve">each </w:t>
            </w:r>
            <w:r w:rsidR="00E30223" w:rsidRPr="00AB035A">
              <w:t>small lot</w:t>
            </w:r>
            <w:r w:rsidR="00E30223">
              <w:t xml:space="preserve"> </w:t>
            </w:r>
            <w:r w:rsidR="00C46434">
              <w:t xml:space="preserve">has a </w:t>
            </w:r>
            <w:r w:rsidR="006F09C7" w:rsidRPr="00AB035A">
              <w:t>development footprint plan</w:t>
            </w:r>
            <w:r w:rsidR="00E30223">
              <w:t xml:space="preserve"> </w:t>
            </w:r>
            <w:r w:rsidR="00C46434">
              <w:t xml:space="preserve">which </w:t>
            </w:r>
            <w:r w:rsidR="00E30223">
              <w:t>identifies an area including:</w:t>
            </w:r>
          </w:p>
          <w:p w14:paraId="4DD57FE6" w14:textId="3A5106D2" w:rsidR="00E30223" w:rsidRPr="00BB73D5" w:rsidRDefault="009C7652">
            <w:pPr>
              <w:pStyle w:val="HGTableBullet2"/>
              <w:numPr>
                <w:ilvl w:val="0"/>
                <w:numId w:val="47"/>
              </w:numPr>
            </w:pPr>
            <w:r>
              <w:t xml:space="preserve">an area that complies with </w:t>
            </w:r>
            <w:r w:rsidR="00E30223" w:rsidRPr="00BB73D5">
              <w:t xml:space="preserve">the minimum rectangle area identified in </w:t>
            </w:r>
            <w:r w:rsidR="00C46434" w:rsidRPr="00AB035A">
              <w:t>Table 9.4.10</w:t>
            </w:r>
            <w:r w:rsidR="00E30223" w:rsidRPr="00AB035A">
              <w:t>.3.B</w:t>
            </w:r>
            <w:r w:rsidR="00E30223" w:rsidRPr="00BB73D5">
              <w:t>;</w:t>
            </w:r>
          </w:p>
          <w:p w14:paraId="12986C9B" w14:textId="2312C749" w:rsidR="00E30223" w:rsidRPr="00BB73D5" w:rsidRDefault="00763492">
            <w:pPr>
              <w:pStyle w:val="HGTableBullet2"/>
            </w:pPr>
            <w:r w:rsidRPr="00BB73D5">
              <w:t xml:space="preserve">a </w:t>
            </w:r>
            <w:r w:rsidR="00E30223" w:rsidRPr="00BB73D5">
              <w:t xml:space="preserve">suitable area for a </w:t>
            </w:r>
            <w:r w:rsidR="00B50018" w:rsidRPr="00AB035A">
              <w:t>dwelling house</w:t>
            </w:r>
            <w:r w:rsidR="00B50018" w:rsidRPr="00BB73D5">
              <w:t xml:space="preserve"> </w:t>
            </w:r>
            <w:r w:rsidR="00E30223" w:rsidRPr="00BB73D5">
              <w:t xml:space="preserve">and other ancillary structures to be developed </w:t>
            </w:r>
            <w:r w:rsidR="00C46434" w:rsidRPr="00BB73D5">
              <w:t>in compliance with the</w:t>
            </w:r>
            <w:r w:rsidR="00E30223" w:rsidRPr="00BB73D5">
              <w:t xml:space="preserve"> building and p</w:t>
            </w:r>
            <w:r w:rsidR="00C46434" w:rsidRPr="00BB73D5">
              <w:t>l</w:t>
            </w:r>
            <w:r w:rsidR="00E30223" w:rsidRPr="00BB73D5">
              <w:t xml:space="preserve">anning standards, specifications and outcomes including building </w:t>
            </w:r>
            <w:r w:rsidR="00251611" w:rsidRPr="00BB73D5">
              <w:t>setback</w:t>
            </w:r>
            <w:r w:rsidR="00E30223" w:rsidRPr="00BB73D5">
              <w:t>s;</w:t>
            </w:r>
          </w:p>
          <w:p w14:paraId="7C8B25CF" w14:textId="77777777" w:rsidR="00E30223" w:rsidRPr="00BB73D5" w:rsidRDefault="00E30223">
            <w:pPr>
              <w:pStyle w:val="HGTableBullet2"/>
            </w:pPr>
            <w:r w:rsidRPr="00BB73D5">
              <w:t>ancillary buildings and structures, such as garages and decks;</w:t>
            </w:r>
          </w:p>
          <w:p w14:paraId="01367C8D" w14:textId="77777777" w:rsidR="00E30223" w:rsidRPr="00BB73D5" w:rsidRDefault="00E30223">
            <w:pPr>
              <w:pStyle w:val="HGTableBullet2"/>
            </w:pPr>
            <w:r w:rsidRPr="00BB73D5">
              <w:t>vehicle par</w:t>
            </w:r>
            <w:r w:rsidR="00C46434" w:rsidRPr="00BB73D5">
              <w:t>king areas, access and driveway</w:t>
            </w:r>
            <w:r w:rsidRPr="00BB73D5">
              <w:t>s;</w:t>
            </w:r>
          </w:p>
          <w:p w14:paraId="2254D490" w14:textId="549EBE91" w:rsidR="00E30223" w:rsidRDefault="00C46434">
            <w:pPr>
              <w:pStyle w:val="HGTableBullet2"/>
            </w:pPr>
            <w:r w:rsidRPr="00BB73D5">
              <w:t>t</w:t>
            </w:r>
            <w:r w:rsidR="00E30223" w:rsidRPr="00BB73D5">
              <w:t>he location of trees and</w:t>
            </w:r>
            <w:r w:rsidR="00FB1DB7" w:rsidRPr="00BB73D5">
              <w:t xml:space="preserve"> </w:t>
            </w:r>
            <w:r w:rsidR="00FB1DB7" w:rsidRPr="00AB035A">
              <w:t>tree protection zones</w:t>
            </w:r>
            <w:r w:rsidR="00E30223" w:rsidRPr="00BB73D5">
              <w:t xml:space="preserve"> or other natural</w:t>
            </w:r>
            <w:r w:rsidR="00763492" w:rsidRPr="00BB73D5">
              <w:t xml:space="preserve">, </w:t>
            </w:r>
            <w:r w:rsidR="00E30223" w:rsidRPr="00BB73D5">
              <w:t>character or heritage features</w:t>
            </w:r>
            <w:r w:rsidR="00FE7278">
              <w:t xml:space="preserve"> outside the development footprint plan</w:t>
            </w:r>
            <w:r w:rsidR="00E30223">
              <w:t>.</w:t>
            </w:r>
          </w:p>
        </w:tc>
      </w:tr>
      <w:tr w:rsidR="0045722B" w14:paraId="4FD34D82" w14:textId="77777777" w:rsidTr="000174EB">
        <w:trPr>
          <w:trHeight w:val="841"/>
        </w:trPr>
        <w:tc>
          <w:tcPr>
            <w:tcW w:w="4068" w:type="dxa"/>
            <w:vMerge/>
            <w:shd w:val="clear" w:color="auto" w:fill="auto"/>
          </w:tcPr>
          <w:p w14:paraId="505B29A1" w14:textId="77777777" w:rsidR="0045722B" w:rsidRDefault="0045722B" w:rsidP="001B353F">
            <w:pPr>
              <w:pStyle w:val="QPPBullet"/>
              <w:numPr>
                <w:ilvl w:val="0"/>
                <w:numId w:val="0"/>
              </w:numPr>
            </w:pPr>
          </w:p>
        </w:tc>
        <w:tc>
          <w:tcPr>
            <w:tcW w:w="4860" w:type="dxa"/>
            <w:shd w:val="clear" w:color="auto" w:fill="auto"/>
          </w:tcPr>
          <w:p w14:paraId="5458F265" w14:textId="77777777" w:rsidR="0045722B" w:rsidRDefault="0045722B">
            <w:pPr>
              <w:pStyle w:val="QPPTableTextBold"/>
            </w:pPr>
            <w:r>
              <w:t>AO</w:t>
            </w:r>
            <w:r w:rsidR="00FE7278">
              <w:t>30</w:t>
            </w:r>
            <w:r>
              <w:t>.2</w:t>
            </w:r>
          </w:p>
          <w:p w14:paraId="7357FA3C" w14:textId="05B8F558" w:rsidR="0045722B" w:rsidRDefault="0045722B">
            <w:pPr>
              <w:pStyle w:val="QPPTableTextBody"/>
            </w:pPr>
            <w:r>
              <w:t xml:space="preserve">Development locates the </w:t>
            </w:r>
            <w:r w:rsidR="0009129C" w:rsidRPr="00AB035A">
              <w:t>development</w:t>
            </w:r>
            <w:r w:rsidR="0009129C" w:rsidRPr="0045583E">
              <w:t xml:space="preserve"> </w:t>
            </w:r>
            <w:r w:rsidR="0009129C" w:rsidRPr="00AB035A">
              <w:t>footprint</w:t>
            </w:r>
            <w:r w:rsidRPr="001B353F">
              <w:rPr>
                <w:rStyle w:val="QPPTableTextBoldChar"/>
                <w:b w:val="0"/>
              </w:rPr>
              <w:t xml:space="preserve"> </w:t>
            </w:r>
            <w:r>
              <w:t>(excluding car parking access) to ensure a minimum setback of:</w:t>
            </w:r>
          </w:p>
          <w:p w14:paraId="1127BF12" w14:textId="77777777" w:rsidR="0045722B" w:rsidRDefault="0045722B">
            <w:pPr>
              <w:pStyle w:val="HGTableBullet2"/>
              <w:numPr>
                <w:ilvl w:val="0"/>
                <w:numId w:val="25"/>
              </w:numPr>
            </w:pPr>
            <w:r>
              <w:t>3m to the primary street frontage</w:t>
            </w:r>
            <w:r w:rsidR="00FE7278">
              <w:t xml:space="preserve"> or the least setback of an adjoining dwelling, whichever is the greater</w:t>
            </w:r>
            <w:r>
              <w:t>;</w:t>
            </w:r>
          </w:p>
          <w:p w14:paraId="3CD9BEFA" w14:textId="22DA895F" w:rsidR="0045722B" w:rsidRDefault="0045722B">
            <w:pPr>
              <w:pStyle w:val="HGTableBullet2"/>
              <w:numPr>
                <w:ilvl w:val="0"/>
                <w:numId w:val="25"/>
              </w:numPr>
            </w:pPr>
            <w:r>
              <w:t xml:space="preserve">1.5m to any secondary street frontage, where a </w:t>
            </w:r>
            <w:r w:rsidRPr="00AB035A">
              <w:t>corner lot</w:t>
            </w:r>
            <w:r>
              <w:t>;</w:t>
            </w:r>
          </w:p>
          <w:p w14:paraId="08804175" w14:textId="77777777" w:rsidR="0045722B" w:rsidRDefault="0045722B">
            <w:pPr>
              <w:pStyle w:val="HGTableBullet2"/>
              <w:numPr>
                <w:ilvl w:val="0"/>
                <w:numId w:val="25"/>
              </w:numPr>
            </w:pPr>
            <w:r>
              <w:t xml:space="preserve">3m to any adjoining </w:t>
            </w:r>
            <w:r w:rsidR="00A06233">
              <w:t xml:space="preserve">private </w:t>
            </w:r>
            <w:r>
              <w:t>open space.</w:t>
            </w:r>
          </w:p>
          <w:p w14:paraId="3B5BE7AB" w14:textId="60BFAD9B" w:rsidR="00FE7278" w:rsidRDefault="00FE7278" w:rsidP="00B47AA3">
            <w:pPr>
              <w:pStyle w:val="QPPEditorsNoteStyle1"/>
            </w:pPr>
            <w:r>
              <w:t xml:space="preserve">Note—The development footprint does not override the </w:t>
            </w:r>
            <w:r w:rsidRPr="00AB035A">
              <w:t>Dwelling house (small lot) code</w:t>
            </w:r>
            <w:r>
              <w:t xml:space="preserve"> other than to the extent provided for in that code.</w:t>
            </w:r>
          </w:p>
        </w:tc>
      </w:tr>
      <w:tr w:rsidR="003855CA" w14:paraId="68A16309" w14:textId="77777777" w:rsidTr="004407B1">
        <w:trPr>
          <w:trHeight w:val="999"/>
        </w:trPr>
        <w:tc>
          <w:tcPr>
            <w:tcW w:w="4068" w:type="dxa"/>
            <w:vMerge/>
            <w:shd w:val="clear" w:color="auto" w:fill="auto"/>
          </w:tcPr>
          <w:p w14:paraId="78514B84" w14:textId="77777777" w:rsidR="003855CA" w:rsidRDefault="003855CA">
            <w:pPr>
              <w:pStyle w:val="QPPTableTextBold"/>
            </w:pPr>
          </w:p>
        </w:tc>
        <w:tc>
          <w:tcPr>
            <w:tcW w:w="4860" w:type="dxa"/>
            <w:shd w:val="clear" w:color="auto" w:fill="auto"/>
          </w:tcPr>
          <w:p w14:paraId="61CAF83E" w14:textId="77777777" w:rsidR="003855CA" w:rsidRDefault="003855CA">
            <w:pPr>
              <w:pStyle w:val="QPPTableTextBold"/>
            </w:pPr>
            <w:r>
              <w:t>AO</w:t>
            </w:r>
            <w:r w:rsidR="00FE7278">
              <w:t>30</w:t>
            </w:r>
            <w:r>
              <w:t>.3</w:t>
            </w:r>
          </w:p>
          <w:p w14:paraId="42A254F0" w14:textId="5EB0F8B9" w:rsidR="003855CA" w:rsidRDefault="003855CA">
            <w:pPr>
              <w:pStyle w:val="QPPTableTextBody"/>
            </w:pPr>
            <w:r>
              <w:t xml:space="preserve">Development ensures that a </w:t>
            </w:r>
            <w:r w:rsidR="0009129C" w:rsidRPr="00AB035A">
              <w:t>development footprint plan</w:t>
            </w:r>
            <w:r>
              <w:t xml:space="preserve"> identifies a minimum of 16m</w:t>
            </w:r>
            <w:r w:rsidR="004407B1" w:rsidRPr="004407B1">
              <w:rPr>
                <w:rStyle w:val="QPPSuperscriptChar"/>
              </w:rPr>
              <w:t>2</w:t>
            </w:r>
            <w:r w:rsidR="004407B1">
              <w:t xml:space="preserve"> </w:t>
            </w:r>
            <w:r>
              <w:t>principal private open space with a minimum dimension of 4m.</w:t>
            </w:r>
          </w:p>
        </w:tc>
      </w:tr>
      <w:tr w:rsidR="00E30223" w:rsidRPr="00A05DEA" w14:paraId="191DDC6B" w14:textId="77777777" w:rsidTr="004407B1">
        <w:trPr>
          <w:trHeight w:val="1358"/>
        </w:trPr>
        <w:tc>
          <w:tcPr>
            <w:tcW w:w="4068" w:type="dxa"/>
            <w:vMerge/>
            <w:shd w:val="clear" w:color="auto" w:fill="auto"/>
          </w:tcPr>
          <w:p w14:paraId="12614709" w14:textId="77777777" w:rsidR="00E30223" w:rsidRPr="002B04EF" w:rsidRDefault="00E30223">
            <w:pPr>
              <w:pStyle w:val="QPPTableTextBold"/>
            </w:pPr>
          </w:p>
        </w:tc>
        <w:tc>
          <w:tcPr>
            <w:tcW w:w="4860" w:type="dxa"/>
            <w:shd w:val="clear" w:color="auto" w:fill="auto"/>
          </w:tcPr>
          <w:p w14:paraId="38EED3ED" w14:textId="77777777" w:rsidR="00E30223" w:rsidRDefault="0045722B">
            <w:pPr>
              <w:pStyle w:val="QPPTableTextBold"/>
            </w:pPr>
            <w:r>
              <w:t>AO</w:t>
            </w:r>
            <w:r w:rsidR="00FE7278">
              <w:t>30</w:t>
            </w:r>
            <w:r>
              <w:t>.</w:t>
            </w:r>
            <w:r w:rsidR="003855CA">
              <w:t>4</w:t>
            </w:r>
          </w:p>
          <w:p w14:paraId="3D44F2A8" w14:textId="0BADA33A" w:rsidR="00E30223" w:rsidRPr="002B04EF" w:rsidRDefault="00E94793">
            <w:pPr>
              <w:pStyle w:val="QPPTableTextBody"/>
            </w:pPr>
            <w:r>
              <w:t xml:space="preserve">Development </w:t>
            </w:r>
            <w:r w:rsidR="0045722B">
              <w:t>locates the</w:t>
            </w:r>
            <w:r w:rsidR="001D369C">
              <w:t xml:space="preserve"> </w:t>
            </w:r>
            <w:r w:rsidR="0009129C" w:rsidRPr="00AB035A">
              <w:t>development footprint</w:t>
            </w:r>
            <w:r w:rsidR="00E30223">
              <w:t xml:space="preserve"> </w:t>
            </w:r>
            <w:r w:rsidR="0045722B">
              <w:t>to allow for built to boundary walls to be</w:t>
            </w:r>
            <w:r w:rsidR="00C04B03">
              <w:t xml:space="preserve"> </w:t>
            </w:r>
            <w:r w:rsidR="00E30223">
              <w:t>located</w:t>
            </w:r>
            <w:r w:rsidR="00BD6AF1">
              <w:t xml:space="preserve"> </w:t>
            </w:r>
            <w:r w:rsidR="00E30223" w:rsidRPr="00BB73D5">
              <w:t>so that no more than 6 dwelling houses can be attached by shared boundary walls.</w:t>
            </w:r>
          </w:p>
        </w:tc>
      </w:tr>
      <w:tr w:rsidR="007C008E" w:rsidRPr="00AD3C97" w14:paraId="217562D1" w14:textId="77777777" w:rsidTr="001B353F">
        <w:tc>
          <w:tcPr>
            <w:tcW w:w="8928" w:type="dxa"/>
            <w:gridSpan w:val="2"/>
            <w:shd w:val="clear" w:color="auto" w:fill="auto"/>
          </w:tcPr>
          <w:p w14:paraId="299DAFFE" w14:textId="77777777" w:rsidR="007C008E" w:rsidRPr="00AD3C97" w:rsidRDefault="001153E5" w:rsidP="002018FB">
            <w:pPr>
              <w:pStyle w:val="QPPTableTextBold"/>
            </w:pPr>
            <w:r>
              <w:t>Section C3—</w:t>
            </w:r>
            <w:r w:rsidR="00C04B03">
              <w:t xml:space="preserve">Additional </w:t>
            </w:r>
            <w:r w:rsidR="002018FB">
              <w:t xml:space="preserve">performance outcomes and acceptable outcomes </w:t>
            </w:r>
            <w:r w:rsidR="00C04B03">
              <w:t xml:space="preserve">if </w:t>
            </w:r>
            <w:r w:rsidR="007C008E" w:rsidRPr="00AD3C97">
              <w:t>involving reconfiguring a lot in a</w:t>
            </w:r>
            <w:r w:rsidR="001C6BF5">
              <w:t xml:space="preserve"> zo</w:t>
            </w:r>
            <w:r w:rsidR="007C008E" w:rsidRPr="00AD3C97">
              <w:t>n</w:t>
            </w:r>
            <w:r w:rsidR="001C6BF5">
              <w:t>e in the</w:t>
            </w:r>
            <w:r w:rsidR="007C008E" w:rsidRPr="00AD3C97">
              <w:t xml:space="preserve"> </w:t>
            </w:r>
            <w:r w:rsidR="001C6BF5">
              <w:t>I</w:t>
            </w:r>
            <w:r w:rsidR="007C008E" w:rsidRPr="00AD3C97">
              <w:t>ndustr</w:t>
            </w:r>
            <w:r w:rsidR="001C6BF5">
              <w:t>y</w:t>
            </w:r>
            <w:r w:rsidR="007C008E" w:rsidRPr="00AD3C97">
              <w:t xml:space="preserve"> zone</w:t>
            </w:r>
            <w:r w:rsidR="001C6BF5">
              <w:t>s category</w:t>
            </w:r>
            <w:r w:rsidR="007C008E" w:rsidRPr="00AD3C97">
              <w:t xml:space="preserve"> or the</w:t>
            </w:r>
            <w:r w:rsidR="001D369C">
              <w:t xml:space="preserve"> Extractive industry</w:t>
            </w:r>
            <w:r w:rsidR="00F4720B">
              <w:t xml:space="preserve"> zone</w:t>
            </w:r>
          </w:p>
        </w:tc>
      </w:tr>
      <w:tr w:rsidR="00112861" w:rsidRPr="001B353F" w14:paraId="23314BC7" w14:textId="77777777" w:rsidTr="001B353F">
        <w:trPr>
          <w:trHeight w:val="781"/>
        </w:trPr>
        <w:tc>
          <w:tcPr>
            <w:tcW w:w="4068" w:type="dxa"/>
            <w:vMerge w:val="restart"/>
            <w:shd w:val="clear" w:color="auto" w:fill="auto"/>
          </w:tcPr>
          <w:p w14:paraId="2F5CA09A" w14:textId="77777777" w:rsidR="00112861" w:rsidRDefault="00112861">
            <w:pPr>
              <w:pStyle w:val="QPPTableTextBold"/>
            </w:pPr>
            <w:r>
              <w:t>PO</w:t>
            </w:r>
            <w:r w:rsidR="007E195A">
              <w:t>3</w:t>
            </w:r>
            <w:r w:rsidR="00FE7278">
              <w:t>1</w:t>
            </w:r>
          </w:p>
          <w:p w14:paraId="0F8A0206" w14:textId="77777777" w:rsidR="00C04B03" w:rsidRDefault="00AC6613">
            <w:pPr>
              <w:pStyle w:val="QPPTableTextBody"/>
            </w:pPr>
            <w:r>
              <w:t xml:space="preserve">Development provides a </w:t>
            </w:r>
            <w:r w:rsidR="00112861">
              <w:t xml:space="preserve">lot layout </w:t>
            </w:r>
            <w:r w:rsidR="001153E5">
              <w:t xml:space="preserve">plan </w:t>
            </w:r>
            <w:r w:rsidR="00C04B03">
              <w:t>which:</w:t>
            </w:r>
          </w:p>
          <w:p w14:paraId="3C7C5DFF" w14:textId="77777777" w:rsidR="00C873DE" w:rsidRPr="00BB73D5" w:rsidRDefault="00112861">
            <w:pPr>
              <w:pStyle w:val="HGTableBullet2"/>
              <w:numPr>
                <w:ilvl w:val="0"/>
                <w:numId w:val="48"/>
              </w:numPr>
            </w:pPr>
            <w:r w:rsidRPr="00BB73D5">
              <w:t>facilitate</w:t>
            </w:r>
            <w:r w:rsidR="00C873DE" w:rsidRPr="00BB73D5">
              <w:t>s</w:t>
            </w:r>
            <w:r w:rsidRPr="00BB73D5">
              <w:t xml:space="preserve"> the integration</w:t>
            </w:r>
            <w:r w:rsidR="00067F64" w:rsidRPr="00BB73D5">
              <w:t xml:space="preserve"> of industrial development with other adjacent industrial development and the </w:t>
            </w:r>
            <w:r w:rsidR="000174EB">
              <w:t>transport</w:t>
            </w:r>
            <w:r w:rsidR="00067F64" w:rsidRPr="00BB73D5">
              <w:t xml:space="preserve"> network elements intended for industrial traffic</w:t>
            </w:r>
            <w:r w:rsidR="00C873DE" w:rsidRPr="00BB73D5">
              <w:t>;</w:t>
            </w:r>
          </w:p>
          <w:p w14:paraId="0A2ED3DC" w14:textId="77777777" w:rsidR="00112861" w:rsidRPr="0070437B" w:rsidRDefault="00C873DE">
            <w:pPr>
              <w:pStyle w:val="HGTableBullet2"/>
            </w:pPr>
            <w:r w:rsidRPr="00BB73D5">
              <w:t>minimises</w:t>
            </w:r>
            <w:r w:rsidR="00112861" w:rsidRPr="00BB73D5">
              <w:t xml:space="preserve"> impacts to existing or potential incompatible land uses</w:t>
            </w:r>
            <w:r w:rsidR="00112861">
              <w:t>.</w:t>
            </w:r>
          </w:p>
        </w:tc>
        <w:tc>
          <w:tcPr>
            <w:tcW w:w="4860" w:type="dxa"/>
            <w:shd w:val="clear" w:color="auto" w:fill="auto"/>
          </w:tcPr>
          <w:p w14:paraId="418258B1" w14:textId="77777777" w:rsidR="00112861" w:rsidRDefault="00112861">
            <w:pPr>
              <w:pStyle w:val="QPPTableTextBold"/>
            </w:pPr>
            <w:r>
              <w:t>AO</w:t>
            </w:r>
            <w:r w:rsidR="007E195A">
              <w:t>3</w:t>
            </w:r>
            <w:r w:rsidR="00FE7278">
              <w:t>1</w:t>
            </w:r>
            <w:r>
              <w:t>.1</w:t>
            </w:r>
          </w:p>
          <w:p w14:paraId="409159DD" w14:textId="77777777" w:rsidR="00112861" w:rsidRDefault="00AC6613" w:rsidP="008502BC">
            <w:pPr>
              <w:pStyle w:val="QPPTableTextBody"/>
            </w:pPr>
            <w:r>
              <w:t xml:space="preserve">Development </w:t>
            </w:r>
            <w:r w:rsidR="00C873DE">
              <w:t xml:space="preserve">involving an </w:t>
            </w:r>
            <w:r w:rsidR="001153E5">
              <w:t>i</w:t>
            </w:r>
            <w:r w:rsidR="00112861">
              <w:t>ndustrial lot</w:t>
            </w:r>
            <w:r w:rsidR="0045722B">
              <w:t xml:space="preserve"> ensure</w:t>
            </w:r>
            <w:r w:rsidR="00386352">
              <w:t>s</w:t>
            </w:r>
            <w:r w:rsidR="0045722B">
              <w:t xml:space="preserve"> vehicle access is to a road intended for industrial </w:t>
            </w:r>
            <w:r w:rsidR="008502BC">
              <w:t>access</w:t>
            </w:r>
            <w:r w:rsidR="0045722B">
              <w:t>, not a residential street.</w:t>
            </w:r>
          </w:p>
        </w:tc>
      </w:tr>
      <w:tr w:rsidR="00112861" w14:paraId="6E4D012E" w14:textId="77777777" w:rsidTr="001B353F">
        <w:trPr>
          <w:trHeight w:val="289"/>
        </w:trPr>
        <w:tc>
          <w:tcPr>
            <w:tcW w:w="4068" w:type="dxa"/>
            <w:vMerge/>
            <w:shd w:val="clear" w:color="auto" w:fill="auto"/>
          </w:tcPr>
          <w:p w14:paraId="3534D8A0" w14:textId="77777777" w:rsidR="00112861" w:rsidRDefault="00112861">
            <w:pPr>
              <w:pStyle w:val="QPPTableTextBold"/>
            </w:pPr>
          </w:p>
        </w:tc>
        <w:tc>
          <w:tcPr>
            <w:tcW w:w="4860" w:type="dxa"/>
            <w:shd w:val="clear" w:color="auto" w:fill="auto"/>
          </w:tcPr>
          <w:p w14:paraId="476748F7" w14:textId="77777777" w:rsidR="00112861" w:rsidRDefault="00112861" w:rsidP="00B47AA3">
            <w:pPr>
              <w:pStyle w:val="QPPTableTextBold"/>
            </w:pPr>
            <w:r>
              <w:t>AO</w:t>
            </w:r>
            <w:r w:rsidR="007E195A">
              <w:t>3</w:t>
            </w:r>
            <w:r w:rsidR="00FE7278">
              <w:t>1</w:t>
            </w:r>
            <w:r>
              <w:t>.</w:t>
            </w:r>
            <w:r w:rsidR="00F4720B">
              <w:t>2</w:t>
            </w:r>
          </w:p>
          <w:p w14:paraId="60671993" w14:textId="77777777" w:rsidR="00112861" w:rsidRPr="001B353F" w:rsidRDefault="00AC6613" w:rsidP="00B47AA3">
            <w:pPr>
              <w:pStyle w:val="QPPTableTextBody"/>
            </w:pPr>
            <w:r w:rsidRPr="001B353F">
              <w:t>Development provides l</w:t>
            </w:r>
            <w:r w:rsidR="00067F64" w:rsidRPr="001B353F">
              <w:t>ots or easements for non-</w:t>
            </w:r>
            <w:r w:rsidR="00697063" w:rsidRPr="001B353F">
              <w:t>industrial</w:t>
            </w:r>
            <w:r w:rsidR="00067F64" w:rsidRPr="001B353F">
              <w:t xml:space="preserve"> uses such as </w:t>
            </w:r>
            <w:r w:rsidR="00A06233">
              <w:t xml:space="preserve">private </w:t>
            </w:r>
            <w:r w:rsidR="00067F64" w:rsidRPr="001B353F">
              <w:t xml:space="preserve">open </w:t>
            </w:r>
            <w:r w:rsidR="00697063" w:rsidRPr="001B353F">
              <w:t>space</w:t>
            </w:r>
            <w:r w:rsidR="00067F64" w:rsidRPr="001B353F">
              <w:t xml:space="preserve">, environmental or stormwater management </w:t>
            </w:r>
            <w:r w:rsidR="00386352" w:rsidRPr="001B353F">
              <w:t>that create</w:t>
            </w:r>
            <w:r w:rsidR="001153E5" w:rsidRPr="001B353F">
              <w:t xml:space="preserve"> </w:t>
            </w:r>
            <w:r w:rsidR="00067F64" w:rsidRPr="001B353F">
              <w:t xml:space="preserve">spatial separation between industrial lots and other </w:t>
            </w:r>
            <w:r w:rsidR="0041214F" w:rsidRPr="001B353F">
              <w:t xml:space="preserve">incompatible </w:t>
            </w:r>
            <w:r w:rsidR="00067F64" w:rsidRPr="001B353F">
              <w:t>land uses</w:t>
            </w:r>
            <w:r w:rsidR="00112861" w:rsidRPr="001B353F">
              <w:t>.</w:t>
            </w:r>
          </w:p>
        </w:tc>
      </w:tr>
      <w:tr w:rsidR="007C008E" w14:paraId="022E2145" w14:textId="77777777" w:rsidTr="001B353F">
        <w:tc>
          <w:tcPr>
            <w:tcW w:w="4068" w:type="dxa"/>
            <w:shd w:val="clear" w:color="auto" w:fill="auto"/>
          </w:tcPr>
          <w:p w14:paraId="1B332751" w14:textId="77777777" w:rsidR="007C008E" w:rsidRDefault="007C008E">
            <w:pPr>
              <w:pStyle w:val="QPPTableTextBold"/>
            </w:pPr>
            <w:r>
              <w:t>PO</w:t>
            </w:r>
            <w:r w:rsidR="007E195A">
              <w:t>3</w:t>
            </w:r>
            <w:r w:rsidR="00FE7278">
              <w:t>2</w:t>
            </w:r>
          </w:p>
          <w:p w14:paraId="14780D98" w14:textId="77777777" w:rsidR="007C008E" w:rsidRDefault="00AC6613">
            <w:pPr>
              <w:pStyle w:val="QPPTableTextBody"/>
            </w:pPr>
            <w:r>
              <w:t xml:space="preserve">Development </w:t>
            </w:r>
            <w:r w:rsidR="007C008E">
              <w:t xml:space="preserve">for industrial uses </w:t>
            </w:r>
            <w:r w:rsidR="001153E5">
              <w:t xml:space="preserve">that are </w:t>
            </w:r>
            <w:r w:rsidR="007C008E">
              <w:t xml:space="preserve">proposed to be serviced by </w:t>
            </w:r>
            <w:r w:rsidR="00E22963">
              <w:t xml:space="preserve">a </w:t>
            </w:r>
            <w:r w:rsidR="007C008E">
              <w:t>railway</w:t>
            </w:r>
            <w:r w:rsidR="0041214F">
              <w:t>,</w:t>
            </w:r>
            <w:r w:rsidR="007C008E">
              <w:t xml:space="preserve"> </w:t>
            </w:r>
            <w:r w:rsidR="0041214F">
              <w:t>road frei</w:t>
            </w:r>
            <w:r w:rsidR="00E22963">
              <w:t>ght depot, intermodal terminal, airport or seaport</w:t>
            </w:r>
            <w:r w:rsidR="0041214F">
              <w:t xml:space="preserve"> </w:t>
            </w:r>
            <w:r w:rsidR="007C008E">
              <w:t>maximise</w:t>
            </w:r>
            <w:r w:rsidR="00E22963">
              <w:t>s</w:t>
            </w:r>
            <w:r w:rsidR="007C008E">
              <w:t xml:space="preserve"> access to th</w:t>
            </w:r>
            <w:r w:rsidR="0041214F">
              <w:t>ese facilities</w:t>
            </w:r>
            <w:r w:rsidR="007C008E">
              <w:t>.</w:t>
            </w:r>
          </w:p>
        </w:tc>
        <w:tc>
          <w:tcPr>
            <w:tcW w:w="4860" w:type="dxa"/>
            <w:shd w:val="clear" w:color="auto" w:fill="auto"/>
          </w:tcPr>
          <w:p w14:paraId="5CAE386A" w14:textId="77777777" w:rsidR="007C008E" w:rsidRDefault="007C008E">
            <w:pPr>
              <w:pStyle w:val="QPPTableTextBold"/>
            </w:pPr>
            <w:r>
              <w:t>AO</w:t>
            </w:r>
            <w:r w:rsidR="0041214F">
              <w:t>3</w:t>
            </w:r>
            <w:r w:rsidR="00FE7278">
              <w:t>2</w:t>
            </w:r>
          </w:p>
          <w:p w14:paraId="22B71D31" w14:textId="77777777" w:rsidR="00E22963" w:rsidRDefault="00AC6613">
            <w:pPr>
              <w:pStyle w:val="QPPTableTextBody"/>
            </w:pPr>
            <w:r>
              <w:t>Development provides l</w:t>
            </w:r>
            <w:r w:rsidR="00141810">
              <w:t xml:space="preserve">ots </w:t>
            </w:r>
            <w:r w:rsidR="00E22963">
              <w:t xml:space="preserve">which </w:t>
            </w:r>
            <w:r w:rsidR="00141810">
              <w:t>a</w:t>
            </w:r>
            <w:r w:rsidR="007C008E">
              <w:t xml:space="preserve">re </w:t>
            </w:r>
            <w:r w:rsidR="0041214F">
              <w:t>arranged to</w:t>
            </w:r>
            <w:r w:rsidR="00E22963">
              <w:t>:</w:t>
            </w:r>
          </w:p>
          <w:p w14:paraId="65E79CBE" w14:textId="77777777" w:rsidR="00A406DF" w:rsidRPr="00BB73D5" w:rsidRDefault="007C008E">
            <w:pPr>
              <w:pStyle w:val="HGTableBullet2"/>
              <w:numPr>
                <w:ilvl w:val="0"/>
                <w:numId w:val="49"/>
              </w:numPr>
            </w:pPr>
            <w:r w:rsidRPr="00BB73D5">
              <w:t>provide direct frontage to</w:t>
            </w:r>
            <w:r w:rsidR="00386352" w:rsidRPr="00BB73D5">
              <w:t xml:space="preserve"> a</w:t>
            </w:r>
            <w:r w:rsidRPr="00BB73D5">
              <w:t xml:space="preserve"> </w:t>
            </w:r>
            <w:r w:rsidR="0041214F" w:rsidRPr="00BB73D5">
              <w:t xml:space="preserve">railway, road freight depot, intermodal terminal, airport or </w:t>
            </w:r>
            <w:r w:rsidR="001153E5" w:rsidRPr="00BB73D5">
              <w:t>seaport</w:t>
            </w:r>
            <w:r w:rsidRPr="00BB73D5">
              <w:t xml:space="preserve"> loading and unloading area</w:t>
            </w:r>
            <w:r w:rsidR="00A406DF" w:rsidRPr="00BB73D5">
              <w:t>;</w:t>
            </w:r>
          </w:p>
          <w:p w14:paraId="01750ADB" w14:textId="77777777" w:rsidR="007C008E" w:rsidRDefault="00A406DF">
            <w:pPr>
              <w:pStyle w:val="HGTableBullet2"/>
            </w:pPr>
            <w:r w:rsidRPr="00BB73D5">
              <w:t>be</w:t>
            </w:r>
            <w:r w:rsidR="007C008E" w:rsidRPr="00BB73D5">
              <w:t xml:space="preserve"> accessed by shared access ways</w:t>
            </w:r>
            <w:r w:rsidRPr="00BB73D5">
              <w:t>,</w:t>
            </w:r>
            <w:r w:rsidR="007C008E" w:rsidRPr="00BB73D5">
              <w:t xml:space="preserve"> </w:t>
            </w:r>
            <w:r w:rsidR="0041214F" w:rsidRPr="00BB73D5">
              <w:t>over private land or public road</w:t>
            </w:r>
            <w:r w:rsidR="00D307CA" w:rsidRPr="00BB73D5">
              <w:t xml:space="preserve"> in the site</w:t>
            </w:r>
            <w:r w:rsidRPr="00BB73D5">
              <w:t>,</w:t>
            </w:r>
            <w:r w:rsidR="0041214F" w:rsidRPr="00BB73D5">
              <w:t xml:space="preserve"> </w:t>
            </w:r>
            <w:r w:rsidR="007C008E" w:rsidRPr="00BB73D5">
              <w:t>linking to the loading and unloading area</w:t>
            </w:r>
            <w:r w:rsidR="0041214F" w:rsidRPr="00BB73D5">
              <w:t>s</w:t>
            </w:r>
            <w:r w:rsidR="00F4720B">
              <w:t>.</w:t>
            </w:r>
          </w:p>
        </w:tc>
      </w:tr>
      <w:tr w:rsidR="007C008E" w14:paraId="214D689C" w14:textId="77777777" w:rsidTr="001B353F">
        <w:tc>
          <w:tcPr>
            <w:tcW w:w="4068" w:type="dxa"/>
            <w:shd w:val="clear" w:color="auto" w:fill="auto"/>
          </w:tcPr>
          <w:p w14:paraId="3EBEFFE7" w14:textId="77777777" w:rsidR="007C008E" w:rsidRDefault="007C008E">
            <w:pPr>
              <w:pStyle w:val="QPPTableTextBold"/>
            </w:pPr>
            <w:r>
              <w:t>PO</w:t>
            </w:r>
            <w:r w:rsidR="00D307CA">
              <w:t>3</w:t>
            </w:r>
            <w:r w:rsidR="00FE7278">
              <w:t>3</w:t>
            </w:r>
          </w:p>
          <w:p w14:paraId="406C09DC" w14:textId="77777777" w:rsidR="00D24FB6" w:rsidRDefault="00AC6613">
            <w:pPr>
              <w:pStyle w:val="QPPTableTextBody"/>
            </w:pPr>
            <w:r>
              <w:t>Development i</w:t>
            </w:r>
            <w:r w:rsidR="007C008E">
              <w:t xml:space="preserve">n the </w:t>
            </w:r>
            <w:r w:rsidR="002707D0">
              <w:t>General</w:t>
            </w:r>
            <w:r w:rsidR="007C008E" w:rsidRPr="001D369C">
              <w:t xml:space="preserve"> industry </w:t>
            </w:r>
            <w:r w:rsidR="002707D0">
              <w:t xml:space="preserve">C </w:t>
            </w:r>
            <w:r w:rsidR="007C008E" w:rsidRPr="001D369C">
              <w:t>zone</w:t>
            </w:r>
            <w:r w:rsidR="007B7244">
              <w:t xml:space="preserve"> </w:t>
            </w:r>
            <w:r w:rsidR="007B7244" w:rsidRPr="007B7244">
              <w:t>precinct of the Industry zone</w:t>
            </w:r>
            <w:r w:rsidR="007C008E" w:rsidRPr="00E64A89">
              <w:t xml:space="preserve"> and the </w:t>
            </w:r>
            <w:r w:rsidR="007C008E" w:rsidRPr="001D369C">
              <w:t>Extractive industry zone</w:t>
            </w:r>
            <w:r w:rsidR="007C008E" w:rsidRPr="00E64A89">
              <w:t>,</w:t>
            </w:r>
            <w:r w:rsidR="007C008E">
              <w:t xml:space="preserve"> </w:t>
            </w:r>
            <w:r w:rsidR="00A406DF">
              <w:t xml:space="preserve">provides </w:t>
            </w:r>
            <w:r w:rsidR="007C008E">
              <w:t>lots</w:t>
            </w:r>
            <w:r w:rsidR="00D24FB6">
              <w:t xml:space="preserve"> which:</w:t>
            </w:r>
          </w:p>
          <w:p w14:paraId="0BC30C59" w14:textId="77777777" w:rsidR="00D24FB6" w:rsidRPr="00BB73D5" w:rsidRDefault="00D24FB6">
            <w:pPr>
              <w:pStyle w:val="HGTableBullet2"/>
              <w:numPr>
                <w:ilvl w:val="0"/>
                <w:numId w:val="50"/>
              </w:numPr>
            </w:pPr>
            <w:r w:rsidRPr="00BB73D5">
              <w:t xml:space="preserve">are </w:t>
            </w:r>
            <w:r w:rsidR="001153E5" w:rsidRPr="00BB73D5">
              <w:t xml:space="preserve">of </w:t>
            </w:r>
            <w:r w:rsidRPr="00BB73D5">
              <w:t>a size that facilitate</w:t>
            </w:r>
            <w:r w:rsidR="001153E5" w:rsidRPr="00BB73D5">
              <w:t>s</w:t>
            </w:r>
            <w:r w:rsidR="007C008E" w:rsidRPr="00BB73D5">
              <w:t xml:space="preserve"> a variety of industrial and industry compatible land uses</w:t>
            </w:r>
            <w:r w:rsidRPr="00BB73D5">
              <w:t>;</w:t>
            </w:r>
          </w:p>
          <w:p w14:paraId="54BD7A7D" w14:textId="77777777" w:rsidR="007C008E" w:rsidRDefault="00D24FB6">
            <w:pPr>
              <w:pStyle w:val="HGTableBullet2"/>
            </w:pPr>
            <w:r w:rsidRPr="00BB73D5">
              <w:t>are</w:t>
            </w:r>
            <w:r w:rsidR="007C008E" w:rsidRPr="00BB73D5">
              <w:t xml:space="preserve"> not subdivided or otherwise fragmented into unviable lot sizes</w:t>
            </w:r>
            <w:r w:rsidRPr="00BB73D5">
              <w:t>.</w:t>
            </w:r>
          </w:p>
        </w:tc>
        <w:tc>
          <w:tcPr>
            <w:tcW w:w="4860" w:type="dxa"/>
            <w:shd w:val="clear" w:color="auto" w:fill="auto"/>
          </w:tcPr>
          <w:p w14:paraId="0410E42E" w14:textId="77777777" w:rsidR="007C008E" w:rsidRDefault="007C008E">
            <w:pPr>
              <w:pStyle w:val="QPPTableTextBold"/>
            </w:pPr>
            <w:r>
              <w:t>AO</w:t>
            </w:r>
            <w:r w:rsidR="00D307CA">
              <w:t>3</w:t>
            </w:r>
            <w:r w:rsidR="00FE7278">
              <w:t>3</w:t>
            </w:r>
          </w:p>
          <w:p w14:paraId="170E793A" w14:textId="183FFD79" w:rsidR="007C008E" w:rsidRDefault="00AC6613" w:rsidP="007B7244">
            <w:pPr>
              <w:pStyle w:val="QPPTableTextBody"/>
            </w:pPr>
            <w:r>
              <w:t>Development on l</w:t>
            </w:r>
            <w:r w:rsidR="007C008E">
              <w:t xml:space="preserve">and in the </w:t>
            </w:r>
            <w:r w:rsidR="002707D0">
              <w:t>General</w:t>
            </w:r>
            <w:r w:rsidR="007C008E" w:rsidRPr="001D369C">
              <w:t xml:space="preserve"> industry </w:t>
            </w:r>
            <w:r w:rsidR="00D61C18">
              <w:t xml:space="preserve">C </w:t>
            </w:r>
            <w:r w:rsidR="00D61C18" w:rsidRPr="001D369C">
              <w:t>zone</w:t>
            </w:r>
            <w:r w:rsidR="007B7244">
              <w:t xml:space="preserve"> </w:t>
            </w:r>
            <w:r w:rsidR="007B7244" w:rsidRPr="007B7244">
              <w:t>precinct of the Industry zone</w:t>
            </w:r>
            <w:r w:rsidR="007C008E" w:rsidRPr="00E64A89">
              <w:t xml:space="preserve"> and the </w:t>
            </w:r>
            <w:r w:rsidR="007C008E" w:rsidRPr="001D369C">
              <w:t>Extractive industry zone</w:t>
            </w:r>
            <w:r w:rsidR="007C008E">
              <w:t xml:space="preserve"> retained in large lots in </w:t>
            </w:r>
            <w:r w:rsidR="00D24FB6">
              <w:t>compliance</w:t>
            </w:r>
            <w:r w:rsidR="007C008E">
              <w:t xml:space="preserve"> with</w:t>
            </w:r>
            <w:r w:rsidR="00D307CA">
              <w:t xml:space="preserve"> </w:t>
            </w:r>
            <w:r w:rsidR="00A53FD5" w:rsidRPr="00AB035A">
              <w:t>Table 9.4.10.3.B</w:t>
            </w:r>
            <w:r w:rsidR="00D307CA">
              <w:t>.</w:t>
            </w:r>
          </w:p>
        </w:tc>
      </w:tr>
      <w:tr w:rsidR="007C008E" w:rsidRPr="00BF6459" w14:paraId="5FF45417" w14:textId="77777777" w:rsidTr="001B353F">
        <w:tc>
          <w:tcPr>
            <w:tcW w:w="8928" w:type="dxa"/>
            <w:gridSpan w:val="2"/>
            <w:shd w:val="clear" w:color="auto" w:fill="auto"/>
          </w:tcPr>
          <w:p w14:paraId="31B2E78A" w14:textId="77777777" w:rsidR="007C008E" w:rsidRPr="00EA23A3" w:rsidRDefault="001153E5">
            <w:pPr>
              <w:pStyle w:val="QPPTableTextBold"/>
            </w:pPr>
            <w:r>
              <w:t>Section C4—</w:t>
            </w:r>
            <w:r w:rsidR="00D24FB6">
              <w:t xml:space="preserve">Additional </w:t>
            </w:r>
            <w:r w:rsidR="002018FB">
              <w:t xml:space="preserve">performance outcomes and acceptable outcomes </w:t>
            </w:r>
            <w:r w:rsidR="00D24FB6">
              <w:t>for l</w:t>
            </w:r>
            <w:r w:rsidR="007C008E" w:rsidRPr="00EA23A3">
              <w:t xml:space="preserve">ot design </w:t>
            </w:r>
            <w:r w:rsidR="00D24FB6">
              <w:t xml:space="preserve">if reconfiguring a lot in a </w:t>
            </w:r>
            <w:r w:rsidR="001C6BF5">
              <w:t xml:space="preserve">zone in the </w:t>
            </w:r>
            <w:r w:rsidR="00246E0E">
              <w:t>C</w:t>
            </w:r>
            <w:r w:rsidR="007C008E" w:rsidRPr="00EA23A3">
              <w:t>entre zone</w:t>
            </w:r>
            <w:r w:rsidR="001C6BF5">
              <w:t>s category</w:t>
            </w:r>
            <w:r w:rsidR="00D24FB6">
              <w:t>, Mixed use zone</w:t>
            </w:r>
            <w:r>
              <w:t>,</w:t>
            </w:r>
            <w:r w:rsidR="00D24FB6">
              <w:t xml:space="preserve"> Community facilit</w:t>
            </w:r>
            <w:r w:rsidR="001C6BF5">
              <w:t>ies</w:t>
            </w:r>
            <w:r w:rsidR="00D24FB6">
              <w:t xml:space="preserve"> zone or </w:t>
            </w:r>
            <w:r w:rsidR="007C008E" w:rsidRPr="00EA23A3">
              <w:t>Specialised centre</w:t>
            </w:r>
            <w:r w:rsidR="00D24FB6">
              <w:t xml:space="preserve"> zone</w:t>
            </w:r>
          </w:p>
          <w:p w14:paraId="37695BD2" w14:textId="77777777" w:rsidR="007C008E" w:rsidRPr="00892216" w:rsidRDefault="007C008E" w:rsidP="00D24FB6">
            <w:pPr>
              <w:pStyle w:val="QPPEditorsNoteStyle1"/>
            </w:pPr>
            <w:r w:rsidRPr="00892216">
              <w:t>Note—</w:t>
            </w:r>
            <w:r w:rsidR="00D24FB6">
              <w:t xml:space="preserve">If a reconfiguration of a lot for </w:t>
            </w:r>
            <w:r w:rsidRPr="00892216">
              <w:t xml:space="preserve">commercial development occurs prior to a </w:t>
            </w:r>
            <w:r w:rsidR="00D24FB6">
              <w:t>development application for a material change of use</w:t>
            </w:r>
            <w:r w:rsidRPr="00892216">
              <w:t xml:space="preserve">, the reconfiguration </w:t>
            </w:r>
            <w:r w:rsidR="00D24FB6">
              <w:t xml:space="preserve">of a lot </w:t>
            </w:r>
            <w:r w:rsidRPr="00892216">
              <w:t xml:space="preserve">design </w:t>
            </w:r>
            <w:r w:rsidR="00D24FB6">
              <w:t>is to</w:t>
            </w:r>
            <w:r w:rsidRPr="00892216">
              <w:t xml:space="preserve"> </w:t>
            </w:r>
            <w:r w:rsidR="00EA23A3" w:rsidRPr="00892216">
              <w:t xml:space="preserve">have regard to </w:t>
            </w:r>
            <w:r w:rsidRPr="00892216">
              <w:t xml:space="preserve">the </w:t>
            </w:r>
            <w:r w:rsidR="00EA23A3" w:rsidRPr="00892216">
              <w:t xml:space="preserve">relevant development </w:t>
            </w:r>
            <w:r w:rsidRPr="00892216">
              <w:t>code</w:t>
            </w:r>
            <w:r w:rsidR="00EA23A3" w:rsidRPr="00892216">
              <w:t>.</w:t>
            </w:r>
          </w:p>
        </w:tc>
      </w:tr>
      <w:tr w:rsidR="007C008E" w:rsidRPr="00A05DEA" w14:paraId="27843670" w14:textId="77777777" w:rsidTr="001B353F">
        <w:tc>
          <w:tcPr>
            <w:tcW w:w="4068" w:type="dxa"/>
            <w:shd w:val="clear" w:color="auto" w:fill="auto"/>
          </w:tcPr>
          <w:p w14:paraId="3B4AD72A" w14:textId="77777777" w:rsidR="007C008E" w:rsidRDefault="007C008E">
            <w:pPr>
              <w:pStyle w:val="QPPTableTextBold"/>
            </w:pPr>
            <w:r w:rsidRPr="00A05DEA">
              <w:t>PO</w:t>
            </w:r>
            <w:r w:rsidR="00D307CA">
              <w:t>3</w:t>
            </w:r>
            <w:r w:rsidR="00FE7278">
              <w:t>4</w:t>
            </w:r>
          </w:p>
          <w:p w14:paraId="412D33CF" w14:textId="77777777" w:rsidR="007C008E" w:rsidRDefault="00AC6613">
            <w:pPr>
              <w:pStyle w:val="QPPTableTextBody"/>
            </w:pPr>
            <w:r>
              <w:t xml:space="preserve">Development </w:t>
            </w:r>
            <w:r w:rsidR="007C008E">
              <w:t xml:space="preserve">in </w:t>
            </w:r>
            <w:r w:rsidR="001C6BF5">
              <w:t xml:space="preserve">a zone in </w:t>
            </w:r>
            <w:r w:rsidR="00D24FB6">
              <w:t>the Centre zone</w:t>
            </w:r>
            <w:r w:rsidR="001C6BF5">
              <w:t>s category</w:t>
            </w:r>
            <w:r w:rsidR="00EA23A3">
              <w:t xml:space="preserve">, </w:t>
            </w:r>
            <w:r w:rsidR="00D24FB6">
              <w:t>M</w:t>
            </w:r>
            <w:r w:rsidR="00EA23A3">
              <w:t xml:space="preserve">ixed use </w:t>
            </w:r>
            <w:r w:rsidR="00D24FB6">
              <w:t>zone or Specialised centre zone</w:t>
            </w:r>
            <w:r w:rsidR="007C008E">
              <w:t>:</w:t>
            </w:r>
          </w:p>
          <w:p w14:paraId="7E2965F6" w14:textId="77777777" w:rsidR="007C008E" w:rsidRPr="00BB73D5" w:rsidRDefault="007C008E">
            <w:pPr>
              <w:pStyle w:val="HGTableBullet2"/>
              <w:numPr>
                <w:ilvl w:val="0"/>
                <w:numId w:val="51"/>
              </w:numPr>
            </w:pPr>
            <w:r w:rsidRPr="00BB73D5">
              <w:t>facilitate</w:t>
            </w:r>
            <w:r w:rsidR="00D24FB6" w:rsidRPr="00BB73D5">
              <w:t>s</w:t>
            </w:r>
            <w:r w:rsidRPr="00BB73D5">
              <w:t xml:space="preserve"> the integration of </w:t>
            </w:r>
            <w:r w:rsidR="00CE0B9D" w:rsidRPr="00BB73D5">
              <w:t>centre and mixed uses with adjacent uses and features;</w:t>
            </w:r>
          </w:p>
          <w:p w14:paraId="15397F70" w14:textId="77777777" w:rsidR="007C008E" w:rsidRPr="00BB73D5" w:rsidRDefault="00CE0B9D">
            <w:pPr>
              <w:pStyle w:val="HGTableBullet2"/>
            </w:pPr>
            <w:r w:rsidRPr="00BB73D5">
              <w:t>complement</w:t>
            </w:r>
            <w:r w:rsidR="004F5923" w:rsidRPr="00BB73D5">
              <w:t>s</w:t>
            </w:r>
            <w:r w:rsidRPr="00BB73D5">
              <w:t xml:space="preserve"> and enhance</w:t>
            </w:r>
            <w:r w:rsidR="004F5923" w:rsidRPr="00BB73D5">
              <w:t>s</w:t>
            </w:r>
            <w:r w:rsidRPr="00BB73D5">
              <w:t xml:space="preserve"> existing or </w:t>
            </w:r>
            <w:r w:rsidR="006E4126" w:rsidRPr="00BB73D5">
              <w:t>proposed</w:t>
            </w:r>
            <w:r w:rsidRPr="00BB73D5">
              <w:t xml:space="preserve"> </w:t>
            </w:r>
            <w:r w:rsidR="007C008E" w:rsidRPr="00BB73D5">
              <w:t>public spaces</w:t>
            </w:r>
            <w:r w:rsidRPr="00BB73D5">
              <w:t>;</w:t>
            </w:r>
          </w:p>
          <w:p w14:paraId="59DAA2E9" w14:textId="77777777" w:rsidR="007C008E" w:rsidRPr="00BB73D5" w:rsidRDefault="007C008E">
            <w:pPr>
              <w:pStyle w:val="HGTableBullet2"/>
            </w:pPr>
            <w:r w:rsidRPr="00BB73D5">
              <w:t>ensure</w:t>
            </w:r>
            <w:r w:rsidR="004F5923" w:rsidRPr="00BB73D5">
              <w:t>s</w:t>
            </w:r>
            <w:r w:rsidRPr="00BB73D5">
              <w:t xml:space="preserve"> minimum impact on the amenity of adjacent and nearby areas</w:t>
            </w:r>
            <w:r w:rsidR="004F5923" w:rsidRPr="00BB73D5">
              <w:t>;</w:t>
            </w:r>
          </w:p>
          <w:p w14:paraId="33A89977" w14:textId="77777777" w:rsidR="007C008E" w:rsidRPr="00A05DEA" w:rsidRDefault="007C008E">
            <w:pPr>
              <w:pStyle w:val="HGTableBullet2"/>
            </w:pPr>
            <w:r w:rsidRPr="00BB73D5">
              <w:t>provide</w:t>
            </w:r>
            <w:r w:rsidR="004F5923" w:rsidRPr="00BB73D5">
              <w:t>s</w:t>
            </w:r>
            <w:r w:rsidRPr="00BB73D5">
              <w:t xml:space="preserve"> for reasonable buffers between any existing or potential incompatible land uses</w:t>
            </w:r>
            <w:r w:rsidR="004F5923" w:rsidRPr="00BB73D5">
              <w:t>.</w:t>
            </w:r>
          </w:p>
        </w:tc>
        <w:tc>
          <w:tcPr>
            <w:tcW w:w="4860" w:type="dxa"/>
            <w:shd w:val="clear" w:color="auto" w:fill="auto"/>
          </w:tcPr>
          <w:p w14:paraId="66143562" w14:textId="77777777" w:rsidR="007C008E" w:rsidRPr="00A05DEA" w:rsidRDefault="007C008E">
            <w:pPr>
              <w:pStyle w:val="QPPTableTextBold"/>
            </w:pPr>
            <w:r w:rsidRPr="00A05DEA">
              <w:t>AO</w:t>
            </w:r>
            <w:r w:rsidR="00D307CA">
              <w:t>3</w:t>
            </w:r>
            <w:r w:rsidR="00FE7278">
              <w:t>4</w:t>
            </w:r>
          </w:p>
          <w:p w14:paraId="3050D18F" w14:textId="77777777" w:rsidR="00F159F3" w:rsidRPr="00F4720B" w:rsidRDefault="007C008E">
            <w:pPr>
              <w:pStyle w:val="QPPTableTextBody"/>
              <w:rPr>
                <w:rFonts w:cs="Times New Roman"/>
                <w:color w:val="auto"/>
                <w:sz w:val="16"/>
                <w:szCs w:val="16"/>
                <w:shd w:val="clear" w:color="auto" w:fill="FF99CC"/>
              </w:rPr>
            </w:pPr>
            <w:r>
              <w:t>No acceptable outcome</w:t>
            </w:r>
            <w:r w:rsidR="00386352">
              <w:t xml:space="preserve"> is</w:t>
            </w:r>
            <w:r>
              <w:t xml:space="preserve"> prescribed.</w:t>
            </w:r>
          </w:p>
        </w:tc>
      </w:tr>
      <w:tr w:rsidR="00A35C10" w14:paraId="465E3B12" w14:textId="77777777" w:rsidTr="001B353F">
        <w:tc>
          <w:tcPr>
            <w:tcW w:w="8928" w:type="dxa"/>
            <w:gridSpan w:val="2"/>
            <w:shd w:val="clear" w:color="auto" w:fill="auto"/>
          </w:tcPr>
          <w:p w14:paraId="16293836" w14:textId="328FDA05" w:rsidR="00A35C10" w:rsidRPr="00512E40" w:rsidRDefault="00E101EC" w:rsidP="002018FB">
            <w:pPr>
              <w:pStyle w:val="QPPTableTextBold"/>
            </w:pPr>
            <w:r w:rsidRPr="00512E40">
              <w:t>Section C5—</w:t>
            </w:r>
            <w:r w:rsidR="004F5923" w:rsidRPr="00512E40">
              <w:t xml:space="preserve">Additional </w:t>
            </w:r>
            <w:r w:rsidR="002018FB">
              <w:t>performance outcomes and acceptable outcomes</w:t>
            </w:r>
            <w:r w:rsidR="002018FB" w:rsidRPr="00512E40">
              <w:t xml:space="preserve"> </w:t>
            </w:r>
            <w:r w:rsidR="004F5923" w:rsidRPr="00512E40">
              <w:t>for l</w:t>
            </w:r>
            <w:r w:rsidR="00A35C10" w:rsidRPr="00512E40">
              <w:t xml:space="preserve">ot design </w:t>
            </w:r>
            <w:r w:rsidR="004F5923" w:rsidRPr="00512E40">
              <w:t>if reconfiguring a lot</w:t>
            </w:r>
            <w:r w:rsidR="00A35C10" w:rsidRPr="00512E40">
              <w:t xml:space="preserve"> in</w:t>
            </w:r>
            <w:r w:rsidR="00512E40">
              <w:t xml:space="preserve"> the </w:t>
            </w:r>
            <w:r w:rsidR="00512E40" w:rsidRPr="00AB035A">
              <w:t>Environmental management zone</w:t>
            </w:r>
            <w:r w:rsidR="00512E40">
              <w:t xml:space="preserve">, </w:t>
            </w:r>
            <w:r w:rsidR="00512E40" w:rsidRPr="00AB035A">
              <w:t>Rural zone</w:t>
            </w:r>
            <w:r w:rsidR="00512E40">
              <w:t xml:space="preserve"> or </w:t>
            </w:r>
            <w:r w:rsidRPr="00512E40">
              <w:t>a very-</w:t>
            </w:r>
            <w:r w:rsidR="00386352" w:rsidRPr="00512E40">
              <w:t>l</w:t>
            </w:r>
            <w:r w:rsidR="00A35C10" w:rsidRPr="00512E40">
              <w:t xml:space="preserve">ow density residential potential development area identified in a </w:t>
            </w:r>
            <w:r w:rsidR="004F5923" w:rsidRPr="00512E40">
              <w:t>n</w:t>
            </w:r>
            <w:r w:rsidR="00D307CA" w:rsidRPr="00512E40">
              <w:t xml:space="preserve">eighbourhood </w:t>
            </w:r>
            <w:r w:rsidR="004F5923" w:rsidRPr="00512E40">
              <w:t>p</w:t>
            </w:r>
            <w:r w:rsidR="00A35C10" w:rsidRPr="00512E40">
              <w:t>lan</w:t>
            </w:r>
          </w:p>
        </w:tc>
      </w:tr>
      <w:tr w:rsidR="00D307CA" w14:paraId="6205D3EB" w14:textId="77777777" w:rsidTr="001B353F">
        <w:trPr>
          <w:trHeight w:val="1450"/>
        </w:trPr>
        <w:tc>
          <w:tcPr>
            <w:tcW w:w="4068" w:type="dxa"/>
            <w:shd w:val="clear" w:color="auto" w:fill="auto"/>
          </w:tcPr>
          <w:p w14:paraId="280CF802" w14:textId="77777777" w:rsidR="00D307CA" w:rsidRDefault="0073083A">
            <w:pPr>
              <w:pStyle w:val="QPPTableTextBold"/>
            </w:pPr>
            <w:r>
              <w:t>PO3</w:t>
            </w:r>
            <w:r w:rsidR="00FE7278">
              <w:t>5</w:t>
            </w:r>
          </w:p>
          <w:p w14:paraId="14932FBC" w14:textId="77777777" w:rsidR="00D307CA" w:rsidRDefault="00AC6613">
            <w:pPr>
              <w:pStyle w:val="QPPTableTextBody"/>
            </w:pPr>
            <w:r>
              <w:t>Development provides a l</w:t>
            </w:r>
            <w:r w:rsidR="00D307CA">
              <w:t xml:space="preserve">ot design </w:t>
            </w:r>
            <w:r w:rsidR="004F5923">
              <w:t>which</w:t>
            </w:r>
            <w:r>
              <w:t xml:space="preserve"> </w:t>
            </w:r>
            <w:r w:rsidR="00793961">
              <w:t>p</w:t>
            </w:r>
            <w:r w:rsidR="00D307CA">
              <w:t>rotect</w:t>
            </w:r>
            <w:r w:rsidR="00793961">
              <w:t>s</w:t>
            </w:r>
            <w:r w:rsidR="0023579D">
              <w:t>,</w:t>
            </w:r>
            <w:r w:rsidR="00D307CA">
              <w:t xml:space="preserve"> maintain</w:t>
            </w:r>
            <w:r w:rsidR="00793961">
              <w:t>s</w:t>
            </w:r>
            <w:r w:rsidR="0023579D">
              <w:t xml:space="preserve"> and enhanc</w:t>
            </w:r>
            <w:r w:rsidR="00793961">
              <w:t>es</w:t>
            </w:r>
            <w:r w:rsidR="00D307CA">
              <w:t xml:space="preserve"> </w:t>
            </w:r>
            <w:r w:rsidR="00941AD7">
              <w:t>e</w:t>
            </w:r>
            <w:r w:rsidR="001F079C">
              <w:t>cological features, significant vegetation</w:t>
            </w:r>
            <w:r w:rsidR="00ED5D2B">
              <w:t xml:space="preserve">, </w:t>
            </w:r>
            <w:r w:rsidR="001F079C">
              <w:t>koala h</w:t>
            </w:r>
            <w:r w:rsidR="00F4720B">
              <w:t>abitat trees</w:t>
            </w:r>
            <w:r w:rsidR="00ED5D2B">
              <w:t xml:space="preserve"> and rural land values</w:t>
            </w:r>
            <w:r w:rsidR="00F4720B">
              <w:t>.</w:t>
            </w:r>
          </w:p>
          <w:p w14:paraId="6D9AEBF4" w14:textId="4C576CE7" w:rsidR="00D307CA" w:rsidRDefault="001E037F" w:rsidP="004A7D91">
            <w:pPr>
              <w:pStyle w:val="QPPEditorsNoteStyle1"/>
            </w:pPr>
            <w:r>
              <w:t>Note—</w:t>
            </w:r>
            <w:r w:rsidR="00793961">
              <w:t xml:space="preserve">Ecological features, significant vegetation and koala habitat </w:t>
            </w:r>
            <w:r w:rsidR="004A7D91">
              <w:t>trees</w:t>
            </w:r>
            <w:r w:rsidR="00793961">
              <w:t xml:space="preserve"> can be identified through an ecological assessment as outlined</w:t>
            </w:r>
            <w:r w:rsidR="00D307CA">
              <w:t xml:space="preserve"> in the </w:t>
            </w:r>
            <w:r w:rsidR="00F66047" w:rsidRPr="00AB035A">
              <w:t>Biodiversity</w:t>
            </w:r>
            <w:r w:rsidR="0073083A" w:rsidRPr="00AB035A">
              <w:t xml:space="preserve"> areas</w:t>
            </w:r>
            <w:r w:rsidR="00F66047" w:rsidRPr="00AB035A">
              <w:t xml:space="preserve"> planning scheme policy</w:t>
            </w:r>
            <w:r w:rsidR="00F66047">
              <w:t xml:space="preserve"> and </w:t>
            </w:r>
            <w:r w:rsidR="0023579D">
              <w:t xml:space="preserve">accommodated through the approach described in </w:t>
            </w:r>
            <w:r w:rsidR="00F66047">
              <w:t xml:space="preserve">the </w:t>
            </w:r>
            <w:r w:rsidR="00F66047" w:rsidRPr="00AB035A">
              <w:t>Structure planning planning scheme policy</w:t>
            </w:r>
            <w:r w:rsidR="00F66047" w:rsidRPr="00F66047">
              <w:t>.</w:t>
            </w:r>
          </w:p>
        </w:tc>
        <w:tc>
          <w:tcPr>
            <w:tcW w:w="4860" w:type="dxa"/>
            <w:shd w:val="clear" w:color="auto" w:fill="auto"/>
          </w:tcPr>
          <w:p w14:paraId="6B5AD35E" w14:textId="77777777" w:rsidR="00D307CA" w:rsidRDefault="0073083A">
            <w:pPr>
              <w:pStyle w:val="QPPTableTextBold"/>
            </w:pPr>
            <w:r>
              <w:t>AO3</w:t>
            </w:r>
            <w:r w:rsidR="00FE7278">
              <w:t>5</w:t>
            </w:r>
          </w:p>
          <w:p w14:paraId="166BB45D" w14:textId="18E76ED4" w:rsidR="001F079C" w:rsidRDefault="001F079C">
            <w:pPr>
              <w:pStyle w:val="QPPTableTextBody"/>
            </w:pPr>
            <w:r>
              <w:t>Development ensures that the</w:t>
            </w:r>
            <w:r w:rsidR="0089436F">
              <w:t xml:space="preserve"> building envelope plan</w:t>
            </w:r>
            <w:r w:rsidR="00512E40">
              <w:t xml:space="preserve"> and </w:t>
            </w:r>
            <w:r w:rsidR="00512E40" w:rsidRPr="00AB035A">
              <w:t>development footprint plan</w:t>
            </w:r>
            <w:r w:rsidR="00512E40">
              <w:t xml:space="preserve">, </w:t>
            </w:r>
            <w:r>
              <w:t>design and layout conserves ecological features, significant vegetation</w:t>
            </w:r>
            <w:r w:rsidR="00ED5D2B">
              <w:t xml:space="preserve">, </w:t>
            </w:r>
            <w:r>
              <w:t>koala habitat trees</w:t>
            </w:r>
            <w:r w:rsidR="00ED5D2B">
              <w:t xml:space="preserve"> and rural land values</w:t>
            </w:r>
            <w:r>
              <w:t xml:space="preserve"> in a </w:t>
            </w:r>
            <w:r w:rsidR="00793961">
              <w:t>spatial</w:t>
            </w:r>
            <w:r>
              <w:t xml:space="preserve"> configuration which:</w:t>
            </w:r>
          </w:p>
          <w:p w14:paraId="3CF306F6" w14:textId="77777777" w:rsidR="001F079C" w:rsidRDefault="001F079C" w:rsidP="00B47AA3">
            <w:pPr>
              <w:pStyle w:val="HGTableBullet2"/>
              <w:numPr>
                <w:ilvl w:val="0"/>
                <w:numId w:val="89"/>
              </w:numPr>
            </w:pPr>
            <w:r>
              <w:t xml:space="preserve">consolidates and connects areas to be conserved for biodiversity purposes on site and in combination with adjoining </w:t>
            </w:r>
            <w:r w:rsidR="00F4720B">
              <w:t>sites;</w:t>
            </w:r>
          </w:p>
          <w:p w14:paraId="525EE787" w14:textId="77777777" w:rsidR="001F079C" w:rsidRDefault="00941AD7" w:rsidP="00B47AA3">
            <w:pPr>
              <w:pStyle w:val="HGTableBullet2"/>
              <w:numPr>
                <w:ilvl w:val="0"/>
                <w:numId w:val="89"/>
              </w:numPr>
            </w:pPr>
            <w:r>
              <w:t>m</w:t>
            </w:r>
            <w:r w:rsidR="001F079C">
              <w:t>inimises fragmentation of areas to be conserved for biodivers</w:t>
            </w:r>
            <w:r w:rsidR="00F4720B">
              <w:t>ity purposes by infrastructure</w:t>
            </w:r>
            <w:r w:rsidR="00A31B94">
              <w:t>;</w:t>
            </w:r>
          </w:p>
          <w:p w14:paraId="1DE50FEB" w14:textId="77777777" w:rsidR="00ED5D2B" w:rsidRDefault="00ED5D2B" w:rsidP="00B47AA3">
            <w:pPr>
              <w:pStyle w:val="HGTableBullet2"/>
              <w:numPr>
                <w:ilvl w:val="0"/>
                <w:numId w:val="89"/>
              </w:numPr>
            </w:pPr>
            <w:r>
              <w:t xml:space="preserve">does not further fragment viable rural land.  </w:t>
            </w:r>
          </w:p>
          <w:p w14:paraId="77A07718" w14:textId="12ABEACC" w:rsidR="00CA6189" w:rsidRPr="00AD3C97" w:rsidRDefault="00CA6189" w:rsidP="00B47AA3">
            <w:pPr>
              <w:pStyle w:val="QPPEditorsNoteStyle1"/>
            </w:pPr>
            <w:r>
              <w:t>Note—The use of</w:t>
            </w:r>
            <w:r w:rsidR="0089436F">
              <w:t xml:space="preserve"> a</w:t>
            </w:r>
            <w:r>
              <w:t xml:space="preserve"> building envelope plan and </w:t>
            </w:r>
            <w:r w:rsidR="0089436F">
              <w:t xml:space="preserve">a </w:t>
            </w:r>
            <w:r w:rsidRPr="00AB035A">
              <w:t>development footprint plan</w:t>
            </w:r>
            <w:r>
              <w:t xml:space="preserve"> can </w:t>
            </w:r>
            <w:r w:rsidR="0089436F">
              <w:t>demonstrate compliance with this requirement</w:t>
            </w:r>
            <w:r w:rsidR="00F4720B">
              <w:t>.</w:t>
            </w:r>
          </w:p>
        </w:tc>
      </w:tr>
      <w:tr w:rsidR="003A3D9C" w:rsidRPr="001B353F" w14:paraId="314EB4A8" w14:textId="77777777" w:rsidTr="001B353F">
        <w:trPr>
          <w:trHeight w:val="1450"/>
        </w:trPr>
        <w:tc>
          <w:tcPr>
            <w:tcW w:w="4068" w:type="dxa"/>
            <w:shd w:val="clear" w:color="auto" w:fill="auto"/>
          </w:tcPr>
          <w:p w14:paraId="149FD67C" w14:textId="77777777" w:rsidR="003A3D9C" w:rsidRDefault="003A3D9C">
            <w:pPr>
              <w:pStyle w:val="QPPTableTextBold"/>
            </w:pPr>
            <w:r>
              <w:t>PO</w:t>
            </w:r>
            <w:r w:rsidR="0073083A">
              <w:t>3</w:t>
            </w:r>
            <w:r w:rsidR="006E5EF6">
              <w:t>6</w:t>
            </w:r>
          </w:p>
          <w:p w14:paraId="52F40D0A" w14:textId="77777777" w:rsidR="004F5923" w:rsidRDefault="00AC6613">
            <w:pPr>
              <w:pStyle w:val="QPPTableTextBody"/>
            </w:pPr>
            <w:r>
              <w:t>Development provides v</w:t>
            </w:r>
            <w:r w:rsidR="003A3D9C">
              <w:t xml:space="preserve">ehicular access </w:t>
            </w:r>
            <w:r w:rsidR="004F5923">
              <w:t>which is:</w:t>
            </w:r>
          </w:p>
          <w:p w14:paraId="77A52919" w14:textId="77777777" w:rsidR="004F5923" w:rsidRDefault="004F5923">
            <w:pPr>
              <w:pStyle w:val="HGTableBullet2"/>
              <w:numPr>
                <w:ilvl w:val="0"/>
                <w:numId w:val="52"/>
              </w:numPr>
            </w:pPr>
            <w:r w:rsidRPr="00BB73D5">
              <w:t>available to each lot or</w:t>
            </w:r>
            <w:r w:rsidR="00DE189F" w:rsidRPr="00BB73D5">
              <w:t xml:space="preserve"> building </w:t>
            </w:r>
            <w:r w:rsidR="00296CB4">
              <w:t>envelope</w:t>
            </w:r>
            <w:r w:rsidR="003A3D9C" w:rsidRPr="00BB73D5">
              <w:t xml:space="preserve"> </w:t>
            </w:r>
            <w:r w:rsidR="0023579D" w:rsidRPr="00BB73D5">
              <w:t>area</w:t>
            </w:r>
            <w:r w:rsidRPr="00BB73D5">
              <w:t>;</w:t>
            </w:r>
          </w:p>
          <w:p w14:paraId="16269693" w14:textId="77777777" w:rsidR="00247AB9" w:rsidRPr="00247AB9" w:rsidRDefault="004F5923">
            <w:pPr>
              <w:pStyle w:val="HGTableBullet2"/>
            </w:pPr>
            <w:r w:rsidRPr="00BB73D5">
              <w:t xml:space="preserve">does </w:t>
            </w:r>
            <w:r w:rsidR="003A3D9C" w:rsidRPr="00BB73D5">
              <w:t>not result in</w:t>
            </w:r>
            <w:r w:rsidRPr="00BB73D5">
              <w:t xml:space="preserve"> the</w:t>
            </w:r>
            <w:r w:rsidR="003A3D9C" w:rsidRPr="00BB73D5">
              <w:t xml:space="preserve"> loss of </w:t>
            </w:r>
            <w:r w:rsidR="00714B1B">
              <w:t>ecological features, significant vege</w:t>
            </w:r>
            <w:r w:rsidR="00F4720B">
              <w:t>tation and koala habitat trees.</w:t>
            </w:r>
          </w:p>
          <w:p w14:paraId="616B4DDB" w14:textId="13E11F9F" w:rsidR="0023579D" w:rsidRDefault="001E037F">
            <w:pPr>
              <w:pStyle w:val="QPPEditorsNoteStyle1"/>
            </w:pPr>
            <w:r>
              <w:t>Note—</w:t>
            </w:r>
            <w:r w:rsidR="00793961">
              <w:t>Ecological features, significant vegetation and koala habitat trees can be identified through an ecological assessment as outlined</w:t>
            </w:r>
            <w:r w:rsidR="0023579D">
              <w:t xml:space="preserve"> in the </w:t>
            </w:r>
            <w:r w:rsidR="0023579D" w:rsidRPr="00AB035A">
              <w:t xml:space="preserve">Biodiversity </w:t>
            </w:r>
            <w:r w:rsidR="006E4126" w:rsidRPr="00AB035A">
              <w:t xml:space="preserve">areas </w:t>
            </w:r>
            <w:r w:rsidR="0023579D" w:rsidRPr="00AB035A">
              <w:t>planning scheme policy</w:t>
            </w:r>
            <w:r w:rsidR="004F5923">
              <w:t>.</w:t>
            </w:r>
          </w:p>
        </w:tc>
        <w:tc>
          <w:tcPr>
            <w:tcW w:w="4860" w:type="dxa"/>
            <w:shd w:val="clear" w:color="auto" w:fill="auto"/>
          </w:tcPr>
          <w:p w14:paraId="6C96BD32" w14:textId="77777777" w:rsidR="003A3D9C" w:rsidRDefault="003A3D9C">
            <w:pPr>
              <w:pStyle w:val="QPPTableTextBold"/>
            </w:pPr>
            <w:r>
              <w:t>AO</w:t>
            </w:r>
            <w:r w:rsidR="0073083A">
              <w:t>3</w:t>
            </w:r>
            <w:r w:rsidR="006E5EF6">
              <w:t>6</w:t>
            </w:r>
          </w:p>
          <w:p w14:paraId="6DE523EB" w14:textId="77777777" w:rsidR="000964D6" w:rsidRDefault="00AC6613">
            <w:pPr>
              <w:pStyle w:val="QPPTableTextBody"/>
            </w:pPr>
            <w:r>
              <w:t>Development provides v</w:t>
            </w:r>
            <w:r w:rsidR="003A3D9C">
              <w:t xml:space="preserve">ehicle access </w:t>
            </w:r>
            <w:r w:rsidR="0023579D">
              <w:t xml:space="preserve">via </w:t>
            </w:r>
            <w:r w:rsidR="004F5923">
              <w:t xml:space="preserve">a </w:t>
            </w:r>
            <w:r w:rsidR="003A3D9C">
              <w:t>road</w:t>
            </w:r>
            <w:r w:rsidR="0023579D">
              <w:t xml:space="preserve"> and within </w:t>
            </w:r>
            <w:r w:rsidR="004F5923">
              <w:t>a lot</w:t>
            </w:r>
            <w:r>
              <w:t xml:space="preserve"> </w:t>
            </w:r>
            <w:r w:rsidR="004F5923">
              <w:t>which</w:t>
            </w:r>
            <w:r w:rsidR="0023579D">
              <w:t xml:space="preserve"> is</w:t>
            </w:r>
            <w:r w:rsidR="003A3D9C">
              <w:t xml:space="preserve"> designed to minimise </w:t>
            </w:r>
            <w:r w:rsidR="004F5923">
              <w:t xml:space="preserve">the </w:t>
            </w:r>
            <w:r w:rsidR="003A3D9C">
              <w:t>clearing of vegetation</w:t>
            </w:r>
            <w:r w:rsidR="0023579D">
              <w:t xml:space="preserve"> and potential threat to fauna movement</w:t>
            </w:r>
            <w:r w:rsidR="003A3D9C">
              <w:t>.</w:t>
            </w:r>
          </w:p>
          <w:p w14:paraId="0A9FD8D9" w14:textId="5587A6A1" w:rsidR="00296CB4" w:rsidRPr="00AD3C97" w:rsidRDefault="00296CB4" w:rsidP="00B47AA3">
            <w:pPr>
              <w:pStyle w:val="QPPEditorsNoteStyle1"/>
            </w:pPr>
            <w:r>
              <w:t xml:space="preserve">Note—The use of </w:t>
            </w:r>
            <w:r w:rsidR="00363F9E">
              <w:t xml:space="preserve">a </w:t>
            </w:r>
            <w:r w:rsidRPr="00AB035A">
              <w:t>development</w:t>
            </w:r>
            <w:r w:rsidR="00363F9E" w:rsidRPr="00AB035A">
              <w:t xml:space="preserve"> </w:t>
            </w:r>
            <w:r w:rsidRPr="00AB035A">
              <w:t>footprint plan</w:t>
            </w:r>
            <w:r>
              <w:t xml:space="preserve"> </w:t>
            </w:r>
            <w:r w:rsidR="00363F9E">
              <w:t>can demonstrate compliance with this requirement</w:t>
            </w:r>
            <w:r w:rsidR="00F4720B">
              <w:t>.</w:t>
            </w:r>
          </w:p>
        </w:tc>
      </w:tr>
      <w:tr w:rsidR="00DB031D" w:rsidRPr="00A05DEA" w14:paraId="36AC4B8F" w14:textId="77777777" w:rsidTr="001B353F">
        <w:tc>
          <w:tcPr>
            <w:tcW w:w="8928" w:type="dxa"/>
            <w:gridSpan w:val="2"/>
            <w:shd w:val="clear" w:color="auto" w:fill="auto"/>
          </w:tcPr>
          <w:p w14:paraId="337550DF" w14:textId="77777777" w:rsidR="00DB031D" w:rsidRPr="00C572C4" w:rsidRDefault="001B6A01" w:rsidP="002018FB">
            <w:pPr>
              <w:pStyle w:val="QPPTableTextBold"/>
            </w:pPr>
            <w:r>
              <w:t>Section</w:t>
            </w:r>
            <w:r w:rsidR="00E101EC">
              <w:t xml:space="preserve"> D—</w:t>
            </w:r>
            <w:r w:rsidR="004F5923">
              <w:t xml:space="preserve">Additional </w:t>
            </w:r>
            <w:r w:rsidR="002018FB">
              <w:t xml:space="preserve">performance outcomes and acceptable outcomes </w:t>
            </w:r>
            <w:r w:rsidR="004F5923">
              <w:t>if r</w:t>
            </w:r>
            <w:r w:rsidR="00DB031D">
              <w:t xml:space="preserve">econfiguring a lot other than </w:t>
            </w:r>
            <w:r w:rsidR="004F5923">
              <w:t>involving the creation of</w:t>
            </w:r>
            <w:r w:rsidR="00DB031D">
              <w:t xml:space="preserve"> freehold lots</w:t>
            </w:r>
          </w:p>
        </w:tc>
      </w:tr>
      <w:tr w:rsidR="00A35C10" w:rsidRPr="001B353F" w14:paraId="2452D399" w14:textId="77777777" w:rsidTr="001B353F">
        <w:tc>
          <w:tcPr>
            <w:tcW w:w="8928" w:type="dxa"/>
            <w:gridSpan w:val="2"/>
            <w:shd w:val="clear" w:color="auto" w:fill="auto"/>
          </w:tcPr>
          <w:p w14:paraId="0ADB90E8" w14:textId="77777777" w:rsidR="00A35C10" w:rsidRPr="00892216" w:rsidRDefault="00426146" w:rsidP="00AA27E7">
            <w:pPr>
              <w:pStyle w:val="QPPTableTextBold"/>
            </w:pPr>
            <w:r>
              <w:t>If</w:t>
            </w:r>
            <w:r w:rsidR="00A35C10" w:rsidRPr="00C572C4">
              <w:t xml:space="preserve"> dividing land into parts by </w:t>
            </w:r>
            <w:r w:rsidR="00E101EC">
              <w:t>an</w:t>
            </w:r>
            <w:r>
              <w:t xml:space="preserve"> agreement that is a lease or an exclusive use agreement or </w:t>
            </w:r>
            <w:r w:rsidR="00A35C10" w:rsidRPr="00C572C4">
              <w:t xml:space="preserve">lease </w:t>
            </w:r>
            <w:r>
              <w:t>or the reconfiguring of an</w:t>
            </w:r>
            <w:r w:rsidR="00A35C10" w:rsidRPr="00C572C4">
              <w:t xml:space="preserve"> existing or approved building whether or not including land</w:t>
            </w:r>
          </w:p>
        </w:tc>
      </w:tr>
      <w:tr w:rsidR="005005A3" w:rsidRPr="001B353F" w14:paraId="10551D8B" w14:textId="77777777" w:rsidTr="001B353F">
        <w:trPr>
          <w:trHeight w:val="898"/>
        </w:trPr>
        <w:tc>
          <w:tcPr>
            <w:tcW w:w="4068" w:type="dxa"/>
            <w:vMerge w:val="restart"/>
            <w:shd w:val="clear" w:color="auto" w:fill="auto"/>
          </w:tcPr>
          <w:p w14:paraId="188C5AB8" w14:textId="77777777" w:rsidR="005005A3" w:rsidRPr="00A05DEA" w:rsidRDefault="005005A3">
            <w:pPr>
              <w:pStyle w:val="QPPTableTextBold"/>
            </w:pPr>
            <w:r w:rsidRPr="00A05DEA">
              <w:t>PO</w:t>
            </w:r>
            <w:r w:rsidR="007E195A">
              <w:t>3</w:t>
            </w:r>
            <w:r w:rsidR="006E5EF6">
              <w:t>7</w:t>
            </w:r>
          </w:p>
          <w:p w14:paraId="5B80F8EB" w14:textId="77777777" w:rsidR="005005A3" w:rsidRPr="002D7741" w:rsidRDefault="00A23624">
            <w:pPr>
              <w:pStyle w:val="QPPTableTextBody"/>
            </w:pPr>
            <w:r>
              <w:t>Development that d</w:t>
            </w:r>
            <w:r w:rsidR="005005A3" w:rsidRPr="002D7741">
              <w:t>ivid</w:t>
            </w:r>
            <w:r>
              <w:t>es</w:t>
            </w:r>
            <w:r w:rsidR="005005A3" w:rsidRPr="002D7741">
              <w:t xml:space="preserve"> land in</w:t>
            </w:r>
            <w:r w:rsidR="00DE331C">
              <w:t>to</w:t>
            </w:r>
            <w:r w:rsidR="005005A3" w:rsidRPr="002D7741">
              <w:t xml:space="preserve"> parts by lease or subdivision</w:t>
            </w:r>
            <w:r w:rsidR="005005A3">
              <w:t xml:space="preserve"> </w:t>
            </w:r>
            <w:r w:rsidR="005005A3" w:rsidRPr="002D7741">
              <w:t>of existing or approved buildings, whether or</w:t>
            </w:r>
            <w:r w:rsidR="005005A3">
              <w:t xml:space="preserve"> </w:t>
            </w:r>
            <w:r w:rsidR="005005A3" w:rsidRPr="002D7741">
              <w:t xml:space="preserve">not including land, </w:t>
            </w:r>
            <w:r w:rsidR="00DE331C">
              <w:t>does</w:t>
            </w:r>
            <w:r w:rsidR="005005A3" w:rsidRPr="002D7741">
              <w:t xml:space="preserve"> not </w:t>
            </w:r>
            <w:r w:rsidR="005005A3">
              <w:t>r</w:t>
            </w:r>
            <w:r w:rsidR="005005A3" w:rsidRPr="002D7741">
              <w:t xml:space="preserve">esult </w:t>
            </w:r>
            <w:r w:rsidR="005005A3">
              <w:t>in</w:t>
            </w:r>
            <w:r w:rsidR="005005A3" w:rsidRPr="002D7741">
              <w:t>:</w:t>
            </w:r>
          </w:p>
          <w:p w14:paraId="7DDA326C" w14:textId="77777777" w:rsidR="005005A3" w:rsidRDefault="004C7CE9" w:rsidP="00B47AA3">
            <w:pPr>
              <w:pStyle w:val="HGTableBullet2"/>
              <w:numPr>
                <w:ilvl w:val="0"/>
                <w:numId w:val="24"/>
              </w:numPr>
            </w:pPr>
            <w:r>
              <w:t xml:space="preserve">the use </w:t>
            </w:r>
            <w:r w:rsidR="005005A3" w:rsidRPr="002D7741">
              <w:t>or building becom</w:t>
            </w:r>
            <w:r w:rsidR="005005A3">
              <w:t xml:space="preserve">ing </w:t>
            </w:r>
            <w:r w:rsidR="005005A3" w:rsidRPr="002D7741">
              <w:t>unlawful</w:t>
            </w:r>
            <w:r w:rsidR="005005A3">
              <w:t>;</w:t>
            </w:r>
          </w:p>
          <w:p w14:paraId="36CD5E62" w14:textId="77777777" w:rsidR="005005A3" w:rsidRDefault="005005A3" w:rsidP="00B47AA3">
            <w:pPr>
              <w:pStyle w:val="HGTableBullet2"/>
            </w:pPr>
            <w:r w:rsidRPr="002D7741">
              <w:t>dependent activities of</w:t>
            </w:r>
            <w:r w:rsidR="004C7CE9">
              <w:t xml:space="preserve"> a use</w:t>
            </w:r>
            <w:r w:rsidRPr="002D7741">
              <w:t xml:space="preserve"> becom</w:t>
            </w:r>
            <w:r>
              <w:t xml:space="preserve">ing </w:t>
            </w:r>
            <w:r w:rsidRPr="002D7741">
              <w:t>separated by titling</w:t>
            </w:r>
            <w:r>
              <w:t>;</w:t>
            </w:r>
          </w:p>
          <w:p w14:paraId="7FAAA6E5" w14:textId="77777777" w:rsidR="005005A3" w:rsidRPr="002D7741" w:rsidRDefault="004C7CE9" w:rsidP="00B47AA3">
            <w:pPr>
              <w:pStyle w:val="HGTableBullet2"/>
            </w:pPr>
            <w:r>
              <w:t>the functioning of a use</w:t>
            </w:r>
            <w:r w:rsidR="005005A3" w:rsidRPr="002D7741">
              <w:t xml:space="preserve"> or the relevant</w:t>
            </w:r>
            <w:r w:rsidR="005005A3">
              <w:t xml:space="preserve"> </w:t>
            </w:r>
            <w:r w:rsidR="005005A3" w:rsidRPr="002D7741">
              <w:t xml:space="preserve">development approval </w:t>
            </w:r>
            <w:r>
              <w:t>being</w:t>
            </w:r>
            <w:r w:rsidR="005005A3" w:rsidRPr="002D7741">
              <w:t xml:space="preserve"> compromised</w:t>
            </w:r>
            <w:r w:rsidR="005005A3">
              <w:t>.</w:t>
            </w:r>
          </w:p>
          <w:p w14:paraId="50D1A277" w14:textId="1FBB81C3" w:rsidR="005005A3" w:rsidRPr="00892216" w:rsidRDefault="004C7CE9" w:rsidP="00A35C10">
            <w:pPr>
              <w:pStyle w:val="QPPEditorsNoteStyle1"/>
            </w:pPr>
            <w:r w:rsidRPr="00083252">
              <w:t>Note—</w:t>
            </w:r>
            <w:r w:rsidR="005005A3" w:rsidRPr="00BF5B7A">
              <w:t>For instance,</w:t>
            </w:r>
            <w:r w:rsidR="00386352">
              <w:t xml:space="preserve"> where</w:t>
            </w:r>
            <w:r w:rsidR="005005A3" w:rsidRPr="00BF5B7A">
              <w:t xml:space="preserve"> premises</w:t>
            </w:r>
            <w:r w:rsidR="00386352">
              <w:t xml:space="preserve"> are</w:t>
            </w:r>
            <w:r w:rsidR="005005A3" w:rsidRPr="00BF5B7A">
              <w:t xml:space="preserve"> used for </w:t>
            </w:r>
            <w:r w:rsidR="005005A3">
              <w:t xml:space="preserve">any industrial use </w:t>
            </w:r>
            <w:r w:rsidR="005005A3" w:rsidRPr="00BF5B7A">
              <w:t xml:space="preserve">that includes an </w:t>
            </w:r>
            <w:r w:rsidR="005005A3" w:rsidRPr="00892216">
              <w:t>ancillary office</w:t>
            </w:r>
            <w:r w:rsidR="00F004EA" w:rsidRPr="00892216">
              <w:t>,</w:t>
            </w:r>
            <w:r w:rsidR="005005A3" w:rsidRPr="00892216">
              <w:t xml:space="preserve"> the </w:t>
            </w:r>
            <w:r w:rsidR="005005A3" w:rsidRPr="00AB035A">
              <w:t>office</w:t>
            </w:r>
            <w:r w:rsidR="005005A3" w:rsidRPr="00892216">
              <w:t xml:space="preserve"> cannot be separately titled as it is dependent on the industrial use component.</w:t>
            </w:r>
          </w:p>
          <w:p w14:paraId="15529210" w14:textId="4C40BE09" w:rsidR="005005A3" w:rsidRDefault="004C7CE9" w:rsidP="00A35C10">
            <w:pPr>
              <w:pStyle w:val="QPPEditorsNoteStyle1"/>
            </w:pPr>
            <w:r w:rsidRPr="00083252">
              <w:t>Note—</w:t>
            </w:r>
            <w:r w:rsidR="00AB789F">
              <w:t>For instance, while</w:t>
            </w:r>
            <w:r w:rsidR="005005A3" w:rsidRPr="00892216">
              <w:t xml:space="preserve"> the </w:t>
            </w:r>
            <w:r>
              <w:t>reconfiguring a lot for</w:t>
            </w:r>
            <w:r w:rsidR="005005A3" w:rsidRPr="00892216">
              <w:t xml:space="preserve"> a </w:t>
            </w:r>
            <w:r w:rsidR="005005A3" w:rsidRPr="00AB035A">
              <w:t>multiple dwelling</w:t>
            </w:r>
            <w:r w:rsidR="00AB789F">
              <w:t xml:space="preserve"> </w:t>
            </w:r>
            <w:r w:rsidR="005005A3" w:rsidRPr="00BF5B7A">
              <w:t>provide</w:t>
            </w:r>
            <w:r w:rsidR="00AB789F">
              <w:t>s</w:t>
            </w:r>
            <w:r w:rsidR="005005A3" w:rsidRPr="00BF5B7A">
              <w:t xml:space="preserve"> individual community title for the units</w:t>
            </w:r>
            <w:r w:rsidR="00AB789F">
              <w:t xml:space="preserve"> through a</w:t>
            </w:r>
            <w:r w:rsidR="005005A3" w:rsidRPr="00BF5B7A">
              <w:t xml:space="preserve"> </w:t>
            </w:r>
            <w:r w:rsidR="00AB789F">
              <w:t>b</w:t>
            </w:r>
            <w:r w:rsidR="005005A3" w:rsidRPr="00BF5B7A">
              <w:t xml:space="preserve">uilding </w:t>
            </w:r>
            <w:r w:rsidR="00AB789F">
              <w:t>f</w:t>
            </w:r>
            <w:r w:rsidR="005005A3">
              <w:t xml:space="preserve">ormat </w:t>
            </w:r>
            <w:r w:rsidR="00AB789F">
              <w:t>p</w:t>
            </w:r>
            <w:r w:rsidR="005005A3">
              <w:t xml:space="preserve">lan with </w:t>
            </w:r>
            <w:r w:rsidR="00AB789F">
              <w:t xml:space="preserve">a </w:t>
            </w:r>
            <w:r w:rsidR="005005A3">
              <w:t>land compon</w:t>
            </w:r>
            <w:r w:rsidR="00AB789F">
              <w:t>ent</w:t>
            </w:r>
            <w:r w:rsidR="005005A3">
              <w:t>, t</w:t>
            </w:r>
            <w:r w:rsidR="005005A3" w:rsidRPr="00BF5B7A">
              <w:t xml:space="preserve">he private courtyard for each unit </w:t>
            </w:r>
            <w:r w:rsidR="00AB789F">
              <w:t>is to</w:t>
            </w:r>
            <w:r w:rsidR="005005A3" w:rsidRPr="00BF5B7A">
              <w:t xml:space="preserve"> be included</w:t>
            </w:r>
            <w:r w:rsidR="00AB789F">
              <w:t xml:space="preserve"> in the title of each unit and not in the common property</w:t>
            </w:r>
            <w:r w:rsidR="005005A3">
              <w:t>.</w:t>
            </w:r>
          </w:p>
          <w:p w14:paraId="1BBA39B2" w14:textId="77777777" w:rsidR="005005A3" w:rsidRPr="0059652C" w:rsidRDefault="00AB789F" w:rsidP="00AB789F">
            <w:pPr>
              <w:pStyle w:val="QPPEditorsNoteStyle1"/>
            </w:pPr>
            <w:r w:rsidRPr="00083252">
              <w:t>Note—</w:t>
            </w:r>
            <w:r w:rsidR="005005A3" w:rsidRPr="00BF5B7A">
              <w:t xml:space="preserve">In some instances it is appropriate to allow for </w:t>
            </w:r>
            <w:r>
              <w:t>reconfiguring a lot of land by either c</w:t>
            </w:r>
            <w:r w:rsidR="005005A3" w:rsidRPr="00BF5B7A">
              <w:t xml:space="preserve">ommunity </w:t>
            </w:r>
            <w:r>
              <w:t>t</w:t>
            </w:r>
            <w:r w:rsidR="005005A3" w:rsidRPr="00BF5B7A">
              <w:t xml:space="preserve">itle or </w:t>
            </w:r>
            <w:r>
              <w:t>a s</w:t>
            </w:r>
            <w:r w:rsidR="005005A3" w:rsidRPr="00BF5B7A">
              <w:t xml:space="preserve">tandard </w:t>
            </w:r>
            <w:r>
              <w:t>f</w:t>
            </w:r>
            <w:r w:rsidR="005005A3" w:rsidRPr="00BF5B7A">
              <w:t xml:space="preserve">ormat </w:t>
            </w:r>
            <w:r>
              <w:t>p</w:t>
            </w:r>
            <w:r w:rsidR="005005A3" w:rsidRPr="00BF5B7A">
              <w:t xml:space="preserve">lan </w:t>
            </w:r>
            <w:r>
              <w:t>if</w:t>
            </w:r>
            <w:r w:rsidR="005005A3" w:rsidRPr="00BF5B7A">
              <w:t xml:space="preserve"> a combined </w:t>
            </w:r>
            <w:r>
              <w:t xml:space="preserve">development </w:t>
            </w:r>
            <w:r w:rsidR="005005A3" w:rsidRPr="00BF5B7A">
              <w:t xml:space="preserve">application for a material change of use includes an existing building that is to be retained on the site </w:t>
            </w:r>
            <w:r w:rsidR="005005A3" w:rsidRPr="0059652C">
              <w:t>and separately titled.</w:t>
            </w:r>
          </w:p>
        </w:tc>
        <w:tc>
          <w:tcPr>
            <w:tcW w:w="4860" w:type="dxa"/>
            <w:shd w:val="clear" w:color="auto" w:fill="auto"/>
          </w:tcPr>
          <w:p w14:paraId="524418E3" w14:textId="77777777" w:rsidR="005005A3" w:rsidRPr="00A05DEA" w:rsidRDefault="005005A3">
            <w:pPr>
              <w:pStyle w:val="QPPTableTextBold"/>
            </w:pPr>
            <w:r w:rsidRPr="00A05DEA">
              <w:t>AO</w:t>
            </w:r>
            <w:r>
              <w:t>3</w:t>
            </w:r>
            <w:r w:rsidR="006E5EF6">
              <w:t>7</w:t>
            </w:r>
            <w:r>
              <w:t>.1</w:t>
            </w:r>
          </w:p>
          <w:p w14:paraId="197B9149" w14:textId="77777777" w:rsidR="004C7CE9" w:rsidRDefault="00A23624">
            <w:pPr>
              <w:pStyle w:val="QPPTableTextBody"/>
            </w:pPr>
            <w:r>
              <w:t>Development ensures</w:t>
            </w:r>
            <w:r w:rsidR="004C7CE9">
              <w:t>:</w:t>
            </w:r>
          </w:p>
          <w:p w14:paraId="348168AC" w14:textId="77777777" w:rsidR="004C7CE9" w:rsidRPr="00BB73D5" w:rsidRDefault="00A23624">
            <w:pPr>
              <w:pStyle w:val="HGTableBullet2"/>
              <w:numPr>
                <w:ilvl w:val="0"/>
                <w:numId w:val="53"/>
              </w:numPr>
            </w:pPr>
            <w:r w:rsidRPr="00BB73D5">
              <w:t>t</w:t>
            </w:r>
            <w:r w:rsidR="005005A3" w:rsidRPr="00BB73D5">
              <w:t xml:space="preserve">he use of </w:t>
            </w:r>
            <w:r w:rsidR="004C7CE9" w:rsidRPr="00BB73D5">
              <w:t xml:space="preserve">premises </w:t>
            </w:r>
            <w:r w:rsidR="005005A3" w:rsidRPr="00BB73D5">
              <w:t>remains lawful</w:t>
            </w:r>
            <w:r w:rsidR="00386352" w:rsidRPr="00BB73D5">
              <w:t>;</w:t>
            </w:r>
          </w:p>
          <w:p w14:paraId="63996F71" w14:textId="77777777" w:rsidR="005005A3" w:rsidRPr="00A05DEA" w:rsidRDefault="005005A3">
            <w:pPr>
              <w:pStyle w:val="HGTableBullet2"/>
            </w:pPr>
            <w:r w:rsidRPr="00BB73D5">
              <w:t xml:space="preserve">development remains </w:t>
            </w:r>
            <w:r w:rsidR="004C7CE9" w:rsidRPr="00BB73D5">
              <w:t>in compliance</w:t>
            </w:r>
            <w:r w:rsidRPr="00BB73D5">
              <w:t xml:space="preserve"> with planning and building standards and </w:t>
            </w:r>
            <w:r w:rsidR="004C7CE9" w:rsidRPr="00BB73D5">
              <w:t xml:space="preserve">development </w:t>
            </w:r>
            <w:r w:rsidRPr="00BB73D5">
              <w:t>approvals</w:t>
            </w:r>
            <w:r w:rsidR="00AA27E7">
              <w:t>.</w:t>
            </w:r>
          </w:p>
        </w:tc>
      </w:tr>
      <w:tr w:rsidR="00E67332" w:rsidRPr="001B353F" w14:paraId="145B51F6" w14:textId="77777777" w:rsidTr="001B353F">
        <w:trPr>
          <w:trHeight w:val="4921"/>
        </w:trPr>
        <w:tc>
          <w:tcPr>
            <w:tcW w:w="4068" w:type="dxa"/>
            <w:vMerge/>
            <w:shd w:val="clear" w:color="auto" w:fill="auto"/>
          </w:tcPr>
          <w:p w14:paraId="2C5B08A8" w14:textId="77777777" w:rsidR="00E67332" w:rsidRPr="00A05DEA" w:rsidRDefault="00E67332">
            <w:pPr>
              <w:pStyle w:val="QPPTableTextBold"/>
            </w:pPr>
          </w:p>
        </w:tc>
        <w:tc>
          <w:tcPr>
            <w:tcW w:w="4860" w:type="dxa"/>
            <w:shd w:val="clear" w:color="auto" w:fill="auto"/>
          </w:tcPr>
          <w:p w14:paraId="3B67E07C" w14:textId="77777777" w:rsidR="00E67332" w:rsidRPr="00A05DEA" w:rsidRDefault="00E67332">
            <w:pPr>
              <w:pStyle w:val="QPPTableTextBold"/>
            </w:pPr>
            <w:r w:rsidRPr="00A05DEA">
              <w:t>AO</w:t>
            </w:r>
            <w:r>
              <w:t>3</w:t>
            </w:r>
            <w:r w:rsidR="006E5EF6">
              <w:t>7</w:t>
            </w:r>
            <w:r>
              <w:t>.2</w:t>
            </w:r>
          </w:p>
          <w:p w14:paraId="1B1BCB84" w14:textId="77777777" w:rsidR="00E67332" w:rsidRPr="001B353F" w:rsidRDefault="00A23624" w:rsidP="00B47AA3">
            <w:pPr>
              <w:pStyle w:val="QPPTableTextBody"/>
            </w:pPr>
            <w:r w:rsidRPr="001B353F">
              <w:t>D</w:t>
            </w:r>
            <w:r w:rsidR="00E67332" w:rsidRPr="001B353F">
              <w:t xml:space="preserve">evelopment of </w:t>
            </w:r>
            <w:r w:rsidR="004C7CE9" w:rsidRPr="001B353F">
              <w:t xml:space="preserve">premises </w:t>
            </w:r>
            <w:r w:rsidR="00E67332" w:rsidRPr="001B353F">
              <w:t xml:space="preserve">for its intended </w:t>
            </w:r>
            <w:r w:rsidR="004C7CE9" w:rsidRPr="001B353F">
              <w:t xml:space="preserve">or approved use is lawful and </w:t>
            </w:r>
            <w:r w:rsidR="007B1346" w:rsidRPr="001B353F">
              <w:t>in</w:t>
            </w:r>
            <w:r w:rsidR="004C7CE9" w:rsidRPr="001B353F">
              <w:t xml:space="preserve"> compliance</w:t>
            </w:r>
            <w:r w:rsidR="00E67332" w:rsidRPr="001B353F">
              <w:t xml:space="preserve"> with planning and building standards and </w:t>
            </w:r>
            <w:r w:rsidR="004C7CE9" w:rsidRPr="001B353F">
              <w:t xml:space="preserve">development </w:t>
            </w:r>
            <w:r w:rsidR="00AA27E7">
              <w:t>approvals.</w:t>
            </w:r>
          </w:p>
        </w:tc>
      </w:tr>
      <w:tr w:rsidR="00A35C10" w:rsidRPr="00B91F5C" w14:paraId="5DDFAF6A" w14:textId="77777777" w:rsidTr="001B353F">
        <w:tc>
          <w:tcPr>
            <w:tcW w:w="8928" w:type="dxa"/>
            <w:gridSpan w:val="2"/>
            <w:shd w:val="clear" w:color="auto" w:fill="auto"/>
          </w:tcPr>
          <w:p w14:paraId="0E63F707" w14:textId="760F4E0D" w:rsidR="00A35C10" w:rsidRPr="00B91F5C" w:rsidRDefault="00AB789F">
            <w:pPr>
              <w:pStyle w:val="QPPTableTextBold"/>
            </w:pPr>
            <w:r w:rsidRPr="00A36E09">
              <w:t>If</w:t>
            </w:r>
            <w:r w:rsidR="00A35C10" w:rsidRPr="00A36E09">
              <w:t xml:space="preserve"> involving </w:t>
            </w:r>
            <w:r w:rsidRPr="00A36E09">
              <w:t xml:space="preserve">a standard format lot </w:t>
            </w:r>
            <w:r w:rsidR="00A35C10" w:rsidRPr="00A36E09">
              <w:t>with common property</w:t>
            </w:r>
            <w:r w:rsidR="00F83F28" w:rsidRPr="00A36E09">
              <w:t xml:space="preserve"> </w:t>
            </w:r>
            <w:r w:rsidRPr="00A36E09">
              <w:t>such as</w:t>
            </w:r>
            <w:r w:rsidR="00F83F28" w:rsidRPr="00A36E09">
              <w:t xml:space="preserve"> requiring a </w:t>
            </w:r>
            <w:r w:rsidRPr="00A36E09">
              <w:t>c</w:t>
            </w:r>
            <w:r w:rsidR="00F83F28" w:rsidRPr="00A36E09">
              <w:t xml:space="preserve">ommunity </w:t>
            </w:r>
            <w:r w:rsidRPr="00A36E09">
              <w:t>m</w:t>
            </w:r>
            <w:r w:rsidR="00F83F28" w:rsidRPr="00A36E09">
              <w:t xml:space="preserve">anagement </w:t>
            </w:r>
            <w:r w:rsidRPr="00A36E09">
              <w:t>s</w:t>
            </w:r>
            <w:r w:rsidR="00F83F28" w:rsidRPr="00A36E09">
              <w:t>cheme under the</w:t>
            </w:r>
            <w:r w:rsidR="00F83F28">
              <w:t xml:space="preserve"> </w:t>
            </w:r>
            <w:r w:rsidR="00F83F28" w:rsidRPr="00AB035A">
              <w:rPr>
                <w:i/>
              </w:rPr>
              <w:t>Body Corporate and Community Management Act 1997</w:t>
            </w:r>
          </w:p>
          <w:p w14:paraId="2C0884E9" w14:textId="77777777" w:rsidR="006224C7" w:rsidRPr="001B353F" w:rsidRDefault="00A35C10" w:rsidP="00835904">
            <w:pPr>
              <w:pStyle w:val="QPPEditorsNoteStyle1"/>
            </w:pPr>
            <w:r w:rsidRPr="00B91F5C">
              <w:t xml:space="preserve">Note—If </w:t>
            </w:r>
            <w:r w:rsidR="00835904">
              <w:t>a building</w:t>
            </w:r>
            <w:r w:rsidRPr="00B91F5C">
              <w:t xml:space="preserve"> </w:t>
            </w:r>
            <w:r w:rsidR="00835904">
              <w:t>is</w:t>
            </w:r>
            <w:r w:rsidRPr="00B91F5C">
              <w:t xml:space="preserve"> to be constructed prior to </w:t>
            </w:r>
            <w:r w:rsidR="00835904">
              <w:t>reconfiguring a lot</w:t>
            </w:r>
            <w:r w:rsidRPr="00B91F5C">
              <w:t xml:space="preserve">, assessment of the </w:t>
            </w:r>
            <w:r w:rsidR="00835904">
              <w:t>development is to</w:t>
            </w:r>
            <w:r w:rsidRPr="00B91F5C">
              <w:t xml:space="preserve"> be undertaken as part of</w:t>
            </w:r>
            <w:r w:rsidR="00835904">
              <w:t xml:space="preserve"> the development application for</w:t>
            </w:r>
            <w:r w:rsidRPr="00B91F5C">
              <w:t xml:space="preserve"> a material change of use </w:t>
            </w:r>
            <w:r w:rsidR="00835904">
              <w:t xml:space="preserve">if </w:t>
            </w:r>
            <w:r w:rsidR="00BE7DED">
              <w:t>that development is assessable under the planning scheme</w:t>
            </w:r>
            <w:r w:rsidRPr="00B91F5C">
              <w:t>. Reconfigur</w:t>
            </w:r>
            <w:r w:rsidR="00835904">
              <w:t>ing a lot</w:t>
            </w:r>
            <w:r w:rsidRPr="00B91F5C">
              <w:t xml:space="preserve"> can be assessed simultaneously or subsequently against the relevant parts of this code.</w:t>
            </w:r>
          </w:p>
        </w:tc>
      </w:tr>
      <w:tr w:rsidR="00BE7DED" w:rsidRPr="001B353F" w14:paraId="5E99CCDF" w14:textId="77777777" w:rsidTr="001B353F">
        <w:trPr>
          <w:trHeight w:val="2312"/>
        </w:trPr>
        <w:tc>
          <w:tcPr>
            <w:tcW w:w="4068" w:type="dxa"/>
            <w:shd w:val="clear" w:color="auto" w:fill="auto"/>
          </w:tcPr>
          <w:p w14:paraId="69596E5D" w14:textId="77777777" w:rsidR="00BE7DED" w:rsidRPr="00FB3343" w:rsidRDefault="00BE7DED">
            <w:pPr>
              <w:pStyle w:val="QPPTableTextBold"/>
            </w:pPr>
            <w:r w:rsidRPr="00FB3343">
              <w:t>PO3</w:t>
            </w:r>
            <w:r w:rsidR="006E5EF6">
              <w:t>8</w:t>
            </w:r>
          </w:p>
          <w:p w14:paraId="26EBE577" w14:textId="77777777" w:rsidR="00BE7DED" w:rsidRDefault="005436CB">
            <w:pPr>
              <w:pStyle w:val="QPPTableTextBody"/>
            </w:pPr>
            <w:r>
              <w:t>Development provides r</w:t>
            </w:r>
            <w:r w:rsidR="00BE7DED" w:rsidRPr="00526938">
              <w:t xml:space="preserve">esidential lots </w:t>
            </w:r>
            <w:r w:rsidR="00835904">
              <w:t>which</w:t>
            </w:r>
            <w:r>
              <w:t xml:space="preserve"> </w:t>
            </w:r>
            <w:r w:rsidR="00BE7DED" w:rsidRPr="00526938">
              <w:t xml:space="preserve">have an </w:t>
            </w:r>
            <w:r w:rsidR="00835904">
              <w:t>appropriate area and dimensions</w:t>
            </w:r>
            <w:r w:rsidR="00BE7DED">
              <w:t>:</w:t>
            </w:r>
          </w:p>
          <w:p w14:paraId="42CECD7D" w14:textId="77777777" w:rsidR="00BE7DED" w:rsidRPr="00BB73D5" w:rsidRDefault="00835904">
            <w:pPr>
              <w:pStyle w:val="HGTableBullet2"/>
              <w:numPr>
                <w:ilvl w:val="0"/>
                <w:numId w:val="54"/>
              </w:numPr>
            </w:pPr>
            <w:r w:rsidRPr="00BB73D5">
              <w:t xml:space="preserve">for </w:t>
            </w:r>
            <w:r w:rsidR="00BE7DED" w:rsidRPr="00BB73D5">
              <w:t xml:space="preserve">siting and constructing </w:t>
            </w:r>
            <w:r w:rsidRPr="00BB73D5">
              <w:t>the intended building</w:t>
            </w:r>
            <w:r w:rsidR="00BE7DED" w:rsidRPr="00BB73D5">
              <w:t xml:space="preserve"> and </w:t>
            </w:r>
            <w:r w:rsidRPr="00BB73D5">
              <w:t>any ancillary outbuilding and structure</w:t>
            </w:r>
            <w:r w:rsidR="00BE7DED" w:rsidRPr="00BB73D5">
              <w:t>;</w:t>
            </w:r>
          </w:p>
          <w:p w14:paraId="12AE0449" w14:textId="77777777" w:rsidR="00BE7DED" w:rsidRPr="00BB73D5" w:rsidRDefault="00835904">
            <w:pPr>
              <w:pStyle w:val="HGTableBullet2"/>
            </w:pPr>
            <w:r w:rsidRPr="00BB73D5">
              <w:t xml:space="preserve">for </w:t>
            </w:r>
            <w:r w:rsidR="00BE7DED" w:rsidRPr="00BB73D5">
              <w:t>the provision of private open space, vehicle access and parking;</w:t>
            </w:r>
          </w:p>
          <w:p w14:paraId="38E7301F" w14:textId="77777777" w:rsidR="00BE7DED" w:rsidRPr="00B637D6" w:rsidRDefault="00835904">
            <w:pPr>
              <w:pStyle w:val="HGTableBullet2"/>
            </w:pPr>
            <w:r w:rsidRPr="00BB73D5">
              <w:t xml:space="preserve">which are </w:t>
            </w:r>
            <w:r w:rsidR="00BE7DED" w:rsidRPr="00BB73D5">
              <w:t>consistent</w:t>
            </w:r>
            <w:r w:rsidRPr="00BB73D5">
              <w:t xml:space="preserve"> with the zone, zone precinct, n</w:t>
            </w:r>
            <w:r w:rsidR="00BE7DED" w:rsidRPr="00BB73D5">
              <w:t xml:space="preserve">eighbourhood </w:t>
            </w:r>
            <w:r w:rsidRPr="00BB73D5">
              <w:t>p</w:t>
            </w:r>
            <w:r w:rsidR="00BE7DED" w:rsidRPr="00BB73D5">
              <w:t>lan and overlay outcomes applicable to the site.</w:t>
            </w:r>
          </w:p>
        </w:tc>
        <w:tc>
          <w:tcPr>
            <w:tcW w:w="4860" w:type="dxa"/>
            <w:shd w:val="clear" w:color="auto" w:fill="auto"/>
          </w:tcPr>
          <w:p w14:paraId="182DF9AB" w14:textId="77777777" w:rsidR="00BE7DED" w:rsidRPr="00A05DEA" w:rsidRDefault="00BE7DED">
            <w:pPr>
              <w:pStyle w:val="QPPTableTextBold"/>
            </w:pPr>
            <w:r w:rsidRPr="00A05DEA">
              <w:t>AO</w:t>
            </w:r>
            <w:r>
              <w:t>3</w:t>
            </w:r>
            <w:r w:rsidR="006E5EF6">
              <w:t>8</w:t>
            </w:r>
          </w:p>
          <w:p w14:paraId="36CFD7E2" w14:textId="77777777" w:rsidR="00BE7DED" w:rsidRPr="00A05DEA" w:rsidRDefault="00BE7DED">
            <w:pPr>
              <w:pStyle w:val="QPPTableTextBody"/>
            </w:pPr>
            <w:r>
              <w:t>No acceptabl</w:t>
            </w:r>
            <w:r w:rsidR="00AA27E7">
              <w:t>e outcome is prescribed</w:t>
            </w:r>
          </w:p>
        </w:tc>
      </w:tr>
      <w:tr w:rsidR="00A35C10" w:rsidRPr="00A05DEA" w14:paraId="5C9AEF00" w14:textId="77777777" w:rsidTr="001B353F">
        <w:trPr>
          <w:trHeight w:val="1205"/>
        </w:trPr>
        <w:tc>
          <w:tcPr>
            <w:tcW w:w="4068" w:type="dxa"/>
            <w:vMerge w:val="restart"/>
            <w:shd w:val="clear" w:color="auto" w:fill="auto"/>
          </w:tcPr>
          <w:p w14:paraId="4D5563B3" w14:textId="77777777" w:rsidR="00A35C10" w:rsidRPr="00A05DEA" w:rsidRDefault="00A35C10">
            <w:pPr>
              <w:pStyle w:val="QPPTableTextBold"/>
            </w:pPr>
            <w:r>
              <w:t>PO3</w:t>
            </w:r>
            <w:r w:rsidR="006E5EF6">
              <w:t>9</w:t>
            </w:r>
          </w:p>
          <w:p w14:paraId="5FDE97F3" w14:textId="77777777" w:rsidR="00BB73D5" w:rsidRDefault="005436CB">
            <w:pPr>
              <w:pStyle w:val="QPPTableTextBody"/>
            </w:pPr>
            <w:r>
              <w:t>Development provides i</w:t>
            </w:r>
            <w:r w:rsidR="00A35C10" w:rsidRPr="00B637D6">
              <w:t xml:space="preserve">nternal access ways and driveways </w:t>
            </w:r>
            <w:r w:rsidR="00835904">
              <w:t>which:</w:t>
            </w:r>
          </w:p>
          <w:p w14:paraId="797841E1" w14:textId="77777777" w:rsidR="00835904" w:rsidRPr="00BB73D5" w:rsidRDefault="00835904">
            <w:pPr>
              <w:pStyle w:val="HGTableBullet2"/>
              <w:numPr>
                <w:ilvl w:val="0"/>
                <w:numId w:val="55"/>
              </w:numPr>
            </w:pPr>
            <w:r w:rsidRPr="00BB73D5">
              <w:t xml:space="preserve">are </w:t>
            </w:r>
            <w:r w:rsidR="00A35C10" w:rsidRPr="00BB73D5">
              <w:t>designed to clearly indicate the function of the access way</w:t>
            </w:r>
            <w:r w:rsidRPr="00BB73D5">
              <w:t>;</w:t>
            </w:r>
          </w:p>
          <w:p w14:paraId="15845791" w14:textId="77777777" w:rsidR="00A35C10" w:rsidRPr="00B637D6" w:rsidRDefault="00A35C10" w:rsidP="00AA27E7">
            <w:pPr>
              <w:pStyle w:val="HGTableBullet2"/>
            </w:pPr>
            <w:r w:rsidRPr="00BB73D5">
              <w:t>provide acceptable levels of access, functionality, safety, amenity and convenience for users, as well as catering for car</w:t>
            </w:r>
            <w:r w:rsidR="00835904" w:rsidRPr="00BB73D5">
              <w:t xml:space="preserve"> </w:t>
            </w:r>
            <w:r w:rsidRPr="00BB73D5">
              <w:t>parking facilities</w:t>
            </w:r>
            <w:r w:rsidR="00835904" w:rsidRPr="00BB73D5">
              <w:t>.</w:t>
            </w:r>
          </w:p>
        </w:tc>
        <w:tc>
          <w:tcPr>
            <w:tcW w:w="4860" w:type="dxa"/>
            <w:shd w:val="clear" w:color="auto" w:fill="auto"/>
          </w:tcPr>
          <w:p w14:paraId="11200ED9" w14:textId="77777777" w:rsidR="00A35C10" w:rsidRDefault="00A35C10">
            <w:pPr>
              <w:pStyle w:val="QPPTableTextBold"/>
            </w:pPr>
            <w:r>
              <w:t>AO3</w:t>
            </w:r>
            <w:r w:rsidR="006E5EF6">
              <w:t>9</w:t>
            </w:r>
            <w:r>
              <w:t>.1</w:t>
            </w:r>
          </w:p>
          <w:p w14:paraId="15E66504" w14:textId="77777777" w:rsidR="00A35C10" w:rsidRPr="00B637D6" w:rsidRDefault="005436CB">
            <w:pPr>
              <w:pStyle w:val="QPPTableTextBody"/>
            </w:pPr>
            <w:r>
              <w:t xml:space="preserve">Development for </w:t>
            </w:r>
            <w:r w:rsidR="00075A27">
              <w:t xml:space="preserve">the purposes of residential development or </w:t>
            </w:r>
            <w:r w:rsidR="00835904">
              <w:t xml:space="preserve">the </w:t>
            </w:r>
            <w:r w:rsidR="00075A27">
              <w:t xml:space="preserve">residential components of development, </w:t>
            </w:r>
            <w:r w:rsidR="00835904">
              <w:t xml:space="preserve">provides lots which are of a </w:t>
            </w:r>
            <w:r w:rsidR="00075A27">
              <w:t>size and dimension</w:t>
            </w:r>
            <w:r w:rsidR="00835904">
              <w:t xml:space="preserve"> to</w:t>
            </w:r>
            <w:r w:rsidR="00875D6C">
              <w:t xml:space="preserve"> accommodate the following:</w:t>
            </w:r>
          </w:p>
          <w:p w14:paraId="42BDF72F" w14:textId="55E597B5" w:rsidR="00A35C10" w:rsidRPr="00B76156" w:rsidRDefault="00A35C10">
            <w:pPr>
              <w:pStyle w:val="HGTableBullet2"/>
              <w:numPr>
                <w:ilvl w:val="0"/>
                <w:numId w:val="56"/>
              </w:numPr>
            </w:pPr>
            <w:r w:rsidRPr="00B76156">
              <w:t xml:space="preserve">internal access ways </w:t>
            </w:r>
            <w:r w:rsidR="003A478D" w:rsidRPr="00B76156">
              <w:t xml:space="preserve">that </w:t>
            </w:r>
            <w:r w:rsidRPr="00B76156">
              <w:t xml:space="preserve">are designed in </w:t>
            </w:r>
            <w:r w:rsidR="003A478D" w:rsidRPr="00B76156">
              <w:t>compliance</w:t>
            </w:r>
            <w:r w:rsidRPr="00B76156">
              <w:t xml:space="preserve"> with </w:t>
            </w:r>
            <w:r w:rsidR="003A478D" w:rsidRPr="00AB035A">
              <w:t>Table</w:t>
            </w:r>
            <w:r w:rsidR="00096EDA" w:rsidRPr="00AB035A">
              <w:t> </w:t>
            </w:r>
            <w:r w:rsidR="003A478D" w:rsidRPr="00AB035A">
              <w:t>9.4.10</w:t>
            </w:r>
            <w:r w:rsidR="006224C7" w:rsidRPr="00AB035A">
              <w:t>.3.C</w:t>
            </w:r>
            <w:r w:rsidRPr="00B76156">
              <w:t>;</w:t>
            </w:r>
          </w:p>
          <w:p w14:paraId="0CC0B0C7" w14:textId="77777777" w:rsidR="00A35C10" w:rsidRPr="00B76156" w:rsidRDefault="00A35C10">
            <w:pPr>
              <w:pStyle w:val="HGTableBullet2"/>
            </w:pPr>
            <w:r w:rsidRPr="00B76156">
              <w:t xml:space="preserve">internal driveways serving a single dwelling </w:t>
            </w:r>
            <w:r w:rsidR="003A478D" w:rsidRPr="00B76156">
              <w:t xml:space="preserve">that </w:t>
            </w:r>
            <w:r w:rsidRPr="00B76156">
              <w:t>are a maximum of 3</w:t>
            </w:r>
            <w:r w:rsidR="003A478D" w:rsidRPr="00B76156">
              <w:t>m</w:t>
            </w:r>
            <w:r w:rsidRPr="00B76156">
              <w:t xml:space="preserve"> wide;</w:t>
            </w:r>
          </w:p>
          <w:p w14:paraId="574A6895" w14:textId="77777777" w:rsidR="00A35C10" w:rsidRPr="00B637D6" w:rsidRDefault="00A35C10">
            <w:pPr>
              <w:pStyle w:val="HGTableBullet2"/>
            </w:pPr>
            <w:r w:rsidRPr="00B76156">
              <w:t xml:space="preserve">driveways serving more than </w:t>
            </w:r>
            <w:r w:rsidR="003A478D" w:rsidRPr="00B76156">
              <w:t>3</w:t>
            </w:r>
            <w:r w:rsidRPr="00B76156">
              <w:t xml:space="preserve"> lots</w:t>
            </w:r>
            <w:r w:rsidR="003A478D" w:rsidRPr="00B76156">
              <w:t xml:space="preserve"> that</w:t>
            </w:r>
            <w:r w:rsidRPr="00B76156">
              <w:t xml:space="preserve"> are at least 4</w:t>
            </w:r>
            <w:r w:rsidR="003A478D" w:rsidRPr="00B76156">
              <w:t xml:space="preserve">m </w:t>
            </w:r>
            <w:r w:rsidRPr="00B76156">
              <w:t>wide.</w:t>
            </w:r>
          </w:p>
        </w:tc>
      </w:tr>
      <w:tr w:rsidR="00A35C10" w:rsidRPr="00660410" w14:paraId="265FA8DA" w14:textId="77777777" w:rsidTr="001B353F">
        <w:trPr>
          <w:trHeight w:val="1205"/>
        </w:trPr>
        <w:tc>
          <w:tcPr>
            <w:tcW w:w="4068" w:type="dxa"/>
            <w:vMerge/>
            <w:shd w:val="clear" w:color="auto" w:fill="auto"/>
          </w:tcPr>
          <w:p w14:paraId="3ECFA8CB" w14:textId="77777777" w:rsidR="00A35C10" w:rsidRPr="00660410" w:rsidRDefault="00A35C10" w:rsidP="00660410"/>
        </w:tc>
        <w:tc>
          <w:tcPr>
            <w:tcW w:w="4860" w:type="dxa"/>
            <w:shd w:val="clear" w:color="auto" w:fill="auto"/>
          </w:tcPr>
          <w:p w14:paraId="3F8B4CC3" w14:textId="77777777" w:rsidR="00A35C10" w:rsidRPr="00660410" w:rsidRDefault="00A35C10" w:rsidP="00660410">
            <w:pPr>
              <w:pStyle w:val="QPPTableTextBold"/>
            </w:pPr>
            <w:r w:rsidRPr="00660410">
              <w:t>AO3</w:t>
            </w:r>
            <w:r w:rsidR="006E5EF6" w:rsidRPr="00660410">
              <w:t>9</w:t>
            </w:r>
            <w:r w:rsidRPr="00660410">
              <w:t>.2</w:t>
            </w:r>
          </w:p>
          <w:p w14:paraId="5E0CA696" w14:textId="06209192" w:rsidR="00111BA6" w:rsidRPr="00660410" w:rsidRDefault="005436CB" w:rsidP="00660410">
            <w:pPr>
              <w:pStyle w:val="QPPTableTextBody"/>
            </w:pPr>
            <w:r w:rsidRPr="00660410">
              <w:t xml:space="preserve">Development </w:t>
            </w:r>
            <w:r w:rsidR="003A478D" w:rsidRPr="00660410">
              <w:t>involving</w:t>
            </w:r>
            <w:r w:rsidRPr="00660410">
              <w:t xml:space="preserve"> other purposes</w:t>
            </w:r>
            <w:r w:rsidR="00A35C10" w:rsidRPr="00660410">
              <w:t>,</w:t>
            </w:r>
            <w:r w:rsidR="00386352" w:rsidRPr="00660410">
              <w:t xml:space="preserve"> has</w:t>
            </w:r>
            <w:r w:rsidR="00A35C10" w:rsidRPr="00660410">
              <w:t xml:space="preserve"> internal access ways and driveways </w:t>
            </w:r>
            <w:r w:rsidR="00386352" w:rsidRPr="00660410">
              <w:t>i</w:t>
            </w:r>
            <w:r w:rsidR="003A478D" w:rsidRPr="00660410">
              <w:t xml:space="preserve">n compliance </w:t>
            </w:r>
            <w:r w:rsidR="00A35C10" w:rsidRPr="00660410">
              <w:t xml:space="preserve">with the standards </w:t>
            </w:r>
            <w:r w:rsidR="003A478D" w:rsidRPr="00660410">
              <w:t xml:space="preserve">in the </w:t>
            </w:r>
            <w:r w:rsidR="00A35C10" w:rsidRPr="00AB035A">
              <w:t>Transport, access, parking and servicing planning scheme policy</w:t>
            </w:r>
            <w:r w:rsidR="00A35C10" w:rsidRPr="00660410">
              <w:t>.</w:t>
            </w:r>
          </w:p>
        </w:tc>
      </w:tr>
    </w:tbl>
    <w:p w14:paraId="3EDD7D4D" w14:textId="77777777" w:rsidR="00BC702B" w:rsidRPr="00660410" w:rsidRDefault="00BC702B" w:rsidP="00660410">
      <w:pPr>
        <w:pStyle w:val="QPPTableHeadingStyle"/>
      </w:pPr>
      <w:bookmarkStart w:id="2" w:name="table94103b"/>
      <w:bookmarkEnd w:id="2"/>
      <w:r w:rsidRPr="00660410">
        <w:t>Table 9.4.10.3.B—Minimum lot dimensions and size</w:t>
      </w:r>
      <w:r w:rsidR="00AA27E7" w:rsidRPr="00660410">
        <w:t xml:space="preserve"> of a lot</w:t>
      </w:r>
    </w:p>
    <w:p w14:paraId="521CBF19" w14:textId="77777777" w:rsidR="00BC702B" w:rsidRDefault="00BC702B" w:rsidP="00B47AA3">
      <w:pPr>
        <w:pStyle w:val="QPPEditorsNoteStyle1"/>
      </w:pPr>
      <w:r>
        <w:t>Note</w:t>
      </w:r>
      <w:r>
        <w:rPr>
          <w:rFonts w:cstheme="minorHAnsi"/>
        </w:rPr>
        <w:t>—</w:t>
      </w:r>
      <w:r>
        <w:t xml:space="preserve">This table provides minimum lot size and dimensions information and does not amend the </w:t>
      </w:r>
      <w:r w:rsidR="00DB14D0">
        <w:t>c</w:t>
      </w:r>
      <w:r w:rsidR="000D6B91">
        <w:t>ategor</w:t>
      </w:r>
      <w:r w:rsidR="00DB14D0">
        <w:t xml:space="preserve">ies of development and </w:t>
      </w:r>
      <w:r>
        <w:t xml:space="preserve">assessment. Consult the </w:t>
      </w:r>
      <w:r w:rsidR="00FB2C55">
        <w:t>t</w:t>
      </w:r>
      <w:r w:rsidR="00DB14D0">
        <w:t xml:space="preserve">ables </w:t>
      </w:r>
      <w:r>
        <w:t xml:space="preserve">of assessment in Part 5 for applicable </w:t>
      </w:r>
      <w:r w:rsidR="00DB14D0">
        <w:t>c</w:t>
      </w:r>
      <w:r w:rsidR="000D6B91">
        <w:t xml:space="preserve">ategories </w:t>
      </w:r>
      <w:r>
        <w:t xml:space="preserve">of </w:t>
      </w:r>
      <w:r w:rsidR="00DB14D0">
        <w:t xml:space="preserve">development and </w:t>
      </w:r>
      <w:r>
        <w:t>assessment.</w:t>
      </w:r>
    </w:p>
    <w:p w14:paraId="33DC10E7" w14:textId="77777777" w:rsidR="00BC702B" w:rsidRPr="00660410" w:rsidRDefault="00BC702B" w:rsidP="00660410">
      <w:pPr>
        <w:pStyle w:val="QPPTableHeadingStyle"/>
      </w:pPr>
      <w:r w:rsidRPr="00660410">
        <w:t>Table 9.4.10.3.B Part 1—Standard lots in the Low density</w:t>
      </w:r>
      <w:r w:rsidR="00F60A73" w:rsidRPr="00660410">
        <w:t xml:space="preserve"> residential zone</w:t>
      </w:r>
      <w:r w:rsidRPr="00660410">
        <w:t xml:space="preserve">, Character </w:t>
      </w:r>
      <w:r w:rsidR="00F60A73" w:rsidRPr="00660410">
        <w:t xml:space="preserve">residential zone </w:t>
      </w:r>
      <w:r w:rsidRPr="00660410">
        <w:t xml:space="preserve">and Low-medium density residential </w:t>
      </w:r>
      <w:r w:rsidR="00D61C18" w:rsidRPr="00660410">
        <w:t xml:space="preserve">zone </w:t>
      </w:r>
      <w:r w:rsidR="00D61C18" w:rsidRPr="00660410">
        <w:rPr>
          <w:rStyle w:val="QPPSuperscriptChar"/>
        </w:rPr>
        <w:t>(</w:t>
      </w:r>
      <w:r w:rsidRPr="00660410">
        <w:rPr>
          <w:rStyle w:val="QPPSuperscriptCha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8"/>
        <w:gridCol w:w="1109"/>
        <w:gridCol w:w="1301"/>
        <w:gridCol w:w="1243"/>
        <w:gridCol w:w="1102"/>
        <w:gridCol w:w="1043"/>
        <w:gridCol w:w="1217"/>
      </w:tblGrid>
      <w:tr w:rsidR="00AC5237" w14:paraId="4CB47DB0" w14:textId="77777777" w:rsidTr="00B47AA3">
        <w:trPr>
          <w:trHeight w:val="77"/>
        </w:trPr>
        <w:tc>
          <w:tcPr>
            <w:tcW w:w="2288" w:type="dxa"/>
            <w:gridSpan w:val="2"/>
          </w:tcPr>
          <w:p w14:paraId="1C813A33" w14:textId="77777777" w:rsidR="00AC5237" w:rsidRDefault="00AC5237" w:rsidP="00B47AA3">
            <w:pPr>
              <w:pStyle w:val="QPPTableTextBold"/>
            </w:pPr>
            <w:r>
              <w:t>Zone</w:t>
            </w:r>
          </w:p>
        </w:tc>
        <w:tc>
          <w:tcPr>
            <w:tcW w:w="5060" w:type="dxa"/>
            <w:gridSpan w:val="4"/>
          </w:tcPr>
          <w:p w14:paraId="24A2668F" w14:textId="77777777" w:rsidR="00AC5237" w:rsidRDefault="00AC5237" w:rsidP="00B47AA3">
            <w:pPr>
              <w:pStyle w:val="QPPTableTextBold"/>
              <w:rPr>
                <w:rFonts w:eastAsia="MS Mincho"/>
                <w:i/>
              </w:rPr>
            </w:pPr>
            <w:r>
              <w:t>Reconfigur</w:t>
            </w:r>
            <w:r w:rsidR="00363F9E">
              <w:t>ing</w:t>
            </w:r>
            <w:r w:rsidR="00050A6F">
              <w:t xml:space="preserve"> a lot</w:t>
            </w:r>
          </w:p>
        </w:tc>
        <w:tc>
          <w:tcPr>
            <w:tcW w:w="1174" w:type="dxa"/>
            <w:vMerge w:val="restart"/>
          </w:tcPr>
          <w:p w14:paraId="05453FFD" w14:textId="77777777" w:rsidR="00AC5237" w:rsidRDefault="00AC5237" w:rsidP="00B47AA3">
            <w:pPr>
              <w:pStyle w:val="QPPTableTextBold"/>
              <w:rPr>
                <w:rFonts w:eastAsia="MS Mincho"/>
                <w:i/>
              </w:rPr>
            </w:pPr>
            <w:r>
              <w:t>Lots to contain minimum rectangle dimension (m)</w:t>
            </w:r>
          </w:p>
        </w:tc>
      </w:tr>
      <w:tr w:rsidR="00AC5237" w14:paraId="1A47FC81" w14:textId="77777777" w:rsidTr="00452689">
        <w:tc>
          <w:tcPr>
            <w:tcW w:w="1145" w:type="dxa"/>
            <w:vMerge w:val="restart"/>
          </w:tcPr>
          <w:p w14:paraId="4346AC4B" w14:textId="77777777" w:rsidR="00AC5237" w:rsidRDefault="00AC5237" w:rsidP="00B47AA3">
            <w:pPr>
              <w:pStyle w:val="QPPTableTextBody"/>
              <w:rPr>
                <w:rFonts w:eastAsia="MS Mincho"/>
                <w:i/>
              </w:rPr>
            </w:pPr>
            <w:r>
              <w:t>Zone</w:t>
            </w:r>
          </w:p>
        </w:tc>
        <w:tc>
          <w:tcPr>
            <w:tcW w:w="1143" w:type="dxa"/>
            <w:vMerge w:val="restart"/>
          </w:tcPr>
          <w:p w14:paraId="094C8D8B" w14:textId="77777777" w:rsidR="00AC5237" w:rsidRDefault="00AC5237" w:rsidP="00B47AA3">
            <w:pPr>
              <w:pStyle w:val="QPPTableTextBody"/>
            </w:pPr>
            <w:r>
              <w:t>Zone precinct</w:t>
            </w:r>
          </w:p>
        </w:tc>
        <w:tc>
          <w:tcPr>
            <w:tcW w:w="2802" w:type="dxa"/>
            <w:gridSpan w:val="2"/>
          </w:tcPr>
          <w:p w14:paraId="58DECE3C" w14:textId="77777777" w:rsidR="00AC5237" w:rsidRDefault="00AC5237" w:rsidP="00B47AA3">
            <w:pPr>
              <w:pStyle w:val="QPPTableTextBody"/>
            </w:pPr>
            <w:r>
              <w:t>Minimum lot size (m</w:t>
            </w:r>
            <w:r w:rsidRPr="00B47AA3">
              <w:rPr>
                <w:rStyle w:val="QPPSuperscriptChar"/>
              </w:rPr>
              <w:t>2</w:t>
            </w:r>
            <w:r>
              <w:t>)</w:t>
            </w:r>
            <w:r w:rsidRPr="00B47AA3">
              <w:rPr>
                <w:rStyle w:val="QPPSuperscriptChar"/>
              </w:rPr>
              <w:t>(2)</w:t>
            </w:r>
          </w:p>
        </w:tc>
        <w:tc>
          <w:tcPr>
            <w:tcW w:w="2258" w:type="dxa"/>
            <w:gridSpan w:val="2"/>
          </w:tcPr>
          <w:p w14:paraId="769AAB3C" w14:textId="77777777" w:rsidR="00AC5237" w:rsidRDefault="00AC5237" w:rsidP="00B47AA3">
            <w:pPr>
              <w:pStyle w:val="QPPTableTextBody"/>
            </w:pPr>
            <w:r>
              <w:t>Minimum average lot width (m)</w:t>
            </w:r>
          </w:p>
        </w:tc>
        <w:tc>
          <w:tcPr>
            <w:tcW w:w="1174" w:type="dxa"/>
            <w:vMerge/>
          </w:tcPr>
          <w:p w14:paraId="26A81C07" w14:textId="77777777" w:rsidR="00AC5237" w:rsidRDefault="00AC5237" w:rsidP="00B47AA3">
            <w:pPr>
              <w:pStyle w:val="QPPTableTextBody"/>
            </w:pPr>
          </w:p>
        </w:tc>
      </w:tr>
      <w:tr w:rsidR="00AC5237" w14:paraId="3CFFC6F6" w14:textId="77777777" w:rsidTr="00452689">
        <w:tc>
          <w:tcPr>
            <w:tcW w:w="1145" w:type="dxa"/>
            <w:vMerge/>
          </w:tcPr>
          <w:p w14:paraId="56AEB109" w14:textId="77777777" w:rsidR="00AC5237" w:rsidRDefault="00AC5237">
            <w:pPr>
              <w:pStyle w:val="QPPTableTextBody"/>
            </w:pPr>
          </w:p>
        </w:tc>
        <w:tc>
          <w:tcPr>
            <w:tcW w:w="1143" w:type="dxa"/>
            <w:vMerge/>
          </w:tcPr>
          <w:p w14:paraId="06CA8DC0" w14:textId="77777777" w:rsidR="00AC5237" w:rsidRDefault="00AC5237">
            <w:pPr>
              <w:pStyle w:val="QPPTableTextBody"/>
            </w:pPr>
          </w:p>
        </w:tc>
        <w:tc>
          <w:tcPr>
            <w:tcW w:w="1401" w:type="dxa"/>
          </w:tcPr>
          <w:p w14:paraId="23ACAC4F" w14:textId="77777777" w:rsidR="00AC5237" w:rsidRDefault="00AC5237">
            <w:pPr>
              <w:pStyle w:val="QPPTableTextBody"/>
            </w:pPr>
            <w:r>
              <w:t>Standard</w:t>
            </w:r>
          </w:p>
        </w:tc>
        <w:tc>
          <w:tcPr>
            <w:tcW w:w="1401" w:type="dxa"/>
          </w:tcPr>
          <w:p w14:paraId="325B16F6" w14:textId="77777777" w:rsidR="00AC5237" w:rsidRDefault="00AC5237">
            <w:pPr>
              <w:pStyle w:val="QPPTableTextBody"/>
            </w:pPr>
            <w:r>
              <w:t>Rear</w:t>
            </w:r>
            <w:r w:rsidR="00F95E0C" w:rsidRPr="00B47AA3">
              <w:rPr>
                <w:rStyle w:val="QPPSuperscriptChar"/>
              </w:rPr>
              <w:t>(3)</w:t>
            </w:r>
          </w:p>
        </w:tc>
        <w:tc>
          <w:tcPr>
            <w:tcW w:w="1129" w:type="dxa"/>
          </w:tcPr>
          <w:p w14:paraId="6B8CA10C" w14:textId="77777777" w:rsidR="00AC5237" w:rsidRDefault="00AA27E7">
            <w:pPr>
              <w:pStyle w:val="QPPTableTextBody"/>
            </w:pPr>
            <w:r>
              <w:t>Standard</w:t>
            </w:r>
          </w:p>
        </w:tc>
        <w:tc>
          <w:tcPr>
            <w:tcW w:w="1129" w:type="dxa"/>
          </w:tcPr>
          <w:p w14:paraId="0D0B46B8" w14:textId="77777777" w:rsidR="00AC5237" w:rsidRDefault="00AC5237">
            <w:pPr>
              <w:pStyle w:val="QPPTableTextBody"/>
            </w:pPr>
            <w:r>
              <w:t>Rear</w:t>
            </w:r>
            <w:r w:rsidR="001A31B6" w:rsidRPr="00DE28B5">
              <w:rPr>
                <w:rStyle w:val="QPPSuperscriptChar"/>
              </w:rPr>
              <w:t>(4)</w:t>
            </w:r>
          </w:p>
        </w:tc>
        <w:tc>
          <w:tcPr>
            <w:tcW w:w="1174" w:type="dxa"/>
            <w:vMerge w:val="restart"/>
          </w:tcPr>
          <w:p w14:paraId="04A4AFFA" w14:textId="77777777" w:rsidR="00AC5237" w:rsidRDefault="00AC5237">
            <w:pPr>
              <w:pStyle w:val="QPPTableTextBody"/>
            </w:pPr>
            <w:r>
              <w:t>14x20</w:t>
            </w:r>
          </w:p>
        </w:tc>
      </w:tr>
      <w:tr w:rsidR="00AC5237" w14:paraId="5CD4BD24" w14:textId="77777777" w:rsidTr="00452689">
        <w:tc>
          <w:tcPr>
            <w:tcW w:w="1145" w:type="dxa"/>
          </w:tcPr>
          <w:p w14:paraId="3B80AD99" w14:textId="77777777" w:rsidR="00AC5237" w:rsidRDefault="00A471B0" w:rsidP="00B47AA3">
            <w:pPr>
              <w:pStyle w:val="QPPTableTextBody"/>
              <w:rPr>
                <w:rFonts w:eastAsia="MS Mincho"/>
                <w:i/>
              </w:rPr>
            </w:pPr>
            <w:r>
              <w:t>Low density residential, Character residential and Low-medium density residential</w:t>
            </w:r>
            <w:r w:rsidR="00AC5237" w:rsidRPr="00B47AA3">
              <w:rPr>
                <w:rStyle w:val="QPPSuperscriptChar"/>
              </w:rPr>
              <w:t>(</w:t>
            </w:r>
            <w:r w:rsidR="001A31B6" w:rsidRPr="00DE28B5">
              <w:rPr>
                <w:rStyle w:val="QPPSuperscriptChar"/>
              </w:rPr>
              <w:t>5</w:t>
            </w:r>
            <w:r w:rsidR="00AC5237" w:rsidRPr="00B47AA3">
              <w:rPr>
                <w:rStyle w:val="QPPSuperscriptChar"/>
              </w:rPr>
              <w:t>)</w:t>
            </w:r>
          </w:p>
        </w:tc>
        <w:tc>
          <w:tcPr>
            <w:tcW w:w="1143" w:type="dxa"/>
          </w:tcPr>
          <w:p w14:paraId="5290A571" w14:textId="77777777" w:rsidR="00AC5237" w:rsidRDefault="00AC5237" w:rsidP="00B47AA3">
            <w:pPr>
              <w:pStyle w:val="QPPTableTextBody"/>
            </w:pPr>
            <w:r>
              <w:t>All zone precincts</w:t>
            </w:r>
          </w:p>
        </w:tc>
        <w:tc>
          <w:tcPr>
            <w:tcW w:w="1401" w:type="dxa"/>
          </w:tcPr>
          <w:p w14:paraId="1227B83F" w14:textId="77777777" w:rsidR="00AC5237" w:rsidRDefault="00AC5237" w:rsidP="00B47AA3">
            <w:pPr>
              <w:pStyle w:val="QPPTableTextBody"/>
            </w:pPr>
            <w:r>
              <w:t>450</w:t>
            </w:r>
          </w:p>
        </w:tc>
        <w:tc>
          <w:tcPr>
            <w:tcW w:w="1401" w:type="dxa"/>
          </w:tcPr>
          <w:p w14:paraId="18D3F459" w14:textId="77777777" w:rsidR="00AC5237" w:rsidRDefault="00AC5237" w:rsidP="00B47AA3">
            <w:pPr>
              <w:pStyle w:val="QPPTableTextBody"/>
            </w:pPr>
            <w:r>
              <w:t>600</w:t>
            </w:r>
          </w:p>
        </w:tc>
        <w:tc>
          <w:tcPr>
            <w:tcW w:w="1129" w:type="dxa"/>
          </w:tcPr>
          <w:p w14:paraId="1651BB4C" w14:textId="77777777" w:rsidR="00AC5237" w:rsidRDefault="00AC5237" w:rsidP="00B47AA3">
            <w:pPr>
              <w:pStyle w:val="QPPTableTextBody"/>
            </w:pPr>
            <w:r>
              <w:t>15</w:t>
            </w:r>
          </w:p>
        </w:tc>
        <w:tc>
          <w:tcPr>
            <w:tcW w:w="1129" w:type="dxa"/>
          </w:tcPr>
          <w:p w14:paraId="588B1897" w14:textId="77777777" w:rsidR="00AC5237" w:rsidRDefault="00AC5237" w:rsidP="00B47AA3">
            <w:pPr>
              <w:pStyle w:val="QPPTableTextBody"/>
            </w:pPr>
            <w:r>
              <w:t>15</w:t>
            </w:r>
          </w:p>
        </w:tc>
        <w:tc>
          <w:tcPr>
            <w:tcW w:w="1174" w:type="dxa"/>
            <w:vMerge/>
          </w:tcPr>
          <w:p w14:paraId="6B3B4BB8" w14:textId="77777777" w:rsidR="00AC5237" w:rsidRDefault="00AC5237" w:rsidP="00B47AA3">
            <w:pPr>
              <w:pStyle w:val="QPPTableTextBody"/>
            </w:pPr>
          </w:p>
        </w:tc>
      </w:tr>
    </w:tbl>
    <w:p w14:paraId="6868EC1C" w14:textId="77777777" w:rsidR="00AC5237" w:rsidRPr="00660410" w:rsidRDefault="00F95E0C" w:rsidP="00660410">
      <w:pPr>
        <w:pStyle w:val="QPPTableHeadingStyle"/>
      </w:pPr>
      <w:r w:rsidRPr="00660410">
        <w:t>Table 9.4.10.3.B Part 2—Small lots in the Low density</w:t>
      </w:r>
      <w:r w:rsidR="00F60A73" w:rsidRPr="00660410">
        <w:t xml:space="preserve"> residential zone</w:t>
      </w:r>
      <w:r w:rsidRPr="00660410">
        <w:t xml:space="preserve">, Character </w:t>
      </w:r>
      <w:r w:rsidR="00F60A73" w:rsidRPr="00660410">
        <w:t xml:space="preserve">residential zone </w:t>
      </w:r>
      <w:r w:rsidRPr="00660410">
        <w:t>and Low-</w:t>
      </w:r>
      <w:r w:rsidR="00F60A73" w:rsidRPr="00660410">
        <w:t>medium density residential zone</w:t>
      </w:r>
      <w:r w:rsidR="00660410">
        <w:t xml:space="preserve"> </w:t>
      </w:r>
      <w:r w:rsidRPr="00660410">
        <w:rPr>
          <w:rStyle w:val="QPPSuperscriptCha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043"/>
        <w:gridCol w:w="676"/>
        <w:gridCol w:w="760"/>
        <w:gridCol w:w="821"/>
        <w:gridCol w:w="676"/>
        <w:gridCol w:w="614"/>
        <w:gridCol w:w="821"/>
        <w:gridCol w:w="843"/>
        <w:gridCol w:w="849"/>
      </w:tblGrid>
      <w:tr w:rsidR="00F95E0C" w14:paraId="01584F39" w14:textId="77777777" w:rsidTr="00452689">
        <w:tc>
          <w:tcPr>
            <w:tcW w:w="2285" w:type="dxa"/>
            <w:gridSpan w:val="2"/>
          </w:tcPr>
          <w:p w14:paraId="1C36ECCE" w14:textId="77777777" w:rsidR="00F95E0C" w:rsidRDefault="008D0652" w:rsidP="00B47AA3">
            <w:pPr>
              <w:pStyle w:val="QPPTableTextBold"/>
            </w:pPr>
            <w:r w:rsidRPr="008D0652">
              <w:t>Zone</w:t>
            </w:r>
          </w:p>
        </w:tc>
        <w:tc>
          <w:tcPr>
            <w:tcW w:w="4513" w:type="dxa"/>
            <w:gridSpan w:val="6"/>
          </w:tcPr>
          <w:p w14:paraId="02274D44" w14:textId="77777777" w:rsidR="00F95E0C" w:rsidRDefault="008D0652" w:rsidP="00B47AA3">
            <w:pPr>
              <w:pStyle w:val="QPPTableTextBold"/>
              <w:rPr>
                <w:rFonts w:eastAsia="MS Mincho"/>
                <w:i/>
                <w:sz w:val="14"/>
              </w:rPr>
            </w:pPr>
            <w:r w:rsidRPr="008D0652">
              <w:t>Reconfigur</w:t>
            </w:r>
            <w:r w:rsidR="00A471B0">
              <w:t>ing</w:t>
            </w:r>
            <w:r w:rsidRPr="008D0652">
              <w:t xml:space="preserve"> a lot</w:t>
            </w:r>
          </w:p>
        </w:tc>
        <w:tc>
          <w:tcPr>
            <w:tcW w:w="1724" w:type="dxa"/>
            <w:gridSpan w:val="2"/>
            <w:vMerge w:val="restart"/>
          </w:tcPr>
          <w:p w14:paraId="38CBE68C" w14:textId="77777777" w:rsidR="00F95E0C" w:rsidRDefault="008D0652" w:rsidP="00B47AA3">
            <w:pPr>
              <w:pStyle w:val="QPPTableTextBold"/>
              <w:rPr>
                <w:rFonts w:eastAsia="MS Mincho"/>
                <w:i/>
                <w:sz w:val="14"/>
              </w:rPr>
            </w:pPr>
            <w:r w:rsidRPr="008D0652">
              <w:t>Lots to contain minimum rectangle dimension (m)</w:t>
            </w:r>
          </w:p>
        </w:tc>
      </w:tr>
      <w:tr w:rsidR="008D0652" w14:paraId="4B997BFD" w14:textId="77777777" w:rsidTr="00452689">
        <w:tc>
          <w:tcPr>
            <w:tcW w:w="1264" w:type="dxa"/>
            <w:vMerge w:val="restart"/>
          </w:tcPr>
          <w:p w14:paraId="33E3F754" w14:textId="77777777" w:rsidR="008D0652" w:rsidRDefault="008D0652" w:rsidP="00B47AA3">
            <w:pPr>
              <w:pStyle w:val="QPPTableTextBody"/>
              <w:rPr>
                <w:rFonts w:eastAsia="MS Mincho"/>
                <w:i/>
                <w:sz w:val="14"/>
              </w:rPr>
            </w:pPr>
            <w:r w:rsidRPr="008D0652">
              <w:t>Zone</w:t>
            </w:r>
          </w:p>
        </w:tc>
        <w:tc>
          <w:tcPr>
            <w:tcW w:w="1021" w:type="dxa"/>
            <w:vMerge w:val="restart"/>
          </w:tcPr>
          <w:p w14:paraId="4B941F24" w14:textId="77777777" w:rsidR="008D0652" w:rsidRDefault="008D0652" w:rsidP="00B47AA3">
            <w:pPr>
              <w:pStyle w:val="QPPTableTextBody"/>
            </w:pPr>
            <w:r w:rsidRPr="008D0652">
              <w:t>Zone precinct</w:t>
            </w:r>
          </w:p>
        </w:tc>
        <w:tc>
          <w:tcPr>
            <w:tcW w:w="1523" w:type="dxa"/>
            <w:gridSpan w:val="2"/>
          </w:tcPr>
          <w:p w14:paraId="0C7B9451" w14:textId="77777777" w:rsidR="008D0652" w:rsidRDefault="008D0652" w:rsidP="00B47AA3">
            <w:pPr>
              <w:pStyle w:val="QPPTableTextBody"/>
            </w:pPr>
            <w:r w:rsidRPr="008D0652">
              <w:t>Minimum lot size (m</w:t>
            </w:r>
            <w:r w:rsidRPr="00E12251">
              <w:rPr>
                <w:rStyle w:val="QPPSuperscriptChar"/>
              </w:rPr>
              <w:t>2</w:t>
            </w:r>
            <w:r w:rsidRPr="008D0652">
              <w:t xml:space="preserve">) </w:t>
            </w:r>
            <w:r w:rsidRPr="00B47AA3">
              <w:rPr>
                <w:rStyle w:val="QPPSuperscriptChar"/>
              </w:rPr>
              <w:t>(2)</w:t>
            </w:r>
          </w:p>
        </w:tc>
        <w:tc>
          <w:tcPr>
            <w:tcW w:w="2990" w:type="dxa"/>
            <w:gridSpan w:val="4"/>
          </w:tcPr>
          <w:p w14:paraId="7BF59654" w14:textId="77777777" w:rsidR="008D0652" w:rsidRDefault="008D0652" w:rsidP="00B47AA3">
            <w:pPr>
              <w:pStyle w:val="QPPTableTextBody"/>
            </w:pPr>
            <w:r w:rsidRPr="008D0652">
              <w:t xml:space="preserve">Minimum average width </w:t>
            </w:r>
            <w:r w:rsidR="001A31B6">
              <w:t>and minimum</w:t>
            </w:r>
            <w:r w:rsidRPr="008D0652">
              <w:t xml:space="preserve"> frontage (m)</w:t>
            </w:r>
          </w:p>
        </w:tc>
        <w:tc>
          <w:tcPr>
            <w:tcW w:w="1724" w:type="dxa"/>
            <w:gridSpan w:val="2"/>
            <w:vMerge/>
          </w:tcPr>
          <w:p w14:paraId="1795097B" w14:textId="77777777" w:rsidR="008D0652" w:rsidRDefault="008D0652" w:rsidP="00B47AA3">
            <w:pPr>
              <w:pStyle w:val="QPPTableTextBody"/>
            </w:pPr>
          </w:p>
        </w:tc>
      </w:tr>
      <w:tr w:rsidR="008D0652" w14:paraId="38195F53" w14:textId="77777777" w:rsidTr="00452689">
        <w:tc>
          <w:tcPr>
            <w:tcW w:w="1264" w:type="dxa"/>
            <w:vMerge/>
          </w:tcPr>
          <w:p w14:paraId="5A367D9D" w14:textId="77777777" w:rsidR="008D0652" w:rsidRDefault="008D0652" w:rsidP="00B47AA3">
            <w:pPr>
              <w:pStyle w:val="QPPTableTextBody"/>
            </w:pPr>
          </w:p>
        </w:tc>
        <w:tc>
          <w:tcPr>
            <w:tcW w:w="1021" w:type="dxa"/>
            <w:vMerge/>
          </w:tcPr>
          <w:p w14:paraId="777DCEAB" w14:textId="77777777" w:rsidR="008D0652" w:rsidRDefault="008D0652" w:rsidP="00B47AA3">
            <w:pPr>
              <w:pStyle w:val="QPPTableTextBody"/>
            </w:pPr>
          </w:p>
        </w:tc>
        <w:tc>
          <w:tcPr>
            <w:tcW w:w="728" w:type="dxa"/>
          </w:tcPr>
          <w:p w14:paraId="306E5FC5" w14:textId="77777777" w:rsidR="008D0652" w:rsidRPr="008D0652" w:rsidRDefault="008D0652" w:rsidP="00B47AA3">
            <w:pPr>
              <w:pStyle w:val="QPPTableTextBody"/>
            </w:pPr>
            <w:r w:rsidRPr="008D0652">
              <w:t>Small</w:t>
            </w:r>
          </w:p>
        </w:tc>
        <w:tc>
          <w:tcPr>
            <w:tcW w:w="795" w:type="dxa"/>
          </w:tcPr>
          <w:p w14:paraId="155CE6E7" w14:textId="77777777" w:rsidR="008D0652" w:rsidRPr="008D0652" w:rsidRDefault="008D0652" w:rsidP="00B47AA3">
            <w:pPr>
              <w:pStyle w:val="QPPTableTextBody"/>
            </w:pPr>
            <w:r w:rsidRPr="008D0652">
              <w:t>Rear</w:t>
            </w:r>
            <w:r w:rsidRPr="00B47AA3">
              <w:rPr>
                <w:rStyle w:val="QPPSuperscriptChar"/>
              </w:rPr>
              <w:t>(3)</w:t>
            </w:r>
          </w:p>
        </w:tc>
        <w:tc>
          <w:tcPr>
            <w:tcW w:w="859" w:type="dxa"/>
          </w:tcPr>
          <w:p w14:paraId="2812F9B2" w14:textId="77777777" w:rsidR="008D0652" w:rsidRPr="008D0652" w:rsidRDefault="008D0652" w:rsidP="00B47AA3">
            <w:pPr>
              <w:pStyle w:val="QPPTableTextBody"/>
            </w:pPr>
            <w:r w:rsidRPr="008D0652">
              <w:t>Small</w:t>
            </w:r>
            <w:r w:rsidRPr="00B47AA3">
              <w:rPr>
                <w:rStyle w:val="QPPSuperscriptChar"/>
              </w:rPr>
              <w:t>(8)</w:t>
            </w:r>
          </w:p>
        </w:tc>
        <w:tc>
          <w:tcPr>
            <w:tcW w:w="643" w:type="dxa"/>
          </w:tcPr>
          <w:p w14:paraId="7B01E9F7" w14:textId="77777777" w:rsidR="008D0652" w:rsidRPr="008D0652" w:rsidRDefault="008D0652" w:rsidP="00B47AA3">
            <w:pPr>
              <w:pStyle w:val="QPPTableTextBody"/>
            </w:pPr>
            <w:r w:rsidRPr="008D0652">
              <w:t>Small</w:t>
            </w:r>
            <w:r w:rsidR="001A31B6">
              <w:t xml:space="preserve"> </w:t>
            </w:r>
            <w:r w:rsidR="001A31B6" w:rsidRPr="00DE28B5">
              <w:rPr>
                <w:rStyle w:val="QPPSuperscriptChar"/>
              </w:rPr>
              <w:t>(10)</w:t>
            </w:r>
          </w:p>
        </w:tc>
        <w:tc>
          <w:tcPr>
            <w:tcW w:w="629" w:type="dxa"/>
          </w:tcPr>
          <w:p w14:paraId="1379B3CD" w14:textId="77777777" w:rsidR="008D0652" w:rsidRPr="008D0652" w:rsidRDefault="008D0652" w:rsidP="00B47AA3">
            <w:pPr>
              <w:pStyle w:val="QPPTableTextBody"/>
              <w:rPr>
                <w:rFonts w:eastAsia="MS Mincho"/>
                <w:i/>
                <w:sz w:val="14"/>
              </w:rPr>
            </w:pPr>
            <w:r w:rsidRPr="008D0652">
              <w:t>Rear</w:t>
            </w:r>
            <w:r w:rsidR="001A31B6">
              <w:t xml:space="preserve"> </w:t>
            </w:r>
            <w:r w:rsidR="001A31B6" w:rsidRPr="00DE28B5">
              <w:rPr>
                <w:rStyle w:val="QPPSuperscriptChar"/>
              </w:rPr>
              <w:t>(4)</w:t>
            </w:r>
          </w:p>
        </w:tc>
        <w:tc>
          <w:tcPr>
            <w:tcW w:w="859" w:type="dxa"/>
          </w:tcPr>
          <w:p w14:paraId="3EF377BF" w14:textId="77777777" w:rsidR="008D0652" w:rsidRPr="008D0652" w:rsidRDefault="008D0652" w:rsidP="00B47AA3">
            <w:pPr>
              <w:pStyle w:val="QPPTableTextBody"/>
              <w:rPr>
                <w:rFonts w:eastAsia="MS Mincho"/>
                <w:i/>
                <w:sz w:val="14"/>
              </w:rPr>
            </w:pPr>
            <w:r w:rsidRPr="008D0652">
              <w:t>Small</w:t>
            </w:r>
            <w:r w:rsidRPr="00B47AA3">
              <w:rPr>
                <w:rStyle w:val="QPPSuperscriptChar"/>
              </w:rPr>
              <w:t>(9)</w:t>
            </w:r>
          </w:p>
        </w:tc>
        <w:tc>
          <w:tcPr>
            <w:tcW w:w="862" w:type="dxa"/>
          </w:tcPr>
          <w:p w14:paraId="1D459DAD" w14:textId="77777777" w:rsidR="008D0652" w:rsidRPr="008D0652" w:rsidRDefault="008D0652" w:rsidP="00B47AA3">
            <w:pPr>
              <w:pStyle w:val="QPPTableTextBody"/>
              <w:rPr>
                <w:rFonts w:eastAsia="MS Mincho"/>
                <w:i/>
                <w:sz w:val="14"/>
              </w:rPr>
            </w:pPr>
            <w:r w:rsidRPr="008D0652">
              <w:t>Small ≥400m</w:t>
            </w:r>
            <w:r w:rsidRPr="00B47AA3">
              <w:rPr>
                <w:rStyle w:val="QPPSuperscriptChar"/>
              </w:rPr>
              <w:t>2</w:t>
            </w:r>
          </w:p>
        </w:tc>
        <w:tc>
          <w:tcPr>
            <w:tcW w:w="862" w:type="dxa"/>
          </w:tcPr>
          <w:p w14:paraId="12BEADAC" w14:textId="77777777" w:rsidR="008D0652" w:rsidRPr="008D0652" w:rsidRDefault="008D0652" w:rsidP="00B47AA3">
            <w:pPr>
              <w:pStyle w:val="QPPTableTextBody"/>
              <w:rPr>
                <w:rFonts w:eastAsia="MS Mincho"/>
                <w:i/>
                <w:sz w:val="14"/>
              </w:rPr>
            </w:pPr>
            <w:r w:rsidRPr="008D0652">
              <w:t>Small &lt;400m</w:t>
            </w:r>
            <w:r w:rsidRPr="00B47AA3">
              <w:rPr>
                <w:rStyle w:val="QPPSuperscriptChar"/>
              </w:rPr>
              <w:t>2</w:t>
            </w:r>
          </w:p>
        </w:tc>
      </w:tr>
      <w:tr w:rsidR="008D0652" w14:paraId="74F75C40" w14:textId="77777777" w:rsidTr="00452689">
        <w:tc>
          <w:tcPr>
            <w:tcW w:w="1264" w:type="dxa"/>
          </w:tcPr>
          <w:p w14:paraId="406AC3B3" w14:textId="77777777" w:rsidR="008D0652" w:rsidRPr="008D0652" w:rsidRDefault="008D0652" w:rsidP="00B47AA3">
            <w:pPr>
              <w:pStyle w:val="QPPTableTextBody"/>
              <w:rPr>
                <w:rFonts w:eastAsia="MS Mincho"/>
                <w:i/>
                <w:sz w:val="14"/>
              </w:rPr>
            </w:pPr>
            <w:r w:rsidRPr="008D0652">
              <w:t>Low density residential</w:t>
            </w:r>
            <w:r w:rsidR="001A31B6">
              <w:t xml:space="preserve"> </w:t>
            </w:r>
            <w:r w:rsidR="001A31B6" w:rsidRPr="00DE28B5">
              <w:rPr>
                <w:rStyle w:val="QPPSuperscriptChar"/>
              </w:rPr>
              <w:t>(5)</w:t>
            </w:r>
          </w:p>
        </w:tc>
        <w:tc>
          <w:tcPr>
            <w:tcW w:w="1021" w:type="dxa"/>
          </w:tcPr>
          <w:p w14:paraId="5AE28DFB" w14:textId="77777777" w:rsidR="008D0652" w:rsidRPr="008D0652" w:rsidRDefault="008D0652" w:rsidP="00B47AA3">
            <w:pPr>
              <w:pStyle w:val="QPPTableTextBody"/>
            </w:pPr>
            <w:r w:rsidRPr="008D0652">
              <w:t>Not applicable</w:t>
            </w:r>
          </w:p>
        </w:tc>
        <w:tc>
          <w:tcPr>
            <w:tcW w:w="728" w:type="dxa"/>
          </w:tcPr>
          <w:p w14:paraId="406DBBDD" w14:textId="77777777" w:rsidR="008D0652" w:rsidRPr="009559D6" w:rsidRDefault="008D0652" w:rsidP="00A12F62">
            <w:pPr>
              <w:pStyle w:val="QPPTableTextBody"/>
            </w:pPr>
            <w:r w:rsidRPr="009559D6">
              <w:t>400</w:t>
            </w:r>
            <w:r w:rsidRPr="00B47AA3">
              <w:rPr>
                <w:rStyle w:val="QPPSuperscriptChar"/>
              </w:rPr>
              <w:t>(6)</w:t>
            </w:r>
          </w:p>
        </w:tc>
        <w:tc>
          <w:tcPr>
            <w:tcW w:w="795" w:type="dxa"/>
          </w:tcPr>
          <w:p w14:paraId="4CCCD36B" w14:textId="77777777" w:rsidR="008D0652" w:rsidRPr="009559D6" w:rsidRDefault="001A31B6" w:rsidP="00B47AA3">
            <w:pPr>
              <w:pStyle w:val="QPPTableTextBody"/>
            </w:pPr>
            <w:r>
              <w:t>6</w:t>
            </w:r>
            <w:r w:rsidR="008D0652" w:rsidRPr="009559D6">
              <w:t>00</w:t>
            </w:r>
          </w:p>
        </w:tc>
        <w:tc>
          <w:tcPr>
            <w:tcW w:w="859" w:type="dxa"/>
          </w:tcPr>
          <w:p w14:paraId="68D78A4F" w14:textId="77777777" w:rsidR="008D0652" w:rsidRPr="009559D6" w:rsidRDefault="00A12F62" w:rsidP="00B47AA3">
            <w:pPr>
              <w:pStyle w:val="QPPTableTextBody"/>
            </w:pPr>
            <w:r>
              <w:t>10</w:t>
            </w:r>
          </w:p>
        </w:tc>
        <w:tc>
          <w:tcPr>
            <w:tcW w:w="643" w:type="dxa"/>
          </w:tcPr>
          <w:p w14:paraId="2FE1DBC1" w14:textId="77777777" w:rsidR="008D0652" w:rsidRPr="009559D6" w:rsidRDefault="00A12F62" w:rsidP="00B47AA3">
            <w:pPr>
              <w:pStyle w:val="QPPTableTextBody"/>
            </w:pPr>
            <w:r>
              <w:t>10</w:t>
            </w:r>
          </w:p>
        </w:tc>
        <w:tc>
          <w:tcPr>
            <w:tcW w:w="629" w:type="dxa"/>
          </w:tcPr>
          <w:p w14:paraId="06B859E7" w14:textId="77777777" w:rsidR="008D0652" w:rsidRPr="009559D6" w:rsidRDefault="008D0652" w:rsidP="00B47AA3">
            <w:pPr>
              <w:pStyle w:val="QPPTableTextBody"/>
            </w:pPr>
            <w:r w:rsidRPr="009559D6">
              <w:t>10</w:t>
            </w:r>
          </w:p>
        </w:tc>
        <w:tc>
          <w:tcPr>
            <w:tcW w:w="859" w:type="dxa"/>
          </w:tcPr>
          <w:p w14:paraId="695D9DC6" w14:textId="77777777" w:rsidR="008D0652" w:rsidRPr="00D84C87" w:rsidRDefault="00A12F62" w:rsidP="00B47AA3">
            <w:pPr>
              <w:pStyle w:val="QPPTableTextBody"/>
            </w:pPr>
            <w:r>
              <w:t>10</w:t>
            </w:r>
          </w:p>
        </w:tc>
        <w:tc>
          <w:tcPr>
            <w:tcW w:w="862" w:type="dxa"/>
          </w:tcPr>
          <w:p w14:paraId="477AB13C" w14:textId="77777777" w:rsidR="008D0652" w:rsidRPr="00E26AAA" w:rsidRDefault="008D0652" w:rsidP="00B47AA3">
            <w:pPr>
              <w:pStyle w:val="QPPTableTextBody"/>
            </w:pPr>
            <w:r w:rsidRPr="00D77C24">
              <w:t>9x15</w:t>
            </w:r>
          </w:p>
        </w:tc>
        <w:tc>
          <w:tcPr>
            <w:tcW w:w="862" w:type="dxa"/>
          </w:tcPr>
          <w:p w14:paraId="48EE31C0" w14:textId="77777777" w:rsidR="008D0652" w:rsidRPr="000F67B7" w:rsidRDefault="008D0652" w:rsidP="00B47AA3">
            <w:pPr>
              <w:pStyle w:val="QPPTableTextBody"/>
            </w:pPr>
            <w:r w:rsidRPr="00E26AAA">
              <w:t>6x15</w:t>
            </w:r>
          </w:p>
        </w:tc>
      </w:tr>
      <w:tr w:rsidR="00A12F62" w14:paraId="63D38B02" w14:textId="77777777" w:rsidTr="00452689">
        <w:tc>
          <w:tcPr>
            <w:tcW w:w="1264" w:type="dxa"/>
          </w:tcPr>
          <w:p w14:paraId="509B0AB8" w14:textId="77777777" w:rsidR="00A12F62" w:rsidRPr="008D0652" w:rsidRDefault="00A12F62" w:rsidP="00B47AA3">
            <w:pPr>
              <w:pStyle w:val="QPPTableTextBody"/>
            </w:pPr>
            <w:r w:rsidRPr="008D0652">
              <w:t>Low density residential</w:t>
            </w:r>
            <w:r>
              <w:t xml:space="preserve"> </w:t>
            </w:r>
            <w:r w:rsidRPr="00DE28B5">
              <w:rPr>
                <w:rStyle w:val="QPPSuperscriptChar"/>
              </w:rPr>
              <w:t>(5)</w:t>
            </w:r>
            <w:r>
              <w:rPr>
                <w:rStyle w:val="QPPSuperscriptChar"/>
              </w:rPr>
              <w:t xml:space="preserve"> (7)</w:t>
            </w:r>
          </w:p>
        </w:tc>
        <w:tc>
          <w:tcPr>
            <w:tcW w:w="1021" w:type="dxa"/>
          </w:tcPr>
          <w:p w14:paraId="66F71E44" w14:textId="77777777" w:rsidR="00A12F62" w:rsidRPr="008D0652" w:rsidRDefault="00A12F62" w:rsidP="00B47AA3">
            <w:pPr>
              <w:pStyle w:val="QPPTableTextBody"/>
            </w:pPr>
            <w:r w:rsidRPr="008D0652">
              <w:t>Not applicable</w:t>
            </w:r>
          </w:p>
        </w:tc>
        <w:tc>
          <w:tcPr>
            <w:tcW w:w="728" w:type="dxa"/>
          </w:tcPr>
          <w:p w14:paraId="31510659" w14:textId="77777777" w:rsidR="00A12F62" w:rsidRPr="009559D6" w:rsidRDefault="00A12F62" w:rsidP="00B47AA3">
            <w:pPr>
              <w:pStyle w:val="QPPTableTextBody"/>
            </w:pPr>
            <w:r w:rsidRPr="009559D6">
              <w:t>300</w:t>
            </w:r>
            <w:r w:rsidRPr="00B47AA3">
              <w:rPr>
                <w:rStyle w:val="QPPSuperscriptChar"/>
              </w:rPr>
              <w:t>(7)</w:t>
            </w:r>
          </w:p>
        </w:tc>
        <w:tc>
          <w:tcPr>
            <w:tcW w:w="795" w:type="dxa"/>
          </w:tcPr>
          <w:p w14:paraId="0C6D508A" w14:textId="77777777" w:rsidR="00A12F62" w:rsidRDefault="00A12F62" w:rsidP="00B47AA3">
            <w:pPr>
              <w:pStyle w:val="QPPTableTextBody"/>
            </w:pPr>
            <w:r>
              <w:t>600</w:t>
            </w:r>
          </w:p>
        </w:tc>
        <w:tc>
          <w:tcPr>
            <w:tcW w:w="859" w:type="dxa"/>
          </w:tcPr>
          <w:p w14:paraId="58B76731" w14:textId="77777777" w:rsidR="00A12F62" w:rsidRPr="009559D6" w:rsidRDefault="00A12F62" w:rsidP="00B47AA3">
            <w:pPr>
              <w:pStyle w:val="QPPTableTextBody"/>
            </w:pPr>
            <w:r w:rsidRPr="009559D6">
              <w:t>7.5</w:t>
            </w:r>
          </w:p>
        </w:tc>
        <w:tc>
          <w:tcPr>
            <w:tcW w:w="643" w:type="dxa"/>
          </w:tcPr>
          <w:p w14:paraId="0EFEB153" w14:textId="77777777" w:rsidR="00A12F62" w:rsidRPr="009559D6" w:rsidRDefault="00A12F62" w:rsidP="00B47AA3">
            <w:pPr>
              <w:pStyle w:val="QPPTableTextBody"/>
            </w:pPr>
            <w:r w:rsidRPr="009559D6">
              <w:t>7.5</w:t>
            </w:r>
          </w:p>
        </w:tc>
        <w:tc>
          <w:tcPr>
            <w:tcW w:w="629" w:type="dxa"/>
          </w:tcPr>
          <w:p w14:paraId="5BE56D8E" w14:textId="77777777" w:rsidR="00A12F62" w:rsidRPr="009559D6" w:rsidRDefault="00A12F62" w:rsidP="00B47AA3">
            <w:pPr>
              <w:pStyle w:val="QPPTableTextBody"/>
            </w:pPr>
            <w:r>
              <w:t>10</w:t>
            </w:r>
          </w:p>
        </w:tc>
        <w:tc>
          <w:tcPr>
            <w:tcW w:w="859" w:type="dxa"/>
          </w:tcPr>
          <w:p w14:paraId="0BA8C777" w14:textId="77777777" w:rsidR="00A12F62" w:rsidRPr="00D84C87" w:rsidRDefault="00A12F62" w:rsidP="00B47AA3">
            <w:pPr>
              <w:pStyle w:val="QPPTableTextBody"/>
            </w:pPr>
            <w:r w:rsidRPr="00D84C87">
              <w:t>7.5</w:t>
            </w:r>
          </w:p>
        </w:tc>
        <w:tc>
          <w:tcPr>
            <w:tcW w:w="862" w:type="dxa"/>
          </w:tcPr>
          <w:p w14:paraId="64F8E2C4" w14:textId="77777777" w:rsidR="00A12F62" w:rsidRPr="00D77C24" w:rsidRDefault="00A12F62" w:rsidP="00B47AA3">
            <w:pPr>
              <w:pStyle w:val="QPPTableTextBody"/>
            </w:pPr>
            <w:r w:rsidRPr="00D77C24">
              <w:t>9x15</w:t>
            </w:r>
          </w:p>
        </w:tc>
        <w:tc>
          <w:tcPr>
            <w:tcW w:w="862" w:type="dxa"/>
          </w:tcPr>
          <w:p w14:paraId="3B205E6F" w14:textId="77777777" w:rsidR="00A12F62" w:rsidRPr="00E26AAA" w:rsidRDefault="00A12F62" w:rsidP="00B47AA3">
            <w:pPr>
              <w:pStyle w:val="QPPTableTextBody"/>
            </w:pPr>
            <w:r w:rsidRPr="00E26AAA">
              <w:t>6x15</w:t>
            </w:r>
          </w:p>
        </w:tc>
      </w:tr>
      <w:tr w:rsidR="009559D6" w14:paraId="07060EA0" w14:textId="77777777" w:rsidTr="00452689">
        <w:tc>
          <w:tcPr>
            <w:tcW w:w="1264" w:type="dxa"/>
            <w:vMerge w:val="restart"/>
          </w:tcPr>
          <w:p w14:paraId="4588BEE4" w14:textId="77777777" w:rsidR="009559D6" w:rsidRDefault="009559D6" w:rsidP="00B47AA3">
            <w:pPr>
              <w:pStyle w:val="QPPTableTextBody"/>
            </w:pPr>
            <w:r w:rsidRPr="009559D6">
              <w:t xml:space="preserve">Character residential </w:t>
            </w:r>
            <w:r w:rsidRPr="00B47AA3">
              <w:rPr>
                <w:rStyle w:val="QPPSuperscriptChar"/>
              </w:rPr>
              <w:t>(5)</w:t>
            </w:r>
          </w:p>
        </w:tc>
        <w:tc>
          <w:tcPr>
            <w:tcW w:w="1021" w:type="dxa"/>
          </w:tcPr>
          <w:p w14:paraId="2A1011A3" w14:textId="77777777" w:rsidR="009559D6" w:rsidRDefault="009559D6" w:rsidP="00B47AA3">
            <w:pPr>
              <w:pStyle w:val="QPPTableTextBody"/>
            </w:pPr>
            <w:r w:rsidRPr="009559D6">
              <w:t>Character</w:t>
            </w:r>
          </w:p>
        </w:tc>
        <w:tc>
          <w:tcPr>
            <w:tcW w:w="1523" w:type="dxa"/>
            <w:gridSpan w:val="2"/>
          </w:tcPr>
          <w:p w14:paraId="458167C4" w14:textId="77777777" w:rsidR="009559D6" w:rsidRDefault="009559D6" w:rsidP="00B47AA3">
            <w:pPr>
              <w:pStyle w:val="QPPTableTextBody"/>
            </w:pPr>
            <w:r w:rsidRPr="009559D6">
              <w:t>Not applicable</w:t>
            </w:r>
          </w:p>
        </w:tc>
        <w:tc>
          <w:tcPr>
            <w:tcW w:w="2990" w:type="dxa"/>
            <w:gridSpan w:val="4"/>
          </w:tcPr>
          <w:p w14:paraId="1076A3F8" w14:textId="77777777" w:rsidR="009559D6" w:rsidRDefault="009559D6" w:rsidP="00B47AA3">
            <w:pPr>
              <w:pStyle w:val="QPPTableTextBody"/>
            </w:pPr>
            <w:r w:rsidRPr="009559D6">
              <w:t>Not applicable</w:t>
            </w:r>
          </w:p>
        </w:tc>
        <w:tc>
          <w:tcPr>
            <w:tcW w:w="1724" w:type="dxa"/>
            <w:gridSpan w:val="2"/>
          </w:tcPr>
          <w:p w14:paraId="327D2BCC" w14:textId="77777777" w:rsidR="009559D6" w:rsidRDefault="009559D6" w:rsidP="00B47AA3">
            <w:pPr>
              <w:pStyle w:val="QPPTableTextBody"/>
            </w:pPr>
            <w:r w:rsidRPr="009559D6">
              <w:t>Not applicable</w:t>
            </w:r>
          </w:p>
        </w:tc>
      </w:tr>
      <w:tr w:rsidR="009559D6" w14:paraId="4ADA1205" w14:textId="77777777" w:rsidTr="00452689">
        <w:tc>
          <w:tcPr>
            <w:tcW w:w="1264" w:type="dxa"/>
            <w:vMerge/>
          </w:tcPr>
          <w:p w14:paraId="0E6BB79E" w14:textId="77777777" w:rsidR="009559D6" w:rsidRDefault="009559D6" w:rsidP="00B47AA3">
            <w:pPr>
              <w:pStyle w:val="QPPTableTextBody"/>
            </w:pPr>
          </w:p>
        </w:tc>
        <w:tc>
          <w:tcPr>
            <w:tcW w:w="1021" w:type="dxa"/>
          </w:tcPr>
          <w:p w14:paraId="556FD14F" w14:textId="77777777" w:rsidR="009559D6" w:rsidRPr="009559D6" w:rsidRDefault="009559D6" w:rsidP="00B47AA3">
            <w:pPr>
              <w:pStyle w:val="QPPTableTextBody"/>
            </w:pPr>
            <w:r w:rsidRPr="009559D6">
              <w:t>Infill housing</w:t>
            </w:r>
          </w:p>
        </w:tc>
        <w:tc>
          <w:tcPr>
            <w:tcW w:w="728" w:type="dxa"/>
          </w:tcPr>
          <w:p w14:paraId="3DBDA448" w14:textId="77777777" w:rsidR="009559D6" w:rsidRPr="009559D6" w:rsidRDefault="009559D6" w:rsidP="00B47AA3">
            <w:pPr>
              <w:pStyle w:val="QPPTableTextBody"/>
            </w:pPr>
            <w:r w:rsidRPr="009559D6">
              <w:t>300</w:t>
            </w:r>
          </w:p>
        </w:tc>
        <w:tc>
          <w:tcPr>
            <w:tcW w:w="795" w:type="dxa"/>
          </w:tcPr>
          <w:p w14:paraId="2F543D2B" w14:textId="77777777" w:rsidR="009559D6" w:rsidRPr="009559D6" w:rsidRDefault="009559D6" w:rsidP="00B47AA3">
            <w:pPr>
              <w:pStyle w:val="QPPTableTextBody"/>
            </w:pPr>
            <w:r w:rsidRPr="009559D6">
              <w:t>4</w:t>
            </w:r>
            <w:r w:rsidR="001A31B6">
              <w:t>5</w:t>
            </w:r>
            <w:r w:rsidRPr="009559D6">
              <w:t>0</w:t>
            </w:r>
          </w:p>
        </w:tc>
        <w:tc>
          <w:tcPr>
            <w:tcW w:w="859" w:type="dxa"/>
          </w:tcPr>
          <w:p w14:paraId="4DBB5A62" w14:textId="77777777" w:rsidR="009559D6" w:rsidRPr="009559D6" w:rsidRDefault="009559D6" w:rsidP="00B47AA3">
            <w:pPr>
              <w:pStyle w:val="QPPTableTextBody"/>
            </w:pPr>
            <w:r w:rsidRPr="009559D6">
              <w:t>7.5</w:t>
            </w:r>
          </w:p>
        </w:tc>
        <w:tc>
          <w:tcPr>
            <w:tcW w:w="643" w:type="dxa"/>
          </w:tcPr>
          <w:p w14:paraId="2787518C" w14:textId="77777777" w:rsidR="009559D6" w:rsidRPr="009559D6" w:rsidRDefault="009559D6" w:rsidP="00B47AA3">
            <w:pPr>
              <w:pStyle w:val="QPPTableTextBody"/>
            </w:pPr>
            <w:r w:rsidRPr="009559D6">
              <w:t>7.0</w:t>
            </w:r>
          </w:p>
        </w:tc>
        <w:tc>
          <w:tcPr>
            <w:tcW w:w="629" w:type="dxa"/>
          </w:tcPr>
          <w:p w14:paraId="0D502993" w14:textId="77777777" w:rsidR="009559D6" w:rsidRPr="009559D6" w:rsidRDefault="009559D6" w:rsidP="00B47AA3">
            <w:pPr>
              <w:pStyle w:val="QPPTableTextBody"/>
            </w:pPr>
            <w:r w:rsidRPr="009559D6">
              <w:t>10</w:t>
            </w:r>
          </w:p>
        </w:tc>
        <w:tc>
          <w:tcPr>
            <w:tcW w:w="859" w:type="dxa"/>
          </w:tcPr>
          <w:p w14:paraId="5757AB57" w14:textId="77777777" w:rsidR="009559D6" w:rsidRPr="009559D6" w:rsidRDefault="009559D6" w:rsidP="00B47AA3">
            <w:pPr>
              <w:pStyle w:val="QPPTableTextBody"/>
            </w:pPr>
            <w:r w:rsidRPr="009559D6">
              <w:t>7.0</w:t>
            </w:r>
          </w:p>
        </w:tc>
        <w:tc>
          <w:tcPr>
            <w:tcW w:w="862" w:type="dxa"/>
          </w:tcPr>
          <w:p w14:paraId="5955189F" w14:textId="77777777" w:rsidR="009559D6" w:rsidRPr="009559D6" w:rsidRDefault="009559D6" w:rsidP="00B47AA3">
            <w:pPr>
              <w:pStyle w:val="QPPTableTextBody"/>
            </w:pPr>
            <w:r w:rsidRPr="009559D6">
              <w:t>9x15</w:t>
            </w:r>
          </w:p>
        </w:tc>
        <w:tc>
          <w:tcPr>
            <w:tcW w:w="862" w:type="dxa"/>
          </w:tcPr>
          <w:p w14:paraId="309E7ACF" w14:textId="77777777" w:rsidR="009559D6" w:rsidRPr="009559D6" w:rsidRDefault="009559D6" w:rsidP="00B47AA3">
            <w:pPr>
              <w:pStyle w:val="QPPTableTextBody"/>
            </w:pPr>
            <w:r w:rsidRPr="009559D6">
              <w:t>6x15</w:t>
            </w:r>
          </w:p>
        </w:tc>
      </w:tr>
      <w:tr w:rsidR="009559D6" w14:paraId="463A0672" w14:textId="77777777" w:rsidTr="00452689">
        <w:tc>
          <w:tcPr>
            <w:tcW w:w="1264" w:type="dxa"/>
            <w:vMerge w:val="restart"/>
          </w:tcPr>
          <w:p w14:paraId="2AF213D9" w14:textId="77777777" w:rsidR="009559D6" w:rsidRPr="009559D6" w:rsidRDefault="009559D6" w:rsidP="00B47AA3">
            <w:pPr>
              <w:pStyle w:val="QPPTableTextBody"/>
            </w:pPr>
            <w:r w:rsidRPr="009559D6">
              <w:t>Low-medium density residential</w:t>
            </w:r>
            <w:r w:rsidRPr="00B47AA3">
              <w:rPr>
                <w:rStyle w:val="QPPSuperscriptChar"/>
              </w:rPr>
              <w:t>(5)</w:t>
            </w:r>
          </w:p>
        </w:tc>
        <w:tc>
          <w:tcPr>
            <w:tcW w:w="1021" w:type="dxa"/>
          </w:tcPr>
          <w:p w14:paraId="23F030FE" w14:textId="77777777" w:rsidR="009559D6" w:rsidRPr="009559D6" w:rsidRDefault="009559D6" w:rsidP="00B47AA3">
            <w:pPr>
              <w:pStyle w:val="QPPTableTextBody"/>
            </w:pPr>
            <w:r w:rsidRPr="009559D6">
              <w:t>2 storey mix</w:t>
            </w:r>
          </w:p>
        </w:tc>
        <w:tc>
          <w:tcPr>
            <w:tcW w:w="728" w:type="dxa"/>
          </w:tcPr>
          <w:p w14:paraId="50944CD9" w14:textId="77777777" w:rsidR="009559D6" w:rsidRPr="009559D6" w:rsidRDefault="009559D6" w:rsidP="00B47AA3">
            <w:pPr>
              <w:pStyle w:val="QPPTableTextBody"/>
            </w:pPr>
            <w:r w:rsidRPr="009559D6">
              <w:t>260</w:t>
            </w:r>
          </w:p>
        </w:tc>
        <w:tc>
          <w:tcPr>
            <w:tcW w:w="795" w:type="dxa"/>
          </w:tcPr>
          <w:p w14:paraId="64551319" w14:textId="77777777" w:rsidR="009559D6" w:rsidRPr="009559D6" w:rsidRDefault="009559D6" w:rsidP="00B47AA3">
            <w:pPr>
              <w:pStyle w:val="QPPTableTextBody"/>
            </w:pPr>
            <w:r w:rsidRPr="009559D6">
              <w:t>350</w:t>
            </w:r>
          </w:p>
        </w:tc>
        <w:tc>
          <w:tcPr>
            <w:tcW w:w="859" w:type="dxa"/>
          </w:tcPr>
          <w:p w14:paraId="2ECA7FFF" w14:textId="77777777" w:rsidR="009559D6" w:rsidRPr="009559D6" w:rsidRDefault="009559D6" w:rsidP="00B47AA3">
            <w:pPr>
              <w:pStyle w:val="QPPTableTextBody"/>
            </w:pPr>
            <w:r w:rsidRPr="009559D6">
              <w:t>7.5</w:t>
            </w:r>
          </w:p>
        </w:tc>
        <w:tc>
          <w:tcPr>
            <w:tcW w:w="643" w:type="dxa"/>
          </w:tcPr>
          <w:p w14:paraId="299D3247" w14:textId="77777777" w:rsidR="009559D6" w:rsidRPr="009559D6" w:rsidRDefault="009559D6" w:rsidP="00B47AA3">
            <w:pPr>
              <w:pStyle w:val="QPPTableTextBody"/>
            </w:pPr>
            <w:r w:rsidRPr="009559D6">
              <w:t>7.0</w:t>
            </w:r>
          </w:p>
        </w:tc>
        <w:tc>
          <w:tcPr>
            <w:tcW w:w="629" w:type="dxa"/>
          </w:tcPr>
          <w:p w14:paraId="0E9EA311" w14:textId="77777777" w:rsidR="009559D6" w:rsidRPr="009559D6" w:rsidRDefault="009559D6" w:rsidP="00B47AA3">
            <w:pPr>
              <w:pStyle w:val="QPPTableTextBody"/>
            </w:pPr>
            <w:r w:rsidRPr="009559D6">
              <w:t>10</w:t>
            </w:r>
          </w:p>
        </w:tc>
        <w:tc>
          <w:tcPr>
            <w:tcW w:w="859" w:type="dxa"/>
          </w:tcPr>
          <w:p w14:paraId="76E26B69" w14:textId="77777777" w:rsidR="009559D6" w:rsidRPr="009559D6" w:rsidRDefault="009559D6" w:rsidP="00B47AA3">
            <w:pPr>
              <w:pStyle w:val="QPPTableTextBody"/>
            </w:pPr>
            <w:r w:rsidRPr="009559D6">
              <w:t>7.0</w:t>
            </w:r>
          </w:p>
        </w:tc>
        <w:tc>
          <w:tcPr>
            <w:tcW w:w="862" w:type="dxa"/>
          </w:tcPr>
          <w:p w14:paraId="673F89BD" w14:textId="77777777" w:rsidR="009559D6" w:rsidRPr="009559D6" w:rsidRDefault="009559D6" w:rsidP="00B47AA3">
            <w:pPr>
              <w:pStyle w:val="QPPTableTextBody"/>
            </w:pPr>
            <w:r w:rsidRPr="009559D6">
              <w:t>9x15</w:t>
            </w:r>
          </w:p>
        </w:tc>
        <w:tc>
          <w:tcPr>
            <w:tcW w:w="862" w:type="dxa"/>
          </w:tcPr>
          <w:p w14:paraId="0B93F566" w14:textId="77777777" w:rsidR="009559D6" w:rsidRPr="009559D6" w:rsidRDefault="009559D6" w:rsidP="00B47AA3">
            <w:pPr>
              <w:pStyle w:val="QPPTableTextBody"/>
            </w:pPr>
            <w:r w:rsidRPr="009559D6">
              <w:t>6x15</w:t>
            </w:r>
          </w:p>
        </w:tc>
      </w:tr>
      <w:tr w:rsidR="009559D6" w14:paraId="68F936B9" w14:textId="77777777" w:rsidTr="00452689">
        <w:tc>
          <w:tcPr>
            <w:tcW w:w="1264" w:type="dxa"/>
            <w:vMerge/>
          </w:tcPr>
          <w:p w14:paraId="3B162CB0" w14:textId="77777777" w:rsidR="009559D6" w:rsidRDefault="009559D6" w:rsidP="00B47AA3">
            <w:pPr>
              <w:pStyle w:val="QPPTableTextBody"/>
            </w:pPr>
          </w:p>
        </w:tc>
        <w:tc>
          <w:tcPr>
            <w:tcW w:w="1021" w:type="dxa"/>
          </w:tcPr>
          <w:p w14:paraId="5CBD3DA4" w14:textId="77777777" w:rsidR="009559D6" w:rsidRPr="009559D6" w:rsidRDefault="009559D6" w:rsidP="00B47AA3">
            <w:pPr>
              <w:pStyle w:val="QPPTableTextBody"/>
            </w:pPr>
            <w:r w:rsidRPr="009559D6">
              <w:t>2 or 3 storey mix</w:t>
            </w:r>
          </w:p>
        </w:tc>
        <w:tc>
          <w:tcPr>
            <w:tcW w:w="728" w:type="dxa"/>
          </w:tcPr>
          <w:p w14:paraId="62F2B762" w14:textId="77777777" w:rsidR="009559D6" w:rsidRPr="009559D6" w:rsidRDefault="009559D6" w:rsidP="00B47AA3">
            <w:pPr>
              <w:pStyle w:val="QPPTableTextBody"/>
            </w:pPr>
            <w:r w:rsidRPr="009559D6">
              <w:t>260</w:t>
            </w:r>
          </w:p>
        </w:tc>
        <w:tc>
          <w:tcPr>
            <w:tcW w:w="795" w:type="dxa"/>
          </w:tcPr>
          <w:p w14:paraId="14721FA4" w14:textId="77777777" w:rsidR="009559D6" w:rsidRPr="009559D6" w:rsidRDefault="009559D6" w:rsidP="00B47AA3">
            <w:pPr>
              <w:pStyle w:val="QPPTableTextBody"/>
            </w:pPr>
            <w:r w:rsidRPr="009559D6">
              <w:t>350</w:t>
            </w:r>
          </w:p>
        </w:tc>
        <w:tc>
          <w:tcPr>
            <w:tcW w:w="859" w:type="dxa"/>
          </w:tcPr>
          <w:p w14:paraId="7934A5C6" w14:textId="77777777" w:rsidR="009559D6" w:rsidRPr="009559D6" w:rsidRDefault="009559D6" w:rsidP="00B47AA3">
            <w:pPr>
              <w:pStyle w:val="QPPTableTextBody"/>
            </w:pPr>
            <w:r w:rsidRPr="009559D6">
              <w:t>7.5</w:t>
            </w:r>
          </w:p>
        </w:tc>
        <w:tc>
          <w:tcPr>
            <w:tcW w:w="643" w:type="dxa"/>
          </w:tcPr>
          <w:p w14:paraId="73C89CE8" w14:textId="77777777" w:rsidR="009559D6" w:rsidRPr="009559D6" w:rsidRDefault="009559D6" w:rsidP="00B47AA3">
            <w:pPr>
              <w:pStyle w:val="QPPTableTextBody"/>
            </w:pPr>
            <w:r w:rsidRPr="009559D6">
              <w:t>7.0</w:t>
            </w:r>
          </w:p>
        </w:tc>
        <w:tc>
          <w:tcPr>
            <w:tcW w:w="629" w:type="dxa"/>
          </w:tcPr>
          <w:p w14:paraId="72385369" w14:textId="77777777" w:rsidR="009559D6" w:rsidRPr="009559D6" w:rsidRDefault="009559D6" w:rsidP="00B47AA3">
            <w:pPr>
              <w:pStyle w:val="QPPTableTextBody"/>
            </w:pPr>
            <w:r w:rsidRPr="009559D6">
              <w:t>10</w:t>
            </w:r>
          </w:p>
        </w:tc>
        <w:tc>
          <w:tcPr>
            <w:tcW w:w="859" w:type="dxa"/>
          </w:tcPr>
          <w:p w14:paraId="75E4C8F8" w14:textId="77777777" w:rsidR="009559D6" w:rsidRPr="009559D6" w:rsidRDefault="009559D6" w:rsidP="00B47AA3">
            <w:pPr>
              <w:pStyle w:val="QPPTableTextBody"/>
            </w:pPr>
            <w:r w:rsidRPr="009559D6">
              <w:t>6.5</w:t>
            </w:r>
          </w:p>
        </w:tc>
        <w:tc>
          <w:tcPr>
            <w:tcW w:w="862" w:type="dxa"/>
          </w:tcPr>
          <w:p w14:paraId="64FECC99" w14:textId="77777777" w:rsidR="009559D6" w:rsidRPr="009559D6" w:rsidRDefault="009559D6" w:rsidP="00B47AA3">
            <w:pPr>
              <w:pStyle w:val="QPPTableTextBody"/>
            </w:pPr>
            <w:r w:rsidRPr="009559D6">
              <w:t>9x15</w:t>
            </w:r>
          </w:p>
        </w:tc>
        <w:tc>
          <w:tcPr>
            <w:tcW w:w="862" w:type="dxa"/>
          </w:tcPr>
          <w:p w14:paraId="1DFC0930" w14:textId="77777777" w:rsidR="009559D6" w:rsidRPr="009559D6" w:rsidRDefault="009559D6" w:rsidP="00B47AA3">
            <w:pPr>
              <w:pStyle w:val="QPPTableTextBody"/>
            </w:pPr>
            <w:r w:rsidRPr="009559D6">
              <w:t>6x15</w:t>
            </w:r>
          </w:p>
        </w:tc>
      </w:tr>
      <w:tr w:rsidR="009559D6" w14:paraId="5C3C8534" w14:textId="77777777" w:rsidTr="00452689">
        <w:tc>
          <w:tcPr>
            <w:tcW w:w="1264" w:type="dxa"/>
            <w:vMerge/>
          </w:tcPr>
          <w:p w14:paraId="3BB55191" w14:textId="77777777" w:rsidR="009559D6" w:rsidRDefault="009559D6" w:rsidP="00B47AA3">
            <w:pPr>
              <w:pStyle w:val="QPPTableTextBody"/>
            </w:pPr>
          </w:p>
        </w:tc>
        <w:tc>
          <w:tcPr>
            <w:tcW w:w="1021" w:type="dxa"/>
          </w:tcPr>
          <w:p w14:paraId="3606F2E8" w14:textId="77777777" w:rsidR="009559D6" w:rsidRPr="009559D6" w:rsidRDefault="009559D6" w:rsidP="00B47AA3">
            <w:pPr>
              <w:pStyle w:val="QPPTableTextBody"/>
            </w:pPr>
            <w:r w:rsidRPr="009559D6">
              <w:t>Up to 3 storeys</w:t>
            </w:r>
          </w:p>
        </w:tc>
        <w:tc>
          <w:tcPr>
            <w:tcW w:w="728" w:type="dxa"/>
          </w:tcPr>
          <w:p w14:paraId="43A16FD8" w14:textId="77777777" w:rsidR="009559D6" w:rsidRPr="009559D6" w:rsidRDefault="009559D6" w:rsidP="00B47AA3">
            <w:pPr>
              <w:pStyle w:val="QPPTableTextBody"/>
            </w:pPr>
            <w:r w:rsidRPr="009559D6">
              <w:t>180</w:t>
            </w:r>
          </w:p>
        </w:tc>
        <w:tc>
          <w:tcPr>
            <w:tcW w:w="795" w:type="dxa"/>
          </w:tcPr>
          <w:p w14:paraId="234C88D6" w14:textId="77777777" w:rsidR="009559D6" w:rsidRPr="009559D6" w:rsidRDefault="009559D6" w:rsidP="00B47AA3">
            <w:pPr>
              <w:pStyle w:val="QPPTableTextBody"/>
            </w:pPr>
            <w:r w:rsidRPr="009559D6">
              <w:t>350</w:t>
            </w:r>
          </w:p>
        </w:tc>
        <w:tc>
          <w:tcPr>
            <w:tcW w:w="859" w:type="dxa"/>
          </w:tcPr>
          <w:p w14:paraId="4A2A4BA3" w14:textId="77777777" w:rsidR="009559D6" w:rsidRPr="009559D6" w:rsidRDefault="009559D6" w:rsidP="00B47AA3">
            <w:pPr>
              <w:pStyle w:val="QPPTableTextBody"/>
            </w:pPr>
            <w:r w:rsidRPr="009559D6">
              <w:t>7.5</w:t>
            </w:r>
          </w:p>
        </w:tc>
        <w:tc>
          <w:tcPr>
            <w:tcW w:w="643" w:type="dxa"/>
          </w:tcPr>
          <w:p w14:paraId="53A49A82" w14:textId="77777777" w:rsidR="009559D6" w:rsidRPr="009559D6" w:rsidRDefault="009559D6" w:rsidP="00B47AA3">
            <w:pPr>
              <w:pStyle w:val="QPPTableTextBody"/>
            </w:pPr>
            <w:r w:rsidRPr="009559D6">
              <w:t>6.5</w:t>
            </w:r>
          </w:p>
        </w:tc>
        <w:tc>
          <w:tcPr>
            <w:tcW w:w="629" w:type="dxa"/>
          </w:tcPr>
          <w:p w14:paraId="6CC85573" w14:textId="77777777" w:rsidR="009559D6" w:rsidRPr="009559D6" w:rsidRDefault="009559D6" w:rsidP="00B47AA3">
            <w:pPr>
              <w:pStyle w:val="QPPTableTextBody"/>
            </w:pPr>
            <w:r w:rsidRPr="009559D6">
              <w:t>10</w:t>
            </w:r>
          </w:p>
        </w:tc>
        <w:tc>
          <w:tcPr>
            <w:tcW w:w="859" w:type="dxa"/>
          </w:tcPr>
          <w:p w14:paraId="5C831004" w14:textId="77777777" w:rsidR="009559D6" w:rsidRPr="009559D6" w:rsidRDefault="009559D6" w:rsidP="00B47AA3">
            <w:pPr>
              <w:pStyle w:val="QPPTableTextBody"/>
            </w:pPr>
            <w:r w:rsidRPr="009559D6">
              <w:t>6.0</w:t>
            </w:r>
          </w:p>
        </w:tc>
        <w:tc>
          <w:tcPr>
            <w:tcW w:w="862" w:type="dxa"/>
          </w:tcPr>
          <w:p w14:paraId="2B0A5161" w14:textId="77777777" w:rsidR="009559D6" w:rsidRPr="009559D6" w:rsidRDefault="009559D6" w:rsidP="00B47AA3">
            <w:pPr>
              <w:pStyle w:val="QPPTableTextBody"/>
            </w:pPr>
            <w:r w:rsidRPr="009559D6">
              <w:t>9x15</w:t>
            </w:r>
          </w:p>
        </w:tc>
        <w:tc>
          <w:tcPr>
            <w:tcW w:w="862" w:type="dxa"/>
          </w:tcPr>
          <w:p w14:paraId="45E0CD9B" w14:textId="77777777" w:rsidR="009559D6" w:rsidRPr="009559D6" w:rsidRDefault="009559D6" w:rsidP="00B47AA3">
            <w:pPr>
              <w:pStyle w:val="QPPTableTextBody"/>
            </w:pPr>
            <w:r w:rsidRPr="009559D6">
              <w:t>6x15</w:t>
            </w:r>
          </w:p>
        </w:tc>
      </w:tr>
    </w:tbl>
    <w:p w14:paraId="18CF0A30" w14:textId="77777777" w:rsidR="00F95E0C" w:rsidRPr="00660410" w:rsidRDefault="009559D6" w:rsidP="00660410">
      <w:pPr>
        <w:pStyle w:val="QPPTableHeadingStyle"/>
      </w:pPr>
      <w:r w:rsidRPr="00660410">
        <w:t>Table 9.4.10.3.B Part 3—Emerging community zone</w:t>
      </w:r>
      <w:r w:rsidR="004145DB" w:rsidRPr="00660410">
        <w:t xml:space="preserve"> </w:t>
      </w:r>
      <w:r w:rsidR="004145DB" w:rsidRPr="00660410">
        <w:rPr>
          <w:rStyle w:val="QPPSuperscriptCha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
        <w:gridCol w:w="497"/>
        <w:gridCol w:w="582"/>
        <w:gridCol w:w="470"/>
        <w:gridCol w:w="582"/>
        <w:gridCol w:w="792"/>
        <w:gridCol w:w="798"/>
        <w:gridCol w:w="798"/>
        <w:gridCol w:w="638"/>
        <w:gridCol w:w="675"/>
        <w:gridCol w:w="792"/>
        <w:gridCol w:w="798"/>
      </w:tblGrid>
      <w:tr w:rsidR="00D84C87" w14:paraId="06922096" w14:textId="77777777" w:rsidTr="00B47AA3">
        <w:tc>
          <w:tcPr>
            <w:tcW w:w="885" w:type="dxa"/>
          </w:tcPr>
          <w:p w14:paraId="59C6954C" w14:textId="77777777" w:rsidR="00D84C87" w:rsidRDefault="00D84C87" w:rsidP="00B47AA3">
            <w:pPr>
              <w:pStyle w:val="QPPTableTextBold"/>
            </w:pPr>
            <w:r w:rsidRPr="00D84C87">
              <w:t>Average lot size (m</w:t>
            </w:r>
            <w:r w:rsidRPr="00B47AA3">
              <w:rPr>
                <w:rStyle w:val="QPPSuperscriptChar"/>
              </w:rPr>
              <w:t>2</w:t>
            </w:r>
            <w:r w:rsidRPr="00A31981">
              <w:t>)</w:t>
            </w:r>
            <w:r w:rsidRPr="00B47AA3">
              <w:rPr>
                <w:rStyle w:val="QPPSuperscriptChar"/>
              </w:rPr>
              <w:t>(1</w:t>
            </w:r>
            <w:r w:rsidR="004145DB" w:rsidRPr="00DE28B5">
              <w:rPr>
                <w:rStyle w:val="QPPSuperscriptChar"/>
              </w:rPr>
              <w:t>1</w:t>
            </w:r>
            <w:r w:rsidRPr="00B47AA3">
              <w:rPr>
                <w:rStyle w:val="QPPSuperscriptChar"/>
              </w:rPr>
              <w:t>)</w:t>
            </w:r>
          </w:p>
        </w:tc>
        <w:tc>
          <w:tcPr>
            <w:tcW w:w="1065" w:type="dxa"/>
            <w:gridSpan w:val="2"/>
          </w:tcPr>
          <w:p w14:paraId="325A77DA" w14:textId="77777777" w:rsidR="00D84C87" w:rsidRDefault="00D84C87" w:rsidP="00B47AA3">
            <w:pPr>
              <w:pStyle w:val="QPPTableTextBold"/>
            </w:pPr>
            <w:r w:rsidRPr="00D84C87">
              <w:t>Minimum lot size (m</w:t>
            </w:r>
            <w:r w:rsidRPr="00B47AA3">
              <w:rPr>
                <w:rStyle w:val="QPPSuperscriptChar"/>
              </w:rPr>
              <w:t>2</w:t>
            </w:r>
            <w:r w:rsidRPr="00D84C87">
              <w:t xml:space="preserve">) </w:t>
            </w:r>
            <w:r w:rsidRPr="00B47AA3">
              <w:rPr>
                <w:rStyle w:val="QPPSuperscriptChar"/>
              </w:rPr>
              <w:t>(1</w:t>
            </w:r>
            <w:r w:rsidR="004145DB" w:rsidRPr="00DE28B5">
              <w:rPr>
                <w:rStyle w:val="QPPSuperscriptChar"/>
              </w:rPr>
              <w:t>2</w:t>
            </w:r>
            <w:r w:rsidRPr="00B47AA3">
              <w:rPr>
                <w:rStyle w:val="QPPSuperscriptChar"/>
              </w:rPr>
              <w:t>)</w:t>
            </w:r>
          </w:p>
        </w:tc>
        <w:tc>
          <w:tcPr>
            <w:tcW w:w="4222" w:type="dxa"/>
            <w:gridSpan w:val="6"/>
          </w:tcPr>
          <w:p w14:paraId="53B4A79B" w14:textId="77777777" w:rsidR="00D84C87" w:rsidRDefault="00D84C87" w:rsidP="00B47AA3">
            <w:pPr>
              <w:pStyle w:val="QPPTableTextBold"/>
            </w:pPr>
            <w:r w:rsidRPr="00D84C87">
              <w:t>Minimum average lot width (m)</w:t>
            </w:r>
          </w:p>
        </w:tc>
        <w:tc>
          <w:tcPr>
            <w:tcW w:w="2350" w:type="dxa"/>
            <w:gridSpan w:val="3"/>
          </w:tcPr>
          <w:p w14:paraId="548ED51A" w14:textId="77777777" w:rsidR="00D84C87" w:rsidRDefault="00D84C87" w:rsidP="00B47AA3">
            <w:pPr>
              <w:pStyle w:val="QPPTableTextBold"/>
            </w:pPr>
            <w:r w:rsidRPr="00D84C87">
              <w:t>Lots to contain minimum rectangle dimension (m)</w:t>
            </w:r>
          </w:p>
        </w:tc>
      </w:tr>
      <w:tr w:rsidR="00D84C87" w14:paraId="4E0D7974" w14:textId="77777777" w:rsidTr="00B47AA3">
        <w:tc>
          <w:tcPr>
            <w:tcW w:w="885" w:type="dxa"/>
          </w:tcPr>
          <w:p w14:paraId="2EF8E1AD" w14:textId="77777777" w:rsidR="00D84C87" w:rsidRPr="00452689" w:rsidRDefault="00D84C87" w:rsidP="00B47AA3">
            <w:pPr>
              <w:pStyle w:val="QPPTableTextBody"/>
            </w:pPr>
          </w:p>
        </w:tc>
        <w:tc>
          <w:tcPr>
            <w:tcW w:w="500" w:type="dxa"/>
          </w:tcPr>
          <w:p w14:paraId="1CF672C1" w14:textId="77777777" w:rsidR="00D84C87" w:rsidRPr="00452689" w:rsidRDefault="00D84C87" w:rsidP="00B47AA3">
            <w:pPr>
              <w:pStyle w:val="QPPTableTextBody"/>
            </w:pPr>
            <w:r w:rsidRPr="00452689">
              <w:t>Std</w:t>
            </w:r>
          </w:p>
        </w:tc>
        <w:tc>
          <w:tcPr>
            <w:tcW w:w="565" w:type="dxa"/>
          </w:tcPr>
          <w:p w14:paraId="359D25D7" w14:textId="77777777" w:rsidR="00D84C87" w:rsidRPr="00452689" w:rsidRDefault="00D84C87" w:rsidP="00B47AA3">
            <w:pPr>
              <w:pStyle w:val="QPPTableTextBody"/>
            </w:pPr>
            <w:r w:rsidRPr="00452689">
              <w:t>Rear</w:t>
            </w:r>
            <w:r w:rsidR="004145DB">
              <w:t xml:space="preserve"> </w:t>
            </w:r>
            <w:r w:rsidR="004145DB" w:rsidRPr="00DE28B5">
              <w:rPr>
                <w:rStyle w:val="QPPSuperscriptChar"/>
              </w:rPr>
              <w:t>(3)</w:t>
            </w:r>
          </w:p>
        </w:tc>
        <w:tc>
          <w:tcPr>
            <w:tcW w:w="519" w:type="dxa"/>
          </w:tcPr>
          <w:p w14:paraId="68C166C5" w14:textId="77777777" w:rsidR="00D84C87" w:rsidRPr="00452689" w:rsidRDefault="00D84C87" w:rsidP="00B47AA3">
            <w:pPr>
              <w:pStyle w:val="QPPTableTextBody"/>
            </w:pPr>
            <w:r w:rsidRPr="00452689">
              <w:t>Std</w:t>
            </w:r>
            <w:r w:rsidR="004145DB">
              <w:t xml:space="preserve"> </w:t>
            </w:r>
            <w:r w:rsidR="004145DB" w:rsidRPr="00DE28B5">
              <w:rPr>
                <w:rStyle w:val="QPPSuperscriptChar"/>
              </w:rPr>
              <w:t>(12)</w:t>
            </w:r>
          </w:p>
        </w:tc>
        <w:tc>
          <w:tcPr>
            <w:tcW w:w="565" w:type="dxa"/>
          </w:tcPr>
          <w:p w14:paraId="5E908036" w14:textId="77777777" w:rsidR="00D84C87" w:rsidRPr="00452689" w:rsidRDefault="00D84C87" w:rsidP="00B47AA3">
            <w:pPr>
              <w:pStyle w:val="QPPTableTextBody"/>
            </w:pPr>
            <w:r w:rsidRPr="00452689">
              <w:t>Rear</w:t>
            </w:r>
            <w:r w:rsidR="004145DB">
              <w:t xml:space="preserve"> </w:t>
            </w:r>
            <w:r w:rsidR="004145DB" w:rsidRPr="00DE28B5">
              <w:rPr>
                <w:rStyle w:val="QPPSuperscriptChar"/>
              </w:rPr>
              <w:t>(4)(12)</w:t>
            </w:r>
          </w:p>
        </w:tc>
        <w:tc>
          <w:tcPr>
            <w:tcW w:w="837" w:type="dxa"/>
          </w:tcPr>
          <w:p w14:paraId="68937FFD" w14:textId="77777777" w:rsidR="00D84C87" w:rsidRPr="00452689" w:rsidRDefault="00D84C87" w:rsidP="00B47AA3">
            <w:pPr>
              <w:pStyle w:val="QPPTableTextBody"/>
            </w:pPr>
            <w:r w:rsidRPr="00452689">
              <w:t>Small ≥400m</w:t>
            </w:r>
            <w:r w:rsidRPr="00B47AA3">
              <w:rPr>
                <w:rStyle w:val="QPPSuperscriptChar"/>
              </w:rPr>
              <w:t>2</w:t>
            </w:r>
            <w:r w:rsidRPr="00452689">
              <w:t xml:space="preserve"> </w:t>
            </w:r>
          </w:p>
        </w:tc>
        <w:tc>
          <w:tcPr>
            <w:tcW w:w="837" w:type="dxa"/>
          </w:tcPr>
          <w:p w14:paraId="7DA20E15" w14:textId="77777777" w:rsidR="00D84C87" w:rsidRPr="00452689" w:rsidRDefault="00D84C87" w:rsidP="00B47AA3">
            <w:pPr>
              <w:pStyle w:val="QPPTableTextBody"/>
            </w:pPr>
            <w:r w:rsidRPr="00452689">
              <w:t>Small &lt;400m</w:t>
            </w:r>
            <w:r w:rsidRPr="00B47AA3">
              <w:rPr>
                <w:rStyle w:val="QPPSuperscriptChar"/>
              </w:rPr>
              <w:t>2</w:t>
            </w:r>
            <w:r w:rsidRPr="00452689">
              <w:t xml:space="preserve"> </w:t>
            </w:r>
            <w:r w:rsidRPr="00B47AA3">
              <w:rPr>
                <w:rStyle w:val="QPPSuperscriptChar"/>
              </w:rPr>
              <w:t>(1</w:t>
            </w:r>
            <w:r w:rsidR="004145DB" w:rsidRPr="00DE28B5">
              <w:rPr>
                <w:rStyle w:val="QPPSuperscriptChar"/>
              </w:rPr>
              <w:t>3</w:t>
            </w:r>
            <w:r w:rsidRPr="00B47AA3">
              <w:rPr>
                <w:rStyle w:val="QPPSuperscriptChar"/>
              </w:rPr>
              <w:t>)</w:t>
            </w:r>
            <w:r w:rsidRPr="00DE28B5">
              <w:rPr>
                <w:rStyle w:val="QPPSuperscriptChar"/>
              </w:rPr>
              <w:t xml:space="preserve"> </w:t>
            </w:r>
            <w:r w:rsidRPr="00B47AA3">
              <w:rPr>
                <w:rStyle w:val="QPPSuperscriptChar"/>
              </w:rPr>
              <w:t>(1</w:t>
            </w:r>
            <w:r w:rsidR="004145DB" w:rsidRPr="00DE28B5">
              <w:rPr>
                <w:rStyle w:val="QPPSuperscriptChar"/>
              </w:rPr>
              <w:t>5</w:t>
            </w:r>
            <w:r w:rsidRPr="00B47AA3">
              <w:rPr>
                <w:rStyle w:val="QPPSuperscriptChar"/>
              </w:rPr>
              <w:t>)</w:t>
            </w:r>
          </w:p>
        </w:tc>
        <w:tc>
          <w:tcPr>
            <w:tcW w:w="837" w:type="dxa"/>
          </w:tcPr>
          <w:p w14:paraId="4D034186" w14:textId="77777777" w:rsidR="00D84C87" w:rsidRPr="00452689" w:rsidRDefault="00D84C87" w:rsidP="00B47AA3">
            <w:pPr>
              <w:pStyle w:val="QPPTableTextBody"/>
            </w:pPr>
            <w:r w:rsidRPr="00452689">
              <w:t>Small &lt;400m</w:t>
            </w:r>
            <w:r w:rsidRPr="00B47AA3">
              <w:rPr>
                <w:rStyle w:val="QPPSuperscriptChar"/>
              </w:rPr>
              <w:t>2</w:t>
            </w:r>
            <w:r w:rsidRPr="00452689">
              <w:t xml:space="preserve"> </w:t>
            </w:r>
            <w:r w:rsidRPr="00B47AA3">
              <w:rPr>
                <w:rStyle w:val="QPPSuperscriptChar"/>
              </w:rPr>
              <w:t>(1</w:t>
            </w:r>
            <w:r w:rsidR="004145DB" w:rsidRPr="00DE28B5">
              <w:rPr>
                <w:rStyle w:val="QPPSuperscriptChar"/>
              </w:rPr>
              <w:t>4</w:t>
            </w:r>
            <w:r w:rsidRPr="00B47AA3">
              <w:rPr>
                <w:rStyle w:val="QPPSuperscriptChar"/>
              </w:rPr>
              <w:t>)</w:t>
            </w:r>
            <w:r w:rsidRPr="00DE28B5">
              <w:rPr>
                <w:rStyle w:val="QPPSuperscriptChar"/>
              </w:rPr>
              <w:t xml:space="preserve"> </w:t>
            </w:r>
            <w:r w:rsidRPr="00B47AA3">
              <w:rPr>
                <w:rStyle w:val="QPPSuperscriptChar"/>
              </w:rPr>
              <w:t>(1</w:t>
            </w:r>
            <w:r w:rsidR="004145DB" w:rsidRPr="00DE28B5">
              <w:rPr>
                <w:rStyle w:val="QPPSuperscriptChar"/>
              </w:rPr>
              <w:t>5</w:t>
            </w:r>
            <w:r w:rsidRPr="00B47AA3">
              <w:rPr>
                <w:rStyle w:val="QPPSuperscriptChar"/>
              </w:rPr>
              <w:t>)</w:t>
            </w:r>
          </w:p>
        </w:tc>
        <w:tc>
          <w:tcPr>
            <w:tcW w:w="627" w:type="dxa"/>
          </w:tcPr>
          <w:p w14:paraId="10F5A24D" w14:textId="77777777" w:rsidR="00D84C87" w:rsidRPr="00452689" w:rsidRDefault="00D84C87" w:rsidP="00B47AA3">
            <w:pPr>
              <w:pStyle w:val="QPPTableTextBody"/>
            </w:pPr>
            <w:r w:rsidRPr="00452689">
              <w:t xml:space="preserve">Small rear </w:t>
            </w:r>
            <w:r w:rsidR="004145DB" w:rsidRPr="00DE28B5">
              <w:rPr>
                <w:rStyle w:val="QPPSuperscriptChar"/>
              </w:rPr>
              <w:t>(4)</w:t>
            </w:r>
            <w:r w:rsidRPr="00B47AA3">
              <w:rPr>
                <w:rStyle w:val="QPPSuperscriptChar"/>
              </w:rPr>
              <w:t>(1</w:t>
            </w:r>
            <w:r w:rsidR="004145DB" w:rsidRPr="00DE28B5">
              <w:rPr>
                <w:rStyle w:val="QPPSuperscriptChar"/>
              </w:rPr>
              <w:t>5</w:t>
            </w:r>
            <w:r w:rsidRPr="00B47AA3">
              <w:rPr>
                <w:rStyle w:val="QPPSuperscriptChar"/>
              </w:rPr>
              <w:t>)</w:t>
            </w:r>
          </w:p>
        </w:tc>
        <w:tc>
          <w:tcPr>
            <w:tcW w:w="676" w:type="dxa"/>
          </w:tcPr>
          <w:p w14:paraId="3A6017AD" w14:textId="77777777" w:rsidR="00D84C87" w:rsidRPr="00452689" w:rsidRDefault="00D84C87" w:rsidP="00B47AA3">
            <w:pPr>
              <w:pStyle w:val="QPPTableTextBody"/>
            </w:pPr>
            <w:r w:rsidRPr="00452689">
              <w:t>Std and rear</w:t>
            </w:r>
          </w:p>
        </w:tc>
        <w:tc>
          <w:tcPr>
            <w:tcW w:w="837" w:type="dxa"/>
          </w:tcPr>
          <w:p w14:paraId="13790810" w14:textId="77777777" w:rsidR="00D84C87" w:rsidRPr="00452689" w:rsidRDefault="00D84C87" w:rsidP="00B47AA3">
            <w:pPr>
              <w:pStyle w:val="QPPTableTextBody"/>
            </w:pPr>
            <w:r w:rsidRPr="00452689">
              <w:t>Small ≥400m</w:t>
            </w:r>
            <w:r w:rsidRPr="00B47AA3">
              <w:rPr>
                <w:rStyle w:val="QPPSuperscriptChar"/>
              </w:rPr>
              <w:t>2</w:t>
            </w:r>
          </w:p>
        </w:tc>
        <w:tc>
          <w:tcPr>
            <w:tcW w:w="837" w:type="dxa"/>
          </w:tcPr>
          <w:p w14:paraId="25371AD7" w14:textId="77777777" w:rsidR="00D84C87" w:rsidRPr="00452689" w:rsidRDefault="00D84C87" w:rsidP="00B47AA3">
            <w:pPr>
              <w:pStyle w:val="QPPTableTextBody"/>
            </w:pPr>
            <w:r w:rsidRPr="00452689">
              <w:t>Small &lt;400m</w:t>
            </w:r>
            <w:r w:rsidRPr="00B47AA3">
              <w:rPr>
                <w:rStyle w:val="QPPSuperscriptChar"/>
              </w:rPr>
              <w:t>2</w:t>
            </w:r>
          </w:p>
        </w:tc>
      </w:tr>
      <w:tr w:rsidR="00D84C87" w14:paraId="6908045E" w14:textId="77777777" w:rsidTr="00B47AA3">
        <w:tc>
          <w:tcPr>
            <w:tcW w:w="885" w:type="dxa"/>
          </w:tcPr>
          <w:p w14:paraId="75F93EB0" w14:textId="77777777" w:rsidR="00D84C87" w:rsidRPr="00452689" w:rsidRDefault="00D84C87" w:rsidP="00B47AA3">
            <w:pPr>
              <w:pStyle w:val="QPPTableTextBody"/>
            </w:pPr>
            <w:r w:rsidRPr="00452689">
              <w:t>350</w:t>
            </w:r>
          </w:p>
        </w:tc>
        <w:tc>
          <w:tcPr>
            <w:tcW w:w="500" w:type="dxa"/>
          </w:tcPr>
          <w:p w14:paraId="75E6E730" w14:textId="77777777" w:rsidR="00D84C87" w:rsidRPr="00452689" w:rsidRDefault="00D84C87" w:rsidP="00B47AA3">
            <w:pPr>
              <w:pStyle w:val="QPPTableTextBody"/>
            </w:pPr>
            <w:r w:rsidRPr="00452689">
              <w:t>450</w:t>
            </w:r>
          </w:p>
        </w:tc>
        <w:tc>
          <w:tcPr>
            <w:tcW w:w="565" w:type="dxa"/>
          </w:tcPr>
          <w:p w14:paraId="36400304" w14:textId="77777777" w:rsidR="00D84C87" w:rsidRPr="00452689" w:rsidRDefault="008C3B74" w:rsidP="00B47AA3">
            <w:pPr>
              <w:pStyle w:val="QPPTableTextBody"/>
            </w:pPr>
            <w:r>
              <w:t>600</w:t>
            </w:r>
          </w:p>
        </w:tc>
        <w:tc>
          <w:tcPr>
            <w:tcW w:w="519" w:type="dxa"/>
          </w:tcPr>
          <w:p w14:paraId="50C07D8E" w14:textId="77777777" w:rsidR="00D84C87" w:rsidRPr="00452689" w:rsidRDefault="008C3B74" w:rsidP="00B47AA3">
            <w:pPr>
              <w:pStyle w:val="QPPTableTextBody"/>
            </w:pPr>
            <w:r>
              <w:t>15</w:t>
            </w:r>
          </w:p>
        </w:tc>
        <w:tc>
          <w:tcPr>
            <w:tcW w:w="565" w:type="dxa"/>
          </w:tcPr>
          <w:p w14:paraId="039D86E8" w14:textId="77777777" w:rsidR="00D84C87" w:rsidRPr="00452689" w:rsidRDefault="008C3B74" w:rsidP="00B47AA3">
            <w:pPr>
              <w:pStyle w:val="QPPTableTextBody"/>
            </w:pPr>
            <w:r>
              <w:t>15</w:t>
            </w:r>
          </w:p>
        </w:tc>
        <w:tc>
          <w:tcPr>
            <w:tcW w:w="837" w:type="dxa"/>
          </w:tcPr>
          <w:p w14:paraId="4D4D2F59" w14:textId="77777777" w:rsidR="00D84C87" w:rsidRPr="00452689" w:rsidRDefault="00D84C87" w:rsidP="00B47AA3">
            <w:pPr>
              <w:pStyle w:val="QPPTableTextBody"/>
            </w:pPr>
            <w:r w:rsidRPr="00452689">
              <w:t>10</w:t>
            </w:r>
          </w:p>
        </w:tc>
        <w:tc>
          <w:tcPr>
            <w:tcW w:w="837" w:type="dxa"/>
          </w:tcPr>
          <w:p w14:paraId="251E4499" w14:textId="77777777" w:rsidR="00D84C87" w:rsidRPr="00452689" w:rsidRDefault="00D84C87" w:rsidP="00B47AA3">
            <w:pPr>
              <w:pStyle w:val="QPPTableTextBody"/>
            </w:pPr>
            <w:r w:rsidRPr="00452689">
              <w:t>7.5</w:t>
            </w:r>
          </w:p>
        </w:tc>
        <w:tc>
          <w:tcPr>
            <w:tcW w:w="837" w:type="dxa"/>
          </w:tcPr>
          <w:p w14:paraId="153A5E34" w14:textId="77777777" w:rsidR="00D84C87" w:rsidRPr="00452689" w:rsidRDefault="00D84C87" w:rsidP="00B47AA3">
            <w:pPr>
              <w:pStyle w:val="QPPTableTextBody"/>
            </w:pPr>
            <w:r w:rsidRPr="00452689">
              <w:t>6.0</w:t>
            </w:r>
          </w:p>
        </w:tc>
        <w:tc>
          <w:tcPr>
            <w:tcW w:w="627" w:type="dxa"/>
          </w:tcPr>
          <w:p w14:paraId="7B3CA257" w14:textId="77777777" w:rsidR="00D84C87" w:rsidRPr="00452689" w:rsidRDefault="00D84C87" w:rsidP="00B47AA3">
            <w:pPr>
              <w:pStyle w:val="QPPTableTextBody"/>
            </w:pPr>
            <w:r w:rsidRPr="00452689">
              <w:t>10</w:t>
            </w:r>
          </w:p>
        </w:tc>
        <w:tc>
          <w:tcPr>
            <w:tcW w:w="676" w:type="dxa"/>
          </w:tcPr>
          <w:p w14:paraId="602CDF4F" w14:textId="77777777" w:rsidR="00D84C87" w:rsidRPr="00452689" w:rsidRDefault="00D84C87" w:rsidP="00B47AA3">
            <w:pPr>
              <w:pStyle w:val="QPPTableTextBody"/>
            </w:pPr>
            <w:r w:rsidRPr="00452689">
              <w:t>14x20</w:t>
            </w:r>
          </w:p>
        </w:tc>
        <w:tc>
          <w:tcPr>
            <w:tcW w:w="837" w:type="dxa"/>
          </w:tcPr>
          <w:p w14:paraId="347FD5B5" w14:textId="77777777" w:rsidR="00D84C87" w:rsidRPr="00452689" w:rsidRDefault="00D84C87" w:rsidP="00B47AA3">
            <w:pPr>
              <w:pStyle w:val="QPPTableTextBody"/>
            </w:pPr>
            <w:r w:rsidRPr="00452689">
              <w:t>9x15</w:t>
            </w:r>
          </w:p>
        </w:tc>
        <w:tc>
          <w:tcPr>
            <w:tcW w:w="837" w:type="dxa"/>
          </w:tcPr>
          <w:p w14:paraId="27364BD5" w14:textId="77777777" w:rsidR="00D84C87" w:rsidRPr="00452689" w:rsidRDefault="00D84C87" w:rsidP="00B47AA3">
            <w:pPr>
              <w:pStyle w:val="QPPTableTextBody"/>
            </w:pPr>
            <w:r w:rsidRPr="00452689">
              <w:t>6x15</w:t>
            </w:r>
          </w:p>
        </w:tc>
      </w:tr>
    </w:tbl>
    <w:p w14:paraId="739C69C1" w14:textId="224A167F" w:rsidR="00D84C87" w:rsidRPr="00970DBD" w:rsidRDefault="00D84C87" w:rsidP="00B47AA3">
      <w:pPr>
        <w:pStyle w:val="QPPEditorsNoteStyle1"/>
      </w:pPr>
      <w:r w:rsidRPr="008F03E5">
        <w:t xml:space="preserve">Notes applying to </w:t>
      </w:r>
      <w:r w:rsidRPr="00AB035A">
        <w:t>Table 9.4.10.3.B</w:t>
      </w:r>
      <w:r w:rsidRPr="0042382B">
        <w:t xml:space="preserve"> </w:t>
      </w:r>
      <w:r w:rsidR="00C636C4" w:rsidRPr="00970DBD">
        <w:t>p</w:t>
      </w:r>
      <w:r w:rsidRPr="00970DBD">
        <w:t>arts 1, 2 and 3—</w:t>
      </w:r>
    </w:p>
    <w:p w14:paraId="529208A0" w14:textId="038CCF1E" w:rsidR="00D84C87" w:rsidRPr="00970DBD" w:rsidRDefault="00D84C87" w:rsidP="00B47AA3">
      <w:pPr>
        <w:pStyle w:val="QPPEditorsNoteStyle1"/>
      </w:pPr>
      <w:r w:rsidRPr="00827E6B">
        <w:rPr>
          <w:rStyle w:val="QPPSuperscriptChar"/>
        </w:rPr>
        <w:t>(1)</w:t>
      </w:r>
      <w:r w:rsidRPr="008F03E5">
        <w:t xml:space="preserve"> The </w:t>
      </w:r>
      <w:r w:rsidR="00970DBD" w:rsidRPr="00AB035A">
        <w:t>Dwelling house code</w:t>
      </w:r>
      <w:r w:rsidR="00970DBD">
        <w:t xml:space="preserve"> and </w:t>
      </w:r>
      <w:r w:rsidR="00970DBD" w:rsidRPr="00AB035A">
        <w:t>D</w:t>
      </w:r>
      <w:r w:rsidRPr="00AB035A">
        <w:t>welling house (small lot) code</w:t>
      </w:r>
      <w:r w:rsidRPr="0042382B">
        <w:t xml:space="preserve"> provide requirements for dwelling houses on</w:t>
      </w:r>
      <w:r w:rsidR="00970DBD">
        <w:t xml:space="preserve"> standard lots and</w:t>
      </w:r>
      <w:r w:rsidRPr="0042382B">
        <w:t xml:space="preserve"> small lots</w:t>
      </w:r>
      <w:r w:rsidR="000A0D40">
        <w:t>.</w:t>
      </w:r>
      <w:r w:rsidRPr="008F03E5">
        <w:t xml:space="preserve"> </w:t>
      </w:r>
      <w:r w:rsidR="00970DBD">
        <w:t xml:space="preserve">The table is not part of the assessment for a dwelling house other than as identified in Part 5. The table provides minimum dimensions for </w:t>
      </w:r>
      <w:r w:rsidR="000A0D40">
        <w:t xml:space="preserve">lots to accommodate </w:t>
      </w:r>
      <w:r w:rsidR="00970DBD">
        <w:t xml:space="preserve">development intended in the identified </w:t>
      </w:r>
      <w:r w:rsidR="000A0D40">
        <w:t xml:space="preserve">zone and zone precincts of the </w:t>
      </w:r>
      <w:r w:rsidR="00970DBD">
        <w:t xml:space="preserve">residential </w:t>
      </w:r>
      <w:r w:rsidR="000A0D40">
        <w:t xml:space="preserve">zones category </w:t>
      </w:r>
      <w:r w:rsidR="00970DBD">
        <w:t xml:space="preserve">and </w:t>
      </w:r>
      <w:r w:rsidR="000A0D40">
        <w:t xml:space="preserve">the </w:t>
      </w:r>
      <w:r w:rsidR="000174EB">
        <w:t>E</w:t>
      </w:r>
      <w:r w:rsidR="008C3B74">
        <w:t>merging community zone.</w:t>
      </w:r>
    </w:p>
    <w:p w14:paraId="4761B12D" w14:textId="77777777" w:rsidR="00D77C24" w:rsidRPr="00B81F13" w:rsidRDefault="00D77C24" w:rsidP="00B47AA3">
      <w:pPr>
        <w:pStyle w:val="QPPEditorsNoteStyle1"/>
      </w:pPr>
      <w:r w:rsidRPr="00827E6B">
        <w:rPr>
          <w:rStyle w:val="QPPSuperscriptChar"/>
        </w:rPr>
        <w:t>(2)</w:t>
      </w:r>
      <w:r w:rsidRPr="008F03E5">
        <w:t xml:space="preserve"> M</w:t>
      </w:r>
      <w:r w:rsidRPr="0042382B">
        <w:t>inimum lot size includes land area tha</w:t>
      </w:r>
      <w:r w:rsidR="000F4CD7" w:rsidRPr="00970DBD">
        <w:t>t</w:t>
      </w:r>
      <w:r w:rsidRPr="00970DBD">
        <w:t xml:space="preserve"> may be necessary as a result of development assessment for dedication</w:t>
      </w:r>
      <w:r w:rsidR="00E50479" w:rsidRPr="00970DBD">
        <w:t xml:space="preserve">, </w:t>
      </w:r>
      <w:r w:rsidRPr="004366C0">
        <w:t>such as truncations and easements</w:t>
      </w:r>
      <w:r w:rsidR="00E50479" w:rsidRPr="004366C0">
        <w:t>,</w:t>
      </w:r>
      <w:r w:rsidRPr="006E1657">
        <w:t xml:space="preserve"> as required by this code or other codes which may result in a sm</w:t>
      </w:r>
      <w:r w:rsidR="000F4CD7" w:rsidRPr="00B33E45">
        <w:t>aller lot size</w:t>
      </w:r>
      <w:r w:rsidR="00E50479" w:rsidRPr="00B81F13">
        <w:t>.</w:t>
      </w:r>
      <w:r w:rsidR="000A0D40">
        <w:t xml:space="preserve"> Minimum rectangle dimensions, however</w:t>
      </w:r>
      <w:r w:rsidR="00D61C18">
        <w:t>, must</w:t>
      </w:r>
      <w:r w:rsidR="000A0D40">
        <w:t xml:space="preserve"> be accommodated within the balance area of the lot.</w:t>
      </w:r>
    </w:p>
    <w:p w14:paraId="09D6D707" w14:textId="77777777" w:rsidR="00D77C24" w:rsidRPr="00970DBD" w:rsidRDefault="00D77C24" w:rsidP="00B47AA3">
      <w:pPr>
        <w:pStyle w:val="QPPEditorsNoteStyle1"/>
      </w:pPr>
      <w:r w:rsidRPr="00827E6B">
        <w:rPr>
          <w:rStyle w:val="QPPSuperscriptChar"/>
        </w:rPr>
        <w:t>(3)</w:t>
      </w:r>
      <w:r w:rsidRPr="008F03E5">
        <w:t xml:space="preserve"> </w:t>
      </w:r>
      <w:r w:rsidRPr="0042382B">
        <w:t xml:space="preserve">The minimum </w:t>
      </w:r>
      <w:r w:rsidR="000F4CD7" w:rsidRPr="00970DBD">
        <w:t>lot size area excludes any area for an access way</w:t>
      </w:r>
      <w:r w:rsidR="00E50479" w:rsidRPr="00970DBD">
        <w:t>.</w:t>
      </w:r>
    </w:p>
    <w:p w14:paraId="1203EC8E" w14:textId="77777777" w:rsidR="00D77C24" w:rsidRPr="00B33E45" w:rsidRDefault="00D77C24" w:rsidP="00B47AA3">
      <w:pPr>
        <w:pStyle w:val="QPPEditorsNoteStyle1"/>
      </w:pPr>
      <w:r w:rsidRPr="00827E6B">
        <w:rPr>
          <w:rStyle w:val="QPPSuperscriptChar"/>
        </w:rPr>
        <w:t>(4)</w:t>
      </w:r>
      <w:r w:rsidRPr="008F03E5">
        <w:t xml:space="preserve"> </w:t>
      </w:r>
      <w:r w:rsidR="00E50479" w:rsidRPr="0042382B">
        <w:t>I</w:t>
      </w:r>
      <w:r w:rsidRPr="00970DBD">
        <w:t>n addition</w:t>
      </w:r>
      <w:r w:rsidR="000174EB">
        <w:t>,</w:t>
      </w:r>
      <w:r w:rsidRPr="00970DBD">
        <w:t xml:space="preserve"> </w:t>
      </w:r>
      <w:r w:rsidRPr="004366C0">
        <w:t>a rear lot a</w:t>
      </w:r>
      <w:r w:rsidR="000F4CD7" w:rsidRPr="004366C0">
        <w:t>ccess way minimum width is 3.5m</w:t>
      </w:r>
      <w:r w:rsidR="00E50479" w:rsidRPr="006E1657">
        <w:t>.</w:t>
      </w:r>
    </w:p>
    <w:p w14:paraId="3B96C23A" w14:textId="77777777" w:rsidR="00D77C24" w:rsidRPr="004366C0" w:rsidRDefault="00D77C24" w:rsidP="00B47AA3">
      <w:pPr>
        <w:pStyle w:val="QPPEditorsNoteStyle1"/>
      </w:pPr>
      <w:r w:rsidRPr="00827E6B">
        <w:rPr>
          <w:rStyle w:val="QPPSuperscriptChar"/>
        </w:rPr>
        <w:t>(5)</w:t>
      </w:r>
      <w:r w:rsidRPr="008F03E5">
        <w:t xml:space="preserve"> Where located within </w:t>
      </w:r>
      <w:r w:rsidR="00CA3B4B">
        <w:t>the</w:t>
      </w:r>
      <w:r w:rsidRPr="008F03E5">
        <w:t xml:space="preserve"> </w:t>
      </w:r>
      <w:r w:rsidR="003620C9" w:rsidRPr="0042382B">
        <w:t xml:space="preserve">Traditional building </w:t>
      </w:r>
      <w:r w:rsidRPr="00970DBD">
        <w:t xml:space="preserve">character overlay </w:t>
      </w:r>
      <w:r w:rsidR="000174EB">
        <w:t>or a neighbourhood p</w:t>
      </w:r>
      <w:r w:rsidR="00CA3B4B">
        <w:t>lan</w:t>
      </w:r>
      <w:r w:rsidRPr="00970DBD">
        <w:t xml:space="preserve">, the </w:t>
      </w:r>
      <w:r w:rsidR="000174EB">
        <w:t>overlay or neighbourhood p</w:t>
      </w:r>
      <w:r w:rsidR="00CA3B4B">
        <w:t>lan</w:t>
      </w:r>
      <w:r w:rsidR="000F4CD7" w:rsidRPr="00970DBD">
        <w:t xml:space="preserve"> may vary the minimum lot </w:t>
      </w:r>
      <w:r w:rsidR="00CA3B4B">
        <w:t xml:space="preserve">dimensions or </w:t>
      </w:r>
      <w:r w:rsidR="000F4CD7" w:rsidRPr="00970DBD">
        <w:t>size</w:t>
      </w:r>
      <w:r w:rsidR="00E50479" w:rsidRPr="004366C0">
        <w:t>.</w:t>
      </w:r>
    </w:p>
    <w:p w14:paraId="21A5FF38" w14:textId="77777777" w:rsidR="00D77C24" w:rsidRPr="004366C0" w:rsidRDefault="000F4CD7" w:rsidP="00B47AA3">
      <w:pPr>
        <w:pStyle w:val="QPPEditorsNoteStyle1"/>
      </w:pPr>
      <w:r w:rsidRPr="00827E6B">
        <w:rPr>
          <w:rStyle w:val="QPPSuperscriptChar"/>
        </w:rPr>
        <w:t>(6)</w:t>
      </w:r>
      <w:r w:rsidRPr="008F03E5">
        <w:t xml:space="preserve"> Small lots less than 4</w:t>
      </w:r>
      <w:r w:rsidRPr="0042382B">
        <w:t>0</w:t>
      </w:r>
      <w:r w:rsidR="00D77C24" w:rsidRPr="00970DBD">
        <w:t>0m</w:t>
      </w:r>
      <w:r w:rsidR="00D77C24" w:rsidRPr="00B47AA3">
        <w:rPr>
          <w:rStyle w:val="QPPSuperscriptChar"/>
        </w:rPr>
        <w:t>2</w:t>
      </w:r>
      <w:r w:rsidR="00D77C24" w:rsidRPr="008F03E5">
        <w:t xml:space="preserve"> are possible where the average lot size </w:t>
      </w:r>
      <w:r w:rsidR="00CA3B4B">
        <w:t xml:space="preserve">of the development </w:t>
      </w:r>
      <w:r w:rsidR="00D77C24" w:rsidRPr="008F03E5">
        <w:t>is 400m</w:t>
      </w:r>
      <w:r w:rsidR="00D77C24" w:rsidRPr="00B47AA3">
        <w:rPr>
          <w:rStyle w:val="QPPSuperscriptChar"/>
        </w:rPr>
        <w:t>2</w:t>
      </w:r>
      <w:r w:rsidR="00D77C24" w:rsidRPr="008F03E5">
        <w:t xml:space="preserve"> or greater</w:t>
      </w:r>
      <w:r w:rsidR="00E53947">
        <w:t>,</w:t>
      </w:r>
      <w:r w:rsidR="00D77C24" w:rsidRPr="008F03E5">
        <w:t xml:space="preserve"> no lot is </w:t>
      </w:r>
      <w:r w:rsidR="00D77C24" w:rsidRPr="0042382B">
        <w:t>smaller than 350m</w:t>
      </w:r>
      <w:r w:rsidR="00D77C24" w:rsidRPr="00B47AA3">
        <w:rPr>
          <w:rStyle w:val="QPPSuperscriptChar"/>
        </w:rPr>
        <w:t>2</w:t>
      </w:r>
      <w:r w:rsidR="00CA3B4B">
        <w:t xml:space="preserve"> and all lots meet minimum average width requirements</w:t>
      </w:r>
      <w:r w:rsidR="00D77C24" w:rsidRPr="008F03E5">
        <w:t xml:space="preserve">. </w:t>
      </w:r>
      <w:r w:rsidR="00CA3B4B">
        <w:t>This is not, h</w:t>
      </w:r>
      <w:r w:rsidRPr="0042382B">
        <w:t>owever</w:t>
      </w:r>
      <w:r w:rsidR="00CA3B4B">
        <w:t>,</w:t>
      </w:r>
      <w:r w:rsidR="00D77C24" w:rsidRPr="00970DBD">
        <w:t xml:space="preserve"> applicable to a</w:t>
      </w:r>
      <w:r w:rsidR="00CA3B4B">
        <w:t>ny</w:t>
      </w:r>
      <w:r w:rsidR="00D77C24" w:rsidRPr="00970DBD">
        <w:t xml:space="preserve"> rear lot</w:t>
      </w:r>
      <w:r w:rsidR="00CA3B4B">
        <w:t>s</w:t>
      </w:r>
      <w:r w:rsidR="00E50479" w:rsidRPr="004366C0">
        <w:t>.</w:t>
      </w:r>
    </w:p>
    <w:p w14:paraId="783CBA24" w14:textId="77777777" w:rsidR="00D77C24" w:rsidRPr="00970DBD" w:rsidRDefault="00D77C24" w:rsidP="00B47AA3">
      <w:pPr>
        <w:pStyle w:val="QPPEditorsNoteStyle1"/>
      </w:pPr>
      <w:r w:rsidRPr="00827E6B">
        <w:rPr>
          <w:rStyle w:val="QPPSuperscriptChar"/>
        </w:rPr>
        <w:t>(7)</w:t>
      </w:r>
      <w:r w:rsidRPr="008F03E5">
        <w:t xml:space="preserve"> Where loc</w:t>
      </w:r>
      <w:r w:rsidRPr="0042382B">
        <w:t xml:space="preserve">ated </w:t>
      </w:r>
      <w:r w:rsidR="00012BC3">
        <w:t>within 200m walking distance of a site or sites in a zone in the centre zones category with a combined site area of more than 2,000m</w:t>
      </w:r>
      <w:r w:rsidR="00012BC3" w:rsidRPr="00012BC3">
        <w:rPr>
          <w:rStyle w:val="QPPSuperscriptChar"/>
        </w:rPr>
        <w:t>2</w:t>
      </w:r>
      <w:r w:rsidR="00012BC3">
        <w:t>.</w:t>
      </w:r>
    </w:p>
    <w:p w14:paraId="4CBDFD20" w14:textId="77777777" w:rsidR="00D77C24" w:rsidRPr="00970DBD" w:rsidRDefault="00D77C24" w:rsidP="00B47AA3">
      <w:pPr>
        <w:pStyle w:val="QPPEditorsNoteStyle1"/>
      </w:pPr>
      <w:r w:rsidRPr="00827E6B">
        <w:rPr>
          <w:rStyle w:val="QPPSuperscriptChar"/>
        </w:rPr>
        <w:t>(8)</w:t>
      </w:r>
      <w:r w:rsidRPr="008F03E5">
        <w:t xml:space="preserve"> Small lots adjoining the side boundary of a lot 400m</w:t>
      </w:r>
      <w:r w:rsidRPr="00B47AA3">
        <w:rPr>
          <w:rStyle w:val="QPPSuperscriptChar"/>
        </w:rPr>
        <w:t>2</w:t>
      </w:r>
      <w:r w:rsidRPr="008F03E5">
        <w:t xml:space="preserve"> or greater, where </w:t>
      </w:r>
      <w:r w:rsidR="003E5C67">
        <w:t xml:space="preserve">that </w:t>
      </w:r>
      <w:r w:rsidR="00D61C18">
        <w:t>adjoining</w:t>
      </w:r>
      <w:r w:rsidRPr="008F03E5">
        <w:t xml:space="preserve"> lot conta</w:t>
      </w:r>
      <w:r w:rsidR="000F4CD7" w:rsidRPr="0042382B">
        <w:t xml:space="preserve">ins an existing dwelling </w:t>
      </w:r>
      <w:r w:rsidR="000F4CD7" w:rsidRPr="00970DBD">
        <w:t>house</w:t>
      </w:r>
      <w:r w:rsidR="008C3B74">
        <w:t>.</w:t>
      </w:r>
    </w:p>
    <w:p w14:paraId="2FA48CD1" w14:textId="77777777" w:rsidR="00D77C24" w:rsidRDefault="00D77C24" w:rsidP="00B47AA3">
      <w:pPr>
        <w:pStyle w:val="QPPEditorsNoteStyle1"/>
      </w:pPr>
      <w:r w:rsidRPr="00827E6B">
        <w:rPr>
          <w:rStyle w:val="QPPSuperscriptChar"/>
        </w:rPr>
        <w:t>(9)</w:t>
      </w:r>
      <w:r w:rsidRPr="008F03E5">
        <w:t xml:space="preserve"> Small lots not adjo</w:t>
      </w:r>
      <w:r w:rsidRPr="0042382B">
        <w:t xml:space="preserve">ining the side boundary of a lot </w:t>
      </w:r>
      <w:r w:rsidR="003E5C67">
        <w:t xml:space="preserve">of </w:t>
      </w:r>
      <w:r w:rsidRPr="0042382B">
        <w:t>400m</w:t>
      </w:r>
      <w:r w:rsidRPr="00B47AA3">
        <w:rPr>
          <w:rStyle w:val="QPPSuperscriptChar"/>
        </w:rPr>
        <w:t>2</w:t>
      </w:r>
      <w:r w:rsidRPr="008F03E5">
        <w:t xml:space="preserve"> or greater and the </w:t>
      </w:r>
      <w:r w:rsidR="003E5C67">
        <w:t xml:space="preserve">proposed small </w:t>
      </w:r>
      <w:r w:rsidRPr="008F03E5">
        <w:t>lot has vehicle a</w:t>
      </w:r>
      <w:r w:rsidR="000F4CD7" w:rsidRPr="0042382B">
        <w:t xml:space="preserve">ccess from </w:t>
      </w:r>
      <w:r w:rsidR="003E5C67">
        <w:t>a secondary street frontage opposite to the primary street frontage (typically a rear lane).</w:t>
      </w:r>
    </w:p>
    <w:p w14:paraId="56BAFFBF" w14:textId="77777777" w:rsidR="003E5C67" w:rsidRPr="00B47AA3" w:rsidRDefault="003E5C67" w:rsidP="00B47AA3">
      <w:pPr>
        <w:pStyle w:val="QPPEditorsNoteStyle1"/>
      </w:pPr>
      <w:r w:rsidRPr="00827E6B">
        <w:rPr>
          <w:rStyle w:val="QPPSuperscriptChar"/>
        </w:rPr>
        <w:t>(10)</w:t>
      </w:r>
      <w:r>
        <w:t xml:space="preserve"> Any other small lot.</w:t>
      </w:r>
    </w:p>
    <w:p w14:paraId="5EF229B6" w14:textId="77777777" w:rsidR="00D77C24" w:rsidRPr="00970DBD" w:rsidRDefault="00D77C24" w:rsidP="00B47AA3">
      <w:pPr>
        <w:pStyle w:val="QPPEditorsNoteStyle1"/>
      </w:pPr>
      <w:r w:rsidRPr="00827E6B">
        <w:rPr>
          <w:rStyle w:val="QPPSuperscriptChar"/>
        </w:rPr>
        <w:t>(1</w:t>
      </w:r>
      <w:r w:rsidR="003E5C67" w:rsidRPr="00827E6B">
        <w:rPr>
          <w:rStyle w:val="QPPSuperscriptChar"/>
        </w:rPr>
        <w:t>1</w:t>
      </w:r>
      <w:r w:rsidRPr="00827E6B">
        <w:rPr>
          <w:rStyle w:val="QPPSuperscriptChar"/>
        </w:rPr>
        <w:t>)</w:t>
      </w:r>
      <w:r w:rsidRPr="008F03E5">
        <w:t xml:space="preserve"> The average lot size is calculated on the number of lots 900m</w:t>
      </w:r>
      <w:r w:rsidRPr="00B47AA3">
        <w:rPr>
          <w:rStyle w:val="QPPSuperscriptChar"/>
        </w:rPr>
        <w:t>2</w:t>
      </w:r>
      <w:r w:rsidRPr="008F03E5">
        <w:t xml:space="preserve"> or less that are intended</w:t>
      </w:r>
      <w:r w:rsidR="000F4CD7" w:rsidRPr="0042382B">
        <w:t xml:space="preserve"> for a dwelling house</w:t>
      </w:r>
      <w:r w:rsidR="00E50479" w:rsidRPr="00970DBD">
        <w:t>.</w:t>
      </w:r>
    </w:p>
    <w:p w14:paraId="0B371778" w14:textId="77777777" w:rsidR="00D77C24" w:rsidRPr="004366C0" w:rsidRDefault="00D77C24" w:rsidP="00B47AA3">
      <w:pPr>
        <w:pStyle w:val="QPPEditorsNoteStyle1"/>
      </w:pPr>
      <w:r w:rsidRPr="00827E6B">
        <w:rPr>
          <w:rStyle w:val="QPPSuperscriptChar"/>
        </w:rPr>
        <w:t>(1</w:t>
      </w:r>
      <w:r w:rsidR="003E5C67" w:rsidRPr="00827E6B">
        <w:rPr>
          <w:rStyle w:val="QPPSuperscriptChar"/>
        </w:rPr>
        <w:t>2</w:t>
      </w:r>
      <w:r w:rsidRPr="00827E6B">
        <w:rPr>
          <w:rStyle w:val="QPPSuperscriptChar"/>
        </w:rPr>
        <w:t>)</w:t>
      </w:r>
      <w:r w:rsidRPr="008F03E5">
        <w:t xml:space="preserve"> Any lot for residential purpo</w:t>
      </w:r>
      <w:r w:rsidRPr="0042382B">
        <w:t>ses smaller than the minimum lot size</w:t>
      </w:r>
      <w:r w:rsidR="003E5C67">
        <w:t>,</w:t>
      </w:r>
      <w:r w:rsidRPr="0042382B">
        <w:t xml:space="preserve"> </w:t>
      </w:r>
      <w:r w:rsidR="003E5C67">
        <w:t xml:space="preserve">minimum </w:t>
      </w:r>
      <w:r w:rsidRPr="0042382B">
        <w:t xml:space="preserve">average </w:t>
      </w:r>
      <w:r w:rsidR="00A53BAD">
        <w:t xml:space="preserve">lot </w:t>
      </w:r>
      <w:r w:rsidRPr="0042382B">
        <w:t>width</w:t>
      </w:r>
      <w:r w:rsidR="00A53BAD">
        <w:t>,</w:t>
      </w:r>
      <w:r w:rsidRPr="0042382B">
        <w:t xml:space="preserve"> is a small lot for the purpose</w:t>
      </w:r>
      <w:r w:rsidR="000F4CD7" w:rsidRPr="00970DBD">
        <w:t>s of this table</w:t>
      </w:r>
      <w:r w:rsidR="00E50479" w:rsidRPr="00970DBD">
        <w:t>.</w:t>
      </w:r>
    </w:p>
    <w:p w14:paraId="5B8BFCBB" w14:textId="77777777" w:rsidR="00D77C24" w:rsidRPr="006E1657" w:rsidRDefault="00D77C24" w:rsidP="00B47AA3">
      <w:pPr>
        <w:pStyle w:val="QPPEditorsNoteStyle1"/>
      </w:pPr>
      <w:r w:rsidRPr="00827E6B">
        <w:rPr>
          <w:rStyle w:val="QPPSuperscriptChar"/>
        </w:rPr>
        <w:t>(1</w:t>
      </w:r>
      <w:r w:rsidR="003E5C67" w:rsidRPr="00827E6B">
        <w:rPr>
          <w:rStyle w:val="QPPSuperscriptChar"/>
        </w:rPr>
        <w:t>3</w:t>
      </w:r>
      <w:r w:rsidRPr="00827E6B">
        <w:rPr>
          <w:rStyle w:val="QPPSuperscriptChar"/>
        </w:rPr>
        <w:t>)</w:t>
      </w:r>
      <w:r w:rsidRPr="008F03E5">
        <w:t xml:space="preserve"> Where the lot adjoins the side boundary of any lot ≥400m</w:t>
      </w:r>
      <w:r w:rsidRPr="00B47AA3">
        <w:rPr>
          <w:rStyle w:val="QPPSuperscriptChar"/>
        </w:rPr>
        <w:t>2</w:t>
      </w:r>
      <w:r w:rsidRPr="008F03E5">
        <w:t xml:space="preserve"> and </w:t>
      </w:r>
      <w:r w:rsidR="00A53BAD">
        <w:t xml:space="preserve">is </w:t>
      </w:r>
      <w:r w:rsidRPr="008F03E5">
        <w:t>intended for a dwelling house</w:t>
      </w:r>
      <w:r w:rsidR="00E50479" w:rsidRPr="0042382B">
        <w:t>,</w:t>
      </w:r>
      <w:r w:rsidRPr="00970DBD">
        <w:t xml:space="preserve"> the nominated average lot width is</w:t>
      </w:r>
      <w:r w:rsidR="000F4CD7" w:rsidRPr="004366C0">
        <w:t xml:space="preserve"> also the minimum lot frontage</w:t>
      </w:r>
      <w:r w:rsidR="00E50479" w:rsidRPr="004366C0">
        <w:t>.</w:t>
      </w:r>
    </w:p>
    <w:p w14:paraId="246B7D3C" w14:textId="77777777" w:rsidR="00D77C24" w:rsidRPr="0042382B" w:rsidRDefault="00D77C24" w:rsidP="00B47AA3">
      <w:pPr>
        <w:pStyle w:val="QPPEditorsNoteStyle1"/>
      </w:pPr>
      <w:r w:rsidRPr="00827E6B">
        <w:rPr>
          <w:rStyle w:val="QPPSuperscriptChar"/>
        </w:rPr>
        <w:t>(1</w:t>
      </w:r>
      <w:r w:rsidR="003E5C67" w:rsidRPr="00827E6B">
        <w:rPr>
          <w:rStyle w:val="QPPSuperscriptChar"/>
        </w:rPr>
        <w:t>4</w:t>
      </w:r>
      <w:r w:rsidRPr="00827E6B">
        <w:rPr>
          <w:rStyle w:val="QPPSuperscriptChar"/>
        </w:rPr>
        <w:t>)</w:t>
      </w:r>
      <w:r w:rsidRPr="008F03E5">
        <w:t xml:space="preserve"> Where the lot adjoins the side boundaries of lots </w:t>
      </w:r>
      <w:r w:rsidR="000F4CD7" w:rsidRPr="0042382B">
        <w:t>&lt;400m</w:t>
      </w:r>
      <w:r w:rsidR="000F4CD7" w:rsidRPr="00B47AA3">
        <w:rPr>
          <w:rStyle w:val="QPPSuperscriptChar"/>
        </w:rPr>
        <w:t>2</w:t>
      </w:r>
      <w:r w:rsidR="000F4CD7" w:rsidRPr="008F03E5">
        <w:t xml:space="preserve"> and intended for a dwelling house</w:t>
      </w:r>
      <w:r w:rsidR="008C3B74">
        <w:t>.</w:t>
      </w:r>
    </w:p>
    <w:p w14:paraId="4AB01E78" w14:textId="77777777" w:rsidR="00742AF0" w:rsidRDefault="000F4CD7" w:rsidP="00742AF0">
      <w:pPr>
        <w:pStyle w:val="QPPEditorsNoteStyle1"/>
      </w:pPr>
      <w:r w:rsidRPr="00827E6B">
        <w:rPr>
          <w:rStyle w:val="QPPSuperscriptChar"/>
        </w:rPr>
        <w:t>(1</w:t>
      </w:r>
      <w:r w:rsidR="00A53BAD" w:rsidRPr="00827E6B">
        <w:rPr>
          <w:rStyle w:val="QPPSuperscriptChar"/>
        </w:rPr>
        <w:t>5</w:t>
      </w:r>
      <w:r w:rsidRPr="00827E6B">
        <w:rPr>
          <w:rStyle w:val="QPPSuperscriptChar"/>
        </w:rPr>
        <w:t>)</w:t>
      </w:r>
      <w:r w:rsidRPr="008F03E5">
        <w:t xml:space="preserve"> The nominated average lo</w:t>
      </w:r>
      <w:r w:rsidRPr="0042382B">
        <w:t>t</w:t>
      </w:r>
      <w:r w:rsidRPr="00970DBD">
        <w:t xml:space="preserve"> width is also the minimum lot frontage</w:t>
      </w:r>
      <w:r w:rsidR="00E50479">
        <w:t>.</w:t>
      </w:r>
    </w:p>
    <w:p w14:paraId="618DB9DC" w14:textId="77777777" w:rsidR="00FE6661" w:rsidRPr="00660410" w:rsidRDefault="00FE6661" w:rsidP="00660410">
      <w:pPr>
        <w:pStyle w:val="QPPTableHeadingStyle"/>
      </w:pPr>
      <w:r w:rsidRPr="00660410">
        <w:t xml:space="preserve">Table </w:t>
      </w:r>
      <w:r w:rsidR="000F67B7" w:rsidRPr="00660410">
        <w:t xml:space="preserve">9.4.10.3.B </w:t>
      </w:r>
      <w:r w:rsidRPr="00660410">
        <w:t xml:space="preserve">Part </w:t>
      </w:r>
      <w:r w:rsidR="00FB58AE" w:rsidRPr="00660410">
        <w:t>4</w:t>
      </w:r>
      <w:r w:rsidR="001E037F" w:rsidRPr="00660410">
        <w:t>—</w:t>
      </w:r>
      <w:r w:rsidR="00B3704E" w:rsidRPr="00660410">
        <w:t xml:space="preserve">All </w:t>
      </w:r>
      <w:r w:rsidR="00AC2218" w:rsidRPr="00660410">
        <w:t>o</w:t>
      </w:r>
      <w:r w:rsidR="00B3704E" w:rsidRPr="00660410">
        <w:t xml:space="preserve">ther </w:t>
      </w:r>
      <w:r w:rsidR="00AC2218" w:rsidRPr="00660410">
        <w:t>z</w:t>
      </w:r>
      <w:r w:rsidRPr="00660410">
        <w:t>ones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729"/>
        <w:gridCol w:w="1573"/>
        <w:gridCol w:w="1573"/>
        <w:gridCol w:w="1767"/>
      </w:tblGrid>
      <w:tr w:rsidR="00A31981" w:rsidRPr="001B353F" w14:paraId="16EBC2D8" w14:textId="77777777" w:rsidTr="00A31981">
        <w:tc>
          <w:tcPr>
            <w:tcW w:w="1000" w:type="pct"/>
            <w:shd w:val="clear" w:color="auto" w:fill="auto"/>
          </w:tcPr>
          <w:p w14:paraId="152005B7" w14:textId="77777777" w:rsidR="00637F96" w:rsidRDefault="00637F96">
            <w:pPr>
              <w:pStyle w:val="QPPTableTextBold"/>
            </w:pPr>
            <w:r>
              <w:t>Zone or South</w:t>
            </w:r>
            <w:r w:rsidR="00AC2218">
              <w:t xml:space="preserve"> E</w:t>
            </w:r>
            <w:r>
              <w:t>ast Queensland Regional Plan area</w:t>
            </w:r>
          </w:p>
        </w:tc>
        <w:tc>
          <w:tcPr>
            <w:tcW w:w="1041" w:type="pct"/>
            <w:shd w:val="clear" w:color="auto" w:fill="auto"/>
          </w:tcPr>
          <w:p w14:paraId="0887FA53" w14:textId="77777777" w:rsidR="00637F96" w:rsidRDefault="00637F96">
            <w:pPr>
              <w:pStyle w:val="QPPTableTextBold"/>
            </w:pPr>
            <w:r>
              <w:t>Minimum lot size (m</w:t>
            </w:r>
            <w:r w:rsidRPr="001B353F">
              <w:rPr>
                <w:vertAlign w:val="superscript"/>
              </w:rPr>
              <w:t>2</w:t>
            </w:r>
            <w:r>
              <w:t xml:space="preserve">) standard lot and (rear lot) </w:t>
            </w:r>
            <w:r w:rsidR="004852FA" w:rsidRPr="00F81E81">
              <w:rPr>
                <w:rStyle w:val="QPPSuperscriptChar"/>
              </w:rPr>
              <w:t>(</w:t>
            </w:r>
            <w:r w:rsidRPr="00F81E81">
              <w:rPr>
                <w:rStyle w:val="QPPSuperscriptChar"/>
              </w:rPr>
              <w:t>1</w:t>
            </w:r>
            <w:r w:rsidR="004852FA" w:rsidRPr="00F81E81">
              <w:rPr>
                <w:rStyle w:val="QPPSuperscriptChar"/>
              </w:rPr>
              <w:t>)</w:t>
            </w:r>
          </w:p>
        </w:tc>
        <w:tc>
          <w:tcPr>
            <w:tcW w:w="947" w:type="pct"/>
            <w:shd w:val="clear" w:color="auto" w:fill="auto"/>
          </w:tcPr>
          <w:p w14:paraId="639B0882" w14:textId="77777777" w:rsidR="00637F96" w:rsidRDefault="00637F96">
            <w:pPr>
              <w:pStyle w:val="QPPTableTextBold"/>
            </w:pPr>
            <w:r>
              <w:t>Minimum av</w:t>
            </w:r>
            <w:r w:rsidR="00AA27E7">
              <w:t>erage lot width (m)</w:t>
            </w:r>
          </w:p>
        </w:tc>
        <w:tc>
          <w:tcPr>
            <w:tcW w:w="947" w:type="pct"/>
            <w:shd w:val="clear" w:color="auto" w:fill="auto"/>
          </w:tcPr>
          <w:p w14:paraId="4DA25292" w14:textId="2E7DF629" w:rsidR="00637F96" w:rsidRDefault="00637F96">
            <w:pPr>
              <w:pStyle w:val="QPPTableTextBold"/>
            </w:pPr>
            <w:r>
              <w:t xml:space="preserve">Minimum </w:t>
            </w:r>
            <w:r w:rsidRPr="00AB035A">
              <w:t>access way</w:t>
            </w:r>
            <w:r>
              <w:t xml:space="preserve"> width </w:t>
            </w:r>
            <w:r w:rsidR="00BE5FA1">
              <w:t xml:space="preserve">(m) </w:t>
            </w:r>
            <w:r>
              <w:t>for rear lot</w:t>
            </w:r>
          </w:p>
        </w:tc>
        <w:tc>
          <w:tcPr>
            <w:tcW w:w="1064" w:type="pct"/>
            <w:shd w:val="clear" w:color="auto" w:fill="auto"/>
          </w:tcPr>
          <w:p w14:paraId="674681BB" w14:textId="77777777" w:rsidR="00637F96" w:rsidRDefault="00637F96">
            <w:pPr>
              <w:pStyle w:val="QPPTableTextBold"/>
            </w:pPr>
            <w:r>
              <w:t>Lots to contain minimum rectangle dimension (m)</w:t>
            </w:r>
          </w:p>
        </w:tc>
      </w:tr>
      <w:tr w:rsidR="00A31981" w14:paraId="33872E64" w14:textId="77777777" w:rsidTr="00A31981">
        <w:tc>
          <w:tcPr>
            <w:tcW w:w="1000" w:type="pct"/>
            <w:shd w:val="clear" w:color="auto" w:fill="auto"/>
          </w:tcPr>
          <w:p w14:paraId="6D9E9F20" w14:textId="77777777" w:rsidR="00863418" w:rsidRDefault="00863418">
            <w:pPr>
              <w:pStyle w:val="QPPTableTextBody"/>
            </w:pPr>
            <w:r>
              <w:t>Rural residential</w:t>
            </w:r>
            <w:r w:rsidR="00DE22A1">
              <w:t xml:space="preserve"> zone</w:t>
            </w:r>
          </w:p>
        </w:tc>
        <w:tc>
          <w:tcPr>
            <w:tcW w:w="1041" w:type="pct"/>
            <w:shd w:val="clear" w:color="auto" w:fill="auto"/>
          </w:tcPr>
          <w:p w14:paraId="794B737A" w14:textId="77777777" w:rsidR="00863418" w:rsidRDefault="00863418">
            <w:pPr>
              <w:pStyle w:val="QPPTableTextBody"/>
            </w:pPr>
            <w:r>
              <w:t>10,000 (10,000)</w:t>
            </w:r>
          </w:p>
        </w:tc>
        <w:tc>
          <w:tcPr>
            <w:tcW w:w="947" w:type="pct"/>
            <w:shd w:val="clear" w:color="auto" w:fill="auto"/>
          </w:tcPr>
          <w:p w14:paraId="5E99FC0A" w14:textId="77777777" w:rsidR="00863418" w:rsidRDefault="00863418">
            <w:pPr>
              <w:pStyle w:val="QPPTableTextBody"/>
            </w:pPr>
            <w:r>
              <w:t>40</w:t>
            </w:r>
          </w:p>
        </w:tc>
        <w:tc>
          <w:tcPr>
            <w:tcW w:w="947" w:type="pct"/>
            <w:shd w:val="clear" w:color="auto" w:fill="auto"/>
          </w:tcPr>
          <w:p w14:paraId="5466FB0D" w14:textId="77777777" w:rsidR="00863418" w:rsidRDefault="00863418">
            <w:pPr>
              <w:pStyle w:val="QPPTableTextBody"/>
            </w:pPr>
            <w:r>
              <w:t>7.5</w:t>
            </w:r>
          </w:p>
        </w:tc>
        <w:tc>
          <w:tcPr>
            <w:tcW w:w="1064" w:type="pct"/>
            <w:shd w:val="clear" w:color="auto" w:fill="auto"/>
          </w:tcPr>
          <w:p w14:paraId="0DB9FF63" w14:textId="77777777" w:rsidR="00863418" w:rsidRDefault="00863418">
            <w:pPr>
              <w:pStyle w:val="QPPTableTextBody"/>
            </w:pPr>
            <w:r>
              <w:t>14x20 (excluding fire management areas)</w:t>
            </w:r>
          </w:p>
        </w:tc>
      </w:tr>
      <w:tr w:rsidR="00A31981" w14:paraId="2AF2B34C" w14:textId="77777777" w:rsidTr="00A31981">
        <w:tc>
          <w:tcPr>
            <w:tcW w:w="1000" w:type="pct"/>
            <w:shd w:val="clear" w:color="auto" w:fill="auto"/>
          </w:tcPr>
          <w:p w14:paraId="640B795C" w14:textId="77777777" w:rsidR="00E713CB" w:rsidRDefault="00E713CB">
            <w:pPr>
              <w:pStyle w:val="QPPTableTextBody"/>
            </w:pPr>
            <w:r>
              <w:t>Medium density residential</w:t>
            </w:r>
            <w:r w:rsidR="00DE22A1">
              <w:t xml:space="preserve"> zone</w:t>
            </w:r>
          </w:p>
        </w:tc>
        <w:tc>
          <w:tcPr>
            <w:tcW w:w="1041" w:type="pct"/>
            <w:shd w:val="clear" w:color="auto" w:fill="auto"/>
          </w:tcPr>
          <w:p w14:paraId="273B9FC1" w14:textId="77777777" w:rsidR="00E713CB" w:rsidRDefault="00E713CB">
            <w:pPr>
              <w:pStyle w:val="QPPTableTextBody"/>
            </w:pPr>
            <w:r>
              <w:t>800 (800)</w:t>
            </w:r>
          </w:p>
        </w:tc>
        <w:tc>
          <w:tcPr>
            <w:tcW w:w="947" w:type="pct"/>
            <w:shd w:val="clear" w:color="auto" w:fill="auto"/>
          </w:tcPr>
          <w:p w14:paraId="356C8714" w14:textId="77777777" w:rsidR="00E713CB" w:rsidRDefault="00E713CB">
            <w:pPr>
              <w:pStyle w:val="QPPTableTextBody"/>
            </w:pPr>
            <w:r>
              <w:t>20</w:t>
            </w:r>
          </w:p>
        </w:tc>
        <w:tc>
          <w:tcPr>
            <w:tcW w:w="947" w:type="pct"/>
            <w:shd w:val="clear" w:color="auto" w:fill="auto"/>
          </w:tcPr>
          <w:p w14:paraId="1F86ED8C" w14:textId="77777777" w:rsidR="00E713CB" w:rsidRDefault="00E713CB">
            <w:pPr>
              <w:pStyle w:val="QPPTableTextBody"/>
            </w:pPr>
            <w:r>
              <w:t>7.5</w:t>
            </w:r>
          </w:p>
        </w:tc>
        <w:tc>
          <w:tcPr>
            <w:tcW w:w="1064" w:type="pct"/>
            <w:shd w:val="clear" w:color="auto" w:fill="auto"/>
          </w:tcPr>
          <w:p w14:paraId="1653E130" w14:textId="77777777" w:rsidR="00E713CB" w:rsidRDefault="00E713CB">
            <w:pPr>
              <w:pStyle w:val="QPPTableTextBody"/>
            </w:pPr>
            <w:r>
              <w:t>18x20</w:t>
            </w:r>
          </w:p>
        </w:tc>
      </w:tr>
      <w:tr w:rsidR="00A31981" w14:paraId="22731C15" w14:textId="77777777" w:rsidTr="00A31981">
        <w:tc>
          <w:tcPr>
            <w:tcW w:w="1000" w:type="pct"/>
            <w:shd w:val="clear" w:color="auto" w:fill="auto"/>
          </w:tcPr>
          <w:p w14:paraId="3BD541AD" w14:textId="77777777" w:rsidR="00637F96" w:rsidRDefault="00637F96">
            <w:pPr>
              <w:pStyle w:val="QPPTableTextBody"/>
            </w:pPr>
            <w:r>
              <w:t>High density residential</w:t>
            </w:r>
            <w:r w:rsidR="00DE22A1">
              <w:t xml:space="preserve"> zone</w:t>
            </w:r>
          </w:p>
        </w:tc>
        <w:tc>
          <w:tcPr>
            <w:tcW w:w="1041" w:type="pct"/>
            <w:shd w:val="clear" w:color="auto" w:fill="auto"/>
          </w:tcPr>
          <w:p w14:paraId="7F45663B" w14:textId="77777777" w:rsidR="00637F96" w:rsidRDefault="00637F96">
            <w:pPr>
              <w:pStyle w:val="QPPTableTextBody"/>
            </w:pPr>
            <w:r>
              <w:t>800 (800)</w:t>
            </w:r>
          </w:p>
        </w:tc>
        <w:tc>
          <w:tcPr>
            <w:tcW w:w="947" w:type="pct"/>
            <w:shd w:val="clear" w:color="auto" w:fill="auto"/>
          </w:tcPr>
          <w:p w14:paraId="246FE437" w14:textId="77777777" w:rsidR="00637F96" w:rsidRDefault="00637F96">
            <w:pPr>
              <w:pStyle w:val="QPPTableTextBody"/>
            </w:pPr>
            <w:r>
              <w:t>20</w:t>
            </w:r>
          </w:p>
        </w:tc>
        <w:tc>
          <w:tcPr>
            <w:tcW w:w="947" w:type="pct"/>
            <w:shd w:val="clear" w:color="auto" w:fill="auto"/>
          </w:tcPr>
          <w:p w14:paraId="7392D257" w14:textId="77777777" w:rsidR="00637F96" w:rsidRDefault="00BE5FA1">
            <w:pPr>
              <w:pStyle w:val="QPPTableTextBody"/>
            </w:pPr>
            <w:r>
              <w:t>7.5</w:t>
            </w:r>
          </w:p>
        </w:tc>
        <w:tc>
          <w:tcPr>
            <w:tcW w:w="1064" w:type="pct"/>
            <w:shd w:val="clear" w:color="auto" w:fill="auto"/>
          </w:tcPr>
          <w:p w14:paraId="629C54EE" w14:textId="77777777" w:rsidR="00637F96" w:rsidRDefault="00B42690">
            <w:pPr>
              <w:pStyle w:val="QPPTableTextBody"/>
            </w:pPr>
            <w:r>
              <w:t>18x20</w:t>
            </w:r>
          </w:p>
        </w:tc>
      </w:tr>
      <w:tr w:rsidR="00A31981" w14:paraId="1934908B" w14:textId="77777777" w:rsidTr="00A31981">
        <w:tc>
          <w:tcPr>
            <w:tcW w:w="1000" w:type="pct"/>
            <w:shd w:val="clear" w:color="auto" w:fill="auto"/>
          </w:tcPr>
          <w:p w14:paraId="35092181" w14:textId="77777777" w:rsidR="00637F96" w:rsidRDefault="00DE22A1" w:rsidP="00DE22A1">
            <w:pPr>
              <w:pStyle w:val="QPPTableTextBody"/>
            </w:pPr>
            <w:r>
              <w:t>A zone in the c</w:t>
            </w:r>
            <w:r w:rsidR="00AA27E7">
              <w:t>entre</w:t>
            </w:r>
            <w:r>
              <w:t xml:space="preserve"> zones category</w:t>
            </w:r>
          </w:p>
        </w:tc>
        <w:tc>
          <w:tcPr>
            <w:tcW w:w="1041" w:type="pct"/>
            <w:shd w:val="clear" w:color="auto" w:fill="auto"/>
          </w:tcPr>
          <w:p w14:paraId="3A571D77" w14:textId="77777777" w:rsidR="00637F96" w:rsidRDefault="00637F96">
            <w:pPr>
              <w:pStyle w:val="QPPTableTextBody"/>
            </w:pPr>
            <w:r>
              <w:t>800 (800)</w:t>
            </w:r>
          </w:p>
        </w:tc>
        <w:tc>
          <w:tcPr>
            <w:tcW w:w="947" w:type="pct"/>
            <w:shd w:val="clear" w:color="auto" w:fill="auto"/>
          </w:tcPr>
          <w:p w14:paraId="3B1242A3" w14:textId="77777777" w:rsidR="00637F96" w:rsidRDefault="00637F96">
            <w:pPr>
              <w:pStyle w:val="QPPTableTextBody"/>
            </w:pPr>
            <w:r>
              <w:t>20</w:t>
            </w:r>
          </w:p>
        </w:tc>
        <w:tc>
          <w:tcPr>
            <w:tcW w:w="947" w:type="pct"/>
            <w:shd w:val="clear" w:color="auto" w:fill="auto"/>
          </w:tcPr>
          <w:p w14:paraId="469329FA" w14:textId="77777777" w:rsidR="00637F96" w:rsidRDefault="00BE5FA1">
            <w:pPr>
              <w:pStyle w:val="QPPTableTextBody"/>
            </w:pPr>
            <w:r>
              <w:t>7.5</w:t>
            </w:r>
          </w:p>
        </w:tc>
        <w:tc>
          <w:tcPr>
            <w:tcW w:w="1064" w:type="pct"/>
            <w:shd w:val="clear" w:color="auto" w:fill="auto"/>
          </w:tcPr>
          <w:p w14:paraId="16BE2F98" w14:textId="77777777" w:rsidR="00637F96" w:rsidRDefault="00B42690">
            <w:pPr>
              <w:pStyle w:val="QPPTableTextBody"/>
            </w:pPr>
            <w:r>
              <w:t>18x20</w:t>
            </w:r>
          </w:p>
        </w:tc>
      </w:tr>
      <w:tr w:rsidR="00A31981" w14:paraId="6C30EF48" w14:textId="77777777" w:rsidTr="00A31981">
        <w:tc>
          <w:tcPr>
            <w:tcW w:w="1000" w:type="pct"/>
            <w:shd w:val="clear" w:color="auto" w:fill="auto"/>
          </w:tcPr>
          <w:p w14:paraId="1099F26D" w14:textId="77777777" w:rsidR="00637F96" w:rsidRDefault="00637F96">
            <w:pPr>
              <w:pStyle w:val="QPPTableTextBody"/>
            </w:pPr>
            <w:r>
              <w:t xml:space="preserve">Mixed </w:t>
            </w:r>
            <w:r w:rsidR="00246E0E">
              <w:t>u</w:t>
            </w:r>
            <w:r>
              <w:t>se</w:t>
            </w:r>
            <w:r w:rsidR="00DE22A1">
              <w:t xml:space="preserve"> zone</w:t>
            </w:r>
          </w:p>
        </w:tc>
        <w:tc>
          <w:tcPr>
            <w:tcW w:w="1041" w:type="pct"/>
            <w:shd w:val="clear" w:color="auto" w:fill="auto"/>
          </w:tcPr>
          <w:p w14:paraId="7CF5EF79" w14:textId="77777777" w:rsidR="00637F96" w:rsidRDefault="00637F96">
            <w:pPr>
              <w:pStyle w:val="QPPTableTextBody"/>
            </w:pPr>
            <w:r>
              <w:t>800 (800)</w:t>
            </w:r>
          </w:p>
        </w:tc>
        <w:tc>
          <w:tcPr>
            <w:tcW w:w="947" w:type="pct"/>
            <w:shd w:val="clear" w:color="auto" w:fill="auto"/>
          </w:tcPr>
          <w:p w14:paraId="01F0F7C9" w14:textId="77777777" w:rsidR="00637F96" w:rsidRDefault="00637F96">
            <w:pPr>
              <w:pStyle w:val="QPPTableTextBody"/>
            </w:pPr>
            <w:r>
              <w:t>20</w:t>
            </w:r>
          </w:p>
        </w:tc>
        <w:tc>
          <w:tcPr>
            <w:tcW w:w="947" w:type="pct"/>
            <w:shd w:val="clear" w:color="auto" w:fill="auto"/>
          </w:tcPr>
          <w:p w14:paraId="145E9331" w14:textId="77777777" w:rsidR="00637F96" w:rsidRDefault="00BE5FA1">
            <w:pPr>
              <w:pStyle w:val="QPPTableTextBody"/>
            </w:pPr>
            <w:r>
              <w:t>7.5</w:t>
            </w:r>
          </w:p>
        </w:tc>
        <w:tc>
          <w:tcPr>
            <w:tcW w:w="1064" w:type="pct"/>
            <w:shd w:val="clear" w:color="auto" w:fill="auto"/>
          </w:tcPr>
          <w:p w14:paraId="0B4188FC" w14:textId="77777777" w:rsidR="00637F96" w:rsidRDefault="00B42690">
            <w:pPr>
              <w:pStyle w:val="QPPTableTextBody"/>
            </w:pPr>
            <w:r>
              <w:t>18x20</w:t>
            </w:r>
          </w:p>
        </w:tc>
      </w:tr>
      <w:tr w:rsidR="00A31981" w14:paraId="732368B7" w14:textId="77777777" w:rsidTr="00A31981">
        <w:tc>
          <w:tcPr>
            <w:tcW w:w="1000" w:type="pct"/>
            <w:shd w:val="clear" w:color="auto" w:fill="auto"/>
          </w:tcPr>
          <w:p w14:paraId="2C587ECA" w14:textId="77777777" w:rsidR="00637F96" w:rsidRDefault="00AC2218">
            <w:pPr>
              <w:pStyle w:val="QPPTableTextBody"/>
            </w:pPr>
            <w:r>
              <w:t xml:space="preserve">Extractive industry </w:t>
            </w:r>
            <w:r w:rsidR="00DE22A1">
              <w:t xml:space="preserve">zone </w:t>
            </w:r>
            <w:r>
              <w:t xml:space="preserve">and </w:t>
            </w:r>
            <w:r w:rsidR="002707D0">
              <w:t>General</w:t>
            </w:r>
            <w:r w:rsidR="00637F96">
              <w:t xml:space="preserve"> </w:t>
            </w:r>
            <w:r>
              <w:t>i</w:t>
            </w:r>
            <w:r w:rsidR="00637F96">
              <w:t>ndustry</w:t>
            </w:r>
            <w:r w:rsidR="002707D0">
              <w:t xml:space="preserve"> C</w:t>
            </w:r>
            <w:r w:rsidR="00DE22A1">
              <w:t xml:space="preserve"> zone precinct of the Industry zone</w:t>
            </w:r>
          </w:p>
        </w:tc>
        <w:tc>
          <w:tcPr>
            <w:tcW w:w="1041" w:type="pct"/>
            <w:shd w:val="clear" w:color="auto" w:fill="auto"/>
          </w:tcPr>
          <w:p w14:paraId="5A04D8EF" w14:textId="77777777" w:rsidR="00637F96" w:rsidRDefault="00B42690">
            <w:pPr>
              <w:pStyle w:val="QPPTableTextBody"/>
            </w:pPr>
            <w:r>
              <w:t>100,000 (100,000)</w:t>
            </w:r>
          </w:p>
        </w:tc>
        <w:tc>
          <w:tcPr>
            <w:tcW w:w="947" w:type="pct"/>
            <w:shd w:val="clear" w:color="auto" w:fill="auto"/>
          </w:tcPr>
          <w:p w14:paraId="07032298" w14:textId="77777777" w:rsidR="00637F96" w:rsidRDefault="00EE3DEB">
            <w:pPr>
              <w:pStyle w:val="QPPTableTextBody"/>
            </w:pPr>
            <w:r>
              <w:t>200</w:t>
            </w:r>
          </w:p>
        </w:tc>
        <w:tc>
          <w:tcPr>
            <w:tcW w:w="947" w:type="pct"/>
            <w:shd w:val="clear" w:color="auto" w:fill="auto"/>
          </w:tcPr>
          <w:p w14:paraId="1E52C590" w14:textId="77777777" w:rsidR="00637F96" w:rsidRDefault="00EE3DEB">
            <w:pPr>
              <w:pStyle w:val="QPPTableTextBody"/>
            </w:pPr>
            <w:r>
              <w:t>15</w:t>
            </w:r>
          </w:p>
        </w:tc>
        <w:tc>
          <w:tcPr>
            <w:tcW w:w="1064" w:type="pct"/>
            <w:shd w:val="clear" w:color="auto" w:fill="auto"/>
          </w:tcPr>
          <w:p w14:paraId="6871DC75" w14:textId="77777777" w:rsidR="00637F96" w:rsidRDefault="00EE3DEB">
            <w:pPr>
              <w:pStyle w:val="QPPTableTextBody"/>
            </w:pPr>
            <w:r>
              <w:t>80x100</w:t>
            </w:r>
          </w:p>
        </w:tc>
      </w:tr>
      <w:tr w:rsidR="00A31981" w14:paraId="376F13F2" w14:textId="77777777" w:rsidTr="00A31981">
        <w:tc>
          <w:tcPr>
            <w:tcW w:w="1000" w:type="pct"/>
            <w:shd w:val="clear" w:color="auto" w:fill="auto"/>
          </w:tcPr>
          <w:p w14:paraId="30752A1F" w14:textId="77777777" w:rsidR="00637F96" w:rsidRDefault="002707D0">
            <w:pPr>
              <w:pStyle w:val="QPPTableTextBody"/>
            </w:pPr>
            <w:r>
              <w:t>General</w:t>
            </w:r>
            <w:r w:rsidR="00637F96">
              <w:t xml:space="preserve"> </w:t>
            </w:r>
            <w:r w:rsidR="00AC2218">
              <w:t>i</w:t>
            </w:r>
            <w:r w:rsidR="00637F96">
              <w:t>ndustry</w:t>
            </w:r>
            <w:r>
              <w:t xml:space="preserve"> B</w:t>
            </w:r>
            <w:r w:rsidR="00DE22A1">
              <w:t xml:space="preserve"> zone precinct of the Industry zone</w:t>
            </w:r>
          </w:p>
        </w:tc>
        <w:tc>
          <w:tcPr>
            <w:tcW w:w="1041" w:type="pct"/>
            <w:shd w:val="clear" w:color="auto" w:fill="auto"/>
          </w:tcPr>
          <w:p w14:paraId="19DDA1A2" w14:textId="77777777" w:rsidR="00637F96" w:rsidRDefault="00BE5FA1">
            <w:pPr>
              <w:pStyle w:val="QPPTableTextBody"/>
            </w:pPr>
            <w:r>
              <w:t>2,000 (2,000)</w:t>
            </w:r>
          </w:p>
        </w:tc>
        <w:tc>
          <w:tcPr>
            <w:tcW w:w="947" w:type="pct"/>
            <w:shd w:val="clear" w:color="auto" w:fill="auto"/>
          </w:tcPr>
          <w:p w14:paraId="668E8A6F" w14:textId="77777777" w:rsidR="00637F96" w:rsidRPr="008F03E5" w:rsidRDefault="00EE3DEB">
            <w:pPr>
              <w:pStyle w:val="QPPTableTextBody"/>
            </w:pPr>
            <w:r w:rsidRPr="008F03E5">
              <w:t>25</w:t>
            </w:r>
            <w:r w:rsidR="000D4680" w:rsidRPr="008F03E5">
              <w:t xml:space="preserve"> (40)</w:t>
            </w:r>
            <w:r w:rsidR="004852FA" w:rsidRPr="00B47AA3">
              <w:rPr>
                <w:rStyle w:val="QPPSuperscriptChar"/>
              </w:rPr>
              <w:t>(</w:t>
            </w:r>
            <w:r w:rsidR="000D4680" w:rsidRPr="00B47AA3">
              <w:rPr>
                <w:rStyle w:val="QPPSuperscriptChar"/>
              </w:rPr>
              <w:t>2</w:t>
            </w:r>
            <w:r w:rsidR="004852FA" w:rsidRPr="00B47AA3">
              <w:rPr>
                <w:rStyle w:val="QPPSuperscriptChar"/>
              </w:rPr>
              <w:t>)</w:t>
            </w:r>
          </w:p>
        </w:tc>
        <w:tc>
          <w:tcPr>
            <w:tcW w:w="947" w:type="pct"/>
            <w:shd w:val="clear" w:color="auto" w:fill="auto"/>
          </w:tcPr>
          <w:p w14:paraId="0561A237" w14:textId="77777777" w:rsidR="00637F96" w:rsidRDefault="00EE3DEB">
            <w:pPr>
              <w:pStyle w:val="QPPTableTextBody"/>
            </w:pPr>
            <w:r>
              <w:t>7.5</w:t>
            </w:r>
          </w:p>
        </w:tc>
        <w:tc>
          <w:tcPr>
            <w:tcW w:w="1064" w:type="pct"/>
            <w:shd w:val="clear" w:color="auto" w:fill="auto"/>
          </w:tcPr>
          <w:p w14:paraId="0D98BBF3" w14:textId="77777777" w:rsidR="00637F96" w:rsidRDefault="00EE3DEB">
            <w:pPr>
              <w:pStyle w:val="QPPTableTextBody"/>
            </w:pPr>
            <w:r>
              <w:t>20x40</w:t>
            </w:r>
          </w:p>
        </w:tc>
      </w:tr>
      <w:tr w:rsidR="002707D0" w14:paraId="641805CA" w14:textId="77777777" w:rsidTr="00A31981">
        <w:tc>
          <w:tcPr>
            <w:tcW w:w="1000" w:type="pct"/>
            <w:shd w:val="clear" w:color="auto" w:fill="auto"/>
          </w:tcPr>
          <w:p w14:paraId="3B5D0D5F" w14:textId="77777777" w:rsidR="002707D0" w:rsidDel="002707D0" w:rsidRDefault="002707D0">
            <w:pPr>
              <w:pStyle w:val="QPPTableTextBody"/>
            </w:pPr>
            <w:r>
              <w:t>General industry A</w:t>
            </w:r>
            <w:r w:rsidR="00DE22A1">
              <w:t xml:space="preserve"> zone precinct of the Industry zone</w:t>
            </w:r>
          </w:p>
        </w:tc>
        <w:tc>
          <w:tcPr>
            <w:tcW w:w="1041" w:type="pct"/>
            <w:shd w:val="clear" w:color="auto" w:fill="auto"/>
          </w:tcPr>
          <w:p w14:paraId="7BD6C2E9" w14:textId="77777777" w:rsidR="002707D0" w:rsidRDefault="002707D0">
            <w:pPr>
              <w:pStyle w:val="QPPTableTextBody"/>
            </w:pPr>
            <w:r>
              <w:t>1,000 (1,000)</w:t>
            </w:r>
          </w:p>
        </w:tc>
        <w:tc>
          <w:tcPr>
            <w:tcW w:w="947" w:type="pct"/>
            <w:shd w:val="clear" w:color="auto" w:fill="auto"/>
          </w:tcPr>
          <w:p w14:paraId="790056D5" w14:textId="77777777" w:rsidR="002707D0" w:rsidRPr="008F03E5" w:rsidRDefault="002707D0">
            <w:pPr>
              <w:pStyle w:val="QPPTableTextBody"/>
            </w:pPr>
            <w:r w:rsidRPr="008F03E5">
              <w:t>25 (25)</w:t>
            </w:r>
            <w:r w:rsidRPr="00E53947">
              <w:rPr>
                <w:rStyle w:val="QPPSuperscriptChar"/>
              </w:rPr>
              <w:t>(2)</w:t>
            </w:r>
          </w:p>
        </w:tc>
        <w:tc>
          <w:tcPr>
            <w:tcW w:w="947" w:type="pct"/>
            <w:shd w:val="clear" w:color="auto" w:fill="auto"/>
          </w:tcPr>
          <w:p w14:paraId="1D1022B1" w14:textId="77777777" w:rsidR="002707D0" w:rsidRDefault="002707D0">
            <w:pPr>
              <w:pStyle w:val="QPPTableTextBody"/>
            </w:pPr>
            <w:r>
              <w:t>7.5</w:t>
            </w:r>
          </w:p>
        </w:tc>
        <w:tc>
          <w:tcPr>
            <w:tcW w:w="1064" w:type="pct"/>
            <w:shd w:val="clear" w:color="auto" w:fill="auto"/>
          </w:tcPr>
          <w:p w14:paraId="0F0F96C7" w14:textId="77777777" w:rsidR="002707D0" w:rsidRDefault="002707D0">
            <w:pPr>
              <w:pStyle w:val="QPPTableTextBody"/>
            </w:pPr>
            <w:r>
              <w:t>18x30</w:t>
            </w:r>
          </w:p>
        </w:tc>
      </w:tr>
      <w:tr w:rsidR="00A31981" w14:paraId="500B248B" w14:textId="77777777" w:rsidTr="00A31981">
        <w:tc>
          <w:tcPr>
            <w:tcW w:w="1000" w:type="pct"/>
            <w:shd w:val="clear" w:color="auto" w:fill="auto"/>
          </w:tcPr>
          <w:p w14:paraId="08A30AC0" w14:textId="77777777" w:rsidR="00637F96" w:rsidRDefault="00637F96">
            <w:pPr>
              <w:pStyle w:val="QPPTableTextBody"/>
            </w:pPr>
            <w:r>
              <w:t xml:space="preserve">Low </w:t>
            </w:r>
            <w:r w:rsidR="00AC2218">
              <w:t>i</w:t>
            </w:r>
            <w:r>
              <w:t xml:space="preserve">mpact </w:t>
            </w:r>
            <w:r w:rsidR="00AC2218">
              <w:t>i</w:t>
            </w:r>
            <w:r>
              <w:t>ndustry</w:t>
            </w:r>
            <w:r w:rsidR="00DE22A1">
              <w:t xml:space="preserve"> zone</w:t>
            </w:r>
          </w:p>
        </w:tc>
        <w:tc>
          <w:tcPr>
            <w:tcW w:w="1041" w:type="pct"/>
            <w:shd w:val="clear" w:color="auto" w:fill="auto"/>
          </w:tcPr>
          <w:p w14:paraId="71E01E98" w14:textId="77777777" w:rsidR="00637F96" w:rsidRDefault="00BE5FA1">
            <w:pPr>
              <w:pStyle w:val="QPPTableTextBody"/>
            </w:pPr>
            <w:r>
              <w:t>1,000 (1,000)</w:t>
            </w:r>
          </w:p>
        </w:tc>
        <w:tc>
          <w:tcPr>
            <w:tcW w:w="947" w:type="pct"/>
            <w:shd w:val="clear" w:color="auto" w:fill="auto"/>
          </w:tcPr>
          <w:p w14:paraId="3E02ABEC" w14:textId="77777777" w:rsidR="00637F96" w:rsidRPr="008F03E5" w:rsidRDefault="00EE3DEB">
            <w:pPr>
              <w:pStyle w:val="QPPTableTextBody"/>
            </w:pPr>
            <w:r w:rsidRPr="008F03E5">
              <w:t>25</w:t>
            </w:r>
            <w:r w:rsidR="000D4680" w:rsidRPr="008F03E5">
              <w:t xml:space="preserve"> (25)</w:t>
            </w:r>
            <w:r w:rsidR="004852FA" w:rsidRPr="00B47AA3">
              <w:rPr>
                <w:rStyle w:val="QPPSuperscriptChar"/>
              </w:rPr>
              <w:t>(</w:t>
            </w:r>
            <w:r w:rsidR="000D4680" w:rsidRPr="00B47AA3">
              <w:rPr>
                <w:rStyle w:val="QPPSuperscriptChar"/>
              </w:rPr>
              <w:t>2</w:t>
            </w:r>
            <w:r w:rsidR="004852FA" w:rsidRPr="00B47AA3">
              <w:rPr>
                <w:rStyle w:val="QPPSuperscriptChar"/>
              </w:rPr>
              <w:t>)</w:t>
            </w:r>
          </w:p>
        </w:tc>
        <w:tc>
          <w:tcPr>
            <w:tcW w:w="947" w:type="pct"/>
            <w:shd w:val="clear" w:color="auto" w:fill="auto"/>
          </w:tcPr>
          <w:p w14:paraId="078A5C92" w14:textId="77777777" w:rsidR="00637F96" w:rsidRDefault="00EE3DEB">
            <w:pPr>
              <w:pStyle w:val="QPPTableTextBody"/>
            </w:pPr>
            <w:r>
              <w:t>7.5</w:t>
            </w:r>
          </w:p>
        </w:tc>
        <w:tc>
          <w:tcPr>
            <w:tcW w:w="1064" w:type="pct"/>
            <w:shd w:val="clear" w:color="auto" w:fill="auto"/>
          </w:tcPr>
          <w:p w14:paraId="620E0CBA" w14:textId="77777777" w:rsidR="00637F96" w:rsidRDefault="00EE3DEB">
            <w:pPr>
              <w:pStyle w:val="QPPTableTextBody"/>
            </w:pPr>
            <w:r>
              <w:t>18x30</w:t>
            </w:r>
          </w:p>
        </w:tc>
      </w:tr>
      <w:tr w:rsidR="00A31981" w14:paraId="683A0EB3" w14:textId="77777777" w:rsidTr="00A31981">
        <w:tc>
          <w:tcPr>
            <w:tcW w:w="1000" w:type="pct"/>
            <w:shd w:val="clear" w:color="auto" w:fill="auto"/>
          </w:tcPr>
          <w:p w14:paraId="5685D4B1" w14:textId="77777777" w:rsidR="00637F96" w:rsidRDefault="00AC2218">
            <w:pPr>
              <w:pStyle w:val="QPPTableTextBody"/>
            </w:pPr>
            <w:r>
              <w:t>Industry i</w:t>
            </w:r>
            <w:r w:rsidR="00637F96">
              <w:t>nvestigation</w:t>
            </w:r>
            <w:r w:rsidR="00DE22A1">
              <w:t xml:space="preserve"> zone</w:t>
            </w:r>
          </w:p>
        </w:tc>
        <w:tc>
          <w:tcPr>
            <w:tcW w:w="1041" w:type="pct"/>
            <w:shd w:val="clear" w:color="auto" w:fill="auto"/>
          </w:tcPr>
          <w:p w14:paraId="673D6F3A" w14:textId="77777777" w:rsidR="00637F96" w:rsidRDefault="00BE5FA1">
            <w:pPr>
              <w:pStyle w:val="QPPTableTextBody"/>
            </w:pPr>
            <w:r>
              <w:t>100,000 (4</w:t>
            </w:r>
            <w:r w:rsidR="00B42690">
              <w:t>0</w:t>
            </w:r>
            <w:r>
              <w:t>,000)</w:t>
            </w:r>
          </w:p>
        </w:tc>
        <w:tc>
          <w:tcPr>
            <w:tcW w:w="947" w:type="pct"/>
            <w:shd w:val="clear" w:color="auto" w:fill="auto"/>
          </w:tcPr>
          <w:p w14:paraId="3AE0F79C" w14:textId="77777777" w:rsidR="00637F96" w:rsidRDefault="00EE3DEB">
            <w:pPr>
              <w:pStyle w:val="QPPTableTextBody"/>
            </w:pPr>
            <w:r>
              <w:t>100</w:t>
            </w:r>
          </w:p>
        </w:tc>
        <w:tc>
          <w:tcPr>
            <w:tcW w:w="947" w:type="pct"/>
            <w:shd w:val="clear" w:color="auto" w:fill="auto"/>
          </w:tcPr>
          <w:p w14:paraId="6387F8F5" w14:textId="77777777" w:rsidR="00637F96" w:rsidRDefault="00B42690">
            <w:pPr>
              <w:pStyle w:val="QPPTableTextBody"/>
            </w:pPr>
            <w:r>
              <w:t>15</w:t>
            </w:r>
          </w:p>
        </w:tc>
        <w:tc>
          <w:tcPr>
            <w:tcW w:w="1064" w:type="pct"/>
            <w:shd w:val="clear" w:color="auto" w:fill="auto"/>
          </w:tcPr>
          <w:p w14:paraId="7266AE4F" w14:textId="77777777" w:rsidR="00637F96" w:rsidRDefault="00EE3DEB">
            <w:pPr>
              <w:pStyle w:val="QPPTableTextBody"/>
            </w:pPr>
            <w:r>
              <w:t>80x100</w:t>
            </w:r>
          </w:p>
        </w:tc>
      </w:tr>
      <w:tr w:rsidR="00A31981" w14:paraId="200FED94" w14:textId="77777777" w:rsidTr="00A31981">
        <w:tc>
          <w:tcPr>
            <w:tcW w:w="1000" w:type="pct"/>
            <w:shd w:val="clear" w:color="auto" w:fill="auto"/>
          </w:tcPr>
          <w:p w14:paraId="1652C890" w14:textId="77777777" w:rsidR="00637F96" w:rsidRDefault="00AC2218">
            <w:pPr>
              <w:pStyle w:val="QPPTableTextBody"/>
            </w:pPr>
            <w:r>
              <w:t>Special i</w:t>
            </w:r>
            <w:r w:rsidR="00637F96">
              <w:t>ndustry</w:t>
            </w:r>
            <w:r w:rsidR="00DE22A1">
              <w:t xml:space="preserve"> zone</w:t>
            </w:r>
          </w:p>
        </w:tc>
        <w:tc>
          <w:tcPr>
            <w:tcW w:w="1041" w:type="pct"/>
            <w:shd w:val="clear" w:color="auto" w:fill="auto"/>
          </w:tcPr>
          <w:p w14:paraId="00E5067F" w14:textId="77777777" w:rsidR="00637F96" w:rsidRDefault="00EE3DEB">
            <w:pPr>
              <w:pStyle w:val="QPPTableTextBody"/>
            </w:pPr>
            <w:r>
              <w:t>100,000 (100,000)</w:t>
            </w:r>
          </w:p>
        </w:tc>
        <w:tc>
          <w:tcPr>
            <w:tcW w:w="947" w:type="pct"/>
            <w:shd w:val="clear" w:color="auto" w:fill="auto"/>
          </w:tcPr>
          <w:p w14:paraId="6D36E2DE" w14:textId="77777777" w:rsidR="00637F96" w:rsidRDefault="00EE3DEB">
            <w:pPr>
              <w:pStyle w:val="QPPTableTextBody"/>
            </w:pPr>
            <w:r>
              <w:t>100</w:t>
            </w:r>
          </w:p>
        </w:tc>
        <w:tc>
          <w:tcPr>
            <w:tcW w:w="947" w:type="pct"/>
            <w:shd w:val="clear" w:color="auto" w:fill="auto"/>
          </w:tcPr>
          <w:p w14:paraId="6DAA4958" w14:textId="77777777" w:rsidR="00637F96" w:rsidRDefault="00EE3DEB">
            <w:pPr>
              <w:pStyle w:val="QPPTableTextBody"/>
            </w:pPr>
            <w:r>
              <w:t>15</w:t>
            </w:r>
          </w:p>
        </w:tc>
        <w:tc>
          <w:tcPr>
            <w:tcW w:w="1064" w:type="pct"/>
            <w:shd w:val="clear" w:color="auto" w:fill="auto"/>
          </w:tcPr>
          <w:p w14:paraId="38CCB386" w14:textId="77777777" w:rsidR="00637F96" w:rsidRDefault="00EE3DEB">
            <w:pPr>
              <w:pStyle w:val="QPPTableTextBody"/>
            </w:pPr>
            <w:r>
              <w:t>80x100</w:t>
            </w:r>
          </w:p>
        </w:tc>
      </w:tr>
      <w:tr w:rsidR="00A31981" w14:paraId="585F81DC" w14:textId="77777777" w:rsidTr="00A31981">
        <w:tc>
          <w:tcPr>
            <w:tcW w:w="1000" w:type="pct"/>
            <w:shd w:val="clear" w:color="auto" w:fill="auto"/>
          </w:tcPr>
          <w:p w14:paraId="1E1A0EB3" w14:textId="47B57E9B" w:rsidR="00637F96" w:rsidRDefault="00637F96" w:rsidP="002018FB">
            <w:pPr>
              <w:pStyle w:val="QPPTableTextBody"/>
            </w:pPr>
            <w:r w:rsidRPr="00377C2B">
              <w:t>Emerging</w:t>
            </w:r>
            <w:r>
              <w:t xml:space="preserve"> </w:t>
            </w:r>
            <w:r w:rsidR="00AC2218">
              <w:t>c</w:t>
            </w:r>
            <w:r w:rsidRPr="00377C2B">
              <w:t>ommunity</w:t>
            </w:r>
            <w:r w:rsidR="00DE22A1">
              <w:t xml:space="preserve"> zone</w:t>
            </w:r>
            <w:r w:rsidRPr="00377C2B">
              <w:t xml:space="preserve"> where</w:t>
            </w:r>
            <w:r>
              <w:t xml:space="preserve"> </w:t>
            </w:r>
            <w:r w:rsidRPr="00377C2B">
              <w:t>no</w:t>
            </w:r>
            <w:r w:rsidR="00863418">
              <w:t xml:space="preserve">t </w:t>
            </w:r>
            <w:r w:rsidR="00BA3C79">
              <w:t xml:space="preserve">in </w:t>
            </w:r>
            <w:r w:rsidR="00863418">
              <w:t xml:space="preserve">accordance with a </w:t>
            </w:r>
            <w:r w:rsidR="00BA3C79">
              <w:t>current</w:t>
            </w:r>
            <w:r w:rsidRPr="00377C2B">
              <w:t xml:space="preserve"> </w:t>
            </w:r>
            <w:r w:rsidR="00863418">
              <w:t>p</w:t>
            </w:r>
            <w:r>
              <w:t xml:space="preserve">reliminary </w:t>
            </w:r>
            <w:r w:rsidR="00863418">
              <w:t>a</w:t>
            </w:r>
            <w:r>
              <w:t>ppr</w:t>
            </w:r>
            <w:r w:rsidR="00AC2218">
              <w:t xml:space="preserve">oval or development </w:t>
            </w:r>
            <w:r w:rsidR="002018FB">
              <w:t xml:space="preserve">approval </w:t>
            </w:r>
            <w:r w:rsidR="00AC2218">
              <w:t>for m</w:t>
            </w:r>
            <w:r>
              <w:t>aterial change of use</w:t>
            </w:r>
            <w:r w:rsidR="00BA3C79">
              <w:t xml:space="preserve"> for </w:t>
            </w:r>
            <w:r w:rsidR="00BA3C79" w:rsidRPr="00AB035A">
              <w:t>dwelling houses</w:t>
            </w:r>
          </w:p>
        </w:tc>
        <w:tc>
          <w:tcPr>
            <w:tcW w:w="1041" w:type="pct"/>
            <w:shd w:val="clear" w:color="auto" w:fill="auto"/>
          </w:tcPr>
          <w:p w14:paraId="68B2AAE3" w14:textId="77777777" w:rsidR="00637F96" w:rsidRDefault="00637F96">
            <w:pPr>
              <w:pStyle w:val="QPPTableTextBody"/>
            </w:pPr>
            <w:r>
              <w:t>100,000 (100,000)</w:t>
            </w:r>
          </w:p>
        </w:tc>
        <w:tc>
          <w:tcPr>
            <w:tcW w:w="947" w:type="pct"/>
            <w:shd w:val="clear" w:color="auto" w:fill="auto"/>
          </w:tcPr>
          <w:p w14:paraId="2952B9B5" w14:textId="77777777" w:rsidR="00637F96" w:rsidRDefault="00637F96">
            <w:pPr>
              <w:pStyle w:val="QPPTableTextBody"/>
            </w:pPr>
            <w:r>
              <w:t>Not applicable</w:t>
            </w:r>
          </w:p>
        </w:tc>
        <w:tc>
          <w:tcPr>
            <w:tcW w:w="947" w:type="pct"/>
            <w:shd w:val="clear" w:color="auto" w:fill="auto"/>
          </w:tcPr>
          <w:p w14:paraId="65AB162A" w14:textId="77777777" w:rsidR="00637F96" w:rsidRDefault="00637F96">
            <w:pPr>
              <w:pStyle w:val="QPPTableTextBody"/>
            </w:pPr>
            <w:r>
              <w:t>15</w:t>
            </w:r>
          </w:p>
        </w:tc>
        <w:tc>
          <w:tcPr>
            <w:tcW w:w="1064" w:type="pct"/>
            <w:shd w:val="clear" w:color="auto" w:fill="auto"/>
          </w:tcPr>
          <w:p w14:paraId="6F7E390C" w14:textId="77777777" w:rsidR="00637F96" w:rsidRDefault="00BA3C79">
            <w:pPr>
              <w:pStyle w:val="QPPTableTextBody"/>
            </w:pPr>
            <w:r>
              <w:t>Not applicable</w:t>
            </w:r>
          </w:p>
        </w:tc>
      </w:tr>
      <w:tr w:rsidR="00A31981" w14:paraId="193B5CBA" w14:textId="77777777" w:rsidTr="00A31981">
        <w:tc>
          <w:tcPr>
            <w:tcW w:w="1000" w:type="pct"/>
            <w:shd w:val="clear" w:color="auto" w:fill="auto"/>
          </w:tcPr>
          <w:p w14:paraId="6305C28A" w14:textId="77777777" w:rsidR="00637F96" w:rsidRDefault="00637F96">
            <w:pPr>
              <w:pStyle w:val="QPPTableTextBody"/>
            </w:pPr>
            <w:r>
              <w:t>Other zones</w:t>
            </w:r>
          </w:p>
        </w:tc>
        <w:tc>
          <w:tcPr>
            <w:tcW w:w="1041" w:type="pct"/>
            <w:shd w:val="clear" w:color="auto" w:fill="auto"/>
          </w:tcPr>
          <w:p w14:paraId="6F051E5E" w14:textId="77777777" w:rsidR="00637F96" w:rsidRDefault="00637F96">
            <w:pPr>
              <w:pStyle w:val="QPPTableTextBody"/>
            </w:pPr>
            <w:r>
              <w:t>Use/activity specific</w:t>
            </w:r>
          </w:p>
        </w:tc>
        <w:tc>
          <w:tcPr>
            <w:tcW w:w="947" w:type="pct"/>
            <w:shd w:val="clear" w:color="auto" w:fill="auto"/>
          </w:tcPr>
          <w:p w14:paraId="326AEE1E" w14:textId="77777777" w:rsidR="00637F96" w:rsidRDefault="00637F96">
            <w:pPr>
              <w:pStyle w:val="QPPTableTextBody"/>
            </w:pPr>
            <w:r>
              <w:t>Use/activity specific</w:t>
            </w:r>
          </w:p>
        </w:tc>
        <w:tc>
          <w:tcPr>
            <w:tcW w:w="947" w:type="pct"/>
            <w:shd w:val="clear" w:color="auto" w:fill="auto"/>
          </w:tcPr>
          <w:p w14:paraId="4B3DB303" w14:textId="77777777" w:rsidR="00637F96" w:rsidRDefault="00637F96">
            <w:pPr>
              <w:pStyle w:val="QPPTableTextBody"/>
            </w:pPr>
            <w:r>
              <w:t>Use/activity specific</w:t>
            </w:r>
          </w:p>
        </w:tc>
        <w:tc>
          <w:tcPr>
            <w:tcW w:w="1064" w:type="pct"/>
            <w:shd w:val="clear" w:color="auto" w:fill="auto"/>
          </w:tcPr>
          <w:p w14:paraId="19096A2F" w14:textId="77777777" w:rsidR="00637F96" w:rsidRDefault="00637F96">
            <w:pPr>
              <w:pStyle w:val="QPPTableTextBody"/>
            </w:pPr>
            <w:r>
              <w:t>Use/activity specific</w:t>
            </w:r>
          </w:p>
        </w:tc>
      </w:tr>
      <w:tr w:rsidR="00A31981" w14:paraId="72CA2017" w14:textId="77777777" w:rsidTr="00A31981">
        <w:tc>
          <w:tcPr>
            <w:tcW w:w="1000" w:type="pct"/>
            <w:shd w:val="clear" w:color="auto" w:fill="auto"/>
          </w:tcPr>
          <w:p w14:paraId="15610245" w14:textId="1DFF68C0" w:rsidR="00637F96" w:rsidRDefault="00637F96">
            <w:pPr>
              <w:pStyle w:val="QPPTableTextBody"/>
            </w:pPr>
            <w:r w:rsidRPr="00377C2B">
              <w:t xml:space="preserve">Within the </w:t>
            </w:r>
            <w:r w:rsidR="00246E0E" w:rsidRPr="00AB035A">
              <w:t>South East Queensland Regional Plan</w:t>
            </w:r>
            <w:r>
              <w:t xml:space="preserve"> </w:t>
            </w:r>
            <w:r w:rsidRPr="00377C2B">
              <w:t>Urban Footprint</w:t>
            </w:r>
            <w:r w:rsidRPr="0059652C">
              <w:t xml:space="preserve"> </w:t>
            </w:r>
            <w:r>
              <w:t>other than the above zones</w:t>
            </w:r>
          </w:p>
        </w:tc>
        <w:tc>
          <w:tcPr>
            <w:tcW w:w="1041" w:type="pct"/>
            <w:shd w:val="clear" w:color="auto" w:fill="auto"/>
          </w:tcPr>
          <w:p w14:paraId="45A0DB78" w14:textId="77777777" w:rsidR="00637F96" w:rsidRDefault="00637F96">
            <w:pPr>
              <w:pStyle w:val="QPPTableTextBody"/>
            </w:pPr>
            <w:r>
              <w:t>100,000 (100,000)</w:t>
            </w:r>
          </w:p>
        </w:tc>
        <w:tc>
          <w:tcPr>
            <w:tcW w:w="947" w:type="pct"/>
            <w:shd w:val="clear" w:color="auto" w:fill="auto"/>
          </w:tcPr>
          <w:p w14:paraId="47107298" w14:textId="77777777" w:rsidR="00637F96" w:rsidRDefault="00637F96">
            <w:pPr>
              <w:pStyle w:val="QPPTableTextBody"/>
            </w:pPr>
            <w:r>
              <w:t>Not applicable</w:t>
            </w:r>
          </w:p>
        </w:tc>
        <w:tc>
          <w:tcPr>
            <w:tcW w:w="947" w:type="pct"/>
            <w:shd w:val="clear" w:color="auto" w:fill="auto"/>
          </w:tcPr>
          <w:p w14:paraId="5D090F8D" w14:textId="77777777" w:rsidR="00637F96" w:rsidRDefault="00637F96">
            <w:pPr>
              <w:pStyle w:val="QPPTableTextBody"/>
            </w:pPr>
            <w:r>
              <w:t>10</w:t>
            </w:r>
          </w:p>
        </w:tc>
        <w:tc>
          <w:tcPr>
            <w:tcW w:w="1064" w:type="pct"/>
            <w:shd w:val="clear" w:color="auto" w:fill="auto"/>
          </w:tcPr>
          <w:p w14:paraId="3FA6885D" w14:textId="77777777" w:rsidR="00637F96" w:rsidRDefault="00637F96">
            <w:pPr>
              <w:pStyle w:val="QPPTableTextBody"/>
            </w:pPr>
            <w:r>
              <w:t>50x80</w:t>
            </w:r>
          </w:p>
        </w:tc>
      </w:tr>
      <w:tr w:rsidR="00A31981" w14:paraId="710F1C98" w14:textId="77777777" w:rsidTr="00A31981">
        <w:tc>
          <w:tcPr>
            <w:tcW w:w="1000" w:type="pct"/>
            <w:shd w:val="clear" w:color="auto" w:fill="auto"/>
          </w:tcPr>
          <w:p w14:paraId="4F3DF70F" w14:textId="56648021" w:rsidR="00637F96" w:rsidRDefault="00637F96">
            <w:pPr>
              <w:pStyle w:val="QPPTableTextBody"/>
            </w:pPr>
            <w:r w:rsidRPr="00377C2B">
              <w:t xml:space="preserve">Within the </w:t>
            </w:r>
            <w:r w:rsidRPr="00AB035A">
              <w:t>South</w:t>
            </w:r>
            <w:r w:rsidR="00AC2218" w:rsidRPr="00AB035A">
              <w:t xml:space="preserve"> E</w:t>
            </w:r>
            <w:r w:rsidRPr="00AB035A">
              <w:t>ast Queensland Regional Plan</w:t>
            </w:r>
            <w:r>
              <w:t xml:space="preserve"> </w:t>
            </w:r>
            <w:r w:rsidRPr="00377C2B">
              <w:t>Regional Landscape</w:t>
            </w:r>
            <w:r>
              <w:t xml:space="preserve"> </w:t>
            </w:r>
            <w:r w:rsidRPr="00377C2B">
              <w:t>and Rural Production Area</w:t>
            </w:r>
            <w:r w:rsidR="004852FA" w:rsidRPr="00827E6B">
              <w:rPr>
                <w:rStyle w:val="QPPSuperscriptChar"/>
              </w:rPr>
              <w:t>(</w:t>
            </w:r>
            <w:r w:rsidRPr="00827E6B">
              <w:rPr>
                <w:rStyle w:val="QPPSuperscriptChar"/>
              </w:rPr>
              <w:t>3</w:t>
            </w:r>
            <w:r w:rsidR="004852FA" w:rsidRPr="00827E6B">
              <w:rPr>
                <w:rStyle w:val="QPPSuperscriptChar"/>
              </w:rPr>
              <w:t>)</w:t>
            </w:r>
          </w:p>
        </w:tc>
        <w:tc>
          <w:tcPr>
            <w:tcW w:w="1041" w:type="pct"/>
            <w:shd w:val="clear" w:color="auto" w:fill="auto"/>
          </w:tcPr>
          <w:p w14:paraId="173BD916" w14:textId="77777777" w:rsidR="00637F96" w:rsidRDefault="00637F96">
            <w:pPr>
              <w:pStyle w:val="QPPTableTextBody"/>
            </w:pPr>
            <w:r>
              <w:t>1,000,000 (1,000,000)</w:t>
            </w:r>
          </w:p>
        </w:tc>
        <w:tc>
          <w:tcPr>
            <w:tcW w:w="947" w:type="pct"/>
            <w:shd w:val="clear" w:color="auto" w:fill="auto"/>
          </w:tcPr>
          <w:p w14:paraId="6E03E446" w14:textId="77777777" w:rsidR="00637F96" w:rsidRDefault="00637F96">
            <w:pPr>
              <w:pStyle w:val="QPPTableTextBody"/>
            </w:pPr>
            <w:r>
              <w:t>Not applicable</w:t>
            </w:r>
          </w:p>
        </w:tc>
        <w:tc>
          <w:tcPr>
            <w:tcW w:w="947" w:type="pct"/>
            <w:shd w:val="clear" w:color="auto" w:fill="auto"/>
          </w:tcPr>
          <w:p w14:paraId="265955FB" w14:textId="77777777" w:rsidR="00637F96" w:rsidRDefault="00637F96">
            <w:pPr>
              <w:pStyle w:val="QPPTableTextBody"/>
            </w:pPr>
            <w:r>
              <w:t>10</w:t>
            </w:r>
          </w:p>
        </w:tc>
        <w:tc>
          <w:tcPr>
            <w:tcW w:w="1064" w:type="pct"/>
            <w:shd w:val="clear" w:color="auto" w:fill="auto"/>
          </w:tcPr>
          <w:p w14:paraId="4C443E19" w14:textId="77777777" w:rsidR="00637F96" w:rsidRDefault="00637F96">
            <w:pPr>
              <w:pStyle w:val="QPPTableTextBody"/>
            </w:pPr>
            <w:r>
              <w:t>50x80</w:t>
            </w:r>
          </w:p>
        </w:tc>
      </w:tr>
    </w:tbl>
    <w:p w14:paraId="6BC8F96A" w14:textId="77777777" w:rsidR="00E50479" w:rsidRPr="00ED36C3" w:rsidRDefault="00E50479" w:rsidP="00ED36C3">
      <w:pPr>
        <w:pStyle w:val="QPPEditorsNoteStyle1"/>
      </w:pPr>
      <w:r w:rsidRPr="00ED36C3">
        <w:t>Notes—</w:t>
      </w:r>
    </w:p>
    <w:p w14:paraId="18153DA3" w14:textId="77777777" w:rsidR="005B3BED" w:rsidRPr="00ED36C3" w:rsidRDefault="00F03EA0" w:rsidP="00ED36C3">
      <w:pPr>
        <w:pStyle w:val="QPPEditorsNoteStyle1"/>
      </w:pPr>
      <w:r w:rsidRPr="00B47AA3">
        <w:rPr>
          <w:rStyle w:val="QPPSuperscriptChar"/>
        </w:rPr>
        <w:t>(</w:t>
      </w:r>
      <w:r w:rsidR="005B3BED" w:rsidRPr="00B47AA3">
        <w:rPr>
          <w:rStyle w:val="QPPSuperscriptChar"/>
        </w:rPr>
        <w:t>1</w:t>
      </w:r>
      <w:r w:rsidRPr="00B47AA3">
        <w:rPr>
          <w:rStyle w:val="QPPSuperscriptChar"/>
        </w:rPr>
        <w:t>)</w:t>
      </w:r>
      <w:r w:rsidR="005B3BED" w:rsidRPr="00ED36C3">
        <w:t xml:space="preserve"> </w:t>
      </w:r>
      <w:r w:rsidR="000F67B7" w:rsidRPr="00ED36C3">
        <w:t>Minimum lot size excludes land area necessary for dedication subject to a condition of approval such as truncations, access way and easements as required by this code or other codes. This may result in a smalle</w:t>
      </w:r>
      <w:r w:rsidR="00D476AF">
        <w:t>r lot size.</w:t>
      </w:r>
    </w:p>
    <w:p w14:paraId="01EA5FE0" w14:textId="1DF6E121" w:rsidR="0082454F" w:rsidRPr="00ED36C3" w:rsidRDefault="00F03EA0" w:rsidP="00ED36C3">
      <w:pPr>
        <w:pStyle w:val="QPPEditorsNoteStyle1"/>
      </w:pPr>
      <w:r w:rsidRPr="00B47AA3">
        <w:rPr>
          <w:rStyle w:val="QPPSuperscriptChar"/>
        </w:rPr>
        <w:t>(</w:t>
      </w:r>
      <w:r w:rsidR="000D4680" w:rsidRPr="00B47AA3">
        <w:rPr>
          <w:rStyle w:val="QPPSuperscriptChar"/>
        </w:rPr>
        <w:t>2</w:t>
      </w:r>
      <w:r w:rsidRPr="00B47AA3">
        <w:rPr>
          <w:rStyle w:val="QPPSuperscriptChar"/>
        </w:rPr>
        <w:t>)</w:t>
      </w:r>
      <w:r w:rsidR="000D4680" w:rsidRPr="00ED36C3">
        <w:t xml:space="preserve"> </w:t>
      </w:r>
      <w:r w:rsidR="0082454F" w:rsidRPr="00ED36C3">
        <w:t xml:space="preserve">The </w:t>
      </w:r>
      <w:r w:rsidR="000D4680" w:rsidRPr="00ED36C3">
        <w:t xml:space="preserve">distance </w:t>
      </w:r>
      <w:r w:rsidR="0082454F" w:rsidRPr="00ED36C3">
        <w:t xml:space="preserve">in brackets is the minimum frontage to a major road shown in the </w:t>
      </w:r>
      <w:r w:rsidR="00AC2218" w:rsidRPr="00AB035A">
        <w:t>Road hierarchy o</w:t>
      </w:r>
      <w:r w:rsidR="0082454F" w:rsidRPr="00AB035A">
        <w:t>verlay</w:t>
      </w:r>
      <w:r w:rsidR="00D476AF">
        <w:t>.</w:t>
      </w:r>
    </w:p>
    <w:p w14:paraId="176CB6B2" w14:textId="6BF16664" w:rsidR="00023359" w:rsidRDefault="00F03EA0" w:rsidP="00023359">
      <w:pPr>
        <w:pStyle w:val="QPPEditorsNoteStyle1"/>
      </w:pPr>
      <w:r w:rsidRPr="00B47AA3">
        <w:rPr>
          <w:rStyle w:val="QPPSuperscriptChar"/>
        </w:rPr>
        <w:t>(</w:t>
      </w:r>
      <w:r w:rsidR="0082454F" w:rsidRPr="00B47AA3">
        <w:rPr>
          <w:rStyle w:val="QPPSuperscriptChar"/>
        </w:rPr>
        <w:t>3</w:t>
      </w:r>
      <w:r w:rsidRPr="00B47AA3">
        <w:rPr>
          <w:rStyle w:val="QPPSuperscriptChar"/>
        </w:rPr>
        <w:t>)</w:t>
      </w:r>
      <w:r w:rsidR="0082454F" w:rsidRPr="00ED36C3">
        <w:t xml:space="preserve"> Subdivision of land within the Regional Landscape and Rural Production Area must comply with Regulatory Provisions of the </w:t>
      </w:r>
      <w:r w:rsidR="00D62055" w:rsidRPr="00AB035A">
        <w:t>South East Queensland Regional Plan 2009-2031</w:t>
      </w:r>
      <w:r w:rsidR="0082454F" w:rsidRPr="00ED36C3">
        <w:t>. A minimum lot size of 100</w:t>
      </w:r>
      <w:r w:rsidR="004852FA" w:rsidRPr="00ED36C3">
        <w:t>ha</w:t>
      </w:r>
      <w:r w:rsidR="0082454F" w:rsidRPr="00ED36C3">
        <w:t xml:space="preserve"> </w:t>
      </w:r>
      <w:r w:rsidR="00697063" w:rsidRPr="00ED36C3">
        <w:t>applies;</w:t>
      </w:r>
      <w:r w:rsidR="0082454F" w:rsidRPr="00ED36C3">
        <w:t xml:space="preserve"> unless the subdivision meets an exemption </w:t>
      </w:r>
      <w:r w:rsidR="00D62055" w:rsidRPr="00ED36C3">
        <w:t xml:space="preserve">as described in the </w:t>
      </w:r>
      <w:r w:rsidR="00D62055" w:rsidRPr="00AB035A">
        <w:t>South East Que</w:t>
      </w:r>
      <w:r w:rsidR="00742AF0" w:rsidRPr="00AB035A">
        <w:t>ensland Regional Plan 2009-20</w:t>
      </w:r>
      <w:bookmarkStart w:id="3" w:name="table94103c"/>
      <w:bookmarkStart w:id="4" w:name="Table94192C"/>
      <w:bookmarkEnd w:id="3"/>
      <w:r w:rsidR="00023359" w:rsidRPr="00AB035A">
        <w:t>31</w:t>
      </w:r>
      <w:r w:rsidR="00023359">
        <w:t>.</w:t>
      </w:r>
    </w:p>
    <w:p w14:paraId="40A9857C" w14:textId="77777777" w:rsidR="006224C7" w:rsidRPr="00660410" w:rsidRDefault="006224C7" w:rsidP="00526DB3">
      <w:pPr>
        <w:pStyle w:val="QPPTableHeadingStyle"/>
      </w:pPr>
      <w:r w:rsidRPr="00660410">
        <w:t>Table 9.4.1</w:t>
      </w:r>
      <w:r w:rsidR="000F67B7" w:rsidRPr="00660410">
        <w:t>0</w:t>
      </w:r>
      <w:r w:rsidRPr="00660410">
        <w:t>.3.C</w:t>
      </w:r>
      <w:bookmarkEnd w:id="4"/>
      <w:r w:rsidR="001E037F" w:rsidRPr="00660410">
        <w:t>—</w:t>
      </w:r>
      <w:r w:rsidRPr="00660410">
        <w:t>Design of access</w:t>
      </w:r>
      <w:r w:rsidR="00205DC3" w:rsidRPr="00660410">
        <w:t xml:space="preserve"> </w:t>
      </w:r>
      <w:r w:rsidRPr="00660410">
        <w:t>ways</w:t>
      </w:r>
      <w:r w:rsidR="00AA27E7" w:rsidRPr="00660410">
        <w:t xml:space="preserve"> in community title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724"/>
      </w:tblGrid>
      <w:tr w:rsidR="00E70BB2" w:rsidRPr="00105F6B" w14:paraId="37BD0D1B" w14:textId="77777777" w:rsidTr="001B353F">
        <w:tc>
          <w:tcPr>
            <w:tcW w:w="3348" w:type="dxa"/>
            <w:shd w:val="clear" w:color="auto" w:fill="auto"/>
          </w:tcPr>
          <w:p w14:paraId="70E1D887" w14:textId="77777777" w:rsidR="00E70BB2" w:rsidRPr="00105F6B" w:rsidRDefault="00E70BB2">
            <w:pPr>
              <w:pStyle w:val="QPPTableTextBody"/>
            </w:pPr>
            <w:r w:rsidRPr="00105F6B">
              <w:t>Minimum carriageway width</w:t>
            </w:r>
          </w:p>
        </w:tc>
        <w:tc>
          <w:tcPr>
            <w:tcW w:w="1724" w:type="dxa"/>
            <w:shd w:val="clear" w:color="auto" w:fill="auto"/>
          </w:tcPr>
          <w:p w14:paraId="233CB69E" w14:textId="77777777" w:rsidR="00E70BB2" w:rsidRPr="00105F6B" w:rsidRDefault="00E70BB2" w:rsidP="00AA27E7">
            <w:pPr>
              <w:pStyle w:val="QPPTableTextBody"/>
            </w:pPr>
            <w:r>
              <w:t>6.5m</w:t>
            </w:r>
          </w:p>
        </w:tc>
      </w:tr>
      <w:tr w:rsidR="00E70BB2" w:rsidRPr="00105F6B" w14:paraId="197C91D7" w14:textId="77777777" w:rsidTr="001B353F">
        <w:tc>
          <w:tcPr>
            <w:tcW w:w="3348" w:type="dxa"/>
            <w:shd w:val="clear" w:color="auto" w:fill="auto"/>
          </w:tcPr>
          <w:p w14:paraId="6AAC997A" w14:textId="77777777" w:rsidR="00E70BB2" w:rsidRPr="00105F6B" w:rsidRDefault="00E70BB2">
            <w:pPr>
              <w:pStyle w:val="QPPTableTextBody"/>
            </w:pPr>
            <w:r w:rsidRPr="00105F6B">
              <w:t>Minimum total access way reserve</w:t>
            </w:r>
          </w:p>
        </w:tc>
        <w:tc>
          <w:tcPr>
            <w:tcW w:w="1724" w:type="dxa"/>
            <w:shd w:val="clear" w:color="auto" w:fill="auto"/>
          </w:tcPr>
          <w:p w14:paraId="7A88C0E6" w14:textId="77777777" w:rsidR="00E70BB2" w:rsidRPr="00105F6B" w:rsidRDefault="00E70BB2">
            <w:pPr>
              <w:pStyle w:val="QPPTableTextBody"/>
            </w:pPr>
            <w:r>
              <w:t>10m</w:t>
            </w:r>
          </w:p>
        </w:tc>
      </w:tr>
      <w:tr w:rsidR="00E70BB2" w:rsidRPr="00105F6B" w14:paraId="2B055934" w14:textId="77777777" w:rsidTr="001B353F">
        <w:tc>
          <w:tcPr>
            <w:tcW w:w="3348" w:type="dxa"/>
            <w:shd w:val="clear" w:color="auto" w:fill="auto"/>
          </w:tcPr>
          <w:p w14:paraId="5AF39416" w14:textId="77777777" w:rsidR="00E70BB2" w:rsidRPr="00105F6B" w:rsidRDefault="00E70BB2">
            <w:pPr>
              <w:pStyle w:val="QPPTableTextBody"/>
            </w:pPr>
            <w:r w:rsidRPr="00105F6B">
              <w:t>Minimum verge width</w:t>
            </w:r>
          </w:p>
        </w:tc>
        <w:tc>
          <w:tcPr>
            <w:tcW w:w="1724" w:type="dxa"/>
            <w:shd w:val="clear" w:color="auto" w:fill="auto"/>
          </w:tcPr>
          <w:p w14:paraId="4D84E58F" w14:textId="77777777" w:rsidR="00E70BB2" w:rsidRPr="00105F6B" w:rsidRDefault="00E70BB2">
            <w:pPr>
              <w:pStyle w:val="QPPTableTextBody"/>
            </w:pPr>
            <w:r w:rsidRPr="00105F6B">
              <w:t>1.5m</w:t>
            </w:r>
          </w:p>
        </w:tc>
      </w:tr>
      <w:tr w:rsidR="00E70BB2" w:rsidRPr="00105F6B" w14:paraId="7D4B60E7" w14:textId="77777777" w:rsidTr="001B353F">
        <w:tc>
          <w:tcPr>
            <w:tcW w:w="3348" w:type="dxa"/>
            <w:shd w:val="clear" w:color="auto" w:fill="auto"/>
          </w:tcPr>
          <w:p w14:paraId="073BF490" w14:textId="33AC519E" w:rsidR="00E70BB2" w:rsidRPr="00105F6B" w:rsidRDefault="00E70BB2" w:rsidP="00F22EA0">
            <w:pPr>
              <w:pStyle w:val="QPPTableTextBody"/>
            </w:pPr>
            <w:r w:rsidRPr="00105F6B">
              <w:t xml:space="preserve">Footpath </w:t>
            </w:r>
          </w:p>
        </w:tc>
        <w:tc>
          <w:tcPr>
            <w:tcW w:w="1724" w:type="dxa"/>
            <w:shd w:val="clear" w:color="auto" w:fill="auto"/>
          </w:tcPr>
          <w:p w14:paraId="2221F588" w14:textId="77777777" w:rsidR="00E70BB2" w:rsidRPr="00105F6B" w:rsidRDefault="00E70BB2">
            <w:pPr>
              <w:pStyle w:val="QPPTableTextBody"/>
            </w:pPr>
            <w:r w:rsidRPr="00105F6B">
              <w:t>1</w:t>
            </w:r>
            <w:r>
              <w:t>.5m</w:t>
            </w:r>
          </w:p>
        </w:tc>
      </w:tr>
      <w:tr w:rsidR="00E70BB2" w:rsidRPr="00105F6B" w14:paraId="56058062" w14:textId="77777777" w:rsidTr="001B353F">
        <w:tc>
          <w:tcPr>
            <w:tcW w:w="3348" w:type="dxa"/>
            <w:shd w:val="clear" w:color="auto" w:fill="auto"/>
          </w:tcPr>
          <w:p w14:paraId="4FD17295" w14:textId="77777777" w:rsidR="00E70BB2" w:rsidRPr="00105F6B" w:rsidRDefault="00E70BB2">
            <w:pPr>
              <w:pStyle w:val="QPPTableTextBody"/>
            </w:pPr>
            <w:r>
              <w:t>Cul-de-</w:t>
            </w:r>
            <w:r w:rsidRPr="00105F6B">
              <w:t>sac design for service vehicle</w:t>
            </w:r>
          </w:p>
        </w:tc>
        <w:tc>
          <w:tcPr>
            <w:tcW w:w="1724" w:type="dxa"/>
            <w:shd w:val="clear" w:color="auto" w:fill="auto"/>
          </w:tcPr>
          <w:p w14:paraId="312590ED" w14:textId="77777777" w:rsidR="00E70BB2" w:rsidRPr="00105F6B" w:rsidRDefault="00E70BB2">
            <w:pPr>
              <w:pStyle w:val="QPPTableTextBody"/>
            </w:pPr>
            <w:r>
              <w:t>3 point turn</w:t>
            </w:r>
          </w:p>
        </w:tc>
      </w:tr>
      <w:tr w:rsidR="00E70BB2" w:rsidRPr="00105F6B" w14:paraId="7A043665" w14:textId="77777777" w:rsidTr="001B353F">
        <w:tc>
          <w:tcPr>
            <w:tcW w:w="3348" w:type="dxa"/>
            <w:shd w:val="clear" w:color="auto" w:fill="auto"/>
          </w:tcPr>
          <w:p w14:paraId="2C1B137C" w14:textId="77777777" w:rsidR="00E70BB2" w:rsidRPr="00105F6B" w:rsidRDefault="00E70BB2">
            <w:pPr>
              <w:pStyle w:val="QPPTableTextBody"/>
            </w:pPr>
            <w:r w:rsidRPr="00105F6B">
              <w:t>Kerb and channel</w:t>
            </w:r>
          </w:p>
        </w:tc>
        <w:tc>
          <w:tcPr>
            <w:tcW w:w="1724" w:type="dxa"/>
            <w:shd w:val="clear" w:color="auto" w:fill="auto"/>
          </w:tcPr>
          <w:p w14:paraId="25C73465" w14:textId="77777777" w:rsidR="00E70BB2" w:rsidRPr="00105F6B" w:rsidRDefault="00E70BB2">
            <w:pPr>
              <w:pStyle w:val="QPPTableTextBody"/>
            </w:pPr>
            <w:r>
              <w:t>Required</w:t>
            </w:r>
          </w:p>
        </w:tc>
      </w:tr>
    </w:tbl>
    <w:p w14:paraId="5151FE16" w14:textId="77777777" w:rsidR="006736CF" w:rsidRDefault="00FE47E5" w:rsidP="004B5275">
      <w:pPr>
        <w:pStyle w:val="QPPBodytext"/>
      </w:pPr>
      <w:bookmarkStart w:id="5" w:name="Figurea"/>
      <w:r>
        <w:rPr>
          <w:noProof/>
        </w:rPr>
        <w:drawing>
          <wp:inline distT="0" distB="0" distL="0" distR="0" wp14:anchorId="3B7CA462" wp14:editId="37BB2A1B">
            <wp:extent cx="5276850" cy="3857625"/>
            <wp:effectExtent l="0" t="0" r="0" b="0"/>
            <wp:docPr id="2" name="Picture 2" descr="Figure a—Pedestrian and cycle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a—Pedestrian and cycle rou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3857625"/>
                    </a:xfrm>
                    <a:prstGeom prst="rect">
                      <a:avLst/>
                    </a:prstGeom>
                    <a:noFill/>
                    <a:ln>
                      <a:noFill/>
                    </a:ln>
                  </pic:spPr>
                </pic:pic>
              </a:graphicData>
            </a:graphic>
          </wp:inline>
        </w:drawing>
      </w:r>
      <w:bookmarkEnd w:id="5"/>
    </w:p>
    <w:p w14:paraId="518D798B" w14:textId="77777777" w:rsidR="001E037F" w:rsidRDefault="00FE47E5" w:rsidP="004B5275">
      <w:pPr>
        <w:pStyle w:val="QPPBodytext"/>
      </w:pPr>
      <w:bookmarkStart w:id="6" w:name="Figureb"/>
      <w:r>
        <w:rPr>
          <w:noProof/>
        </w:rPr>
        <w:drawing>
          <wp:inline distT="0" distB="0" distL="0" distR="0" wp14:anchorId="224B13DE" wp14:editId="3545FF1F">
            <wp:extent cx="5276850" cy="3857625"/>
            <wp:effectExtent l="0" t="0" r="0" b="0"/>
            <wp:docPr id="3" name="Picture 3" descr="Figure b—Preferred orientation for long axis of l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b—Preferred orientation for long axis of lo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857625"/>
                    </a:xfrm>
                    <a:prstGeom prst="rect">
                      <a:avLst/>
                    </a:prstGeom>
                    <a:noFill/>
                    <a:ln>
                      <a:noFill/>
                    </a:ln>
                  </pic:spPr>
                </pic:pic>
              </a:graphicData>
            </a:graphic>
          </wp:inline>
        </w:drawing>
      </w:r>
      <w:bookmarkEnd w:id="6"/>
    </w:p>
    <w:sectPr w:rsidR="001E037F" w:rsidSect="00742AF0">
      <w:headerReference w:type="even" r:id="rId10"/>
      <w:headerReference w:type="default" r:id="rId11"/>
      <w:footerReference w:type="even" r:id="rId12"/>
      <w:footerReference w:type="default" r:id="rId13"/>
      <w:headerReference w:type="first" r:id="rId14"/>
      <w:footerReference w:type="first" r:id="rId15"/>
      <w:pgSz w:w="11907" w:h="16839" w:code="9"/>
      <w:pgMar w:top="1440" w:right="1797" w:bottom="1259"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26338" w14:textId="77777777" w:rsidR="009559CC" w:rsidRDefault="009559CC">
      <w:r>
        <w:separator/>
      </w:r>
    </w:p>
  </w:endnote>
  <w:endnote w:type="continuationSeparator" w:id="0">
    <w:p w14:paraId="46BCA4A9" w14:textId="77777777" w:rsidR="009559CC" w:rsidRDefault="0095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5BBB4" w14:textId="77777777" w:rsidR="009559CC" w:rsidRDefault="009559C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10481" w14:textId="08D56814" w:rsidR="009559CC" w:rsidRDefault="009559CC" w:rsidP="00592DF1">
    <w:pPr>
      <w:pStyle w:val="QPPFooter"/>
    </w:pPr>
    <w:r w:rsidRPr="00F807FB">
      <w:t>Part 9 – Development Codes (Subdivision)</w:t>
    </w:r>
    <w:r>
      <w:ptab w:relativeTo="margin" w:alignment="center" w:leader="none"/>
    </w:r>
    <w:r>
      <w:ptab w:relativeTo="margin" w:alignment="right" w:leader="none"/>
    </w:r>
    <w:r>
      <w:t>Effective 29 June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DCDFC" w14:textId="77777777" w:rsidR="009559CC" w:rsidRDefault="009559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C9262" w14:textId="77777777" w:rsidR="009559CC" w:rsidRDefault="009559CC">
      <w:r>
        <w:separator/>
      </w:r>
    </w:p>
  </w:footnote>
  <w:footnote w:type="continuationSeparator" w:id="0">
    <w:p w14:paraId="5C2C5453" w14:textId="77777777" w:rsidR="009559CC" w:rsidRDefault="00955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9E108" w14:textId="77777777" w:rsidR="009559CC" w:rsidRDefault="002766CA">
    <w:pPr>
      <w:pStyle w:val="Header"/>
    </w:pPr>
    <w:r>
      <w:rPr>
        <w:noProof/>
        <w:lang w:eastAsia="en-US"/>
      </w:rPr>
      <w:pict w14:anchorId="266E1A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12488" o:spid="_x0000_s2050" type="#_x0000_t136" style="position:absolute;margin-left:0;margin-top:0;width:506pt;height:79.8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04660" w14:textId="77777777" w:rsidR="009559CC" w:rsidRDefault="009559C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C0979" w14:textId="77777777" w:rsidR="009559CC" w:rsidRDefault="002766CA">
    <w:pPr>
      <w:pStyle w:val="Header"/>
    </w:pPr>
    <w:r>
      <w:rPr>
        <w:noProof/>
        <w:lang w:eastAsia="en-US"/>
      </w:rPr>
      <w:pict w14:anchorId="68ECBD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12487" o:spid="_x0000_s2049" type="#_x0000_t136" style="position:absolute;margin-left:0;margin-top:0;width:506pt;height:79.8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92C105B"/>
    <w:multiLevelType w:val="hybridMultilevel"/>
    <w:tmpl w:val="BBC27A64"/>
    <w:lvl w:ilvl="0" w:tplc="1AF8212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6"/>
  </w:num>
  <w:num w:numId="2">
    <w:abstractNumId w:val="10"/>
  </w:num>
  <w:num w:numId="3">
    <w:abstractNumId w:val="29"/>
  </w:num>
  <w:num w:numId="4">
    <w:abstractNumId w:val="18"/>
  </w:num>
  <w:num w:numId="5">
    <w:abstractNumId w:val="28"/>
  </w:num>
  <w:num w:numId="6">
    <w:abstractNumId w:val="24"/>
  </w:num>
  <w:num w:numId="7">
    <w:abstractNumId w:val="32"/>
  </w:num>
  <w:num w:numId="8">
    <w:abstractNumId w:val="16"/>
    <w:lvlOverride w:ilvl="0">
      <w:startOverride w:val="1"/>
    </w:lvlOverride>
  </w:num>
  <w:num w:numId="9">
    <w:abstractNumId w:val="22"/>
  </w:num>
  <w:num w:numId="10">
    <w:abstractNumId w:val="25"/>
  </w:num>
  <w:num w:numId="11">
    <w:abstractNumId w:val="12"/>
  </w:num>
  <w:num w:numId="12">
    <w:abstractNumId w:val="15"/>
    <w:lvlOverride w:ilvl="0">
      <w:startOverride w:val="1"/>
    </w:lvlOverride>
  </w:num>
  <w:num w:numId="13">
    <w:abstractNumId w:val="22"/>
    <w:lvlOverride w:ilvl="0">
      <w:startOverride w:val="1"/>
    </w:lvlOverride>
  </w:num>
  <w:num w:numId="14">
    <w:abstractNumId w:val="22"/>
    <w:lvlOverride w:ilvl="0">
      <w:startOverride w:val="1"/>
    </w:lvlOverride>
  </w:num>
  <w:num w:numId="15">
    <w:abstractNumId w:val="22"/>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5"/>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22"/>
    <w:lvlOverride w:ilvl="0">
      <w:startOverride w:val="1"/>
    </w:lvlOverride>
  </w:num>
  <w:num w:numId="41">
    <w:abstractNumId w:val="22"/>
    <w:lvlOverride w:ilvl="0">
      <w:startOverride w:val="1"/>
    </w:lvlOverride>
  </w:num>
  <w:num w:numId="42">
    <w:abstractNumId w:val="22"/>
    <w:lvlOverride w:ilvl="0">
      <w:startOverride w:val="1"/>
    </w:lvlOverride>
  </w:num>
  <w:num w:numId="43">
    <w:abstractNumId w:val="22"/>
    <w:lvlOverride w:ilvl="0">
      <w:startOverride w:val="1"/>
    </w:lvlOverride>
  </w:num>
  <w:num w:numId="44">
    <w:abstractNumId w:val="22"/>
    <w:lvlOverride w:ilvl="0">
      <w:startOverride w:val="1"/>
    </w:lvlOverride>
  </w:num>
  <w:num w:numId="45">
    <w:abstractNumId w:val="22"/>
    <w:lvlOverride w:ilvl="0">
      <w:startOverride w:val="1"/>
    </w:lvlOverride>
  </w:num>
  <w:num w:numId="46">
    <w:abstractNumId w:val="22"/>
    <w:lvlOverride w:ilvl="0">
      <w:startOverride w:val="1"/>
    </w:lvlOverride>
  </w:num>
  <w:num w:numId="47">
    <w:abstractNumId w:val="22"/>
    <w:lvlOverride w:ilvl="0">
      <w:startOverride w:val="1"/>
    </w:lvlOverride>
  </w:num>
  <w:num w:numId="48">
    <w:abstractNumId w:val="22"/>
    <w:lvlOverride w:ilvl="0">
      <w:startOverride w:val="1"/>
    </w:lvlOverride>
  </w:num>
  <w:num w:numId="49">
    <w:abstractNumId w:val="22"/>
    <w:lvlOverride w:ilvl="0">
      <w:startOverride w:val="1"/>
    </w:lvlOverride>
  </w:num>
  <w:num w:numId="50">
    <w:abstractNumId w:val="22"/>
    <w:lvlOverride w:ilvl="0">
      <w:startOverride w:val="1"/>
    </w:lvlOverride>
  </w:num>
  <w:num w:numId="51">
    <w:abstractNumId w:val="22"/>
    <w:lvlOverride w:ilvl="0">
      <w:startOverride w:val="1"/>
    </w:lvlOverride>
  </w:num>
  <w:num w:numId="52">
    <w:abstractNumId w:val="22"/>
    <w:lvlOverride w:ilvl="0">
      <w:startOverride w:val="1"/>
    </w:lvlOverride>
  </w:num>
  <w:num w:numId="53">
    <w:abstractNumId w:val="22"/>
    <w:lvlOverride w:ilvl="0">
      <w:startOverride w:val="1"/>
    </w:lvlOverride>
  </w:num>
  <w:num w:numId="54">
    <w:abstractNumId w:val="22"/>
    <w:lvlOverride w:ilvl="0">
      <w:startOverride w:val="1"/>
    </w:lvlOverride>
  </w:num>
  <w:num w:numId="55">
    <w:abstractNumId w:val="22"/>
    <w:lvlOverride w:ilvl="0">
      <w:startOverride w:val="1"/>
    </w:lvlOverride>
  </w:num>
  <w:num w:numId="56">
    <w:abstractNumId w:val="22"/>
    <w:lvlOverride w:ilvl="0">
      <w:startOverride w:val="1"/>
    </w:lvlOverride>
  </w:num>
  <w:num w:numId="57">
    <w:abstractNumId w:val="15"/>
  </w:num>
  <w:num w:numId="58">
    <w:abstractNumId w:val="19"/>
  </w:num>
  <w:num w:numId="59">
    <w:abstractNumId w:val="11"/>
  </w:num>
  <w:num w:numId="60">
    <w:abstractNumId w:val="34"/>
  </w:num>
  <w:num w:numId="61">
    <w:abstractNumId w:val="9"/>
  </w:num>
  <w:num w:numId="62">
    <w:abstractNumId w:val="7"/>
  </w:num>
  <w:num w:numId="63">
    <w:abstractNumId w:val="6"/>
  </w:num>
  <w:num w:numId="64">
    <w:abstractNumId w:val="5"/>
  </w:num>
  <w:num w:numId="65">
    <w:abstractNumId w:val="4"/>
  </w:num>
  <w:num w:numId="66">
    <w:abstractNumId w:val="8"/>
  </w:num>
  <w:num w:numId="67">
    <w:abstractNumId w:val="3"/>
  </w:num>
  <w:num w:numId="68">
    <w:abstractNumId w:val="2"/>
  </w:num>
  <w:num w:numId="69">
    <w:abstractNumId w:val="1"/>
  </w:num>
  <w:num w:numId="70">
    <w:abstractNumId w:val="0"/>
  </w:num>
  <w:num w:numId="71">
    <w:abstractNumId w:val="36"/>
  </w:num>
  <w:num w:numId="72">
    <w:abstractNumId w:val="20"/>
  </w:num>
  <w:num w:numId="73">
    <w:abstractNumId w:val="17"/>
  </w:num>
  <w:num w:numId="74">
    <w:abstractNumId w:val="35"/>
  </w:num>
  <w:num w:numId="75">
    <w:abstractNumId w:val="14"/>
  </w:num>
  <w:num w:numId="76">
    <w:abstractNumId w:val="37"/>
  </w:num>
  <w:num w:numId="77">
    <w:abstractNumId w:val="13"/>
  </w:num>
  <w:num w:numId="78">
    <w:abstractNumId w:val="26"/>
  </w:num>
  <w:num w:numId="79">
    <w:abstractNumId w:val="21"/>
  </w:num>
  <w:num w:numId="80">
    <w:abstractNumId w:val="23"/>
  </w:num>
  <w:num w:numId="81">
    <w:abstractNumId w:val="27"/>
  </w:num>
  <w:num w:numId="82">
    <w:abstractNumId w:val="27"/>
    <w:lvlOverride w:ilvl="0">
      <w:startOverride w:val="1"/>
    </w:lvlOverride>
  </w:num>
  <w:num w:numId="83">
    <w:abstractNumId w:val="31"/>
  </w:num>
  <w:num w:numId="84">
    <w:abstractNumId w:val="30"/>
  </w:num>
  <w:num w:numId="85">
    <w:abstractNumId w:val="15"/>
    <w:lvlOverride w:ilvl="0">
      <w:startOverride w:val="1"/>
    </w:lvlOverride>
  </w:num>
  <w:num w:numId="86">
    <w:abstractNumId w:val="15"/>
    <w:lvlOverride w:ilvl="0">
      <w:startOverride w:val="1"/>
    </w:lvlOverride>
  </w:num>
  <w:num w:numId="87">
    <w:abstractNumId w:val="15"/>
    <w:lvlOverride w:ilvl="0">
      <w:startOverride w:val="1"/>
    </w:lvlOverride>
  </w:num>
  <w:num w:numId="88">
    <w:abstractNumId w:val="15"/>
    <w:lvlOverride w:ilvl="0">
      <w:startOverride w:val="1"/>
    </w:lvlOverride>
  </w:num>
  <w:num w:numId="89">
    <w:abstractNumId w:val="22"/>
    <w:lvlOverride w:ilvl="0">
      <w:startOverride w:val="1"/>
    </w:lvlOverride>
  </w:num>
  <w:num w:numId="90">
    <w:abstractNumId w:val="22"/>
    <w:lvlOverride w:ilvl="0">
      <w:startOverride w:val="1"/>
    </w:lvlOverride>
  </w:num>
  <w:num w:numId="91">
    <w:abstractNumId w:val="22"/>
    <w:lvlOverride w:ilvl="0">
      <w:startOverride w:val="1"/>
    </w:lvlOverride>
  </w:num>
  <w:num w:numId="92">
    <w:abstractNumId w:val="22"/>
    <w:lvlOverride w:ilvl="0">
      <w:startOverride w:val="1"/>
    </w:lvlOverride>
  </w:num>
  <w:num w:numId="93">
    <w:abstractNumId w:val="22"/>
    <w:lvlOverride w:ilvl="0">
      <w:startOverride w:val="1"/>
    </w:lvlOverride>
  </w:num>
  <w:num w:numId="94">
    <w:abstractNumId w:val="22"/>
    <w:lvlOverride w:ilvl="0">
      <w:startOverride w:val="1"/>
    </w:lvlOverride>
  </w:num>
  <w:num w:numId="95">
    <w:abstractNumId w:val="22"/>
    <w:lvlOverride w:ilvl="0">
      <w:startOverride w:val="1"/>
    </w:lvlOverride>
  </w:num>
  <w:num w:numId="96">
    <w:abstractNumId w:val="3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formatting="1" w:enforcement="1" w:cryptProviderType="rsaAES" w:cryptAlgorithmClass="hash" w:cryptAlgorithmType="typeAny" w:cryptAlgorithmSid="14" w:cryptSpinCount="100000" w:hash="Y5P+VHoV4hrnPvkFzqdLaDQsk1ds4FvLqyeu0R0dnQKnD9v6Ao0TjlJ7B0bXnn6WU+0LMekC4/eRhlV4Q5eZ1A==" w:salt="qySTz3lS5HKH53HFt4t5rw=="/>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8C"/>
    <w:rsid w:val="0000085D"/>
    <w:rsid w:val="00002337"/>
    <w:rsid w:val="00002918"/>
    <w:rsid w:val="00004BDF"/>
    <w:rsid w:val="00011B52"/>
    <w:rsid w:val="00012BC3"/>
    <w:rsid w:val="000174EB"/>
    <w:rsid w:val="00023359"/>
    <w:rsid w:val="0002411C"/>
    <w:rsid w:val="00027935"/>
    <w:rsid w:val="00030399"/>
    <w:rsid w:val="00034F36"/>
    <w:rsid w:val="00034F8F"/>
    <w:rsid w:val="00035D6B"/>
    <w:rsid w:val="00045ED4"/>
    <w:rsid w:val="00046BA8"/>
    <w:rsid w:val="00050A6F"/>
    <w:rsid w:val="00052DA5"/>
    <w:rsid w:val="00052FD7"/>
    <w:rsid w:val="00053349"/>
    <w:rsid w:val="000539A2"/>
    <w:rsid w:val="00054FB3"/>
    <w:rsid w:val="00055F2C"/>
    <w:rsid w:val="000619AA"/>
    <w:rsid w:val="00067F64"/>
    <w:rsid w:val="0007270E"/>
    <w:rsid w:val="00075A27"/>
    <w:rsid w:val="00075C53"/>
    <w:rsid w:val="000775D3"/>
    <w:rsid w:val="00077E26"/>
    <w:rsid w:val="0008099F"/>
    <w:rsid w:val="00083252"/>
    <w:rsid w:val="000833CC"/>
    <w:rsid w:val="00090862"/>
    <w:rsid w:val="0009129C"/>
    <w:rsid w:val="00096316"/>
    <w:rsid w:val="000964D6"/>
    <w:rsid w:val="00096EDA"/>
    <w:rsid w:val="000A03F1"/>
    <w:rsid w:val="000A0D40"/>
    <w:rsid w:val="000A3B47"/>
    <w:rsid w:val="000A4779"/>
    <w:rsid w:val="000A5A8C"/>
    <w:rsid w:val="000B1851"/>
    <w:rsid w:val="000C35F6"/>
    <w:rsid w:val="000C5DB4"/>
    <w:rsid w:val="000D0AA8"/>
    <w:rsid w:val="000D2C9D"/>
    <w:rsid w:val="000D4680"/>
    <w:rsid w:val="000D6B91"/>
    <w:rsid w:val="000D7261"/>
    <w:rsid w:val="000E101E"/>
    <w:rsid w:val="000E1D88"/>
    <w:rsid w:val="000F1985"/>
    <w:rsid w:val="000F4CD7"/>
    <w:rsid w:val="000F67B7"/>
    <w:rsid w:val="000F7D57"/>
    <w:rsid w:val="0010003D"/>
    <w:rsid w:val="00102594"/>
    <w:rsid w:val="00103F7B"/>
    <w:rsid w:val="00104B4B"/>
    <w:rsid w:val="00105D5C"/>
    <w:rsid w:val="00111BA6"/>
    <w:rsid w:val="00112861"/>
    <w:rsid w:val="001153E5"/>
    <w:rsid w:val="00115811"/>
    <w:rsid w:val="0011717B"/>
    <w:rsid w:val="001303D4"/>
    <w:rsid w:val="001329BD"/>
    <w:rsid w:val="00133421"/>
    <w:rsid w:val="00133491"/>
    <w:rsid w:val="00134DAA"/>
    <w:rsid w:val="00135948"/>
    <w:rsid w:val="00135C22"/>
    <w:rsid w:val="00141810"/>
    <w:rsid w:val="00141AA5"/>
    <w:rsid w:val="0014450B"/>
    <w:rsid w:val="0014586A"/>
    <w:rsid w:val="001466D3"/>
    <w:rsid w:val="00147C2C"/>
    <w:rsid w:val="00156C04"/>
    <w:rsid w:val="00160270"/>
    <w:rsid w:val="00160409"/>
    <w:rsid w:val="00160909"/>
    <w:rsid w:val="00165034"/>
    <w:rsid w:val="0016729B"/>
    <w:rsid w:val="00171931"/>
    <w:rsid w:val="00171B24"/>
    <w:rsid w:val="00175057"/>
    <w:rsid w:val="001825DF"/>
    <w:rsid w:val="00185891"/>
    <w:rsid w:val="00185C11"/>
    <w:rsid w:val="00186590"/>
    <w:rsid w:val="0019255A"/>
    <w:rsid w:val="001926DA"/>
    <w:rsid w:val="00196C7F"/>
    <w:rsid w:val="001A0362"/>
    <w:rsid w:val="001A31B6"/>
    <w:rsid w:val="001A58C0"/>
    <w:rsid w:val="001A5999"/>
    <w:rsid w:val="001A604A"/>
    <w:rsid w:val="001A630F"/>
    <w:rsid w:val="001B0C4B"/>
    <w:rsid w:val="001B233B"/>
    <w:rsid w:val="001B2B62"/>
    <w:rsid w:val="001B2C7A"/>
    <w:rsid w:val="001B353F"/>
    <w:rsid w:val="001B6A01"/>
    <w:rsid w:val="001C4012"/>
    <w:rsid w:val="001C6BF5"/>
    <w:rsid w:val="001C7811"/>
    <w:rsid w:val="001D201A"/>
    <w:rsid w:val="001D369C"/>
    <w:rsid w:val="001D3F06"/>
    <w:rsid w:val="001D5F31"/>
    <w:rsid w:val="001E0005"/>
    <w:rsid w:val="001E037F"/>
    <w:rsid w:val="001E09C9"/>
    <w:rsid w:val="001E54A0"/>
    <w:rsid w:val="001F079C"/>
    <w:rsid w:val="001F0BEF"/>
    <w:rsid w:val="001F37C3"/>
    <w:rsid w:val="001F6B52"/>
    <w:rsid w:val="00200862"/>
    <w:rsid w:val="002018FB"/>
    <w:rsid w:val="00205DC3"/>
    <w:rsid w:val="00211783"/>
    <w:rsid w:val="002153F3"/>
    <w:rsid w:val="002179B9"/>
    <w:rsid w:val="00217C2C"/>
    <w:rsid w:val="002213FF"/>
    <w:rsid w:val="00224FAB"/>
    <w:rsid w:val="00231096"/>
    <w:rsid w:val="00232682"/>
    <w:rsid w:val="00232CCB"/>
    <w:rsid w:val="00233B63"/>
    <w:rsid w:val="0023510E"/>
    <w:rsid w:val="0023579D"/>
    <w:rsid w:val="00240A49"/>
    <w:rsid w:val="002421A7"/>
    <w:rsid w:val="00245763"/>
    <w:rsid w:val="00246E0E"/>
    <w:rsid w:val="00247AB9"/>
    <w:rsid w:val="00251611"/>
    <w:rsid w:val="00263267"/>
    <w:rsid w:val="002707D0"/>
    <w:rsid w:val="002716D3"/>
    <w:rsid w:val="002717F6"/>
    <w:rsid w:val="002766CA"/>
    <w:rsid w:val="00286043"/>
    <w:rsid w:val="00286C74"/>
    <w:rsid w:val="002924D9"/>
    <w:rsid w:val="00294847"/>
    <w:rsid w:val="00294909"/>
    <w:rsid w:val="00295732"/>
    <w:rsid w:val="00295FF1"/>
    <w:rsid w:val="00296CB4"/>
    <w:rsid w:val="002A4E87"/>
    <w:rsid w:val="002B271A"/>
    <w:rsid w:val="002C4B54"/>
    <w:rsid w:val="002C6401"/>
    <w:rsid w:val="002C7CF4"/>
    <w:rsid w:val="002D2D30"/>
    <w:rsid w:val="002D4B10"/>
    <w:rsid w:val="002D59B8"/>
    <w:rsid w:val="002E7F16"/>
    <w:rsid w:val="002F2C1A"/>
    <w:rsid w:val="002F65E8"/>
    <w:rsid w:val="00301A42"/>
    <w:rsid w:val="0030377F"/>
    <w:rsid w:val="00304BFA"/>
    <w:rsid w:val="0031034B"/>
    <w:rsid w:val="00317263"/>
    <w:rsid w:val="00322ED1"/>
    <w:rsid w:val="00347F5C"/>
    <w:rsid w:val="00350CBA"/>
    <w:rsid w:val="00361834"/>
    <w:rsid w:val="003620C9"/>
    <w:rsid w:val="00363F9E"/>
    <w:rsid w:val="00364963"/>
    <w:rsid w:val="00365A57"/>
    <w:rsid w:val="00365E35"/>
    <w:rsid w:val="00366D06"/>
    <w:rsid w:val="00367934"/>
    <w:rsid w:val="003705A4"/>
    <w:rsid w:val="00370D1C"/>
    <w:rsid w:val="00373792"/>
    <w:rsid w:val="003741BE"/>
    <w:rsid w:val="00374E91"/>
    <w:rsid w:val="003765E7"/>
    <w:rsid w:val="00376850"/>
    <w:rsid w:val="0038210B"/>
    <w:rsid w:val="0038438C"/>
    <w:rsid w:val="00385583"/>
    <w:rsid w:val="003855CA"/>
    <w:rsid w:val="00386352"/>
    <w:rsid w:val="00386A54"/>
    <w:rsid w:val="003873D2"/>
    <w:rsid w:val="003917EA"/>
    <w:rsid w:val="00394A8D"/>
    <w:rsid w:val="0039636A"/>
    <w:rsid w:val="00396653"/>
    <w:rsid w:val="003A2474"/>
    <w:rsid w:val="003A3D9C"/>
    <w:rsid w:val="003A478D"/>
    <w:rsid w:val="003B28B7"/>
    <w:rsid w:val="003B32B0"/>
    <w:rsid w:val="003C0058"/>
    <w:rsid w:val="003C548F"/>
    <w:rsid w:val="003C5CEE"/>
    <w:rsid w:val="003C7A12"/>
    <w:rsid w:val="003D3E0C"/>
    <w:rsid w:val="003D64B8"/>
    <w:rsid w:val="003D726A"/>
    <w:rsid w:val="003D7B3F"/>
    <w:rsid w:val="003E420C"/>
    <w:rsid w:val="003E5C67"/>
    <w:rsid w:val="003F22F6"/>
    <w:rsid w:val="003F2330"/>
    <w:rsid w:val="003F3CE8"/>
    <w:rsid w:val="003F4513"/>
    <w:rsid w:val="003F4BCD"/>
    <w:rsid w:val="003F58CA"/>
    <w:rsid w:val="003F6C2C"/>
    <w:rsid w:val="00400726"/>
    <w:rsid w:val="00403903"/>
    <w:rsid w:val="00403DDE"/>
    <w:rsid w:val="00404F48"/>
    <w:rsid w:val="00405359"/>
    <w:rsid w:val="0041214F"/>
    <w:rsid w:val="004145DB"/>
    <w:rsid w:val="00416204"/>
    <w:rsid w:val="00421A51"/>
    <w:rsid w:val="0042382B"/>
    <w:rsid w:val="00425437"/>
    <w:rsid w:val="00426146"/>
    <w:rsid w:val="0043153C"/>
    <w:rsid w:val="0043217F"/>
    <w:rsid w:val="00435A3E"/>
    <w:rsid w:val="004366C0"/>
    <w:rsid w:val="004407B1"/>
    <w:rsid w:val="00444E45"/>
    <w:rsid w:val="00445A08"/>
    <w:rsid w:val="00445CB4"/>
    <w:rsid w:val="00447E47"/>
    <w:rsid w:val="00450617"/>
    <w:rsid w:val="00452689"/>
    <w:rsid w:val="004529F1"/>
    <w:rsid w:val="0045583E"/>
    <w:rsid w:val="0045722B"/>
    <w:rsid w:val="00460AFD"/>
    <w:rsid w:val="00462168"/>
    <w:rsid w:val="00465464"/>
    <w:rsid w:val="004707D2"/>
    <w:rsid w:val="004718B1"/>
    <w:rsid w:val="00472371"/>
    <w:rsid w:val="00472CFB"/>
    <w:rsid w:val="00476BC4"/>
    <w:rsid w:val="004816FF"/>
    <w:rsid w:val="00481A26"/>
    <w:rsid w:val="00483E34"/>
    <w:rsid w:val="004846E5"/>
    <w:rsid w:val="004850E9"/>
    <w:rsid w:val="004852FA"/>
    <w:rsid w:val="004862A5"/>
    <w:rsid w:val="00487515"/>
    <w:rsid w:val="00487BFD"/>
    <w:rsid w:val="004905CF"/>
    <w:rsid w:val="00494BAB"/>
    <w:rsid w:val="00495AF9"/>
    <w:rsid w:val="004A2131"/>
    <w:rsid w:val="004A464E"/>
    <w:rsid w:val="004A49C1"/>
    <w:rsid w:val="004A5D3A"/>
    <w:rsid w:val="004A7D91"/>
    <w:rsid w:val="004B4D37"/>
    <w:rsid w:val="004B5275"/>
    <w:rsid w:val="004C1714"/>
    <w:rsid w:val="004C5235"/>
    <w:rsid w:val="004C5319"/>
    <w:rsid w:val="004C7CE9"/>
    <w:rsid w:val="004D0EBC"/>
    <w:rsid w:val="004D30D4"/>
    <w:rsid w:val="004D4315"/>
    <w:rsid w:val="004E0D8F"/>
    <w:rsid w:val="004E1BC7"/>
    <w:rsid w:val="004E2659"/>
    <w:rsid w:val="004E30E0"/>
    <w:rsid w:val="004E58A3"/>
    <w:rsid w:val="004E73D1"/>
    <w:rsid w:val="004F0401"/>
    <w:rsid w:val="004F0894"/>
    <w:rsid w:val="004F202D"/>
    <w:rsid w:val="004F407D"/>
    <w:rsid w:val="004F5923"/>
    <w:rsid w:val="005005A3"/>
    <w:rsid w:val="005005E7"/>
    <w:rsid w:val="0050093B"/>
    <w:rsid w:val="00502310"/>
    <w:rsid w:val="00505840"/>
    <w:rsid w:val="0050614E"/>
    <w:rsid w:val="00507090"/>
    <w:rsid w:val="00507EBE"/>
    <w:rsid w:val="00511D30"/>
    <w:rsid w:val="00512E40"/>
    <w:rsid w:val="0051438F"/>
    <w:rsid w:val="0051453D"/>
    <w:rsid w:val="00515145"/>
    <w:rsid w:val="005178B4"/>
    <w:rsid w:val="00521ED2"/>
    <w:rsid w:val="00523F61"/>
    <w:rsid w:val="0052464F"/>
    <w:rsid w:val="00526DB3"/>
    <w:rsid w:val="00527F58"/>
    <w:rsid w:val="005320C1"/>
    <w:rsid w:val="00533FEC"/>
    <w:rsid w:val="00535F76"/>
    <w:rsid w:val="005434FF"/>
    <w:rsid w:val="005436CB"/>
    <w:rsid w:val="005439C3"/>
    <w:rsid w:val="00547034"/>
    <w:rsid w:val="00547944"/>
    <w:rsid w:val="00550E4F"/>
    <w:rsid w:val="00551167"/>
    <w:rsid w:val="0055173C"/>
    <w:rsid w:val="00555097"/>
    <w:rsid w:val="00555B1C"/>
    <w:rsid w:val="005641A8"/>
    <w:rsid w:val="00565599"/>
    <w:rsid w:val="00572C0F"/>
    <w:rsid w:val="005756C4"/>
    <w:rsid w:val="005764E7"/>
    <w:rsid w:val="005817BF"/>
    <w:rsid w:val="00582333"/>
    <w:rsid w:val="00584C69"/>
    <w:rsid w:val="00585C5E"/>
    <w:rsid w:val="005860ED"/>
    <w:rsid w:val="00587B44"/>
    <w:rsid w:val="005915F6"/>
    <w:rsid w:val="00591C67"/>
    <w:rsid w:val="00592DF1"/>
    <w:rsid w:val="0059652C"/>
    <w:rsid w:val="005A0B15"/>
    <w:rsid w:val="005A410C"/>
    <w:rsid w:val="005A5E7F"/>
    <w:rsid w:val="005B19CA"/>
    <w:rsid w:val="005B3BED"/>
    <w:rsid w:val="005B5420"/>
    <w:rsid w:val="005B7E7B"/>
    <w:rsid w:val="005C2541"/>
    <w:rsid w:val="005C3226"/>
    <w:rsid w:val="005C3C97"/>
    <w:rsid w:val="005C7DC1"/>
    <w:rsid w:val="005D01DF"/>
    <w:rsid w:val="005D5E7D"/>
    <w:rsid w:val="005D7AEF"/>
    <w:rsid w:val="005E1885"/>
    <w:rsid w:val="005E1AAC"/>
    <w:rsid w:val="005F0702"/>
    <w:rsid w:val="005F1702"/>
    <w:rsid w:val="005F3911"/>
    <w:rsid w:val="00606067"/>
    <w:rsid w:val="006071C5"/>
    <w:rsid w:val="00612323"/>
    <w:rsid w:val="00612EE2"/>
    <w:rsid w:val="0061764F"/>
    <w:rsid w:val="00620255"/>
    <w:rsid w:val="006224C7"/>
    <w:rsid w:val="00623593"/>
    <w:rsid w:val="00630D06"/>
    <w:rsid w:val="00630D1A"/>
    <w:rsid w:val="00636829"/>
    <w:rsid w:val="00637F96"/>
    <w:rsid w:val="006421D1"/>
    <w:rsid w:val="0065471F"/>
    <w:rsid w:val="006566BE"/>
    <w:rsid w:val="006575C7"/>
    <w:rsid w:val="00660410"/>
    <w:rsid w:val="006610F2"/>
    <w:rsid w:val="0066555B"/>
    <w:rsid w:val="00667718"/>
    <w:rsid w:val="0067136A"/>
    <w:rsid w:val="00672BA5"/>
    <w:rsid w:val="006736CF"/>
    <w:rsid w:val="00673B24"/>
    <w:rsid w:val="006744AA"/>
    <w:rsid w:val="00674B21"/>
    <w:rsid w:val="00675FD2"/>
    <w:rsid w:val="0067726B"/>
    <w:rsid w:val="00680EE5"/>
    <w:rsid w:val="006822A7"/>
    <w:rsid w:val="00683478"/>
    <w:rsid w:val="0068542E"/>
    <w:rsid w:val="00687152"/>
    <w:rsid w:val="006928C2"/>
    <w:rsid w:val="00695085"/>
    <w:rsid w:val="00697063"/>
    <w:rsid w:val="006A0FDD"/>
    <w:rsid w:val="006A16D8"/>
    <w:rsid w:val="006A5B23"/>
    <w:rsid w:val="006A5D66"/>
    <w:rsid w:val="006A7383"/>
    <w:rsid w:val="006B5F56"/>
    <w:rsid w:val="006B61B3"/>
    <w:rsid w:val="006C1EA3"/>
    <w:rsid w:val="006D1DD5"/>
    <w:rsid w:val="006D21A1"/>
    <w:rsid w:val="006D5D16"/>
    <w:rsid w:val="006E1657"/>
    <w:rsid w:val="006E4126"/>
    <w:rsid w:val="006E5EF6"/>
    <w:rsid w:val="006E7A2E"/>
    <w:rsid w:val="006F09C7"/>
    <w:rsid w:val="006F324D"/>
    <w:rsid w:val="006F3F75"/>
    <w:rsid w:val="006F6893"/>
    <w:rsid w:val="0070159D"/>
    <w:rsid w:val="00703F17"/>
    <w:rsid w:val="00706EC7"/>
    <w:rsid w:val="00712F69"/>
    <w:rsid w:val="00713A2A"/>
    <w:rsid w:val="00714B1B"/>
    <w:rsid w:val="00721037"/>
    <w:rsid w:val="0073083A"/>
    <w:rsid w:val="00733689"/>
    <w:rsid w:val="00733EA8"/>
    <w:rsid w:val="007356F6"/>
    <w:rsid w:val="007408D2"/>
    <w:rsid w:val="00741EBE"/>
    <w:rsid w:val="00742AF0"/>
    <w:rsid w:val="00743BAD"/>
    <w:rsid w:val="00751050"/>
    <w:rsid w:val="00751732"/>
    <w:rsid w:val="007527DE"/>
    <w:rsid w:val="00760126"/>
    <w:rsid w:val="00763492"/>
    <w:rsid w:val="00763C4C"/>
    <w:rsid w:val="00766883"/>
    <w:rsid w:val="00767DAD"/>
    <w:rsid w:val="007736FA"/>
    <w:rsid w:val="00776839"/>
    <w:rsid w:val="00777844"/>
    <w:rsid w:val="007809D1"/>
    <w:rsid w:val="00780EC5"/>
    <w:rsid w:val="00781170"/>
    <w:rsid w:val="00781E4B"/>
    <w:rsid w:val="00782480"/>
    <w:rsid w:val="00784B79"/>
    <w:rsid w:val="0078652C"/>
    <w:rsid w:val="00787282"/>
    <w:rsid w:val="0078786F"/>
    <w:rsid w:val="00787C0F"/>
    <w:rsid w:val="00793961"/>
    <w:rsid w:val="00794BD9"/>
    <w:rsid w:val="007A5B82"/>
    <w:rsid w:val="007A79F2"/>
    <w:rsid w:val="007B1346"/>
    <w:rsid w:val="007B7244"/>
    <w:rsid w:val="007B7F7C"/>
    <w:rsid w:val="007C008E"/>
    <w:rsid w:val="007D1F1E"/>
    <w:rsid w:val="007D2802"/>
    <w:rsid w:val="007D2DF4"/>
    <w:rsid w:val="007D2EF8"/>
    <w:rsid w:val="007D49C2"/>
    <w:rsid w:val="007D4E77"/>
    <w:rsid w:val="007D5658"/>
    <w:rsid w:val="007E0432"/>
    <w:rsid w:val="007E195A"/>
    <w:rsid w:val="007E6E82"/>
    <w:rsid w:val="007F3292"/>
    <w:rsid w:val="007F7DC5"/>
    <w:rsid w:val="008007B3"/>
    <w:rsid w:val="008016E0"/>
    <w:rsid w:val="008027C8"/>
    <w:rsid w:val="00810278"/>
    <w:rsid w:val="00810955"/>
    <w:rsid w:val="0081215A"/>
    <w:rsid w:val="00815247"/>
    <w:rsid w:val="00816280"/>
    <w:rsid w:val="008221F3"/>
    <w:rsid w:val="0082335B"/>
    <w:rsid w:val="0082454F"/>
    <w:rsid w:val="00827E6B"/>
    <w:rsid w:val="00830211"/>
    <w:rsid w:val="00831E74"/>
    <w:rsid w:val="00832898"/>
    <w:rsid w:val="008344F2"/>
    <w:rsid w:val="00834B90"/>
    <w:rsid w:val="00835904"/>
    <w:rsid w:val="00841402"/>
    <w:rsid w:val="00845930"/>
    <w:rsid w:val="00846B31"/>
    <w:rsid w:val="008502BC"/>
    <w:rsid w:val="008522EB"/>
    <w:rsid w:val="008553B4"/>
    <w:rsid w:val="00855477"/>
    <w:rsid w:val="0085548C"/>
    <w:rsid w:val="00856B34"/>
    <w:rsid w:val="00863418"/>
    <w:rsid w:val="00863A68"/>
    <w:rsid w:val="00863D24"/>
    <w:rsid w:val="00863FFF"/>
    <w:rsid w:val="00866E4D"/>
    <w:rsid w:val="00870F40"/>
    <w:rsid w:val="008729EE"/>
    <w:rsid w:val="00873540"/>
    <w:rsid w:val="00875D6C"/>
    <w:rsid w:val="00876821"/>
    <w:rsid w:val="00877ADE"/>
    <w:rsid w:val="0088118E"/>
    <w:rsid w:val="00882960"/>
    <w:rsid w:val="00885C90"/>
    <w:rsid w:val="008905CB"/>
    <w:rsid w:val="00892216"/>
    <w:rsid w:val="00893449"/>
    <w:rsid w:val="00893527"/>
    <w:rsid w:val="0089436F"/>
    <w:rsid w:val="008A4177"/>
    <w:rsid w:val="008A5DBA"/>
    <w:rsid w:val="008A6ECD"/>
    <w:rsid w:val="008A7744"/>
    <w:rsid w:val="008B1BF2"/>
    <w:rsid w:val="008B4C0E"/>
    <w:rsid w:val="008B5D35"/>
    <w:rsid w:val="008B7C2A"/>
    <w:rsid w:val="008C262D"/>
    <w:rsid w:val="008C3B74"/>
    <w:rsid w:val="008C5D8A"/>
    <w:rsid w:val="008C626D"/>
    <w:rsid w:val="008D0652"/>
    <w:rsid w:val="008D466E"/>
    <w:rsid w:val="008E0649"/>
    <w:rsid w:val="008E2D07"/>
    <w:rsid w:val="008E2E0A"/>
    <w:rsid w:val="008E3699"/>
    <w:rsid w:val="008E7571"/>
    <w:rsid w:val="008F0153"/>
    <w:rsid w:val="008F0211"/>
    <w:rsid w:val="008F03E5"/>
    <w:rsid w:val="008F0880"/>
    <w:rsid w:val="008F32B7"/>
    <w:rsid w:val="008F4B56"/>
    <w:rsid w:val="008F5557"/>
    <w:rsid w:val="00900F9C"/>
    <w:rsid w:val="0090281C"/>
    <w:rsid w:val="00902BF3"/>
    <w:rsid w:val="00905F2B"/>
    <w:rsid w:val="0090605C"/>
    <w:rsid w:val="0090772B"/>
    <w:rsid w:val="00916CBA"/>
    <w:rsid w:val="00920C5D"/>
    <w:rsid w:val="00923592"/>
    <w:rsid w:val="0092461E"/>
    <w:rsid w:val="00936E79"/>
    <w:rsid w:val="009406D4"/>
    <w:rsid w:val="00941AD7"/>
    <w:rsid w:val="00947BAC"/>
    <w:rsid w:val="00951C46"/>
    <w:rsid w:val="009559CC"/>
    <w:rsid w:val="009559D6"/>
    <w:rsid w:val="0095668C"/>
    <w:rsid w:val="00962855"/>
    <w:rsid w:val="00962A14"/>
    <w:rsid w:val="00962E57"/>
    <w:rsid w:val="00965500"/>
    <w:rsid w:val="0096675A"/>
    <w:rsid w:val="00966A06"/>
    <w:rsid w:val="0097056C"/>
    <w:rsid w:val="00970DBD"/>
    <w:rsid w:val="0098034F"/>
    <w:rsid w:val="009817B3"/>
    <w:rsid w:val="00984FF7"/>
    <w:rsid w:val="009A00BF"/>
    <w:rsid w:val="009B0DB6"/>
    <w:rsid w:val="009B117F"/>
    <w:rsid w:val="009B5ED8"/>
    <w:rsid w:val="009C207D"/>
    <w:rsid w:val="009C2835"/>
    <w:rsid w:val="009C7652"/>
    <w:rsid w:val="009C7BAD"/>
    <w:rsid w:val="009D0FCC"/>
    <w:rsid w:val="009D1AD2"/>
    <w:rsid w:val="009D4DDE"/>
    <w:rsid w:val="009D4E98"/>
    <w:rsid w:val="009E06E5"/>
    <w:rsid w:val="009E093F"/>
    <w:rsid w:val="009E0980"/>
    <w:rsid w:val="009E0DDB"/>
    <w:rsid w:val="009E327F"/>
    <w:rsid w:val="009E3A16"/>
    <w:rsid w:val="009F2C17"/>
    <w:rsid w:val="009F3235"/>
    <w:rsid w:val="009F44D6"/>
    <w:rsid w:val="009F5833"/>
    <w:rsid w:val="009F61A3"/>
    <w:rsid w:val="00A00EEB"/>
    <w:rsid w:val="00A06233"/>
    <w:rsid w:val="00A12F62"/>
    <w:rsid w:val="00A1546B"/>
    <w:rsid w:val="00A1723B"/>
    <w:rsid w:val="00A17613"/>
    <w:rsid w:val="00A17DE0"/>
    <w:rsid w:val="00A222D1"/>
    <w:rsid w:val="00A23624"/>
    <w:rsid w:val="00A24C46"/>
    <w:rsid w:val="00A310B3"/>
    <w:rsid w:val="00A31981"/>
    <w:rsid w:val="00A31B94"/>
    <w:rsid w:val="00A3200A"/>
    <w:rsid w:val="00A32C0C"/>
    <w:rsid w:val="00A34932"/>
    <w:rsid w:val="00A35C10"/>
    <w:rsid w:val="00A36E09"/>
    <w:rsid w:val="00A406DF"/>
    <w:rsid w:val="00A42768"/>
    <w:rsid w:val="00A4306D"/>
    <w:rsid w:val="00A458FB"/>
    <w:rsid w:val="00A45F4C"/>
    <w:rsid w:val="00A46FAE"/>
    <w:rsid w:val="00A471B0"/>
    <w:rsid w:val="00A5018A"/>
    <w:rsid w:val="00A51873"/>
    <w:rsid w:val="00A53BAD"/>
    <w:rsid w:val="00A53FD5"/>
    <w:rsid w:val="00A5418F"/>
    <w:rsid w:val="00A54431"/>
    <w:rsid w:val="00A5483A"/>
    <w:rsid w:val="00A555EA"/>
    <w:rsid w:val="00A56825"/>
    <w:rsid w:val="00A56A2E"/>
    <w:rsid w:val="00A62053"/>
    <w:rsid w:val="00A658A4"/>
    <w:rsid w:val="00A67CAD"/>
    <w:rsid w:val="00A7046B"/>
    <w:rsid w:val="00A75237"/>
    <w:rsid w:val="00A8426A"/>
    <w:rsid w:val="00A85CE1"/>
    <w:rsid w:val="00A902D0"/>
    <w:rsid w:val="00A94480"/>
    <w:rsid w:val="00A94BD7"/>
    <w:rsid w:val="00AA27E7"/>
    <w:rsid w:val="00AA541A"/>
    <w:rsid w:val="00AB035A"/>
    <w:rsid w:val="00AB7643"/>
    <w:rsid w:val="00AB789F"/>
    <w:rsid w:val="00AC0EB9"/>
    <w:rsid w:val="00AC2218"/>
    <w:rsid w:val="00AC3430"/>
    <w:rsid w:val="00AC5237"/>
    <w:rsid w:val="00AC552B"/>
    <w:rsid w:val="00AC6613"/>
    <w:rsid w:val="00AD0E5D"/>
    <w:rsid w:val="00AD1CEE"/>
    <w:rsid w:val="00AD3FDF"/>
    <w:rsid w:val="00AD65E3"/>
    <w:rsid w:val="00AD6F47"/>
    <w:rsid w:val="00AD725D"/>
    <w:rsid w:val="00AE4244"/>
    <w:rsid w:val="00AE7DA5"/>
    <w:rsid w:val="00AF18B7"/>
    <w:rsid w:val="00AF435D"/>
    <w:rsid w:val="00AF74B3"/>
    <w:rsid w:val="00AF7968"/>
    <w:rsid w:val="00B0763B"/>
    <w:rsid w:val="00B0786A"/>
    <w:rsid w:val="00B1303F"/>
    <w:rsid w:val="00B15FDF"/>
    <w:rsid w:val="00B16283"/>
    <w:rsid w:val="00B17AC0"/>
    <w:rsid w:val="00B2035E"/>
    <w:rsid w:val="00B23895"/>
    <w:rsid w:val="00B23AEE"/>
    <w:rsid w:val="00B23FC6"/>
    <w:rsid w:val="00B315C8"/>
    <w:rsid w:val="00B33E45"/>
    <w:rsid w:val="00B34795"/>
    <w:rsid w:val="00B34B57"/>
    <w:rsid w:val="00B3704E"/>
    <w:rsid w:val="00B377AD"/>
    <w:rsid w:val="00B42690"/>
    <w:rsid w:val="00B43419"/>
    <w:rsid w:val="00B450D1"/>
    <w:rsid w:val="00B47AA3"/>
    <w:rsid w:val="00B50018"/>
    <w:rsid w:val="00B50D4A"/>
    <w:rsid w:val="00B55933"/>
    <w:rsid w:val="00B5640F"/>
    <w:rsid w:val="00B60B06"/>
    <w:rsid w:val="00B63BE0"/>
    <w:rsid w:val="00B70DA8"/>
    <w:rsid w:val="00B72635"/>
    <w:rsid w:val="00B76156"/>
    <w:rsid w:val="00B778F6"/>
    <w:rsid w:val="00B77BD9"/>
    <w:rsid w:val="00B81F13"/>
    <w:rsid w:val="00B832A1"/>
    <w:rsid w:val="00B86E0B"/>
    <w:rsid w:val="00B903B8"/>
    <w:rsid w:val="00B9050E"/>
    <w:rsid w:val="00B91CAC"/>
    <w:rsid w:val="00B930EB"/>
    <w:rsid w:val="00B948D1"/>
    <w:rsid w:val="00B9765C"/>
    <w:rsid w:val="00BA040F"/>
    <w:rsid w:val="00BA1723"/>
    <w:rsid w:val="00BA1C5A"/>
    <w:rsid w:val="00BA290A"/>
    <w:rsid w:val="00BA2C3E"/>
    <w:rsid w:val="00BA2DF6"/>
    <w:rsid w:val="00BA3C79"/>
    <w:rsid w:val="00BA4309"/>
    <w:rsid w:val="00BA4D4C"/>
    <w:rsid w:val="00BA57CA"/>
    <w:rsid w:val="00BA6AB1"/>
    <w:rsid w:val="00BB422E"/>
    <w:rsid w:val="00BB566C"/>
    <w:rsid w:val="00BB65E3"/>
    <w:rsid w:val="00BB73D5"/>
    <w:rsid w:val="00BC2F9C"/>
    <w:rsid w:val="00BC3B67"/>
    <w:rsid w:val="00BC3EB6"/>
    <w:rsid w:val="00BC58CD"/>
    <w:rsid w:val="00BC702B"/>
    <w:rsid w:val="00BC71D6"/>
    <w:rsid w:val="00BC776B"/>
    <w:rsid w:val="00BD2D55"/>
    <w:rsid w:val="00BD343B"/>
    <w:rsid w:val="00BD5B56"/>
    <w:rsid w:val="00BD65D9"/>
    <w:rsid w:val="00BD6AF1"/>
    <w:rsid w:val="00BE4493"/>
    <w:rsid w:val="00BE5FA1"/>
    <w:rsid w:val="00BE7DED"/>
    <w:rsid w:val="00BF1DD8"/>
    <w:rsid w:val="00BF44F1"/>
    <w:rsid w:val="00BF5A15"/>
    <w:rsid w:val="00C04B03"/>
    <w:rsid w:val="00C05C99"/>
    <w:rsid w:val="00C07950"/>
    <w:rsid w:val="00C103F9"/>
    <w:rsid w:val="00C11C35"/>
    <w:rsid w:val="00C12A4F"/>
    <w:rsid w:val="00C13D55"/>
    <w:rsid w:val="00C14FB3"/>
    <w:rsid w:val="00C1600C"/>
    <w:rsid w:val="00C161B8"/>
    <w:rsid w:val="00C163E9"/>
    <w:rsid w:val="00C210F1"/>
    <w:rsid w:val="00C23C5D"/>
    <w:rsid w:val="00C27E93"/>
    <w:rsid w:val="00C31238"/>
    <w:rsid w:val="00C32003"/>
    <w:rsid w:val="00C3317A"/>
    <w:rsid w:val="00C3417B"/>
    <w:rsid w:val="00C361E3"/>
    <w:rsid w:val="00C37004"/>
    <w:rsid w:val="00C37D76"/>
    <w:rsid w:val="00C414CF"/>
    <w:rsid w:val="00C41BF8"/>
    <w:rsid w:val="00C45E4E"/>
    <w:rsid w:val="00C46434"/>
    <w:rsid w:val="00C51A5B"/>
    <w:rsid w:val="00C52071"/>
    <w:rsid w:val="00C54320"/>
    <w:rsid w:val="00C5644A"/>
    <w:rsid w:val="00C56A25"/>
    <w:rsid w:val="00C57DD6"/>
    <w:rsid w:val="00C61561"/>
    <w:rsid w:val="00C636C4"/>
    <w:rsid w:val="00C64B91"/>
    <w:rsid w:val="00C655C0"/>
    <w:rsid w:val="00C73F2A"/>
    <w:rsid w:val="00C7427F"/>
    <w:rsid w:val="00C75250"/>
    <w:rsid w:val="00C76E48"/>
    <w:rsid w:val="00C82B0B"/>
    <w:rsid w:val="00C849B8"/>
    <w:rsid w:val="00C86A93"/>
    <w:rsid w:val="00C873DE"/>
    <w:rsid w:val="00C91300"/>
    <w:rsid w:val="00C94358"/>
    <w:rsid w:val="00C979A9"/>
    <w:rsid w:val="00C97C22"/>
    <w:rsid w:val="00CA0F65"/>
    <w:rsid w:val="00CA37E2"/>
    <w:rsid w:val="00CA3B4B"/>
    <w:rsid w:val="00CA4172"/>
    <w:rsid w:val="00CA4F43"/>
    <w:rsid w:val="00CA6189"/>
    <w:rsid w:val="00CA6F29"/>
    <w:rsid w:val="00CA6F68"/>
    <w:rsid w:val="00CB10C3"/>
    <w:rsid w:val="00CB4876"/>
    <w:rsid w:val="00CB54CE"/>
    <w:rsid w:val="00CC031F"/>
    <w:rsid w:val="00CC3F59"/>
    <w:rsid w:val="00CC46EF"/>
    <w:rsid w:val="00CC5031"/>
    <w:rsid w:val="00CD0D59"/>
    <w:rsid w:val="00CD0FA0"/>
    <w:rsid w:val="00CD2A26"/>
    <w:rsid w:val="00CD5F9D"/>
    <w:rsid w:val="00CD705A"/>
    <w:rsid w:val="00CD72A2"/>
    <w:rsid w:val="00CD7CD9"/>
    <w:rsid w:val="00CE0B9D"/>
    <w:rsid w:val="00CE334A"/>
    <w:rsid w:val="00CE40A6"/>
    <w:rsid w:val="00CE4F76"/>
    <w:rsid w:val="00CF086F"/>
    <w:rsid w:val="00CF12D7"/>
    <w:rsid w:val="00CF5867"/>
    <w:rsid w:val="00CF5B0B"/>
    <w:rsid w:val="00CF7A8F"/>
    <w:rsid w:val="00D07373"/>
    <w:rsid w:val="00D12361"/>
    <w:rsid w:val="00D14A49"/>
    <w:rsid w:val="00D24FB6"/>
    <w:rsid w:val="00D2689A"/>
    <w:rsid w:val="00D307CA"/>
    <w:rsid w:val="00D319B5"/>
    <w:rsid w:val="00D31C83"/>
    <w:rsid w:val="00D31E9F"/>
    <w:rsid w:val="00D32836"/>
    <w:rsid w:val="00D338CC"/>
    <w:rsid w:val="00D3640C"/>
    <w:rsid w:val="00D37315"/>
    <w:rsid w:val="00D4051E"/>
    <w:rsid w:val="00D4182B"/>
    <w:rsid w:val="00D43657"/>
    <w:rsid w:val="00D44A7A"/>
    <w:rsid w:val="00D476AF"/>
    <w:rsid w:val="00D52E11"/>
    <w:rsid w:val="00D5484D"/>
    <w:rsid w:val="00D55BA4"/>
    <w:rsid w:val="00D61C18"/>
    <w:rsid w:val="00D62055"/>
    <w:rsid w:val="00D64E77"/>
    <w:rsid w:val="00D650F3"/>
    <w:rsid w:val="00D705AA"/>
    <w:rsid w:val="00D71B18"/>
    <w:rsid w:val="00D71F2C"/>
    <w:rsid w:val="00D744CD"/>
    <w:rsid w:val="00D75F88"/>
    <w:rsid w:val="00D77C24"/>
    <w:rsid w:val="00D80E69"/>
    <w:rsid w:val="00D82397"/>
    <w:rsid w:val="00D84C87"/>
    <w:rsid w:val="00D91126"/>
    <w:rsid w:val="00D92B00"/>
    <w:rsid w:val="00D93A61"/>
    <w:rsid w:val="00DA00F0"/>
    <w:rsid w:val="00DA777D"/>
    <w:rsid w:val="00DB031D"/>
    <w:rsid w:val="00DB14D0"/>
    <w:rsid w:val="00DB2557"/>
    <w:rsid w:val="00DB682E"/>
    <w:rsid w:val="00DC5F86"/>
    <w:rsid w:val="00DC65DD"/>
    <w:rsid w:val="00DD0BAA"/>
    <w:rsid w:val="00DD3E37"/>
    <w:rsid w:val="00DE189F"/>
    <w:rsid w:val="00DE22A1"/>
    <w:rsid w:val="00DE28B5"/>
    <w:rsid w:val="00DE331C"/>
    <w:rsid w:val="00DF232E"/>
    <w:rsid w:val="00E03D6B"/>
    <w:rsid w:val="00E0667A"/>
    <w:rsid w:val="00E07974"/>
    <w:rsid w:val="00E101EC"/>
    <w:rsid w:val="00E12251"/>
    <w:rsid w:val="00E14A32"/>
    <w:rsid w:val="00E15DE7"/>
    <w:rsid w:val="00E17728"/>
    <w:rsid w:val="00E2104A"/>
    <w:rsid w:val="00E218B1"/>
    <w:rsid w:val="00E22673"/>
    <w:rsid w:val="00E22963"/>
    <w:rsid w:val="00E22EA8"/>
    <w:rsid w:val="00E22F0F"/>
    <w:rsid w:val="00E249F4"/>
    <w:rsid w:val="00E24D94"/>
    <w:rsid w:val="00E250D1"/>
    <w:rsid w:val="00E26AAA"/>
    <w:rsid w:val="00E30223"/>
    <w:rsid w:val="00E30CE8"/>
    <w:rsid w:val="00E33739"/>
    <w:rsid w:val="00E34333"/>
    <w:rsid w:val="00E373F3"/>
    <w:rsid w:val="00E41D17"/>
    <w:rsid w:val="00E50479"/>
    <w:rsid w:val="00E53947"/>
    <w:rsid w:val="00E55D4C"/>
    <w:rsid w:val="00E61E45"/>
    <w:rsid w:val="00E63714"/>
    <w:rsid w:val="00E64825"/>
    <w:rsid w:val="00E64A89"/>
    <w:rsid w:val="00E67332"/>
    <w:rsid w:val="00E70BB2"/>
    <w:rsid w:val="00E713CB"/>
    <w:rsid w:val="00E720DE"/>
    <w:rsid w:val="00E74534"/>
    <w:rsid w:val="00E74EC4"/>
    <w:rsid w:val="00E76001"/>
    <w:rsid w:val="00E77B6A"/>
    <w:rsid w:val="00E77EAA"/>
    <w:rsid w:val="00E81FF7"/>
    <w:rsid w:val="00E857C0"/>
    <w:rsid w:val="00E90020"/>
    <w:rsid w:val="00E91094"/>
    <w:rsid w:val="00E92E5E"/>
    <w:rsid w:val="00E93EDB"/>
    <w:rsid w:val="00E94446"/>
    <w:rsid w:val="00E94793"/>
    <w:rsid w:val="00E95B61"/>
    <w:rsid w:val="00EA0514"/>
    <w:rsid w:val="00EA23A3"/>
    <w:rsid w:val="00EA78B7"/>
    <w:rsid w:val="00EB2416"/>
    <w:rsid w:val="00EB3874"/>
    <w:rsid w:val="00EC284C"/>
    <w:rsid w:val="00EC7318"/>
    <w:rsid w:val="00ED35F4"/>
    <w:rsid w:val="00ED36C3"/>
    <w:rsid w:val="00ED3A5D"/>
    <w:rsid w:val="00ED548A"/>
    <w:rsid w:val="00ED5D2B"/>
    <w:rsid w:val="00ED6C1B"/>
    <w:rsid w:val="00ED6D48"/>
    <w:rsid w:val="00EE1D7E"/>
    <w:rsid w:val="00EE3DEB"/>
    <w:rsid w:val="00EE5F19"/>
    <w:rsid w:val="00EE6FD1"/>
    <w:rsid w:val="00EF3500"/>
    <w:rsid w:val="00EF6B82"/>
    <w:rsid w:val="00F004EA"/>
    <w:rsid w:val="00F0086C"/>
    <w:rsid w:val="00F02765"/>
    <w:rsid w:val="00F03EA0"/>
    <w:rsid w:val="00F05C43"/>
    <w:rsid w:val="00F121D3"/>
    <w:rsid w:val="00F156EE"/>
    <w:rsid w:val="00F159F3"/>
    <w:rsid w:val="00F164E6"/>
    <w:rsid w:val="00F16E22"/>
    <w:rsid w:val="00F17CD2"/>
    <w:rsid w:val="00F210C2"/>
    <w:rsid w:val="00F22EA0"/>
    <w:rsid w:val="00F31845"/>
    <w:rsid w:val="00F34DB6"/>
    <w:rsid w:val="00F367A3"/>
    <w:rsid w:val="00F40583"/>
    <w:rsid w:val="00F41CFA"/>
    <w:rsid w:val="00F429E7"/>
    <w:rsid w:val="00F44A55"/>
    <w:rsid w:val="00F4720B"/>
    <w:rsid w:val="00F47F11"/>
    <w:rsid w:val="00F53B7B"/>
    <w:rsid w:val="00F57786"/>
    <w:rsid w:val="00F60A73"/>
    <w:rsid w:val="00F60D67"/>
    <w:rsid w:val="00F63501"/>
    <w:rsid w:val="00F65DB1"/>
    <w:rsid w:val="00F66047"/>
    <w:rsid w:val="00F751AD"/>
    <w:rsid w:val="00F75D61"/>
    <w:rsid w:val="00F7796D"/>
    <w:rsid w:val="00F804BE"/>
    <w:rsid w:val="00F807FB"/>
    <w:rsid w:val="00F81E81"/>
    <w:rsid w:val="00F8356D"/>
    <w:rsid w:val="00F83C4F"/>
    <w:rsid w:val="00F83F28"/>
    <w:rsid w:val="00F87D5D"/>
    <w:rsid w:val="00F90664"/>
    <w:rsid w:val="00F91A94"/>
    <w:rsid w:val="00F91B1A"/>
    <w:rsid w:val="00F937CC"/>
    <w:rsid w:val="00F94369"/>
    <w:rsid w:val="00F95B67"/>
    <w:rsid w:val="00F95E0C"/>
    <w:rsid w:val="00F96C96"/>
    <w:rsid w:val="00F96CB6"/>
    <w:rsid w:val="00FA39CA"/>
    <w:rsid w:val="00FA48BE"/>
    <w:rsid w:val="00FA4F83"/>
    <w:rsid w:val="00FA556C"/>
    <w:rsid w:val="00FA6EEA"/>
    <w:rsid w:val="00FB1DB7"/>
    <w:rsid w:val="00FB2C55"/>
    <w:rsid w:val="00FB58AE"/>
    <w:rsid w:val="00FB78D7"/>
    <w:rsid w:val="00FC12B1"/>
    <w:rsid w:val="00FC55B0"/>
    <w:rsid w:val="00FC722C"/>
    <w:rsid w:val="00FE1168"/>
    <w:rsid w:val="00FE47E5"/>
    <w:rsid w:val="00FE6661"/>
    <w:rsid w:val="00FE7278"/>
    <w:rsid w:val="00FE73D7"/>
    <w:rsid w:val="00FE7A1C"/>
    <w:rsid w:val="00FF23C0"/>
    <w:rsid w:val="00FF43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6211F13"/>
  <w15:docId w15:val="{C02D4E9F-1716-49BA-8D54-BC6F3CD6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next w:val="QPPBodytext"/>
    <w:qFormat/>
    <w:rsid w:val="002766CA"/>
    <w:rPr>
      <w:rFonts w:ascii="Arial" w:hAnsi="Arial"/>
      <w:szCs w:val="24"/>
    </w:rPr>
  </w:style>
  <w:style w:type="paragraph" w:styleId="Heading1">
    <w:name w:val="heading 1"/>
    <w:basedOn w:val="Normal"/>
    <w:next w:val="Normal"/>
    <w:qFormat/>
    <w:locked/>
    <w:rsid w:val="009559CC"/>
    <w:pPr>
      <w:keepNext/>
      <w:spacing w:before="240" w:after="60"/>
      <w:outlineLvl w:val="0"/>
    </w:pPr>
    <w:rPr>
      <w:rFonts w:cs="Arial"/>
      <w:b/>
      <w:bCs/>
      <w:kern w:val="32"/>
      <w:sz w:val="32"/>
      <w:szCs w:val="32"/>
    </w:rPr>
  </w:style>
  <w:style w:type="paragraph" w:styleId="Heading2">
    <w:name w:val="heading 2"/>
    <w:basedOn w:val="Normal"/>
    <w:next w:val="Normal"/>
    <w:link w:val="Heading2Char"/>
    <w:qFormat/>
    <w:locked/>
    <w:rsid w:val="009559CC"/>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9559CC"/>
    <w:pPr>
      <w:keepNext/>
      <w:spacing w:before="240" w:after="60"/>
      <w:outlineLvl w:val="2"/>
    </w:pPr>
    <w:rPr>
      <w:rFonts w:cs="Arial"/>
      <w:b/>
      <w:bCs/>
      <w:sz w:val="26"/>
      <w:szCs w:val="26"/>
    </w:rPr>
  </w:style>
  <w:style w:type="paragraph" w:styleId="Heading4">
    <w:name w:val="heading 4"/>
    <w:basedOn w:val="Normal"/>
    <w:next w:val="Normal"/>
    <w:link w:val="Heading4Char"/>
    <w:qFormat/>
    <w:locked/>
    <w:rsid w:val="009559CC"/>
    <w:pPr>
      <w:keepNext/>
      <w:spacing w:before="240" w:after="60"/>
      <w:outlineLvl w:val="3"/>
    </w:pPr>
    <w:rPr>
      <w:b/>
      <w:bCs/>
      <w:sz w:val="28"/>
      <w:szCs w:val="28"/>
    </w:rPr>
  </w:style>
  <w:style w:type="paragraph" w:styleId="Heading5">
    <w:name w:val="heading 5"/>
    <w:basedOn w:val="Normal"/>
    <w:next w:val="Normal"/>
    <w:qFormat/>
    <w:locked/>
    <w:rsid w:val="009559CC"/>
    <w:pPr>
      <w:spacing w:before="240" w:after="60"/>
      <w:outlineLvl w:val="4"/>
    </w:pPr>
    <w:rPr>
      <w:b/>
      <w:bCs/>
      <w:i/>
      <w:iCs/>
      <w:sz w:val="26"/>
      <w:szCs w:val="26"/>
    </w:rPr>
  </w:style>
  <w:style w:type="paragraph" w:styleId="Heading6">
    <w:name w:val="heading 6"/>
    <w:basedOn w:val="Normal"/>
    <w:next w:val="Normal"/>
    <w:qFormat/>
    <w:locked/>
    <w:rsid w:val="009559CC"/>
    <w:pPr>
      <w:spacing w:before="240" w:after="60"/>
      <w:outlineLvl w:val="5"/>
    </w:pPr>
    <w:rPr>
      <w:b/>
      <w:bCs/>
      <w:sz w:val="22"/>
      <w:szCs w:val="22"/>
    </w:rPr>
  </w:style>
  <w:style w:type="paragraph" w:styleId="Heading7">
    <w:name w:val="heading 7"/>
    <w:basedOn w:val="Normal"/>
    <w:next w:val="Normal"/>
    <w:qFormat/>
    <w:locked/>
    <w:rsid w:val="009559CC"/>
    <w:pPr>
      <w:spacing w:before="240" w:after="60"/>
      <w:outlineLvl w:val="6"/>
    </w:pPr>
  </w:style>
  <w:style w:type="paragraph" w:styleId="Heading8">
    <w:name w:val="heading 8"/>
    <w:basedOn w:val="Normal"/>
    <w:next w:val="Normal"/>
    <w:qFormat/>
    <w:locked/>
    <w:rsid w:val="009559CC"/>
    <w:pPr>
      <w:spacing w:before="240" w:after="60"/>
      <w:outlineLvl w:val="7"/>
    </w:pPr>
    <w:rPr>
      <w:i/>
      <w:iCs/>
    </w:rPr>
  </w:style>
  <w:style w:type="paragraph" w:styleId="Heading9">
    <w:name w:val="heading 9"/>
    <w:basedOn w:val="Normal"/>
    <w:next w:val="Normal"/>
    <w:qFormat/>
    <w:locked/>
    <w:rsid w:val="009559CC"/>
    <w:pPr>
      <w:spacing w:before="240" w:after="60"/>
      <w:outlineLvl w:val="8"/>
    </w:pPr>
    <w:rPr>
      <w:rFonts w:cs="Arial"/>
      <w:sz w:val="22"/>
      <w:szCs w:val="22"/>
    </w:rPr>
  </w:style>
  <w:style w:type="character" w:default="1" w:styleId="DefaultParagraphFont">
    <w:name w:val="Default Paragraph Font"/>
    <w:uiPriority w:val="1"/>
    <w:semiHidden/>
    <w:unhideWhenUsed/>
    <w:rsid w:val="002766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66CA"/>
  </w:style>
  <w:style w:type="paragraph" w:customStyle="1" w:styleId="QPPBodytext">
    <w:name w:val="QPP Body text"/>
    <w:basedOn w:val="Normal"/>
    <w:link w:val="QPPBodytextChar"/>
    <w:rsid w:val="002766CA"/>
    <w:pPr>
      <w:autoSpaceDE w:val="0"/>
      <w:autoSpaceDN w:val="0"/>
      <w:adjustRightInd w:val="0"/>
    </w:pPr>
    <w:rPr>
      <w:rFonts w:cs="Arial"/>
      <w:color w:val="000000"/>
      <w:szCs w:val="20"/>
    </w:rPr>
  </w:style>
  <w:style w:type="character" w:customStyle="1" w:styleId="QPPBodytextChar">
    <w:name w:val="QPP Body text Char"/>
    <w:link w:val="QPPBodytext"/>
    <w:rsid w:val="009559CC"/>
    <w:rPr>
      <w:rFonts w:ascii="Arial" w:hAnsi="Arial" w:cs="Arial"/>
      <w:color w:val="000000"/>
    </w:rPr>
  </w:style>
  <w:style w:type="table" w:styleId="TableGrid">
    <w:name w:val="Table Grid"/>
    <w:basedOn w:val="TableNormal"/>
    <w:locked/>
    <w:rsid w:val="009559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locked/>
    <w:rsid w:val="0038438C"/>
    <w:pPr>
      <w:widowControl w:val="0"/>
      <w:adjustRightInd w:val="0"/>
      <w:spacing w:line="360" w:lineRule="auto"/>
      <w:jc w:val="both"/>
      <w:textAlignment w:val="baseline"/>
    </w:pPr>
    <w:rPr>
      <w:rFonts w:ascii="Arial" w:hAnsi="Arial"/>
      <w:sz w:val="18"/>
      <w:szCs w:val="24"/>
      <w:lang w:eastAsia="en-US"/>
    </w:rPr>
  </w:style>
  <w:style w:type="paragraph" w:styleId="BalloonText">
    <w:name w:val="Balloon Text"/>
    <w:basedOn w:val="Normal"/>
    <w:semiHidden/>
    <w:locked/>
    <w:rsid w:val="009559CC"/>
    <w:rPr>
      <w:rFonts w:ascii="Tahoma" w:hAnsi="Tahoma" w:cs="Tahoma"/>
      <w:sz w:val="16"/>
      <w:szCs w:val="16"/>
    </w:rPr>
  </w:style>
  <w:style w:type="character" w:styleId="CommentReference">
    <w:name w:val="annotation reference"/>
    <w:semiHidden/>
    <w:locked/>
    <w:rsid w:val="009559CC"/>
    <w:rPr>
      <w:sz w:val="16"/>
      <w:szCs w:val="16"/>
    </w:rPr>
  </w:style>
  <w:style w:type="paragraph" w:styleId="CommentText">
    <w:name w:val="annotation text"/>
    <w:basedOn w:val="Normal"/>
    <w:semiHidden/>
    <w:locked/>
    <w:rsid w:val="009559CC"/>
    <w:rPr>
      <w:szCs w:val="20"/>
    </w:rPr>
  </w:style>
  <w:style w:type="paragraph" w:styleId="CommentSubject">
    <w:name w:val="annotation subject"/>
    <w:basedOn w:val="CommentText"/>
    <w:next w:val="CommentText"/>
    <w:semiHidden/>
    <w:locked/>
    <w:rsid w:val="009559CC"/>
    <w:rPr>
      <w:b/>
      <w:bCs/>
    </w:rPr>
  </w:style>
  <w:style w:type="paragraph" w:customStyle="1" w:styleId="QPPEditorsNoteStyle1">
    <w:name w:val="QPP Editor's Note Style 1"/>
    <w:basedOn w:val="Normal"/>
    <w:next w:val="QPPBodytext"/>
    <w:link w:val="QPPEditorsNoteStyle1Char"/>
    <w:rsid w:val="002766CA"/>
    <w:pPr>
      <w:spacing w:before="100" w:beforeAutospacing="1" w:after="100" w:afterAutospacing="1"/>
    </w:pPr>
    <w:rPr>
      <w:sz w:val="16"/>
      <w:szCs w:val="16"/>
    </w:rPr>
  </w:style>
  <w:style w:type="character" w:customStyle="1" w:styleId="QPPEditorsNoteStyle1Char">
    <w:name w:val="QPP Editor's Note Style 1 Char"/>
    <w:link w:val="QPPEditorsNoteStyle1"/>
    <w:rsid w:val="009559CC"/>
    <w:rPr>
      <w:rFonts w:ascii="Arial" w:hAnsi="Arial"/>
      <w:sz w:val="16"/>
      <w:szCs w:val="16"/>
    </w:rPr>
  </w:style>
  <w:style w:type="paragraph" w:customStyle="1" w:styleId="QPPTableTextBody">
    <w:name w:val="QPP Table Text Body"/>
    <w:basedOn w:val="QPPBodytext"/>
    <w:link w:val="QPPTableTextBodyChar"/>
    <w:autoRedefine/>
    <w:rsid w:val="002766CA"/>
    <w:pPr>
      <w:spacing w:before="60" w:after="60"/>
    </w:pPr>
  </w:style>
  <w:style w:type="character" w:customStyle="1" w:styleId="QPPTableTextBodyChar">
    <w:name w:val="QPP Table Text Body Char"/>
    <w:basedOn w:val="QPPBodytextChar"/>
    <w:link w:val="QPPTableTextBody"/>
    <w:rsid w:val="009559CC"/>
    <w:rPr>
      <w:rFonts w:ascii="Arial" w:hAnsi="Arial" w:cs="Arial"/>
      <w:color w:val="000000"/>
    </w:rPr>
  </w:style>
  <w:style w:type="character" w:styleId="FollowedHyperlink">
    <w:name w:val="FollowedHyperlink"/>
    <w:locked/>
    <w:rsid w:val="009559CC"/>
    <w:rPr>
      <w:color w:val="800080"/>
      <w:u w:val="single"/>
    </w:rPr>
  </w:style>
  <w:style w:type="paragraph" w:customStyle="1" w:styleId="QPPBulletPoint1">
    <w:name w:val="QPP Bullet Point 1"/>
    <w:basedOn w:val="QPPBodytext"/>
    <w:rsid w:val="002766CA"/>
    <w:pPr>
      <w:numPr>
        <w:numId w:val="1"/>
      </w:numPr>
    </w:pPr>
  </w:style>
  <w:style w:type="paragraph" w:customStyle="1" w:styleId="QPPBulletpoint2">
    <w:name w:val="QPP Bullet point 2"/>
    <w:basedOn w:val="Normal"/>
    <w:rsid w:val="002766CA"/>
    <w:pPr>
      <w:numPr>
        <w:numId w:val="57"/>
      </w:numPr>
    </w:pPr>
    <w:rPr>
      <w:rFonts w:cs="Arial"/>
      <w:szCs w:val="20"/>
      <w:lang w:eastAsia="en-US"/>
    </w:rPr>
  </w:style>
  <w:style w:type="paragraph" w:customStyle="1" w:styleId="QPPBulletpoint3">
    <w:name w:val="QPP Bullet point 3"/>
    <w:basedOn w:val="Normal"/>
    <w:rsid w:val="002766CA"/>
    <w:pPr>
      <w:numPr>
        <w:numId w:val="2"/>
      </w:numPr>
      <w:tabs>
        <w:tab w:val="left" w:pos="1701"/>
      </w:tabs>
    </w:pPr>
    <w:rPr>
      <w:rFonts w:cs="Arial"/>
      <w:szCs w:val="20"/>
      <w:lang w:eastAsia="en-US"/>
    </w:rPr>
  </w:style>
  <w:style w:type="paragraph" w:customStyle="1" w:styleId="QPPBulletPoint4">
    <w:name w:val="QPP Bullet Point 4"/>
    <w:basedOn w:val="Normal"/>
    <w:rsid w:val="002766CA"/>
    <w:pPr>
      <w:numPr>
        <w:numId w:val="3"/>
      </w:numPr>
    </w:pPr>
    <w:rPr>
      <w:rFonts w:cs="Arial"/>
      <w:szCs w:val="20"/>
      <w:lang w:eastAsia="en-US"/>
    </w:rPr>
  </w:style>
  <w:style w:type="paragraph" w:customStyle="1" w:styleId="QPPDotBulletPoint">
    <w:name w:val="QPP Dot Bullet Point"/>
    <w:basedOn w:val="Normal"/>
    <w:locked/>
    <w:rsid w:val="009559CC"/>
    <w:pPr>
      <w:numPr>
        <w:numId w:val="4"/>
      </w:numPr>
    </w:pPr>
  </w:style>
  <w:style w:type="paragraph" w:customStyle="1" w:styleId="QPPEditorsnotebulletpoint1">
    <w:name w:val="QPP Editor's note bullet point 1"/>
    <w:basedOn w:val="Normal"/>
    <w:rsid w:val="002766CA"/>
    <w:pPr>
      <w:numPr>
        <w:numId w:val="5"/>
      </w:numPr>
      <w:tabs>
        <w:tab w:val="left" w:pos="426"/>
      </w:tabs>
    </w:pPr>
    <w:rPr>
      <w:sz w:val="16"/>
      <w:szCs w:val="16"/>
    </w:rPr>
  </w:style>
  <w:style w:type="paragraph" w:customStyle="1" w:styleId="QPPEditorsNoteStyle2">
    <w:name w:val="QPP Editor's Note Style 2"/>
    <w:basedOn w:val="Normal"/>
    <w:next w:val="QPPBodytext"/>
    <w:rsid w:val="002766CA"/>
    <w:pPr>
      <w:spacing w:before="100" w:after="100"/>
      <w:ind w:left="567"/>
    </w:pPr>
    <w:rPr>
      <w:sz w:val="16"/>
      <w:szCs w:val="16"/>
    </w:rPr>
  </w:style>
  <w:style w:type="paragraph" w:customStyle="1" w:styleId="QPPFooter">
    <w:name w:val="QPP Footer"/>
    <w:basedOn w:val="Normal"/>
    <w:rsid w:val="002766CA"/>
    <w:pPr>
      <w:tabs>
        <w:tab w:val="center" w:pos="4153"/>
        <w:tab w:val="right" w:pos="8306"/>
        <w:tab w:val="right" w:pos="8364"/>
      </w:tabs>
    </w:pPr>
    <w:rPr>
      <w:rFonts w:cs="Arial"/>
      <w:sz w:val="14"/>
      <w:szCs w:val="14"/>
    </w:rPr>
  </w:style>
  <w:style w:type="paragraph" w:customStyle="1" w:styleId="QPPHeading1">
    <w:name w:val="QPP Heading 1"/>
    <w:basedOn w:val="Heading1"/>
    <w:autoRedefine/>
    <w:rsid w:val="002766CA"/>
    <w:pPr>
      <w:spacing w:before="100" w:after="200"/>
      <w:ind w:left="851" w:hanging="851"/>
    </w:pPr>
  </w:style>
  <w:style w:type="paragraph" w:customStyle="1" w:styleId="QPPHeading2">
    <w:name w:val="QPP Heading 2"/>
    <w:basedOn w:val="Normal"/>
    <w:autoRedefine/>
    <w:rsid w:val="002766CA"/>
    <w:pPr>
      <w:keepNext/>
      <w:spacing w:before="100" w:after="200"/>
      <w:outlineLvl w:val="1"/>
    </w:pPr>
    <w:rPr>
      <w:rFonts w:cs="Arial"/>
      <w:b/>
      <w:bCs/>
      <w:iCs/>
      <w:sz w:val="28"/>
      <w:szCs w:val="28"/>
    </w:rPr>
  </w:style>
  <w:style w:type="paragraph" w:customStyle="1" w:styleId="QPPHeading3">
    <w:name w:val="QPP Heading 3"/>
    <w:basedOn w:val="Normal"/>
    <w:autoRedefine/>
    <w:rsid w:val="002766CA"/>
    <w:pPr>
      <w:keepNext/>
      <w:spacing w:before="100" w:after="200"/>
      <w:outlineLvl w:val="2"/>
    </w:pPr>
    <w:rPr>
      <w:rFonts w:ascii="Arial Bold" w:hAnsi="Arial Bold" w:cs="Arial"/>
      <w:b/>
      <w:bCs/>
      <w:sz w:val="24"/>
    </w:rPr>
  </w:style>
  <w:style w:type="paragraph" w:customStyle="1" w:styleId="QPPHeading4">
    <w:name w:val="QPP Heading 4"/>
    <w:basedOn w:val="Normal"/>
    <w:link w:val="QPPHeading4Char"/>
    <w:autoRedefine/>
    <w:rsid w:val="002766CA"/>
    <w:pPr>
      <w:keepNext/>
      <w:spacing w:before="100" w:after="200"/>
      <w:ind w:left="851" w:hanging="851"/>
      <w:outlineLvl w:val="2"/>
    </w:pPr>
    <w:rPr>
      <w:rFonts w:cs="Arial"/>
      <w:b/>
      <w:bCs/>
      <w:szCs w:val="26"/>
    </w:rPr>
  </w:style>
  <w:style w:type="character" w:customStyle="1" w:styleId="QPPHeading4Char">
    <w:name w:val="QPP Heading 4 Char"/>
    <w:link w:val="QPPHeading4"/>
    <w:rsid w:val="009559CC"/>
    <w:rPr>
      <w:rFonts w:ascii="Arial" w:hAnsi="Arial" w:cs="Arial"/>
      <w:b/>
      <w:bCs/>
      <w:szCs w:val="26"/>
    </w:rPr>
  </w:style>
  <w:style w:type="paragraph" w:customStyle="1" w:styleId="QPPTableBullet">
    <w:name w:val="QPP Table Bullet"/>
    <w:basedOn w:val="Normal"/>
    <w:link w:val="QPPTableBulletChar"/>
    <w:locked/>
    <w:rsid w:val="009559CC"/>
    <w:pPr>
      <w:tabs>
        <w:tab w:val="num" w:pos="360"/>
      </w:tabs>
      <w:spacing w:before="60" w:after="40"/>
      <w:ind w:left="360" w:hanging="360"/>
    </w:pPr>
    <w:rPr>
      <w:rFonts w:eastAsia="MS Mincho"/>
      <w:lang w:eastAsia="en-US"/>
    </w:rPr>
  </w:style>
  <w:style w:type="character" w:customStyle="1" w:styleId="QPPTableBulletChar">
    <w:name w:val="QPP Table Bullet Char"/>
    <w:link w:val="QPPTableBullet"/>
    <w:rsid w:val="00237330"/>
    <w:rPr>
      <w:rFonts w:ascii="Arial" w:eastAsia="MS Mincho" w:hAnsi="Arial"/>
      <w:szCs w:val="24"/>
      <w:lang w:eastAsia="en-US"/>
    </w:rPr>
  </w:style>
  <w:style w:type="paragraph" w:customStyle="1" w:styleId="QPPTableHeadingStyle1">
    <w:name w:val="QPP Table Heading Style 1"/>
    <w:basedOn w:val="QPPHeading4"/>
    <w:link w:val="QPPTableHeadingStyle1Char"/>
    <w:rsid w:val="002766CA"/>
    <w:pPr>
      <w:spacing w:after="0"/>
      <w:ind w:left="0" w:firstLine="0"/>
    </w:pPr>
  </w:style>
  <w:style w:type="character" w:customStyle="1" w:styleId="QPPTableHeadingStyle1Char">
    <w:name w:val="QPP Table Heading Style 1 Char"/>
    <w:link w:val="QPPTableHeadingStyle1"/>
    <w:rsid w:val="00526938"/>
    <w:rPr>
      <w:rFonts w:ascii="Arial" w:hAnsi="Arial" w:cs="Arial"/>
      <w:b/>
      <w:bCs/>
      <w:szCs w:val="26"/>
    </w:rPr>
  </w:style>
  <w:style w:type="paragraph" w:customStyle="1" w:styleId="QPPTableTextBold">
    <w:name w:val="QPP Table Text Bold"/>
    <w:basedOn w:val="QPPTableTextBody"/>
    <w:link w:val="QPPTableTextBoldChar"/>
    <w:rsid w:val="002766CA"/>
    <w:rPr>
      <w:b/>
    </w:rPr>
  </w:style>
  <w:style w:type="character" w:customStyle="1" w:styleId="QPPTableTextBoldChar">
    <w:name w:val="QPP Table Text Bold Char"/>
    <w:link w:val="QPPTableTextBold"/>
    <w:rsid w:val="00237330"/>
    <w:rPr>
      <w:rFonts w:ascii="Arial" w:hAnsi="Arial" w:cs="Arial"/>
      <w:b/>
      <w:color w:val="000000"/>
    </w:rPr>
  </w:style>
  <w:style w:type="paragraph" w:customStyle="1" w:styleId="StyleQPPEditorsNoteStyle1Italic">
    <w:name w:val="Style QPP Editor's Note Style 1 + Italic"/>
    <w:basedOn w:val="QPPEditorsNoteStyle1"/>
    <w:link w:val="StyleQPPEditorsNoteStyle1ItalicChar"/>
    <w:rsid w:val="002766CA"/>
    <w:rPr>
      <w:i/>
      <w:iCs/>
    </w:rPr>
  </w:style>
  <w:style w:type="paragraph" w:customStyle="1" w:styleId="HGTableBullet2">
    <w:name w:val="HG Table Bullet 2"/>
    <w:basedOn w:val="QPPTableTextBody"/>
    <w:rsid w:val="002766CA"/>
    <w:pPr>
      <w:numPr>
        <w:numId w:val="9"/>
      </w:numPr>
      <w:tabs>
        <w:tab w:val="left" w:pos="567"/>
      </w:tabs>
    </w:pPr>
  </w:style>
  <w:style w:type="paragraph" w:customStyle="1" w:styleId="QPPTableHeadingStyle">
    <w:name w:val="QPP Table Heading Style"/>
    <w:basedOn w:val="QPPHeading4"/>
    <w:autoRedefine/>
    <w:locked/>
    <w:rsid w:val="008C3B74"/>
    <w:pPr>
      <w:spacing w:after="0"/>
      <w:ind w:left="0" w:firstLine="0"/>
    </w:pPr>
  </w:style>
  <w:style w:type="paragraph" w:customStyle="1" w:styleId="QPPBullet">
    <w:name w:val="QPP Bullet"/>
    <w:basedOn w:val="Normal"/>
    <w:autoRedefine/>
    <w:rsid w:val="002766CA"/>
    <w:pPr>
      <w:numPr>
        <w:numId w:val="6"/>
      </w:numPr>
      <w:spacing w:before="60" w:after="40"/>
    </w:pPr>
    <w:rPr>
      <w:rFonts w:eastAsia="MS Mincho"/>
      <w:lang w:eastAsia="en-US"/>
    </w:rPr>
  </w:style>
  <w:style w:type="paragraph" w:customStyle="1" w:styleId="QPPSubscript">
    <w:name w:val="QPP Subscript"/>
    <w:basedOn w:val="QPPBodytext"/>
    <w:next w:val="QPPBodytext"/>
    <w:link w:val="QPPSubscriptChar"/>
    <w:rsid w:val="002766CA"/>
    <w:rPr>
      <w:vertAlign w:val="subscript"/>
    </w:rPr>
  </w:style>
  <w:style w:type="paragraph" w:customStyle="1" w:styleId="QPPBulletPoint5DOT">
    <w:name w:val="QPP Bullet Point 5 DOT"/>
    <w:basedOn w:val="QPPBodytext"/>
    <w:autoRedefine/>
    <w:rsid w:val="002766CA"/>
    <w:pPr>
      <w:numPr>
        <w:numId w:val="7"/>
      </w:numPr>
    </w:pPr>
  </w:style>
  <w:style w:type="paragraph" w:customStyle="1" w:styleId="QPPBodyTextITALIC">
    <w:name w:val="QPP Body Text ITALIC"/>
    <w:basedOn w:val="QPPBodytext"/>
    <w:autoRedefine/>
    <w:rsid w:val="002766CA"/>
    <w:rPr>
      <w:i/>
    </w:rPr>
  </w:style>
  <w:style w:type="paragraph" w:customStyle="1" w:styleId="QPPSuperscript">
    <w:name w:val="QPP Superscript"/>
    <w:basedOn w:val="QPPBodytext"/>
    <w:next w:val="QPPBodytext"/>
    <w:link w:val="QPPSuperscriptChar"/>
    <w:rsid w:val="002766CA"/>
    <w:rPr>
      <w:vertAlign w:val="superscript"/>
    </w:rPr>
  </w:style>
  <w:style w:type="character" w:customStyle="1" w:styleId="QPPSuperscriptChar">
    <w:name w:val="QPP Superscript Char"/>
    <w:link w:val="QPPSuperscript"/>
    <w:rsid w:val="009559CC"/>
    <w:rPr>
      <w:rFonts w:ascii="Arial" w:hAnsi="Arial" w:cs="Arial"/>
      <w:color w:val="000000"/>
      <w:vertAlign w:val="superscript"/>
    </w:rPr>
  </w:style>
  <w:style w:type="paragraph" w:customStyle="1" w:styleId="HGTableBullet3">
    <w:name w:val="HG Table Bullet 3"/>
    <w:basedOn w:val="QPPTableTextBody"/>
    <w:rsid w:val="002766CA"/>
    <w:pPr>
      <w:numPr>
        <w:numId w:val="10"/>
      </w:numPr>
    </w:pPr>
  </w:style>
  <w:style w:type="paragraph" w:customStyle="1" w:styleId="HGTableBullet4">
    <w:name w:val="HG Table Bullet 4"/>
    <w:basedOn w:val="QPPTableTextBody"/>
    <w:rsid w:val="002766CA"/>
    <w:pPr>
      <w:numPr>
        <w:numId w:val="11"/>
      </w:numPr>
      <w:tabs>
        <w:tab w:val="left" w:pos="567"/>
      </w:tabs>
    </w:pPr>
  </w:style>
  <w:style w:type="character" w:customStyle="1" w:styleId="QPPSubscriptChar">
    <w:name w:val="QPP Subscript Char"/>
    <w:link w:val="QPPSubscript"/>
    <w:rsid w:val="009559CC"/>
    <w:rPr>
      <w:rFonts w:ascii="Arial" w:hAnsi="Arial" w:cs="Arial"/>
      <w:color w:val="000000"/>
      <w:vertAlign w:val="subscript"/>
    </w:rPr>
  </w:style>
  <w:style w:type="character" w:customStyle="1" w:styleId="StyleQPPEditorsNoteStyle1ItalicChar">
    <w:name w:val="Style QPP Editor's Note Style 1 + Italic Char"/>
    <w:link w:val="StyleQPPEditorsNoteStyle1Italic"/>
    <w:rsid w:val="00D92B00"/>
    <w:rPr>
      <w:rFonts w:ascii="Arial" w:hAnsi="Arial"/>
      <w:i/>
      <w:iCs/>
      <w:sz w:val="16"/>
      <w:szCs w:val="16"/>
    </w:rPr>
  </w:style>
  <w:style w:type="paragraph" w:styleId="ListParagraph">
    <w:name w:val="List Paragraph"/>
    <w:basedOn w:val="Normal"/>
    <w:uiPriority w:val="34"/>
    <w:qFormat/>
    <w:locked/>
    <w:rsid w:val="009559CC"/>
    <w:pPr>
      <w:ind w:left="720"/>
    </w:pPr>
    <w:rPr>
      <w:rFonts w:ascii="Calibri" w:eastAsia="Calibri" w:hAnsi="Calibri" w:cs="Calibri"/>
      <w:sz w:val="22"/>
      <w:szCs w:val="22"/>
      <w:lang w:eastAsia="en-US"/>
    </w:rPr>
  </w:style>
  <w:style w:type="character" w:customStyle="1" w:styleId="Heading4Char">
    <w:name w:val="Heading 4 Char"/>
    <w:link w:val="Heading4"/>
    <w:rsid w:val="005439C3"/>
    <w:rPr>
      <w:rFonts w:ascii="Arial" w:hAnsi="Arial"/>
      <w:b/>
      <w:bCs/>
      <w:sz w:val="28"/>
      <w:szCs w:val="28"/>
    </w:rPr>
  </w:style>
  <w:style w:type="paragraph" w:styleId="Header">
    <w:name w:val="header"/>
    <w:basedOn w:val="Normal"/>
    <w:link w:val="HeaderChar"/>
    <w:locked/>
    <w:rsid w:val="009559CC"/>
    <w:pPr>
      <w:tabs>
        <w:tab w:val="center" w:pos="4153"/>
        <w:tab w:val="right" w:pos="8306"/>
      </w:tabs>
    </w:pPr>
  </w:style>
  <w:style w:type="character" w:customStyle="1" w:styleId="HeaderChar">
    <w:name w:val="Header Char"/>
    <w:basedOn w:val="DefaultParagraphFont"/>
    <w:link w:val="Header"/>
    <w:rsid w:val="00FE47E5"/>
    <w:rPr>
      <w:rFonts w:ascii="Arial" w:hAnsi="Arial"/>
      <w:szCs w:val="24"/>
    </w:rPr>
  </w:style>
  <w:style w:type="paragraph" w:styleId="Footer">
    <w:name w:val="footer"/>
    <w:basedOn w:val="Normal"/>
    <w:link w:val="FooterChar"/>
    <w:locked/>
    <w:rsid w:val="009559CC"/>
    <w:pPr>
      <w:tabs>
        <w:tab w:val="center" w:pos="4153"/>
        <w:tab w:val="right" w:pos="8306"/>
      </w:tabs>
    </w:pPr>
  </w:style>
  <w:style w:type="character" w:customStyle="1" w:styleId="FooterChar">
    <w:name w:val="Footer Char"/>
    <w:basedOn w:val="DefaultParagraphFont"/>
    <w:link w:val="Footer"/>
    <w:rsid w:val="00FE47E5"/>
    <w:rPr>
      <w:rFonts w:ascii="Arial" w:hAnsi="Arial"/>
      <w:szCs w:val="24"/>
    </w:rPr>
  </w:style>
  <w:style w:type="numbering" w:styleId="111111">
    <w:name w:val="Outline List 2"/>
    <w:basedOn w:val="NoList"/>
    <w:locked/>
    <w:rsid w:val="009559CC"/>
  </w:style>
  <w:style w:type="numbering" w:styleId="1ai">
    <w:name w:val="Outline List 1"/>
    <w:basedOn w:val="NoList"/>
    <w:locked/>
    <w:rsid w:val="009559CC"/>
  </w:style>
  <w:style w:type="numbering" w:styleId="ArticleSection">
    <w:name w:val="Outline List 3"/>
    <w:basedOn w:val="NoList"/>
    <w:locked/>
    <w:rsid w:val="009559CC"/>
  </w:style>
  <w:style w:type="paragraph" w:styleId="Bibliography">
    <w:name w:val="Bibliography"/>
    <w:basedOn w:val="Normal"/>
    <w:next w:val="Normal"/>
    <w:uiPriority w:val="37"/>
    <w:semiHidden/>
    <w:unhideWhenUsed/>
    <w:locked/>
    <w:rsid w:val="009559CC"/>
  </w:style>
  <w:style w:type="paragraph" w:styleId="BlockText">
    <w:name w:val="Block Text"/>
    <w:basedOn w:val="Normal"/>
    <w:locked/>
    <w:rsid w:val="009559C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9559CC"/>
    <w:pPr>
      <w:spacing w:after="120"/>
    </w:pPr>
  </w:style>
  <w:style w:type="character" w:customStyle="1" w:styleId="BodyTextChar">
    <w:name w:val="Body Text Char"/>
    <w:basedOn w:val="DefaultParagraphFont"/>
    <w:link w:val="BodyText"/>
    <w:rsid w:val="009559CC"/>
    <w:rPr>
      <w:rFonts w:ascii="Arial" w:hAnsi="Arial"/>
      <w:szCs w:val="24"/>
    </w:rPr>
  </w:style>
  <w:style w:type="paragraph" w:styleId="BodyText2">
    <w:name w:val="Body Text 2"/>
    <w:basedOn w:val="Normal"/>
    <w:link w:val="BodyText2Char"/>
    <w:locked/>
    <w:rsid w:val="009559CC"/>
    <w:pPr>
      <w:spacing w:after="120" w:line="480" w:lineRule="auto"/>
    </w:pPr>
  </w:style>
  <w:style w:type="character" w:customStyle="1" w:styleId="BodyText2Char">
    <w:name w:val="Body Text 2 Char"/>
    <w:basedOn w:val="DefaultParagraphFont"/>
    <w:link w:val="BodyText2"/>
    <w:rsid w:val="009559CC"/>
    <w:rPr>
      <w:rFonts w:ascii="Arial" w:hAnsi="Arial"/>
      <w:szCs w:val="24"/>
    </w:rPr>
  </w:style>
  <w:style w:type="paragraph" w:styleId="BodyText3">
    <w:name w:val="Body Text 3"/>
    <w:basedOn w:val="Normal"/>
    <w:link w:val="BodyText3Char"/>
    <w:locked/>
    <w:rsid w:val="009559CC"/>
    <w:pPr>
      <w:spacing w:after="120"/>
    </w:pPr>
    <w:rPr>
      <w:sz w:val="16"/>
      <w:szCs w:val="16"/>
    </w:rPr>
  </w:style>
  <w:style w:type="character" w:customStyle="1" w:styleId="BodyText3Char">
    <w:name w:val="Body Text 3 Char"/>
    <w:basedOn w:val="DefaultParagraphFont"/>
    <w:link w:val="BodyText3"/>
    <w:rsid w:val="009559CC"/>
    <w:rPr>
      <w:rFonts w:ascii="Arial" w:hAnsi="Arial"/>
      <w:sz w:val="16"/>
      <w:szCs w:val="16"/>
    </w:rPr>
  </w:style>
  <w:style w:type="paragraph" w:styleId="BodyTextFirstIndent">
    <w:name w:val="Body Text First Indent"/>
    <w:basedOn w:val="BodyText"/>
    <w:link w:val="BodyTextFirstIndentChar"/>
    <w:locked/>
    <w:rsid w:val="009559CC"/>
    <w:pPr>
      <w:spacing w:after="0"/>
      <w:ind w:firstLine="360"/>
    </w:pPr>
  </w:style>
  <w:style w:type="character" w:customStyle="1" w:styleId="BodyTextFirstIndentChar">
    <w:name w:val="Body Text First Indent Char"/>
    <w:basedOn w:val="BodyTextChar"/>
    <w:link w:val="BodyTextFirstIndent"/>
    <w:rsid w:val="009559CC"/>
    <w:rPr>
      <w:rFonts w:ascii="Arial" w:hAnsi="Arial"/>
      <w:szCs w:val="24"/>
    </w:rPr>
  </w:style>
  <w:style w:type="paragraph" w:styleId="BodyTextIndent">
    <w:name w:val="Body Text Indent"/>
    <w:basedOn w:val="Normal"/>
    <w:link w:val="BodyTextIndentChar"/>
    <w:locked/>
    <w:rsid w:val="009559CC"/>
    <w:pPr>
      <w:spacing w:after="120"/>
      <w:ind w:left="283"/>
    </w:pPr>
  </w:style>
  <w:style w:type="character" w:customStyle="1" w:styleId="BodyTextIndentChar">
    <w:name w:val="Body Text Indent Char"/>
    <w:basedOn w:val="DefaultParagraphFont"/>
    <w:link w:val="BodyTextIndent"/>
    <w:rsid w:val="009559CC"/>
    <w:rPr>
      <w:rFonts w:ascii="Arial" w:hAnsi="Arial"/>
      <w:szCs w:val="24"/>
    </w:rPr>
  </w:style>
  <w:style w:type="paragraph" w:styleId="BodyTextFirstIndent2">
    <w:name w:val="Body Text First Indent 2"/>
    <w:basedOn w:val="BodyTextIndent"/>
    <w:link w:val="BodyTextFirstIndent2Char"/>
    <w:locked/>
    <w:rsid w:val="009559CC"/>
    <w:pPr>
      <w:spacing w:after="0"/>
      <w:ind w:left="360" w:firstLine="360"/>
    </w:pPr>
  </w:style>
  <w:style w:type="character" w:customStyle="1" w:styleId="BodyTextFirstIndent2Char">
    <w:name w:val="Body Text First Indent 2 Char"/>
    <w:basedOn w:val="BodyTextIndentChar"/>
    <w:link w:val="BodyTextFirstIndent2"/>
    <w:rsid w:val="009559CC"/>
    <w:rPr>
      <w:rFonts w:ascii="Arial" w:hAnsi="Arial"/>
      <w:szCs w:val="24"/>
    </w:rPr>
  </w:style>
  <w:style w:type="paragraph" w:styleId="BodyTextIndent2">
    <w:name w:val="Body Text Indent 2"/>
    <w:basedOn w:val="Normal"/>
    <w:link w:val="BodyTextIndent2Char"/>
    <w:locked/>
    <w:rsid w:val="009559CC"/>
    <w:pPr>
      <w:spacing w:after="120" w:line="480" w:lineRule="auto"/>
      <w:ind w:left="283"/>
    </w:pPr>
  </w:style>
  <w:style w:type="character" w:customStyle="1" w:styleId="BodyTextIndent2Char">
    <w:name w:val="Body Text Indent 2 Char"/>
    <w:basedOn w:val="DefaultParagraphFont"/>
    <w:link w:val="BodyTextIndent2"/>
    <w:rsid w:val="009559CC"/>
    <w:rPr>
      <w:rFonts w:ascii="Arial" w:hAnsi="Arial"/>
      <w:szCs w:val="24"/>
    </w:rPr>
  </w:style>
  <w:style w:type="paragraph" w:styleId="BodyTextIndent3">
    <w:name w:val="Body Text Indent 3"/>
    <w:basedOn w:val="Normal"/>
    <w:link w:val="BodyTextIndent3Char"/>
    <w:locked/>
    <w:rsid w:val="009559CC"/>
    <w:pPr>
      <w:spacing w:after="120"/>
      <w:ind w:left="283"/>
    </w:pPr>
    <w:rPr>
      <w:sz w:val="16"/>
      <w:szCs w:val="16"/>
    </w:rPr>
  </w:style>
  <w:style w:type="character" w:customStyle="1" w:styleId="BodyTextIndent3Char">
    <w:name w:val="Body Text Indent 3 Char"/>
    <w:basedOn w:val="DefaultParagraphFont"/>
    <w:link w:val="BodyTextIndent3"/>
    <w:rsid w:val="009559CC"/>
    <w:rPr>
      <w:rFonts w:ascii="Arial" w:hAnsi="Arial"/>
      <w:sz w:val="16"/>
      <w:szCs w:val="16"/>
    </w:rPr>
  </w:style>
  <w:style w:type="character" w:styleId="BookTitle">
    <w:name w:val="Book Title"/>
    <w:basedOn w:val="DefaultParagraphFont"/>
    <w:uiPriority w:val="33"/>
    <w:qFormat/>
    <w:locked/>
    <w:rsid w:val="009559CC"/>
    <w:rPr>
      <w:b/>
      <w:bCs/>
      <w:smallCaps/>
      <w:spacing w:val="5"/>
    </w:rPr>
  </w:style>
  <w:style w:type="paragraph" w:styleId="Caption">
    <w:name w:val="caption"/>
    <w:basedOn w:val="Normal"/>
    <w:next w:val="Normal"/>
    <w:semiHidden/>
    <w:unhideWhenUsed/>
    <w:qFormat/>
    <w:locked/>
    <w:rsid w:val="009559CC"/>
    <w:pPr>
      <w:spacing w:after="200"/>
    </w:pPr>
    <w:rPr>
      <w:b/>
      <w:bCs/>
      <w:color w:val="4F81BD" w:themeColor="accent1"/>
      <w:sz w:val="18"/>
      <w:szCs w:val="18"/>
    </w:rPr>
  </w:style>
  <w:style w:type="paragraph" w:styleId="Closing">
    <w:name w:val="Closing"/>
    <w:basedOn w:val="Normal"/>
    <w:link w:val="ClosingChar"/>
    <w:locked/>
    <w:rsid w:val="009559CC"/>
    <w:pPr>
      <w:ind w:left="4252"/>
    </w:pPr>
  </w:style>
  <w:style w:type="character" w:customStyle="1" w:styleId="ClosingChar">
    <w:name w:val="Closing Char"/>
    <w:basedOn w:val="DefaultParagraphFont"/>
    <w:link w:val="Closing"/>
    <w:rsid w:val="009559CC"/>
    <w:rPr>
      <w:rFonts w:ascii="Arial" w:hAnsi="Arial"/>
      <w:szCs w:val="24"/>
    </w:rPr>
  </w:style>
  <w:style w:type="table" w:styleId="ColorfulGrid">
    <w:name w:val="Colorful Grid"/>
    <w:basedOn w:val="TableNormal"/>
    <w:uiPriority w:val="73"/>
    <w:locked/>
    <w:rsid w:val="009559C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9559C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9559C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9559C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9559C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9559C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9559C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9559C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9559C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9559C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9559C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9559C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9559C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9559C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9559C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9559C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9559C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9559C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9559C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9559C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9559C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9559C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9559C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9559C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9559C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9559C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9559C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9559C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9559CC"/>
  </w:style>
  <w:style w:type="character" w:customStyle="1" w:styleId="DateChar">
    <w:name w:val="Date Char"/>
    <w:basedOn w:val="DefaultParagraphFont"/>
    <w:link w:val="Date"/>
    <w:rsid w:val="009559CC"/>
    <w:rPr>
      <w:rFonts w:ascii="Arial" w:hAnsi="Arial"/>
      <w:szCs w:val="24"/>
    </w:rPr>
  </w:style>
  <w:style w:type="paragraph" w:styleId="DocumentMap">
    <w:name w:val="Document Map"/>
    <w:basedOn w:val="Normal"/>
    <w:link w:val="DocumentMapChar"/>
    <w:locked/>
    <w:rsid w:val="009559CC"/>
    <w:rPr>
      <w:rFonts w:ascii="Tahoma" w:hAnsi="Tahoma" w:cs="Tahoma"/>
      <w:sz w:val="16"/>
      <w:szCs w:val="16"/>
    </w:rPr>
  </w:style>
  <w:style w:type="character" w:customStyle="1" w:styleId="DocumentMapChar">
    <w:name w:val="Document Map Char"/>
    <w:basedOn w:val="DefaultParagraphFont"/>
    <w:link w:val="DocumentMap"/>
    <w:rsid w:val="009559CC"/>
    <w:rPr>
      <w:rFonts w:ascii="Tahoma" w:hAnsi="Tahoma" w:cs="Tahoma"/>
      <w:sz w:val="16"/>
      <w:szCs w:val="16"/>
    </w:rPr>
  </w:style>
  <w:style w:type="paragraph" w:styleId="E-mailSignature">
    <w:name w:val="E-mail Signature"/>
    <w:basedOn w:val="Normal"/>
    <w:link w:val="E-mailSignatureChar"/>
    <w:locked/>
    <w:rsid w:val="009559CC"/>
  </w:style>
  <w:style w:type="character" w:customStyle="1" w:styleId="E-mailSignatureChar">
    <w:name w:val="E-mail Signature Char"/>
    <w:basedOn w:val="DefaultParagraphFont"/>
    <w:link w:val="E-mailSignature"/>
    <w:rsid w:val="009559CC"/>
    <w:rPr>
      <w:rFonts w:ascii="Arial" w:hAnsi="Arial"/>
      <w:szCs w:val="24"/>
    </w:rPr>
  </w:style>
  <w:style w:type="character" w:styleId="Emphasis">
    <w:name w:val="Emphasis"/>
    <w:basedOn w:val="DefaultParagraphFont"/>
    <w:qFormat/>
    <w:locked/>
    <w:rsid w:val="009559CC"/>
    <w:rPr>
      <w:i/>
      <w:iCs/>
    </w:rPr>
  </w:style>
  <w:style w:type="character" w:styleId="EndnoteReference">
    <w:name w:val="endnote reference"/>
    <w:basedOn w:val="DefaultParagraphFont"/>
    <w:locked/>
    <w:rsid w:val="009559CC"/>
    <w:rPr>
      <w:vertAlign w:val="superscript"/>
    </w:rPr>
  </w:style>
  <w:style w:type="paragraph" w:styleId="EndnoteText">
    <w:name w:val="endnote text"/>
    <w:basedOn w:val="Normal"/>
    <w:link w:val="EndnoteTextChar"/>
    <w:locked/>
    <w:rsid w:val="009559CC"/>
    <w:rPr>
      <w:szCs w:val="20"/>
    </w:rPr>
  </w:style>
  <w:style w:type="character" w:customStyle="1" w:styleId="EndnoteTextChar">
    <w:name w:val="Endnote Text Char"/>
    <w:basedOn w:val="DefaultParagraphFont"/>
    <w:link w:val="EndnoteText"/>
    <w:rsid w:val="009559CC"/>
    <w:rPr>
      <w:rFonts w:ascii="Arial" w:hAnsi="Arial"/>
    </w:rPr>
  </w:style>
  <w:style w:type="paragraph" w:styleId="EnvelopeAddress">
    <w:name w:val="envelope address"/>
    <w:basedOn w:val="Normal"/>
    <w:locked/>
    <w:rsid w:val="009559CC"/>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9559CC"/>
    <w:rPr>
      <w:rFonts w:asciiTheme="majorHAnsi" w:eastAsiaTheme="majorEastAsia" w:hAnsiTheme="majorHAnsi" w:cstheme="majorBidi"/>
      <w:szCs w:val="20"/>
    </w:rPr>
  </w:style>
  <w:style w:type="character" w:styleId="FootnoteReference">
    <w:name w:val="footnote reference"/>
    <w:basedOn w:val="DefaultParagraphFont"/>
    <w:locked/>
    <w:rsid w:val="009559CC"/>
    <w:rPr>
      <w:vertAlign w:val="superscript"/>
    </w:rPr>
  </w:style>
  <w:style w:type="paragraph" w:styleId="FootnoteText">
    <w:name w:val="footnote text"/>
    <w:basedOn w:val="Normal"/>
    <w:link w:val="FootnoteTextChar"/>
    <w:locked/>
    <w:rsid w:val="009559CC"/>
    <w:rPr>
      <w:szCs w:val="20"/>
    </w:rPr>
  </w:style>
  <w:style w:type="character" w:customStyle="1" w:styleId="FootnoteTextChar">
    <w:name w:val="Footnote Text Char"/>
    <w:basedOn w:val="DefaultParagraphFont"/>
    <w:link w:val="FootnoteText"/>
    <w:rsid w:val="009559CC"/>
    <w:rPr>
      <w:rFonts w:ascii="Arial" w:hAnsi="Arial"/>
    </w:rPr>
  </w:style>
  <w:style w:type="character" w:styleId="HTMLAcronym">
    <w:name w:val="HTML Acronym"/>
    <w:basedOn w:val="DefaultParagraphFont"/>
    <w:locked/>
    <w:rsid w:val="009559CC"/>
  </w:style>
  <w:style w:type="paragraph" w:styleId="HTMLAddress">
    <w:name w:val="HTML Address"/>
    <w:basedOn w:val="Normal"/>
    <w:link w:val="HTMLAddressChar"/>
    <w:locked/>
    <w:rsid w:val="009559CC"/>
    <w:rPr>
      <w:i/>
      <w:iCs/>
    </w:rPr>
  </w:style>
  <w:style w:type="character" w:customStyle="1" w:styleId="HTMLAddressChar">
    <w:name w:val="HTML Address Char"/>
    <w:basedOn w:val="DefaultParagraphFont"/>
    <w:link w:val="HTMLAddress"/>
    <w:rsid w:val="009559CC"/>
    <w:rPr>
      <w:rFonts w:ascii="Arial" w:hAnsi="Arial"/>
      <w:i/>
      <w:iCs/>
      <w:szCs w:val="24"/>
    </w:rPr>
  </w:style>
  <w:style w:type="character" w:styleId="HTMLCite">
    <w:name w:val="HTML Cite"/>
    <w:basedOn w:val="DefaultParagraphFont"/>
    <w:locked/>
    <w:rsid w:val="009559CC"/>
    <w:rPr>
      <w:i/>
      <w:iCs/>
    </w:rPr>
  </w:style>
  <w:style w:type="character" w:styleId="HTMLCode">
    <w:name w:val="HTML Code"/>
    <w:basedOn w:val="DefaultParagraphFont"/>
    <w:locked/>
    <w:rsid w:val="009559CC"/>
    <w:rPr>
      <w:rFonts w:ascii="Consolas" w:hAnsi="Consolas" w:cs="Consolas"/>
      <w:sz w:val="20"/>
      <w:szCs w:val="20"/>
    </w:rPr>
  </w:style>
  <w:style w:type="character" w:styleId="HTMLDefinition">
    <w:name w:val="HTML Definition"/>
    <w:basedOn w:val="DefaultParagraphFont"/>
    <w:locked/>
    <w:rsid w:val="009559CC"/>
    <w:rPr>
      <w:i/>
      <w:iCs/>
    </w:rPr>
  </w:style>
  <w:style w:type="character" w:styleId="HTMLKeyboard">
    <w:name w:val="HTML Keyboard"/>
    <w:basedOn w:val="DefaultParagraphFont"/>
    <w:locked/>
    <w:rsid w:val="009559CC"/>
    <w:rPr>
      <w:rFonts w:ascii="Consolas" w:hAnsi="Consolas" w:cs="Consolas"/>
      <w:sz w:val="20"/>
      <w:szCs w:val="20"/>
    </w:rPr>
  </w:style>
  <w:style w:type="paragraph" w:styleId="HTMLPreformatted">
    <w:name w:val="HTML Preformatted"/>
    <w:basedOn w:val="Normal"/>
    <w:link w:val="HTMLPreformattedChar"/>
    <w:locked/>
    <w:rsid w:val="009559CC"/>
    <w:rPr>
      <w:rFonts w:ascii="Consolas" w:hAnsi="Consolas" w:cs="Consolas"/>
      <w:szCs w:val="20"/>
    </w:rPr>
  </w:style>
  <w:style w:type="character" w:customStyle="1" w:styleId="HTMLPreformattedChar">
    <w:name w:val="HTML Preformatted Char"/>
    <w:basedOn w:val="DefaultParagraphFont"/>
    <w:link w:val="HTMLPreformatted"/>
    <w:rsid w:val="009559CC"/>
    <w:rPr>
      <w:rFonts w:ascii="Consolas" w:hAnsi="Consolas" w:cs="Consolas"/>
    </w:rPr>
  </w:style>
  <w:style w:type="character" w:styleId="HTMLSample">
    <w:name w:val="HTML Sample"/>
    <w:basedOn w:val="DefaultParagraphFont"/>
    <w:locked/>
    <w:rsid w:val="009559CC"/>
    <w:rPr>
      <w:rFonts w:ascii="Consolas" w:hAnsi="Consolas" w:cs="Consolas"/>
      <w:sz w:val="24"/>
      <w:szCs w:val="24"/>
    </w:rPr>
  </w:style>
  <w:style w:type="character" w:styleId="HTMLTypewriter">
    <w:name w:val="HTML Typewriter"/>
    <w:basedOn w:val="DefaultParagraphFont"/>
    <w:locked/>
    <w:rsid w:val="009559CC"/>
    <w:rPr>
      <w:rFonts w:ascii="Consolas" w:hAnsi="Consolas" w:cs="Consolas"/>
      <w:sz w:val="20"/>
      <w:szCs w:val="20"/>
    </w:rPr>
  </w:style>
  <w:style w:type="character" w:styleId="HTMLVariable">
    <w:name w:val="HTML Variable"/>
    <w:basedOn w:val="DefaultParagraphFont"/>
    <w:locked/>
    <w:rsid w:val="009559CC"/>
    <w:rPr>
      <w:i/>
      <w:iCs/>
    </w:rPr>
  </w:style>
  <w:style w:type="paragraph" w:styleId="Index1">
    <w:name w:val="index 1"/>
    <w:basedOn w:val="Normal"/>
    <w:next w:val="Normal"/>
    <w:autoRedefine/>
    <w:locked/>
    <w:rsid w:val="009559CC"/>
    <w:pPr>
      <w:ind w:left="200" w:hanging="200"/>
    </w:pPr>
  </w:style>
  <w:style w:type="paragraph" w:styleId="Index2">
    <w:name w:val="index 2"/>
    <w:basedOn w:val="Normal"/>
    <w:next w:val="Normal"/>
    <w:autoRedefine/>
    <w:locked/>
    <w:rsid w:val="009559CC"/>
    <w:pPr>
      <w:ind w:left="400" w:hanging="200"/>
    </w:pPr>
  </w:style>
  <w:style w:type="paragraph" w:styleId="Index3">
    <w:name w:val="index 3"/>
    <w:basedOn w:val="Normal"/>
    <w:next w:val="Normal"/>
    <w:autoRedefine/>
    <w:locked/>
    <w:rsid w:val="009559CC"/>
    <w:pPr>
      <w:ind w:left="600" w:hanging="200"/>
    </w:pPr>
  </w:style>
  <w:style w:type="paragraph" w:styleId="Index4">
    <w:name w:val="index 4"/>
    <w:basedOn w:val="Normal"/>
    <w:next w:val="Normal"/>
    <w:autoRedefine/>
    <w:locked/>
    <w:rsid w:val="009559CC"/>
    <w:pPr>
      <w:ind w:left="800" w:hanging="200"/>
    </w:pPr>
  </w:style>
  <w:style w:type="paragraph" w:styleId="Index5">
    <w:name w:val="index 5"/>
    <w:basedOn w:val="Normal"/>
    <w:next w:val="Normal"/>
    <w:autoRedefine/>
    <w:locked/>
    <w:rsid w:val="009559CC"/>
    <w:pPr>
      <w:ind w:left="1000" w:hanging="200"/>
    </w:pPr>
  </w:style>
  <w:style w:type="paragraph" w:styleId="Index6">
    <w:name w:val="index 6"/>
    <w:basedOn w:val="Normal"/>
    <w:next w:val="Normal"/>
    <w:autoRedefine/>
    <w:locked/>
    <w:rsid w:val="009559CC"/>
    <w:pPr>
      <w:ind w:left="1200" w:hanging="200"/>
    </w:pPr>
  </w:style>
  <w:style w:type="paragraph" w:styleId="Index7">
    <w:name w:val="index 7"/>
    <w:basedOn w:val="Normal"/>
    <w:next w:val="Normal"/>
    <w:autoRedefine/>
    <w:locked/>
    <w:rsid w:val="009559CC"/>
    <w:pPr>
      <w:ind w:left="1400" w:hanging="200"/>
    </w:pPr>
  </w:style>
  <w:style w:type="paragraph" w:styleId="Index8">
    <w:name w:val="index 8"/>
    <w:basedOn w:val="Normal"/>
    <w:next w:val="Normal"/>
    <w:autoRedefine/>
    <w:locked/>
    <w:rsid w:val="009559CC"/>
    <w:pPr>
      <w:ind w:left="1600" w:hanging="200"/>
    </w:pPr>
  </w:style>
  <w:style w:type="paragraph" w:styleId="Index9">
    <w:name w:val="index 9"/>
    <w:basedOn w:val="Normal"/>
    <w:next w:val="Normal"/>
    <w:autoRedefine/>
    <w:locked/>
    <w:rsid w:val="009559CC"/>
    <w:pPr>
      <w:ind w:left="1800" w:hanging="200"/>
    </w:pPr>
  </w:style>
  <w:style w:type="paragraph" w:styleId="IndexHeading">
    <w:name w:val="index heading"/>
    <w:basedOn w:val="Normal"/>
    <w:next w:val="Index1"/>
    <w:locked/>
    <w:rsid w:val="009559CC"/>
    <w:rPr>
      <w:rFonts w:asciiTheme="majorHAnsi" w:eastAsiaTheme="majorEastAsia" w:hAnsiTheme="majorHAnsi" w:cstheme="majorBidi"/>
      <w:b/>
      <w:bCs/>
    </w:rPr>
  </w:style>
  <w:style w:type="character" w:styleId="IntenseEmphasis">
    <w:name w:val="Intense Emphasis"/>
    <w:basedOn w:val="DefaultParagraphFont"/>
    <w:uiPriority w:val="21"/>
    <w:qFormat/>
    <w:locked/>
    <w:rsid w:val="009559CC"/>
    <w:rPr>
      <w:b/>
      <w:bCs/>
      <w:i/>
      <w:iCs/>
      <w:color w:val="4F81BD" w:themeColor="accent1"/>
    </w:rPr>
  </w:style>
  <w:style w:type="paragraph" w:styleId="IntenseQuote">
    <w:name w:val="Intense Quote"/>
    <w:basedOn w:val="Normal"/>
    <w:next w:val="Normal"/>
    <w:link w:val="IntenseQuoteChar"/>
    <w:uiPriority w:val="30"/>
    <w:qFormat/>
    <w:locked/>
    <w:rsid w:val="00955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559CC"/>
    <w:rPr>
      <w:rFonts w:ascii="Arial" w:hAnsi="Arial"/>
      <w:b/>
      <w:bCs/>
      <w:i/>
      <w:iCs/>
      <w:color w:val="4F81BD" w:themeColor="accent1"/>
      <w:szCs w:val="24"/>
    </w:rPr>
  </w:style>
  <w:style w:type="character" w:styleId="IntenseReference">
    <w:name w:val="Intense Reference"/>
    <w:basedOn w:val="DefaultParagraphFont"/>
    <w:uiPriority w:val="32"/>
    <w:qFormat/>
    <w:locked/>
    <w:rsid w:val="009559CC"/>
    <w:rPr>
      <w:b/>
      <w:bCs/>
      <w:smallCaps/>
      <w:color w:val="C0504D" w:themeColor="accent2"/>
      <w:spacing w:val="5"/>
      <w:u w:val="single"/>
    </w:rPr>
  </w:style>
  <w:style w:type="table" w:styleId="LightGrid">
    <w:name w:val="Light Grid"/>
    <w:basedOn w:val="TableNormal"/>
    <w:uiPriority w:val="62"/>
    <w:locked/>
    <w:rsid w:val="00955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9559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9559C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9559C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9559C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9559C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9559C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955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9559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9559C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9559C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9559C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9559C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9559C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9559C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9559C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9559C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9559C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9559C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9559C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9559C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9559CC"/>
  </w:style>
  <w:style w:type="paragraph" w:styleId="List">
    <w:name w:val="List"/>
    <w:basedOn w:val="Normal"/>
    <w:locked/>
    <w:rsid w:val="009559CC"/>
    <w:pPr>
      <w:ind w:left="283" w:hanging="283"/>
      <w:contextualSpacing/>
    </w:pPr>
  </w:style>
  <w:style w:type="paragraph" w:styleId="List2">
    <w:name w:val="List 2"/>
    <w:basedOn w:val="Normal"/>
    <w:locked/>
    <w:rsid w:val="009559CC"/>
    <w:pPr>
      <w:ind w:left="566" w:hanging="283"/>
      <w:contextualSpacing/>
    </w:pPr>
  </w:style>
  <w:style w:type="paragraph" w:styleId="List3">
    <w:name w:val="List 3"/>
    <w:basedOn w:val="Normal"/>
    <w:locked/>
    <w:rsid w:val="009559CC"/>
    <w:pPr>
      <w:ind w:left="849" w:hanging="283"/>
      <w:contextualSpacing/>
    </w:pPr>
  </w:style>
  <w:style w:type="paragraph" w:styleId="List4">
    <w:name w:val="List 4"/>
    <w:basedOn w:val="Normal"/>
    <w:locked/>
    <w:rsid w:val="009559CC"/>
    <w:pPr>
      <w:ind w:left="1132" w:hanging="283"/>
      <w:contextualSpacing/>
    </w:pPr>
  </w:style>
  <w:style w:type="paragraph" w:styleId="List5">
    <w:name w:val="List 5"/>
    <w:basedOn w:val="Normal"/>
    <w:locked/>
    <w:rsid w:val="009559CC"/>
    <w:pPr>
      <w:ind w:left="1415" w:hanging="283"/>
      <w:contextualSpacing/>
    </w:pPr>
  </w:style>
  <w:style w:type="paragraph" w:styleId="ListBullet">
    <w:name w:val="List Bullet"/>
    <w:basedOn w:val="Normal"/>
    <w:locked/>
    <w:rsid w:val="009559CC"/>
    <w:pPr>
      <w:numPr>
        <w:numId w:val="61"/>
      </w:numPr>
      <w:contextualSpacing/>
    </w:pPr>
  </w:style>
  <w:style w:type="paragraph" w:styleId="ListBullet2">
    <w:name w:val="List Bullet 2"/>
    <w:basedOn w:val="Normal"/>
    <w:locked/>
    <w:rsid w:val="009559CC"/>
    <w:pPr>
      <w:numPr>
        <w:numId w:val="62"/>
      </w:numPr>
      <w:contextualSpacing/>
    </w:pPr>
  </w:style>
  <w:style w:type="paragraph" w:styleId="ListBullet3">
    <w:name w:val="List Bullet 3"/>
    <w:basedOn w:val="Normal"/>
    <w:locked/>
    <w:rsid w:val="009559CC"/>
    <w:pPr>
      <w:numPr>
        <w:numId w:val="63"/>
      </w:numPr>
      <w:contextualSpacing/>
    </w:pPr>
  </w:style>
  <w:style w:type="paragraph" w:styleId="ListBullet4">
    <w:name w:val="List Bullet 4"/>
    <w:basedOn w:val="Normal"/>
    <w:locked/>
    <w:rsid w:val="009559CC"/>
    <w:pPr>
      <w:numPr>
        <w:numId w:val="64"/>
      </w:numPr>
      <w:contextualSpacing/>
    </w:pPr>
  </w:style>
  <w:style w:type="paragraph" w:styleId="ListBullet5">
    <w:name w:val="List Bullet 5"/>
    <w:basedOn w:val="Normal"/>
    <w:locked/>
    <w:rsid w:val="009559CC"/>
    <w:pPr>
      <w:numPr>
        <w:numId w:val="65"/>
      </w:numPr>
      <w:contextualSpacing/>
    </w:pPr>
  </w:style>
  <w:style w:type="paragraph" w:styleId="ListContinue">
    <w:name w:val="List Continue"/>
    <w:basedOn w:val="Normal"/>
    <w:locked/>
    <w:rsid w:val="009559CC"/>
    <w:pPr>
      <w:spacing w:after="120"/>
      <w:ind w:left="283"/>
      <w:contextualSpacing/>
    </w:pPr>
  </w:style>
  <w:style w:type="paragraph" w:styleId="ListContinue2">
    <w:name w:val="List Continue 2"/>
    <w:basedOn w:val="Normal"/>
    <w:locked/>
    <w:rsid w:val="009559CC"/>
    <w:pPr>
      <w:spacing w:after="120"/>
      <w:ind w:left="566"/>
      <w:contextualSpacing/>
    </w:pPr>
  </w:style>
  <w:style w:type="paragraph" w:styleId="ListContinue3">
    <w:name w:val="List Continue 3"/>
    <w:basedOn w:val="Normal"/>
    <w:locked/>
    <w:rsid w:val="009559CC"/>
    <w:pPr>
      <w:spacing w:after="120"/>
      <w:ind w:left="849"/>
      <w:contextualSpacing/>
    </w:pPr>
  </w:style>
  <w:style w:type="paragraph" w:styleId="ListContinue4">
    <w:name w:val="List Continue 4"/>
    <w:basedOn w:val="Normal"/>
    <w:locked/>
    <w:rsid w:val="009559CC"/>
    <w:pPr>
      <w:spacing w:after="120"/>
      <w:ind w:left="1132"/>
      <w:contextualSpacing/>
    </w:pPr>
  </w:style>
  <w:style w:type="paragraph" w:styleId="ListContinue5">
    <w:name w:val="List Continue 5"/>
    <w:basedOn w:val="Normal"/>
    <w:locked/>
    <w:rsid w:val="009559CC"/>
    <w:pPr>
      <w:spacing w:after="120"/>
      <w:ind w:left="1415"/>
      <w:contextualSpacing/>
    </w:pPr>
  </w:style>
  <w:style w:type="paragraph" w:styleId="ListNumber">
    <w:name w:val="List Number"/>
    <w:basedOn w:val="Normal"/>
    <w:locked/>
    <w:rsid w:val="009559CC"/>
    <w:pPr>
      <w:numPr>
        <w:numId w:val="66"/>
      </w:numPr>
      <w:contextualSpacing/>
    </w:pPr>
  </w:style>
  <w:style w:type="paragraph" w:styleId="ListNumber2">
    <w:name w:val="List Number 2"/>
    <w:basedOn w:val="Normal"/>
    <w:locked/>
    <w:rsid w:val="009559CC"/>
    <w:pPr>
      <w:numPr>
        <w:numId w:val="67"/>
      </w:numPr>
      <w:contextualSpacing/>
    </w:pPr>
  </w:style>
  <w:style w:type="paragraph" w:styleId="ListNumber3">
    <w:name w:val="List Number 3"/>
    <w:basedOn w:val="Normal"/>
    <w:locked/>
    <w:rsid w:val="009559CC"/>
    <w:pPr>
      <w:numPr>
        <w:numId w:val="68"/>
      </w:numPr>
      <w:contextualSpacing/>
    </w:pPr>
  </w:style>
  <w:style w:type="paragraph" w:styleId="ListNumber4">
    <w:name w:val="List Number 4"/>
    <w:basedOn w:val="Normal"/>
    <w:locked/>
    <w:rsid w:val="009559CC"/>
    <w:pPr>
      <w:numPr>
        <w:numId w:val="69"/>
      </w:numPr>
      <w:contextualSpacing/>
    </w:pPr>
  </w:style>
  <w:style w:type="paragraph" w:styleId="ListNumber5">
    <w:name w:val="List Number 5"/>
    <w:basedOn w:val="Normal"/>
    <w:locked/>
    <w:rsid w:val="009559CC"/>
    <w:pPr>
      <w:numPr>
        <w:numId w:val="70"/>
      </w:numPr>
      <w:contextualSpacing/>
    </w:pPr>
  </w:style>
  <w:style w:type="paragraph" w:styleId="MacroText">
    <w:name w:val="macro"/>
    <w:link w:val="MacroTextChar"/>
    <w:locked/>
    <w:rsid w:val="009559C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9559CC"/>
    <w:rPr>
      <w:rFonts w:ascii="Consolas" w:hAnsi="Consolas" w:cs="Consolas"/>
    </w:rPr>
  </w:style>
  <w:style w:type="table" w:styleId="MediumGrid1">
    <w:name w:val="Medium Grid 1"/>
    <w:basedOn w:val="TableNormal"/>
    <w:uiPriority w:val="67"/>
    <w:locked/>
    <w:rsid w:val="009559C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9559C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9559C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9559C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9559C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9559C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9559C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9559C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9559C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9559C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9559C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9559C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9559C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9559C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9559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9559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9559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9559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9559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9559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9559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9559C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9559C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9559C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9559C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9559C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9559C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9559C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9559C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9559C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9559C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9559C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9559C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9559C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9559C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9559C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9559C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9559C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9559C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9559C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9559C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9559C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9559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9559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9559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9559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9559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9559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9559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9559C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9559CC"/>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9559CC"/>
    <w:rPr>
      <w:rFonts w:ascii="Arial" w:hAnsi="Arial"/>
      <w:szCs w:val="24"/>
    </w:rPr>
  </w:style>
  <w:style w:type="paragraph" w:styleId="NormalWeb">
    <w:name w:val="Normal (Web)"/>
    <w:basedOn w:val="Normal"/>
    <w:locked/>
    <w:rsid w:val="009559CC"/>
    <w:rPr>
      <w:rFonts w:ascii="Times New Roman" w:hAnsi="Times New Roman"/>
      <w:sz w:val="24"/>
    </w:rPr>
  </w:style>
  <w:style w:type="paragraph" w:styleId="NormalIndent">
    <w:name w:val="Normal Indent"/>
    <w:basedOn w:val="Normal"/>
    <w:locked/>
    <w:rsid w:val="009559CC"/>
    <w:pPr>
      <w:ind w:left="720"/>
    </w:pPr>
  </w:style>
  <w:style w:type="paragraph" w:styleId="NoteHeading">
    <w:name w:val="Note Heading"/>
    <w:basedOn w:val="Normal"/>
    <w:next w:val="Normal"/>
    <w:link w:val="NoteHeadingChar"/>
    <w:locked/>
    <w:rsid w:val="009559CC"/>
  </w:style>
  <w:style w:type="character" w:customStyle="1" w:styleId="NoteHeadingChar">
    <w:name w:val="Note Heading Char"/>
    <w:basedOn w:val="DefaultParagraphFont"/>
    <w:link w:val="NoteHeading"/>
    <w:rsid w:val="009559CC"/>
    <w:rPr>
      <w:rFonts w:ascii="Arial" w:hAnsi="Arial"/>
      <w:szCs w:val="24"/>
    </w:rPr>
  </w:style>
  <w:style w:type="character" w:styleId="PageNumber">
    <w:name w:val="page number"/>
    <w:basedOn w:val="DefaultParagraphFont"/>
    <w:locked/>
    <w:rsid w:val="009559CC"/>
  </w:style>
  <w:style w:type="character" w:styleId="PlaceholderText">
    <w:name w:val="Placeholder Text"/>
    <w:basedOn w:val="DefaultParagraphFont"/>
    <w:uiPriority w:val="99"/>
    <w:semiHidden/>
    <w:locked/>
    <w:rsid w:val="009559CC"/>
    <w:rPr>
      <w:color w:val="808080"/>
    </w:rPr>
  </w:style>
  <w:style w:type="paragraph" w:styleId="PlainText">
    <w:name w:val="Plain Text"/>
    <w:basedOn w:val="Normal"/>
    <w:link w:val="PlainTextChar"/>
    <w:locked/>
    <w:rsid w:val="009559CC"/>
    <w:rPr>
      <w:rFonts w:ascii="Consolas" w:hAnsi="Consolas" w:cs="Consolas"/>
      <w:sz w:val="21"/>
      <w:szCs w:val="21"/>
    </w:rPr>
  </w:style>
  <w:style w:type="character" w:customStyle="1" w:styleId="PlainTextChar">
    <w:name w:val="Plain Text Char"/>
    <w:basedOn w:val="DefaultParagraphFont"/>
    <w:link w:val="PlainText"/>
    <w:rsid w:val="009559CC"/>
    <w:rPr>
      <w:rFonts w:ascii="Consolas" w:hAnsi="Consolas" w:cs="Consolas"/>
      <w:sz w:val="21"/>
      <w:szCs w:val="21"/>
    </w:rPr>
  </w:style>
  <w:style w:type="paragraph" w:styleId="Quote">
    <w:name w:val="Quote"/>
    <w:basedOn w:val="Normal"/>
    <w:next w:val="Normal"/>
    <w:link w:val="QuoteChar"/>
    <w:uiPriority w:val="29"/>
    <w:qFormat/>
    <w:locked/>
    <w:rsid w:val="009559CC"/>
    <w:rPr>
      <w:i/>
      <w:iCs/>
      <w:color w:val="000000" w:themeColor="text1"/>
    </w:rPr>
  </w:style>
  <w:style w:type="character" w:customStyle="1" w:styleId="QuoteChar">
    <w:name w:val="Quote Char"/>
    <w:basedOn w:val="DefaultParagraphFont"/>
    <w:link w:val="Quote"/>
    <w:uiPriority w:val="29"/>
    <w:rsid w:val="009559CC"/>
    <w:rPr>
      <w:rFonts w:ascii="Arial" w:hAnsi="Arial"/>
      <w:i/>
      <w:iCs/>
      <w:color w:val="000000" w:themeColor="text1"/>
      <w:szCs w:val="24"/>
    </w:rPr>
  </w:style>
  <w:style w:type="paragraph" w:styleId="Salutation">
    <w:name w:val="Salutation"/>
    <w:basedOn w:val="Normal"/>
    <w:next w:val="Normal"/>
    <w:link w:val="SalutationChar"/>
    <w:locked/>
    <w:rsid w:val="009559CC"/>
  </w:style>
  <w:style w:type="character" w:customStyle="1" w:styleId="SalutationChar">
    <w:name w:val="Salutation Char"/>
    <w:basedOn w:val="DefaultParagraphFont"/>
    <w:link w:val="Salutation"/>
    <w:rsid w:val="009559CC"/>
    <w:rPr>
      <w:rFonts w:ascii="Arial" w:hAnsi="Arial"/>
      <w:szCs w:val="24"/>
    </w:rPr>
  </w:style>
  <w:style w:type="paragraph" w:styleId="Signature">
    <w:name w:val="Signature"/>
    <w:basedOn w:val="Normal"/>
    <w:link w:val="SignatureChar"/>
    <w:locked/>
    <w:rsid w:val="009559CC"/>
    <w:pPr>
      <w:ind w:left="4252"/>
    </w:pPr>
  </w:style>
  <w:style w:type="character" w:customStyle="1" w:styleId="SignatureChar">
    <w:name w:val="Signature Char"/>
    <w:basedOn w:val="DefaultParagraphFont"/>
    <w:link w:val="Signature"/>
    <w:rsid w:val="009559CC"/>
    <w:rPr>
      <w:rFonts w:ascii="Arial" w:hAnsi="Arial"/>
      <w:szCs w:val="24"/>
    </w:rPr>
  </w:style>
  <w:style w:type="character" w:styleId="Strong">
    <w:name w:val="Strong"/>
    <w:basedOn w:val="DefaultParagraphFont"/>
    <w:qFormat/>
    <w:locked/>
    <w:rsid w:val="009559CC"/>
    <w:rPr>
      <w:b/>
      <w:bCs/>
    </w:rPr>
  </w:style>
  <w:style w:type="paragraph" w:styleId="Subtitle">
    <w:name w:val="Subtitle"/>
    <w:basedOn w:val="Normal"/>
    <w:next w:val="Normal"/>
    <w:link w:val="SubtitleChar"/>
    <w:qFormat/>
    <w:locked/>
    <w:rsid w:val="009559C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9559C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9559CC"/>
    <w:rPr>
      <w:i/>
      <w:iCs/>
      <w:color w:val="808080" w:themeColor="text1" w:themeTint="7F"/>
    </w:rPr>
  </w:style>
  <w:style w:type="character" w:styleId="SubtleReference">
    <w:name w:val="Subtle Reference"/>
    <w:basedOn w:val="DefaultParagraphFont"/>
    <w:uiPriority w:val="31"/>
    <w:qFormat/>
    <w:locked/>
    <w:rsid w:val="009559CC"/>
    <w:rPr>
      <w:smallCaps/>
      <w:color w:val="C0504D" w:themeColor="accent2"/>
      <w:u w:val="single"/>
    </w:rPr>
  </w:style>
  <w:style w:type="table" w:styleId="Table3Deffects1">
    <w:name w:val="Table 3D effects 1"/>
    <w:basedOn w:val="TableNormal"/>
    <w:locked/>
    <w:rsid w:val="009559C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9559C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9559C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9559C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9559C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9559C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9559C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9559C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9559C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9559C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9559C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9559C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9559C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9559C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9559C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9559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9559C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9559C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9559C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9559C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9559C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9559C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9559C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9559C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9559C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9559C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9559C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9559C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9559C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9559C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9559C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9559C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9559C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9559CC"/>
    <w:pPr>
      <w:ind w:left="200" w:hanging="200"/>
    </w:pPr>
  </w:style>
  <w:style w:type="paragraph" w:styleId="TableofFigures">
    <w:name w:val="table of figures"/>
    <w:basedOn w:val="Normal"/>
    <w:next w:val="Normal"/>
    <w:locked/>
    <w:rsid w:val="009559CC"/>
  </w:style>
  <w:style w:type="table" w:styleId="TableProfessional">
    <w:name w:val="Table Professional"/>
    <w:basedOn w:val="TableNormal"/>
    <w:locked/>
    <w:rsid w:val="009559C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9559C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9559C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9559C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9559C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9559C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955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9559C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9559C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9559C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9559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559C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9559CC"/>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9559CC"/>
    <w:pPr>
      <w:spacing w:after="100"/>
    </w:pPr>
  </w:style>
  <w:style w:type="paragraph" w:styleId="TOC2">
    <w:name w:val="toc 2"/>
    <w:basedOn w:val="Normal"/>
    <w:next w:val="Normal"/>
    <w:autoRedefine/>
    <w:locked/>
    <w:rsid w:val="009559CC"/>
    <w:pPr>
      <w:spacing w:after="100"/>
      <w:ind w:left="200"/>
    </w:pPr>
  </w:style>
  <w:style w:type="paragraph" w:styleId="TOC3">
    <w:name w:val="toc 3"/>
    <w:basedOn w:val="Normal"/>
    <w:next w:val="Normal"/>
    <w:autoRedefine/>
    <w:locked/>
    <w:rsid w:val="009559CC"/>
    <w:pPr>
      <w:spacing w:after="100"/>
      <w:ind w:left="400"/>
    </w:pPr>
  </w:style>
  <w:style w:type="paragraph" w:styleId="TOC4">
    <w:name w:val="toc 4"/>
    <w:basedOn w:val="Normal"/>
    <w:next w:val="Normal"/>
    <w:autoRedefine/>
    <w:locked/>
    <w:rsid w:val="009559CC"/>
    <w:pPr>
      <w:spacing w:after="100"/>
      <w:ind w:left="600"/>
    </w:pPr>
  </w:style>
  <w:style w:type="paragraph" w:styleId="TOC5">
    <w:name w:val="toc 5"/>
    <w:basedOn w:val="Normal"/>
    <w:next w:val="Normal"/>
    <w:autoRedefine/>
    <w:locked/>
    <w:rsid w:val="009559CC"/>
    <w:pPr>
      <w:spacing w:after="100"/>
      <w:ind w:left="800"/>
    </w:pPr>
  </w:style>
  <w:style w:type="paragraph" w:styleId="TOC6">
    <w:name w:val="toc 6"/>
    <w:basedOn w:val="Normal"/>
    <w:next w:val="Normal"/>
    <w:autoRedefine/>
    <w:locked/>
    <w:rsid w:val="009559CC"/>
    <w:pPr>
      <w:spacing w:after="100"/>
      <w:ind w:left="1000"/>
    </w:pPr>
  </w:style>
  <w:style w:type="paragraph" w:styleId="TOC7">
    <w:name w:val="toc 7"/>
    <w:basedOn w:val="Normal"/>
    <w:next w:val="Normal"/>
    <w:autoRedefine/>
    <w:locked/>
    <w:rsid w:val="009559CC"/>
    <w:pPr>
      <w:spacing w:after="100"/>
      <w:ind w:left="1200"/>
    </w:pPr>
  </w:style>
  <w:style w:type="paragraph" w:styleId="TOC8">
    <w:name w:val="toc 8"/>
    <w:basedOn w:val="Normal"/>
    <w:next w:val="Normal"/>
    <w:autoRedefine/>
    <w:locked/>
    <w:rsid w:val="009559CC"/>
    <w:pPr>
      <w:spacing w:after="100"/>
      <w:ind w:left="1400"/>
    </w:pPr>
  </w:style>
  <w:style w:type="paragraph" w:styleId="TOC9">
    <w:name w:val="toc 9"/>
    <w:basedOn w:val="Normal"/>
    <w:next w:val="Normal"/>
    <w:autoRedefine/>
    <w:locked/>
    <w:rsid w:val="009559CC"/>
    <w:pPr>
      <w:spacing w:after="100"/>
      <w:ind w:left="1600"/>
    </w:pPr>
  </w:style>
  <w:style w:type="paragraph" w:styleId="TOCHeading">
    <w:name w:val="TOC Heading"/>
    <w:basedOn w:val="Heading1"/>
    <w:next w:val="Normal"/>
    <w:uiPriority w:val="39"/>
    <w:semiHidden/>
    <w:unhideWhenUsed/>
    <w:qFormat/>
    <w:locked/>
    <w:rsid w:val="009559CC"/>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2766CA"/>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2766CA"/>
    <w:rPr>
      <w:i/>
    </w:rPr>
  </w:style>
  <w:style w:type="character" w:customStyle="1" w:styleId="QPPTableTextITALICChar">
    <w:name w:val="QPP Table Text ITALIC Char"/>
    <w:basedOn w:val="QPPTableTextBodyChar"/>
    <w:link w:val="QPPTableTextITALIC"/>
    <w:rsid w:val="009559CC"/>
    <w:rPr>
      <w:rFonts w:ascii="Arial" w:hAnsi="Arial" w:cs="Arial"/>
      <w:i/>
      <w:color w:val="000000"/>
    </w:rPr>
  </w:style>
  <w:style w:type="paragraph" w:styleId="Revision">
    <w:name w:val="Revision"/>
    <w:hidden/>
    <w:uiPriority w:val="99"/>
    <w:semiHidden/>
    <w:rsid w:val="00240A49"/>
    <w:rPr>
      <w:rFonts w:ascii="Arial" w:hAnsi="Arial"/>
      <w:szCs w:val="24"/>
    </w:rPr>
  </w:style>
  <w:style w:type="character" w:customStyle="1" w:styleId="Heading3Char">
    <w:name w:val="Heading 3 Char"/>
    <w:basedOn w:val="DefaultParagraphFont"/>
    <w:link w:val="Heading3"/>
    <w:rsid w:val="00F95B67"/>
    <w:rPr>
      <w:rFonts w:ascii="Arial" w:hAnsi="Arial" w:cs="Arial"/>
      <w:b/>
      <w:bCs/>
      <w:sz w:val="26"/>
      <w:szCs w:val="26"/>
    </w:rPr>
  </w:style>
  <w:style w:type="character" w:customStyle="1" w:styleId="Heading2Char">
    <w:name w:val="Heading 2 Char"/>
    <w:basedOn w:val="DefaultParagraphFont"/>
    <w:link w:val="Heading2"/>
    <w:rsid w:val="00F95B67"/>
    <w:rPr>
      <w:rFonts w:ascii="Arial" w:hAnsi="Arial" w:cs="Arial"/>
      <w:b/>
      <w:bCs/>
      <w:i/>
      <w:iCs/>
      <w:sz w:val="28"/>
      <w:szCs w:val="28"/>
    </w:rPr>
  </w:style>
  <w:style w:type="table" w:customStyle="1" w:styleId="QPPTableGrid">
    <w:name w:val="QPP Table Grid"/>
    <w:basedOn w:val="TableNormal"/>
    <w:uiPriority w:val="99"/>
    <w:rsid w:val="002766C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86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8D200-1447-43F9-8C05-EDCDFDF5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Template>
  <TotalTime>18</TotalTime>
  <Pages>2</Pages>
  <Words>8453</Words>
  <Characters>48188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9</vt:lpstr>
    </vt:vector>
  </TitlesOfParts>
  <Company>Brisbane City Council</Company>
  <LinksUpToDate>false</LinksUpToDate>
  <CharactersWithSpaces>56528</CharactersWithSpaces>
  <SharedDoc>false</SharedDoc>
  <HLinks>
    <vt:vector size="648" baseType="variant">
      <vt:variant>
        <vt:i4>2162728</vt:i4>
      </vt:variant>
      <vt:variant>
        <vt:i4>321</vt:i4>
      </vt:variant>
      <vt:variant>
        <vt:i4>0</vt:i4>
      </vt:variant>
      <vt:variant>
        <vt:i4>5</vt:i4>
      </vt:variant>
      <vt:variant>
        <vt:lpwstr>http://www.dsdip.qld.gov.au/regional-planning/</vt:lpwstr>
      </vt:variant>
      <vt:variant>
        <vt:lpwstr/>
      </vt:variant>
      <vt:variant>
        <vt:i4>1769493</vt:i4>
      </vt:variant>
      <vt:variant>
        <vt:i4>318</vt:i4>
      </vt:variant>
      <vt:variant>
        <vt:i4>0</vt:i4>
      </vt:variant>
      <vt:variant>
        <vt:i4>5</vt:i4>
      </vt:variant>
      <vt:variant>
        <vt:lpwstr>../Part 8 - Overlays/RoadHierarchyOC.doc</vt:lpwstr>
      </vt:variant>
      <vt:variant>
        <vt:lpwstr/>
      </vt:variant>
      <vt:variant>
        <vt:i4>2162728</vt:i4>
      </vt:variant>
      <vt:variant>
        <vt:i4>315</vt:i4>
      </vt:variant>
      <vt:variant>
        <vt:i4>0</vt:i4>
      </vt:variant>
      <vt:variant>
        <vt:i4>5</vt:i4>
      </vt:variant>
      <vt:variant>
        <vt:lpwstr>http://www.dsdip.qld.gov.au/regional-planning/</vt:lpwstr>
      </vt:variant>
      <vt:variant>
        <vt:lpwstr/>
      </vt:variant>
      <vt:variant>
        <vt:i4>589855</vt:i4>
      </vt:variant>
      <vt:variant>
        <vt:i4>312</vt:i4>
      </vt:variant>
      <vt:variant>
        <vt:i4>0</vt:i4>
      </vt:variant>
      <vt:variant>
        <vt:i4>5</vt:i4>
      </vt:variant>
      <vt:variant>
        <vt:lpwstr>../Schedule 1 - Definitions/Definitions.doc</vt:lpwstr>
      </vt:variant>
      <vt:variant>
        <vt:lpwstr>DwgHse</vt:lpwstr>
      </vt:variant>
      <vt:variant>
        <vt:i4>6750313</vt:i4>
      </vt:variant>
      <vt:variant>
        <vt:i4>309</vt:i4>
      </vt:variant>
      <vt:variant>
        <vt:i4>0</vt:i4>
      </vt:variant>
      <vt:variant>
        <vt:i4>5</vt:i4>
      </vt:variant>
      <vt:variant>
        <vt:lpwstr>../Schedule 1 - Definitions/Definitions.doc</vt:lpwstr>
      </vt:variant>
      <vt:variant>
        <vt:lpwstr>AccessWay</vt:lpwstr>
      </vt:variant>
      <vt:variant>
        <vt:i4>2359403</vt:i4>
      </vt:variant>
      <vt:variant>
        <vt:i4>306</vt:i4>
      </vt:variant>
      <vt:variant>
        <vt:i4>0</vt:i4>
      </vt:variant>
      <vt:variant>
        <vt:i4>5</vt:i4>
      </vt:variant>
      <vt:variant>
        <vt:lpwstr>http://www.brisbane.qld.gov.au/New City Plan QPP/Part 09 - Development codes/9.4 Other development codes/Subdivisioncode94103AB.pdf</vt:lpwstr>
      </vt:variant>
      <vt:variant>
        <vt:lpwstr/>
      </vt:variant>
      <vt:variant>
        <vt:i4>3145786</vt:i4>
      </vt:variant>
      <vt:variant>
        <vt:i4>303</vt:i4>
      </vt:variant>
      <vt:variant>
        <vt:i4>0</vt:i4>
      </vt:variant>
      <vt:variant>
        <vt:i4>5</vt:i4>
      </vt:variant>
      <vt:variant>
        <vt:lpwstr>../Schedule 6 - Planning scheme policies/TransportAccessParkingPSP.doc</vt:lpwstr>
      </vt:variant>
      <vt:variant>
        <vt:lpwstr/>
      </vt:variant>
      <vt:variant>
        <vt:i4>3604606</vt:i4>
      </vt:variant>
      <vt:variant>
        <vt:i4>300</vt:i4>
      </vt:variant>
      <vt:variant>
        <vt:i4>0</vt:i4>
      </vt:variant>
      <vt:variant>
        <vt:i4>5</vt:i4>
      </vt:variant>
      <vt:variant>
        <vt:lpwstr/>
      </vt:variant>
      <vt:variant>
        <vt:lpwstr>Table94192C</vt:lpwstr>
      </vt:variant>
      <vt:variant>
        <vt:i4>4456515</vt:i4>
      </vt:variant>
      <vt:variant>
        <vt:i4>297</vt:i4>
      </vt:variant>
      <vt:variant>
        <vt:i4>0</vt:i4>
      </vt:variant>
      <vt:variant>
        <vt:i4>5</vt:i4>
      </vt:variant>
      <vt:variant>
        <vt:lpwstr>http://www.legislation.qld.gov.au/LEGISLTN/CURRENT/B/BodyCorpA97.pdf</vt:lpwstr>
      </vt:variant>
      <vt:variant>
        <vt:lpwstr/>
      </vt:variant>
      <vt:variant>
        <vt:i4>6750315</vt:i4>
      </vt:variant>
      <vt:variant>
        <vt:i4>294</vt:i4>
      </vt:variant>
      <vt:variant>
        <vt:i4>0</vt:i4>
      </vt:variant>
      <vt:variant>
        <vt:i4>5</vt:i4>
      </vt:variant>
      <vt:variant>
        <vt:lpwstr>../Schedule 1 - Definitions/Definitions.doc</vt:lpwstr>
      </vt:variant>
      <vt:variant>
        <vt:lpwstr>Multiple</vt:lpwstr>
      </vt:variant>
      <vt:variant>
        <vt:i4>1638405</vt:i4>
      </vt:variant>
      <vt:variant>
        <vt:i4>291</vt:i4>
      </vt:variant>
      <vt:variant>
        <vt:i4>0</vt:i4>
      </vt:variant>
      <vt:variant>
        <vt:i4>5</vt:i4>
      </vt:variant>
      <vt:variant>
        <vt:lpwstr>../Schedule 1 - Definitions/Definitions.doc</vt:lpwstr>
      </vt:variant>
      <vt:variant>
        <vt:lpwstr>Office</vt:lpwstr>
      </vt:variant>
      <vt:variant>
        <vt:i4>589855</vt:i4>
      </vt:variant>
      <vt:variant>
        <vt:i4>288</vt:i4>
      </vt:variant>
      <vt:variant>
        <vt:i4>0</vt:i4>
      </vt:variant>
      <vt:variant>
        <vt:i4>5</vt:i4>
      </vt:variant>
      <vt:variant>
        <vt:lpwstr>../Schedule 1 - Definitions/Definitions.doc</vt:lpwstr>
      </vt:variant>
      <vt:variant>
        <vt:lpwstr>DwgHse</vt:lpwstr>
      </vt:variant>
      <vt:variant>
        <vt:i4>589855</vt:i4>
      </vt:variant>
      <vt:variant>
        <vt:i4>285</vt:i4>
      </vt:variant>
      <vt:variant>
        <vt:i4>0</vt:i4>
      </vt:variant>
      <vt:variant>
        <vt:i4>5</vt:i4>
      </vt:variant>
      <vt:variant>
        <vt:lpwstr>../Schedule 1 - Definitions/Definitions.doc</vt:lpwstr>
      </vt:variant>
      <vt:variant>
        <vt:lpwstr>DwgHse</vt:lpwstr>
      </vt:variant>
      <vt:variant>
        <vt:i4>5898304</vt:i4>
      </vt:variant>
      <vt:variant>
        <vt:i4>282</vt:i4>
      </vt:variant>
      <vt:variant>
        <vt:i4>0</vt:i4>
      </vt:variant>
      <vt:variant>
        <vt:i4>5</vt:i4>
      </vt:variant>
      <vt:variant>
        <vt:lpwstr>../Schedule 6 - Planning scheme policies/BiodiversityPSP.doc</vt:lpwstr>
      </vt:variant>
      <vt:variant>
        <vt:lpwstr/>
      </vt:variant>
      <vt:variant>
        <vt:i4>1507353</vt:i4>
      </vt:variant>
      <vt:variant>
        <vt:i4>279</vt:i4>
      </vt:variant>
      <vt:variant>
        <vt:i4>0</vt:i4>
      </vt:variant>
      <vt:variant>
        <vt:i4>5</vt:i4>
      </vt:variant>
      <vt:variant>
        <vt:lpwstr>../Schedule 6 - Planning scheme policies/StructurePlanningPSP.doc</vt:lpwstr>
      </vt:variant>
      <vt:variant>
        <vt:lpwstr/>
      </vt:variant>
      <vt:variant>
        <vt:i4>5898304</vt:i4>
      </vt:variant>
      <vt:variant>
        <vt:i4>276</vt:i4>
      </vt:variant>
      <vt:variant>
        <vt:i4>0</vt:i4>
      </vt:variant>
      <vt:variant>
        <vt:i4>5</vt:i4>
      </vt:variant>
      <vt:variant>
        <vt:lpwstr>../Schedule 6 - Planning scheme policies/BiodiversityPSP.doc</vt:lpwstr>
      </vt:variant>
      <vt:variant>
        <vt:lpwstr/>
      </vt:variant>
      <vt:variant>
        <vt:i4>393219</vt:i4>
      </vt:variant>
      <vt:variant>
        <vt:i4>273</vt:i4>
      </vt:variant>
      <vt:variant>
        <vt:i4>0</vt:i4>
      </vt:variant>
      <vt:variant>
        <vt:i4>5</vt:i4>
      </vt:variant>
      <vt:variant>
        <vt:lpwstr>../Part 6 - Zones/RuralZC.doc</vt:lpwstr>
      </vt:variant>
      <vt:variant>
        <vt:lpwstr/>
      </vt:variant>
      <vt:variant>
        <vt:i4>8323177</vt:i4>
      </vt:variant>
      <vt:variant>
        <vt:i4>270</vt:i4>
      </vt:variant>
      <vt:variant>
        <vt:i4>0</vt:i4>
      </vt:variant>
      <vt:variant>
        <vt:i4>5</vt:i4>
      </vt:variant>
      <vt:variant>
        <vt:lpwstr>../Part 6 - Zones/EnvironmentalManagementZC.doc</vt:lpwstr>
      </vt:variant>
      <vt:variant>
        <vt:lpwstr/>
      </vt:variant>
      <vt:variant>
        <vt:i4>3604606</vt:i4>
      </vt:variant>
      <vt:variant>
        <vt:i4>267</vt:i4>
      </vt:variant>
      <vt:variant>
        <vt:i4>0</vt:i4>
      </vt:variant>
      <vt:variant>
        <vt:i4>5</vt:i4>
      </vt:variant>
      <vt:variant>
        <vt:lpwstr/>
      </vt:variant>
      <vt:variant>
        <vt:lpwstr>Table94192B</vt:lpwstr>
      </vt:variant>
      <vt:variant>
        <vt:i4>1769489</vt:i4>
      </vt:variant>
      <vt:variant>
        <vt:i4>264</vt:i4>
      </vt:variant>
      <vt:variant>
        <vt:i4>0</vt:i4>
      </vt:variant>
      <vt:variant>
        <vt:i4>5</vt:i4>
      </vt:variant>
      <vt:variant>
        <vt:lpwstr>../Schedule 1 - Definitions/Definitions.doc</vt:lpwstr>
      </vt:variant>
      <vt:variant>
        <vt:lpwstr>BuildingEnvPlan</vt:lpwstr>
      </vt:variant>
      <vt:variant>
        <vt:i4>1769489</vt:i4>
      </vt:variant>
      <vt:variant>
        <vt:i4>261</vt:i4>
      </vt:variant>
      <vt:variant>
        <vt:i4>0</vt:i4>
      </vt:variant>
      <vt:variant>
        <vt:i4>5</vt:i4>
      </vt:variant>
      <vt:variant>
        <vt:lpwstr>../Schedule 1 - Definitions/Definitions.doc</vt:lpwstr>
      </vt:variant>
      <vt:variant>
        <vt:lpwstr>BuildingEnvPlan</vt:lpwstr>
      </vt:variant>
      <vt:variant>
        <vt:i4>7274615</vt:i4>
      </vt:variant>
      <vt:variant>
        <vt:i4>258</vt:i4>
      </vt:variant>
      <vt:variant>
        <vt:i4>0</vt:i4>
      </vt:variant>
      <vt:variant>
        <vt:i4>5</vt:i4>
      </vt:variant>
      <vt:variant>
        <vt:lpwstr>../Schedule 1 - Definitions/Definitions.doc</vt:lpwstr>
      </vt:variant>
      <vt:variant>
        <vt:lpwstr>CornerLot</vt:lpwstr>
      </vt:variant>
      <vt:variant>
        <vt:i4>1769489</vt:i4>
      </vt:variant>
      <vt:variant>
        <vt:i4>255</vt:i4>
      </vt:variant>
      <vt:variant>
        <vt:i4>0</vt:i4>
      </vt:variant>
      <vt:variant>
        <vt:i4>5</vt:i4>
      </vt:variant>
      <vt:variant>
        <vt:lpwstr>../Schedule 1 - Definitions/Definitions.doc</vt:lpwstr>
      </vt:variant>
      <vt:variant>
        <vt:lpwstr>BuildingEnvPlan</vt:lpwstr>
      </vt:variant>
      <vt:variant>
        <vt:i4>786443</vt:i4>
      </vt:variant>
      <vt:variant>
        <vt:i4>252</vt:i4>
      </vt:variant>
      <vt:variant>
        <vt:i4>0</vt:i4>
      </vt:variant>
      <vt:variant>
        <vt:i4>5</vt:i4>
      </vt:variant>
      <vt:variant>
        <vt:lpwstr>../Schedule 1 - Definitions/Definitions.doc</vt:lpwstr>
      </vt:variant>
      <vt:variant>
        <vt:lpwstr>TreeProtectionZone</vt:lpwstr>
      </vt:variant>
      <vt:variant>
        <vt:i4>589855</vt:i4>
      </vt:variant>
      <vt:variant>
        <vt:i4>249</vt:i4>
      </vt:variant>
      <vt:variant>
        <vt:i4>0</vt:i4>
      </vt:variant>
      <vt:variant>
        <vt:i4>5</vt:i4>
      </vt:variant>
      <vt:variant>
        <vt:lpwstr>../Schedule 1 - Definitions/Definitions.doc</vt:lpwstr>
      </vt:variant>
      <vt:variant>
        <vt:lpwstr>DwgHse</vt:lpwstr>
      </vt:variant>
      <vt:variant>
        <vt:i4>3604606</vt:i4>
      </vt:variant>
      <vt:variant>
        <vt:i4>246</vt:i4>
      </vt:variant>
      <vt:variant>
        <vt:i4>0</vt:i4>
      </vt:variant>
      <vt:variant>
        <vt:i4>5</vt:i4>
      </vt:variant>
      <vt:variant>
        <vt:lpwstr/>
      </vt:variant>
      <vt:variant>
        <vt:lpwstr>Table94192B</vt:lpwstr>
      </vt:variant>
      <vt:variant>
        <vt:i4>1769489</vt:i4>
      </vt:variant>
      <vt:variant>
        <vt:i4>243</vt:i4>
      </vt:variant>
      <vt:variant>
        <vt:i4>0</vt:i4>
      </vt:variant>
      <vt:variant>
        <vt:i4>5</vt:i4>
      </vt:variant>
      <vt:variant>
        <vt:lpwstr>../Schedule 1 - Definitions/Definitions.doc</vt:lpwstr>
      </vt:variant>
      <vt:variant>
        <vt:lpwstr>BuildingEnvPlan</vt:lpwstr>
      </vt:variant>
      <vt:variant>
        <vt:i4>6946942</vt:i4>
      </vt:variant>
      <vt:variant>
        <vt:i4>240</vt:i4>
      </vt:variant>
      <vt:variant>
        <vt:i4>0</vt:i4>
      </vt:variant>
      <vt:variant>
        <vt:i4>5</vt:i4>
      </vt:variant>
      <vt:variant>
        <vt:lpwstr>../Schedule 1 - Definitions/Definitions.doc</vt:lpwstr>
      </vt:variant>
      <vt:variant>
        <vt:lpwstr>SmallLot</vt:lpwstr>
      </vt:variant>
      <vt:variant>
        <vt:i4>1769489</vt:i4>
      </vt:variant>
      <vt:variant>
        <vt:i4>237</vt:i4>
      </vt:variant>
      <vt:variant>
        <vt:i4>0</vt:i4>
      </vt:variant>
      <vt:variant>
        <vt:i4>5</vt:i4>
      </vt:variant>
      <vt:variant>
        <vt:lpwstr>../Schedule 1 - Definitions/Definitions.doc</vt:lpwstr>
      </vt:variant>
      <vt:variant>
        <vt:lpwstr>BuildingEnvPlan</vt:lpwstr>
      </vt:variant>
      <vt:variant>
        <vt:i4>589855</vt:i4>
      </vt:variant>
      <vt:variant>
        <vt:i4>234</vt:i4>
      </vt:variant>
      <vt:variant>
        <vt:i4>0</vt:i4>
      </vt:variant>
      <vt:variant>
        <vt:i4>5</vt:i4>
      </vt:variant>
      <vt:variant>
        <vt:lpwstr>../Schedule 1 - Definitions/Definitions.doc</vt:lpwstr>
      </vt:variant>
      <vt:variant>
        <vt:lpwstr>DwgHse</vt:lpwstr>
      </vt:variant>
      <vt:variant>
        <vt:i4>6946942</vt:i4>
      </vt:variant>
      <vt:variant>
        <vt:i4>231</vt:i4>
      </vt:variant>
      <vt:variant>
        <vt:i4>0</vt:i4>
      </vt:variant>
      <vt:variant>
        <vt:i4>5</vt:i4>
      </vt:variant>
      <vt:variant>
        <vt:lpwstr>../Schedule 1 - Definitions/Definitions.doc</vt:lpwstr>
      </vt:variant>
      <vt:variant>
        <vt:lpwstr>SmallLot</vt:lpwstr>
      </vt:variant>
      <vt:variant>
        <vt:i4>6946942</vt:i4>
      </vt:variant>
      <vt:variant>
        <vt:i4>228</vt:i4>
      </vt:variant>
      <vt:variant>
        <vt:i4>0</vt:i4>
      </vt:variant>
      <vt:variant>
        <vt:i4>5</vt:i4>
      </vt:variant>
      <vt:variant>
        <vt:lpwstr>../Schedule 1 - Definitions/Definitions.doc</vt:lpwstr>
      </vt:variant>
      <vt:variant>
        <vt:lpwstr>SmallLot</vt:lpwstr>
      </vt:variant>
      <vt:variant>
        <vt:i4>1769489</vt:i4>
      </vt:variant>
      <vt:variant>
        <vt:i4>225</vt:i4>
      </vt:variant>
      <vt:variant>
        <vt:i4>0</vt:i4>
      </vt:variant>
      <vt:variant>
        <vt:i4>5</vt:i4>
      </vt:variant>
      <vt:variant>
        <vt:lpwstr>../Schedule 1 - Definitions/Definitions.doc</vt:lpwstr>
      </vt:variant>
      <vt:variant>
        <vt:lpwstr>BuildingEnvPlan</vt:lpwstr>
      </vt:variant>
      <vt:variant>
        <vt:i4>5505043</vt:i4>
      </vt:variant>
      <vt:variant>
        <vt:i4>222</vt:i4>
      </vt:variant>
      <vt:variant>
        <vt:i4>0</vt:i4>
      </vt:variant>
      <vt:variant>
        <vt:i4>5</vt:i4>
      </vt:variant>
      <vt:variant>
        <vt:lpwstr>../Part 4 - Priority infrastructure plan/Part4PIP.doc</vt:lpwstr>
      </vt:variant>
      <vt:variant>
        <vt:lpwstr/>
      </vt:variant>
      <vt:variant>
        <vt:i4>720981</vt:i4>
      </vt:variant>
      <vt:variant>
        <vt:i4>219</vt:i4>
      </vt:variant>
      <vt:variant>
        <vt:i4>0</vt:i4>
      </vt:variant>
      <vt:variant>
        <vt:i4>5</vt:i4>
      </vt:variant>
      <vt:variant>
        <vt:lpwstr>ParkPlanningCode.doc</vt:lpwstr>
      </vt:variant>
      <vt:variant>
        <vt:lpwstr/>
      </vt:variant>
      <vt:variant>
        <vt:i4>7929971</vt:i4>
      </vt:variant>
      <vt:variant>
        <vt:i4>216</vt:i4>
      </vt:variant>
      <vt:variant>
        <vt:i4>0</vt:i4>
      </vt:variant>
      <vt:variant>
        <vt:i4>5</vt:i4>
      </vt:variant>
      <vt:variant>
        <vt:lpwstr/>
      </vt:variant>
      <vt:variant>
        <vt:lpwstr>Figureb</vt:lpwstr>
      </vt:variant>
      <vt:variant>
        <vt:i4>589855</vt:i4>
      </vt:variant>
      <vt:variant>
        <vt:i4>213</vt:i4>
      </vt:variant>
      <vt:variant>
        <vt:i4>0</vt:i4>
      </vt:variant>
      <vt:variant>
        <vt:i4>5</vt:i4>
      </vt:variant>
      <vt:variant>
        <vt:lpwstr>../Schedule 1 - Definitions/Definitions.doc</vt:lpwstr>
      </vt:variant>
      <vt:variant>
        <vt:lpwstr>DwgHse</vt:lpwstr>
      </vt:variant>
      <vt:variant>
        <vt:i4>589855</vt:i4>
      </vt:variant>
      <vt:variant>
        <vt:i4>210</vt:i4>
      </vt:variant>
      <vt:variant>
        <vt:i4>0</vt:i4>
      </vt:variant>
      <vt:variant>
        <vt:i4>5</vt:i4>
      </vt:variant>
      <vt:variant>
        <vt:lpwstr>../Schedule 1 - Definitions/Definitions.doc</vt:lpwstr>
      </vt:variant>
      <vt:variant>
        <vt:lpwstr>DwgHse</vt:lpwstr>
      </vt:variant>
      <vt:variant>
        <vt:i4>6750315</vt:i4>
      </vt:variant>
      <vt:variant>
        <vt:i4>207</vt:i4>
      </vt:variant>
      <vt:variant>
        <vt:i4>0</vt:i4>
      </vt:variant>
      <vt:variant>
        <vt:i4>5</vt:i4>
      </vt:variant>
      <vt:variant>
        <vt:lpwstr>../Schedule 1 - Definitions/Definitions.doc</vt:lpwstr>
      </vt:variant>
      <vt:variant>
        <vt:lpwstr>Multiple</vt:lpwstr>
      </vt:variant>
      <vt:variant>
        <vt:i4>7209073</vt:i4>
      </vt:variant>
      <vt:variant>
        <vt:i4>204</vt:i4>
      </vt:variant>
      <vt:variant>
        <vt:i4>0</vt:i4>
      </vt:variant>
      <vt:variant>
        <vt:i4>5</vt:i4>
      </vt:variant>
      <vt:variant>
        <vt:lpwstr>../Part 6 - Zones/LowMediumDenResZC.doc</vt:lpwstr>
      </vt:variant>
      <vt:variant>
        <vt:lpwstr/>
      </vt:variant>
      <vt:variant>
        <vt:i4>5242963</vt:i4>
      </vt:variant>
      <vt:variant>
        <vt:i4>201</vt:i4>
      </vt:variant>
      <vt:variant>
        <vt:i4>0</vt:i4>
      </vt:variant>
      <vt:variant>
        <vt:i4>5</vt:i4>
      </vt:variant>
      <vt:variant>
        <vt:lpwstr>../Part 6 - Zones/CharacterResZC.doc</vt:lpwstr>
      </vt:variant>
      <vt:variant>
        <vt:lpwstr/>
      </vt:variant>
      <vt:variant>
        <vt:i4>131095</vt:i4>
      </vt:variant>
      <vt:variant>
        <vt:i4>198</vt:i4>
      </vt:variant>
      <vt:variant>
        <vt:i4>0</vt:i4>
      </vt:variant>
      <vt:variant>
        <vt:i4>5</vt:i4>
      </vt:variant>
      <vt:variant>
        <vt:lpwstr>../Part 6 - Zones/LowDensityResZC.doc</vt:lpwstr>
      </vt:variant>
      <vt:variant>
        <vt:lpwstr/>
      </vt:variant>
      <vt:variant>
        <vt:i4>1769485</vt:i4>
      </vt:variant>
      <vt:variant>
        <vt:i4>195</vt:i4>
      </vt:variant>
      <vt:variant>
        <vt:i4>0</vt:i4>
      </vt:variant>
      <vt:variant>
        <vt:i4>5</vt:i4>
      </vt:variant>
      <vt:variant>
        <vt:lpwstr>../Part 6 - Zones/EmergingCommunityZC.doc</vt:lpwstr>
      </vt:variant>
      <vt:variant>
        <vt:lpwstr/>
      </vt:variant>
      <vt:variant>
        <vt:i4>6356999</vt:i4>
      </vt:variant>
      <vt:variant>
        <vt:i4>192</vt:i4>
      </vt:variant>
      <vt:variant>
        <vt:i4>0</vt:i4>
      </vt:variant>
      <vt:variant>
        <vt:i4>5</vt:i4>
      </vt:variant>
      <vt:variant>
        <vt:lpwstr>../../../../../../../../groups/CPS/CPED/CPBranch/C_PConf/new City Plan/eplan 2013 public consultation/Schedule 1 - Definitions/Definitions.doc</vt:lpwstr>
      </vt:variant>
      <vt:variant>
        <vt:lpwstr>Dwelling</vt:lpwstr>
      </vt:variant>
      <vt:variant>
        <vt:i4>6356999</vt:i4>
      </vt:variant>
      <vt:variant>
        <vt:i4>189</vt:i4>
      </vt:variant>
      <vt:variant>
        <vt:i4>0</vt:i4>
      </vt:variant>
      <vt:variant>
        <vt:i4>5</vt:i4>
      </vt:variant>
      <vt:variant>
        <vt:lpwstr>../../../../../../../../groups/CPS/CPED/CPBranch/C_PConf/new City Plan/eplan 2013 public consultation/Schedule 1 - Definitions/Definitions.doc</vt:lpwstr>
      </vt:variant>
      <vt:variant>
        <vt:lpwstr>Dwelling</vt:lpwstr>
      </vt:variant>
      <vt:variant>
        <vt:i4>1769489</vt:i4>
      </vt:variant>
      <vt:variant>
        <vt:i4>186</vt:i4>
      </vt:variant>
      <vt:variant>
        <vt:i4>0</vt:i4>
      </vt:variant>
      <vt:variant>
        <vt:i4>5</vt:i4>
      </vt:variant>
      <vt:variant>
        <vt:lpwstr>../Schedule 1 - Definitions/Definitions.doc</vt:lpwstr>
      </vt:variant>
      <vt:variant>
        <vt:lpwstr>BuildingEnvPlan</vt:lpwstr>
      </vt:variant>
      <vt:variant>
        <vt:i4>6946942</vt:i4>
      </vt:variant>
      <vt:variant>
        <vt:i4>183</vt:i4>
      </vt:variant>
      <vt:variant>
        <vt:i4>0</vt:i4>
      </vt:variant>
      <vt:variant>
        <vt:i4>5</vt:i4>
      </vt:variant>
      <vt:variant>
        <vt:lpwstr>../Schedule 1 - Definitions/Definitions.doc</vt:lpwstr>
      </vt:variant>
      <vt:variant>
        <vt:lpwstr>SmallLot</vt:lpwstr>
      </vt:variant>
      <vt:variant>
        <vt:i4>131081</vt:i4>
      </vt:variant>
      <vt:variant>
        <vt:i4>180</vt:i4>
      </vt:variant>
      <vt:variant>
        <vt:i4>0</vt:i4>
      </vt:variant>
      <vt:variant>
        <vt:i4>5</vt:i4>
      </vt:variant>
      <vt:variant>
        <vt:lpwstr>../Schedule 1 - Definitions/Definitions.doc</vt:lpwstr>
      </vt:variant>
      <vt:variant>
        <vt:lpwstr>WalkingDistance</vt:lpwstr>
      </vt:variant>
      <vt:variant>
        <vt:i4>1507353</vt:i4>
      </vt:variant>
      <vt:variant>
        <vt:i4>177</vt:i4>
      </vt:variant>
      <vt:variant>
        <vt:i4>0</vt:i4>
      </vt:variant>
      <vt:variant>
        <vt:i4>5</vt:i4>
      </vt:variant>
      <vt:variant>
        <vt:lpwstr>../Schedule 6 - Planning scheme policies/StructurePlanningPSP.doc</vt:lpwstr>
      </vt:variant>
      <vt:variant>
        <vt:lpwstr/>
      </vt:variant>
      <vt:variant>
        <vt:i4>131081</vt:i4>
      </vt:variant>
      <vt:variant>
        <vt:i4>174</vt:i4>
      </vt:variant>
      <vt:variant>
        <vt:i4>0</vt:i4>
      </vt:variant>
      <vt:variant>
        <vt:i4>5</vt:i4>
      </vt:variant>
      <vt:variant>
        <vt:lpwstr>../Schedule 1 - Definitions/Definitions.doc</vt:lpwstr>
      </vt:variant>
      <vt:variant>
        <vt:lpwstr>WalkingDistance</vt:lpwstr>
      </vt:variant>
      <vt:variant>
        <vt:i4>131081</vt:i4>
      </vt:variant>
      <vt:variant>
        <vt:i4>171</vt:i4>
      </vt:variant>
      <vt:variant>
        <vt:i4>0</vt:i4>
      </vt:variant>
      <vt:variant>
        <vt:i4>5</vt:i4>
      </vt:variant>
      <vt:variant>
        <vt:lpwstr>../Schedule 1 - Definitions/Definitions.doc</vt:lpwstr>
      </vt:variant>
      <vt:variant>
        <vt:lpwstr>WalkingDistance</vt:lpwstr>
      </vt:variant>
      <vt:variant>
        <vt:i4>6357058</vt:i4>
      </vt:variant>
      <vt:variant>
        <vt:i4>168</vt:i4>
      </vt:variant>
      <vt:variant>
        <vt:i4>0</vt:i4>
      </vt:variant>
      <vt:variant>
        <vt:i4>5</vt:i4>
      </vt:variant>
      <vt:variant>
        <vt:lpwstr>\\melfas01b\melbshare\Marketing\BCC Planning Scheme\Schedule 6 - Planning scheme policies\TransportAccessParkingPSP.doc</vt:lpwstr>
      </vt:variant>
      <vt:variant>
        <vt:lpwstr/>
      </vt:variant>
      <vt:variant>
        <vt:i4>917559</vt:i4>
      </vt:variant>
      <vt:variant>
        <vt:i4>165</vt:i4>
      </vt:variant>
      <vt:variant>
        <vt:i4>0</vt:i4>
      </vt:variant>
      <vt:variant>
        <vt:i4>5</vt:i4>
      </vt:variant>
      <vt:variant>
        <vt:lpwstr>\\melfas01b\melbshare\Marketing\BCC Planning Scheme\Schedule 6 - Planning scheme policies\InfrastructureDesignPSP.doc</vt:lpwstr>
      </vt:variant>
      <vt:variant>
        <vt:lpwstr/>
      </vt:variant>
      <vt:variant>
        <vt:i4>4522069</vt:i4>
      </vt:variant>
      <vt:variant>
        <vt:i4>162</vt:i4>
      </vt:variant>
      <vt:variant>
        <vt:i4>0</vt:i4>
      </vt:variant>
      <vt:variant>
        <vt:i4>5</vt:i4>
      </vt:variant>
      <vt:variant>
        <vt:lpwstr>../Schedule 6 - Planning scheme policies/InfrastructureDesignPSP.doc</vt:lpwstr>
      </vt:variant>
      <vt:variant>
        <vt:lpwstr/>
      </vt:variant>
      <vt:variant>
        <vt:i4>6357058</vt:i4>
      </vt:variant>
      <vt:variant>
        <vt:i4>159</vt:i4>
      </vt:variant>
      <vt:variant>
        <vt:i4>0</vt:i4>
      </vt:variant>
      <vt:variant>
        <vt:i4>5</vt:i4>
      </vt:variant>
      <vt:variant>
        <vt:lpwstr>\\melfas01b\melbshare\Marketing\BCC Planning Scheme\Schedule 6 - Planning scheme policies\TransportAccessParkingPSP.doc</vt:lpwstr>
      </vt:variant>
      <vt:variant>
        <vt:lpwstr/>
      </vt:variant>
      <vt:variant>
        <vt:i4>5767187</vt:i4>
      </vt:variant>
      <vt:variant>
        <vt:i4>156</vt:i4>
      </vt:variant>
      <vt:variant>
        <vt:i4>0</vt:i4>
      </vt:variant>
      <vt:variant>
        <vt:i4>5</vt:i4>
      </vt:variant>
      <vt:variant>
        <vt:lpwstr>TransportCode.doc</vt:lpwstr>
      </vt:variant>
      <vt:variant>
        <vt:lpwstr/>
      </vt:variant>
      <vt:variant>
        <vt:i4>917559</vt:i4>
      </vt:variant>
      <vt:variant>
        <vt:i4>153</vt:i4>
      </vt:variant>
      <vt:variant>
        <vt:i4>0</vt:i4>
      </vt:variant>
      <vt:variant>
        <vt:i4>5</vt:i4>
      </vt:variant>
      <vt:variant>
        <vt:lpwstr>\\melfas01b\melbshare\Marketing\BCC Planning Scheme\Schedule 6 - Planning scheme policies\InfrastructureDesignPSP.doc</vt:lpwstr>
      </vt:variant>
      <vt:variant>
        <vt:lpwstr/>
      </vt:variant>
      <vt:variant>
        <vt:i4>4522069</vt:i4>
      </vt:variant>
      <vt:variant>
        <vt:i4>150</vt:i4>
      </vt:variant>
      <vt:variant>
        <vt:i4>0</vt:i4>
      </vt:variant>
      <vt:variant>
        <vt:i4>5</vt:i4>
      </vt:variant>
      <vt:variant>
        <vt:lpwstr>../Schedule 6 - Planning scheme policies/InfrastructureDesignPSP.doc</vt:lpwstr>
      </vt:variant>
      <vt:variant>
        <vt:lpwstr/>
      </vt:variant>
      <vt:variant>
        <vt:i4>4522069</vt:i4>
      </vt:variant>
      <vt:variant>
        <vt:i4>147</vt:i4>
      </vt:variant>
      <vt:variant>
        <vt:i4>0</vt:i4>
      </vt:variant>
      <vt:variant>
        <vt:i4>5</vt:i4>
      </vt:variant>
      <vt:variant>
        <vt:lpwstr>../Schedule 6 - Planning scheme policies/InfrastructureDesignPSP.doc</vt:lpwstr>
      </vt:variant>
      <vt:variant>
        <vt:lpwstr/>
      </vt:variant>
      <vt:variant>
        <vt:i4>4522069</vt:i4>
      </vt:variant>
      <vt:variant>
        <vt:i4>144</vt:i4>
      </vt:variant>
      <vt:variant>
        <vt:i4>0</vt:i4>
      </vt:variant>
      <vt:variant>
        <vt:i4>5</vt:i4>
      </vt:variant>
      <vt:variant>
        <vt:lpwstr>../Schedule 6 - Planning scheme policies/InfrastructureDesignPSP.doc</vt:lpwstr>
      </vt:variant>
      <vt:variant>
        <vt:lpwstr/>
      </vt:variant>
      <vt:variant>
        <vt:i4>65631</vt:i4>
      </vt:variant>
      <vt:variant>
        <vt:i4>141</vt:i4>
      </vt:variant>
      <vt:variant>
        <vt:i4>0</vt:i4>
      </vt:variant>
      <vt:variant>
        <vt:i4>5</vt:i4>
      </vt:variant>
      <vt:variant>
        <vt:lpwstr>InfrastructureDesignCode.doc</vt:lpwstr>
      </vt:variant>
      <vt:variant>
        <vt:lpwstr/>
      </vt:variant>
      <vt:variant>
        <vt:i4>4522069</vt:i4>
      </vt:variant>
      <vt:variant>
        <vt:i4>138</vt:i4>
      </vt:variant>
      <vt:variant>
        <vt:i4>0</vt:i4>
      </vt:variant>
      <vt:variant>
        <vt:i4>5</vt:i4>
      </vt:variant>
      <vt:variant>
        <vt:lpwstr>../Schedule 6 - Planning scheme policies/InfrastructureDesignPSP.doc</vt:lpwstr>
      </vt:variant>
      <vt:variant>
        <vt:lpwstr/>
      </vt:variant>
      <vt:variant>
        <vt:i4>7929971</vt:i4>
      </vt:variant>
      <vt:variant>
        <vt:i4>135</vt:i4>
      </vt:variant>
      <vt:variant>
        <vt:i4>0</vt:i4>
      </vt:variant>
      <vt:variant>
        <vt:i4>5</vt:i4>
      </vt:variant>
      <vt:variant>
        <vt:lpwstr/>
      </vt:variant>
      <vt:variant>
        <vt:lpwstr>Figurea</vt:lpwstr>
      </vt:variant>
      <vt:variant>
        <vt:i4>3145786</vt:i4>
      </vt:variant>
      <vt:variant>
        <vt:i4>132</vt:i4>
      </vt:variant>
      <vt:variant>
        <vt:i4>0</vt:i4>
      </vt:variant>
      <vt:variant>
        <vt:i4>5</vt:i4>
      </vt:variant>
      <vt:variant>
        <vt:lpwstr>../Schedule 6 - Planning scheme policies/TransportAccessParkingPSP.doc</vt:lpwstr>
      </vt:variant>
      <vt:variant>
        <vt:lpwstr/>
      </vt:variant>
      <vt:variant>
        <vt:i4>4522069</vt:i4>
      </vt:variant>
      <vt:variant>
        <vt:i4>129</vt:i4>
      </vt:variant>
      <vt:variant>
        <vt:i4>0</vt:i4>
      </vt:variant>
      <vt:variant>
        <vt:i4>5</vt:i4>
      </vt:variant>
      <vt:variant>
        <vt:lpwstr>../Schedule 6 - Planning scheme policies/InfrastructureDesignPSP.doc</vt:lpwstr>
      </vt:variant>
      <vt:variant>
        <vt:lpwstr/>
      </vt:variant>
      <vt:variant>
        <vt:i4>852038</vt:i4>
      </vt:variant>
      <vt:variant>
        <vt:i4>126</vt:i4>
      </vt:variant>
      <vt:variant>
        <vt:i4>0</vt:i4>
      </vt:variant>
      <vt:variant>
        <vt:i4>5</vt:i4>
      </vt:variant>
      <vt:variant>
        <vt:lpwstr>http://www.brisbane.qld.gov.au/planning-building/current-planning-projects/brisbanes-new-city-plan/draft-new-city-plan-mapping/index.htm</vt:lpwstr>
      </vt:variant>
      <vt:variant>
        <vt:lpwstr/>
      </vt:variant>
      <vt:variant>
        <vt:i4>6357058</vt:i4>
      </vt:variant>
      <vt:variant>
        <vt:i4>123</vt:i4>
      </vt:variant>
      <vt:variant>
        <vt:i4>0</vt:i4>
      </vt:variant>
      <vt:variant>
        <vt:i4>5</vt:i4>
      </vt:variant>
      <vt:variant>
        <vt:lpwstr>\\melfas01b\melbshare\Marketing\BCC Planning Scheme\Schedule 6 - Planning scheme policies\TransportAccessParkingPSP.doc</vt:lpwstr>
      </vt:variant>
      <vt:variant>
        <vt:lpwstr/>
      </vt:variant>
      <vt:variant>
        <vt:i4>917559</vt:i4>
      </vt:variant>
      <vt:variant>
        <vt:i4>120</vt:i4>
      </vt:variant>
      <vt:variant>
        <vt:i4>0</vt:i4>
      </vt:variant>
      <vt:variant>
        <vt:i4>5</vt:i4>
      </vt:variant>
      <vt:variant>
        <vt:lpwstr>\\melfas01b\melbshare\Marketing\BCC Planning Scheme\Schedule 6 - Planning scheme policies\InfrastructureDesignPSP.doc</vt:lpwstr>
      </vt:variant>
      <vt:variant>
        <vt:lpwstr/>
      </vt:variant>
      <vt:variant>
        <vt:i4>6357058</vt:i4>
      </vt:variant>
      <vt:variant>
        <vt:i4>116</vt:i4>
      </vt:variant>
      <vt:variant>
        <vt:i4>0</vt:i4>
      </vt:variant>
      <vt:variant>
        <vt:i4>5</vt:i4>
      </vt:variant>
      <vt:variant>
        <vt:lpwstr>\\melfas01b\melbshare\Marketing\BCC Planning Scheme\Schedule 6 - Planning scheme policies\TransportAccessParkingPSP.doc</vt:lpwstr>
      </vt:variant>
      <vt:variant>
        <vt:lpwstr/>
      </vt:variant>
      <vt:variant>
        <vt:i4>917559</vt:i4>
      </vt:variant>
      <vt:variant>
        <vt:i4>113</vt:i4>
      </vt:variant>
      <vt:variant>
        <vt:i4>0</vt:i4>
      </vt:variant>
      <vt:variant>
        <vt:i4>5</vt:i4>
      </vt:variant>
      <vt:variant>
        <vt:lpwstr>\\melfas01b\melbshare\Marketing\BCC Planning Scheme\Schedule 6 - Planning scheme policies\InfrastructureDesignPSP.doc</vt:lpwstr>
      </vt:variant>
      <vt:variant>
        <vt:lpwstr/>
      </vt:variant>
      <vt:variant>
        <vt:i4>6488138</vt:i4>
      </vt:variant>
      <vt:variant>
        <vt:i4>111</vt:i4>
      </vt:variant>
      <vt:variant>
        <vt:i4>0</vt:i4>
      </vt:variant>
      <vt:variant>
        <vt:i4>5</vt:i4>
      </vt:variant>
      <vt:variant>
        <vt:lpwstr>../../../../../../../../groups/CPS/CPED/CPBranch/C_PConf/new City Plan/eplan 2013 public consultation/Part 9 - Development codes/TransportCode.doc</vt:lpwstr>
      </vt:variant>
      <vt:variant>
        <vt:lpwstr/>
      </vt:variant>
      <vt:variant>
        <vt:i4>6750321</vt:i4>
      </vt:variant>
      <vt:variant>
        <vt:i4>108</vt:i4>
      </vt:variant>
      <vt:variant>
        <vt:i4>0</vt:i4>
      </vt:variant>
      <vt:variant>
        <vt:i4>5</vt:i4>
      </vt:variant>
      <vt:variant>
        <vt:lpwstr>../Schedule 1 - Definitions/Definitions.doc</vt:lpwstr>
      </vt:variant>
      <vt:variant>
        <vt:lpwstr>RegProfEngQld</vt:lpwstr>
      </vt:variant>
      <vt:variant>
        <vt:i4>3145786</vt:i4>
      </vt:variant>
      <vt:variant>
        <vt:i4>105</vt:i4>
      </vt:variant>
      <vt:variant>
        <vt:i4>0</vt:i4>
      </vt:variant>
      <vt:variant>
        <vt:i4>5</vt:i4>
      </vt:variant>
      <vt:variant>
        <vt:lpwstr>../Schedule 6 - Planning scheme policies/TransportAccessParkingPSP.doc</vt:lpwstr>
      </vt:variant>
      <vt:variant>
        <vt:lpwstr/>
      </vt:variant>
      <vt:variant>
        <vt:i4>6750321</vt:i4>
      </vt:variant>
      <vt:variant>
        <vt:i4>102</vt:i4>
      </vt:variant>
      <vt:variant>
        <vt:i4>0</vt:i4>
      </vt:variant>
      <vt:variant>
        <vt:i4>5</vt:i4>
      </vt:variant>
      <vt:variant>
        <vt:lpwstr>../Schedule 1 - Definitions/Definitions.doc</vt:lpwstr>
      </vt:variant>
      <vt:variant>
        <vt:lpwstr>RegProfEngQld</vt:lpwstr>
      </vt:variant>
      <vt:variant>
        <vt:i4>3145786</vt:i4>
      </vt:variant>
      <vt:variant>
        <vt:i4>99</vt:i4>
      </vt:variant>
      <vt:variant>
        <vt:i4>0</vt:i4>
      </vt:variant>
      <vt:variant>
        <vt:i4>5</vt:i4>
      </vt:variant>
      <vt:variant>
        <vt:lpwstr>../Schedule 6 - Planning scheme policies/TransportAccessParkingPSP.doc</vt:lpwstr>
      </vt:variant>
      <vt:variant>
        <vt:lpwstr/>
      </vt:variant>
      <vt:variant>
        <vt:i4>3145786</vt:i4>
      </vt:variant>
      <vt:variant>
        <vt:i4>95</vt:i4>
      </vt:variant>
      <vt:variant>
        <vt:i4>0</vt:i4>
      </vt:variant>
      <vt:variant>
        <vt:i4>5</vt:i4>
      </vt:variant>
      <vt:variant>
        <vt:lpwstr>../Schedule 6 - Planning scheme policies/TransportAccessParkingPSP.doc</vt:lpwstr>
      </vt:variant>
      <vt:variant>
        <vt:lpwstr/>
      </vt:variant>
      <vt:variant>
        <vt:i4>4522069</vt:i4>
      </vt:variant>
      <vt:variant>
        <vt:i4>93</vt:i4>
      </vt:variant>
      <vt:variant>
        <vt:i4>0</vt:i4>
      </vt:variant>
      <vt:variant>
        <vt:i4>5</vt:i4>
      </vt:variant>
      <vt:variant>
        <vt:lpwstr>../Schedule 6 - Planning scheme policies/InfrastructureDesignPSP.doc</vt:lpwstr>
      </vt:variant>
      <vt:variant>
        <vt:lpwstr/>
      </vt:variant>
      <vt:variant>
        <vt:i4>3145786</vt:i4>
      </vt:variant>
      <vt:variant>
        <vt:i4>90</vt:i4>
      </vt:variant>
      <vt:variant>
        <vt:i4>0</vt:i4>
      </vt:variant>
      <vt:variant>
        <vt:i4>5</vt:i4>
      </vt:variant>
      <vt:variant>
        <vt:lpwstr>../Schedule 6 - Planning scheme policies/TransportAccessParkingPSP.doc</vt:lpwstr>
      </vt:variant>
      <vt:variant>
        <vt:lpwstr/>
      </vt:variant>
      <vt:variant>
        <vt:i4>3604606</vt:i4>
      </vt:variant>
      <vt:variant>
        <vt:i4>87</vt:i4>
      </vt:variant>
      <vt:variant>
        <vt:i4>0</vt:i4>
      </vt:variant>
      <vt:variant>
        <vt:i4>5</vt:i4>
      </vt:variant>
      <vt:variant>
        <vt:lpwstr/>
      </vt:variant>
      <vt:variant>
        <vt:lpwstr>Table94192B</vt:lpwstr>
      </vt:variant>
      <vt:variant>
        <vt:i4>3145786</vt:i4>
      </vt:variant>
      <vt:variant>
        <vt:i4>84</vt:i4>
      </vt:variant>
      <vt:variant>
        <vt:i4>0</vt:i4>
      </vt:variant>
      <vt:variant>
        <vt:i4>5</vt:i4>
      </vt:variant>
      <vt:variant>
        <vt:lpwstr>../Schedule 6 - Planning scheme policies/TransportAccessParkingPSP.doc</vt:lpwstr>
      </vt:variant>
      <vt:variant>
        <vt:lpwstr/>
      </vt:variant>
      <vt:variant>
        <vt:i4>4522069</vt:i4>
      </vt:variant>
      <vt:variant>
        <vt:i4>81</vt:i4>
      </vt:variant>
      <vt:variant>
        <vt:i4>0</vt:i4>
      </vt:variant>
      <vt:variant>
        <vt:i4>5</vt:i4>
      </vt:variant>
      <vt:variant>
        <vt:lpwstr>../Schedule 6 - Planning scheme policies/InfrastructureDesignPSP.doc</vt:lpwstr>
      </vt:variant>
      <vt:variant>
        <vt:lpwstr/>
      </vt:variant>
      <vt:variant>
        <vt:i4>6357058</vt:i4>
      </vt:variant>
      <vt:variant>
        <vt:i4>78</vt:i4>
      </vt:variant>
      <vt:variant>
        <vt:i4>0</vt:i4>
      </vt:variant>
      <vt:variant>
        <vt:i4>5</vt:i4>
      </vt:variant>
      <vt:variant>
        <vt:lpwstr>\\melfas01b\melbshare\Marketing\BCC Planning Scheme\Schedule 6 - Planning scheme policies\TransportAccessParkingPSP.doc</vt:lpwstr>
      </vt:variant>
      <vt:variant>
        <vt:lpwstr/>
      </vt:variant>
      <vt:variant>
        <vt:i4>917559</vt:i4>
      </vt:variant>
      <vt:variant>
        <vt:i4>75</vt:i4>
      </vt:variant>
      <vt:variant>
        <vt:i4>0</vt:i4>
      </vt:variant>
      <vt:variant>
        <vt:i4>5</vt:i4>
      </vt:variant>
      <vt:variant>
        <vt:lpwstr>\\melfas01b\melbshare\Marketing\BCC Planning Scheme\Schedule 6 - Planning scheme policies\InfrastructureDesignPSP.doc</vt:lpwstr>
      </vt:variant>
      <vt:variant>
        <vt:lpwstr/>
      </vt:variant>
      <vt:variant>
        <vt:i4>5505043</vt:i4>
      </vt:variant>
      <vt:variant>
        <vt:i4>72</vt:i4>
      </vt:variant>
      <vt:variant>
        <vt:i4>0</vt:i4>
      </vt:variant>
      <vt:variant>
        <vt:i4>5</vt:i4>
      </vt:variant>
      <vt:variant>
        <vt:lpwstr>../Part 4 - Priority infrastructure plan/Part4PIP.doc</vt:lpwstr>
      </vt:variant>
      <vt:variant>
        <vt:lpwstr/>
      </vt:variant>
      <vt:variant>
        <vt:i4>3145786</vt:i4>
      </vt:variant>
      <vt:variant>
        <vt:i4>69</vt:i4>
      </vt:variant>
      <vt:variant>
        <vt:i4>0</vt:i4>
      </vt:variant>
      <vt:variant>
        <vt:i4>5</vt:i4>
      </vt:variant>
      <vt:variant>
        <vt:lpwstr>../Schedule 6 - Planning scheme policies/TransportAccessParkingPSP.doc</vt:lpwstr>
      </vt:variant>
      <vt:variant>
        <vt:lpwstr/>
      </vt:variant>
      <vt:variant>
        <vt:i4>3604606</vt:i4>
      </vt:variant>
      <vt:variant>
        <vt:i4>66</vt:i4>
      </vt:variant>
      <vt:variant>
        <vt:i4>0</vt:i4>
      </vt:variant>
      <vt:variant>
        <vt:i4>5</vt:i4>
      </vt:variant>
      <vt:variant>
        <vt:lpwstr/>
      </vt:variant>
      <vt:variant>
        <vt:lpwstr>Table94192B</vt:lpwstr>
      </vt:variant>
      <vt:variant>
        <vt:i4>3604606</vt:i4>
      </vt:variant>
      <vt:variant>
        <vt:i4>63</vt:i4>
      </vt:variant>
      <vt:variant>
        <vt:i4>0</vt:i4>
      </vt:variant>
      <vt:variant>
        <vt:i4>5</vt:i4>
      </vt:variant>
      <vt:variant>
        <vt:lpwstr/>
      </vt:variant>
      <vt:variant>
        <vt:lpwstr>Table94192B</vt:lpwstr>
      </vt:variant>
      <vt:variant>
        <vt:i4>3604606</vt:i4>
      </vt:variant>
      <vt:variant>
        <vt:i4>60</vt:i4>
      </vt:variant>
      <vt:variant>
        <vt:i4>0</vt:i4>
      </vt:variant>
      <vt:variant>
        <vt:i4>5</vt:i4>
      </vt:variant>
      <vt:variant>
        <vt:lpwstr/>
      </vt:variant>
      <vt:variant>
        <vt:lpwstr>Table94192B</vt:lpwstr>
      </vt:variant>
      <vt:variant>
        <vt:i4>7274603</vt:i4>
      </vt:variant>
      <vt:variant>
        <vt:i4>57</vt:i4>
      </vt:variant>
      <vt:variant>
        <vt:i4>0</vt:i4>
      </vt:variant>
      <vt:variant>
        <vt:i4>5</vt:i4>
      </vt:variant>
      <vt:variant>
        <vt:lpwstr>../Schedule 1 - Definitions/Definitions.doc</vt:lpwstr>
      </vt:variant>
      <vt:variant>
        <vt:lpwstr>BuildingLocationPlan</vt:lpwstr>
      </vt:variant>
      <vt:variant>
        <vt:i4>7274603</vt:i4>
      </vt:variant>
      <vt:variant>
        <vt:i4>54</vt:i4>
      </vt:variant>
      <vt:variant>
        <vt:i4>0</vt:i4>
      </vt:variant>
      <vt:variant>
        <vt:i4>5</vt:i4>
      </vt:variant>
      <vt:variant>
        <vt:lpwstr>../Schedule 1 - Definitions/Definitions.doc</vt:lpwstr>
      </vt:variant>
      <vt:variant>
        <vt:lpwstr>BuildingLocationPlan</vt:lpwstr>
      </vt:variant>
      <vt:variant>
        <vt:i4>6619245</vt:i4>
      </vt:variant>
      <vt:variant>
        <vt:i4>51</vt:i4>
      </vt:variant>
      <vt:variant>
        <vt:i4>0</vt:i4>
      </vt:variant>
      <vt:variant>
        <vt:i4>5</vt:i4>
      </vt:variant>
      <vt:variant>
        <vt:lpwstr>../Schedule 1 - Definitions/Definitions.doc</vt:lpwstr>
      </vt:variant>
      <vt:variant>
        <vt:lpwstr>DevtFootprint</vt:lpwstr>
      </vt:variant>
      <vt:variant>
        <vt:i4>7274603</vt:i4>
      </vt:variant>
      <vt:variant>
        <vt:i4>48</vt:i4>
      </vt:variant>
      <vt:variant>
        <vt:i4>0</vt:i4>
      </vt:variant>
      <vt:variant>
        <vt:i4>5</vt:i4>
      </vt:variant>
      <vt:variant>
        <vt:lpwstr>../Schedule 1 - Definitions/Definitions.doc</vt:lpwstr>
      </vt:variant>
      <vt:variant>
        <vt:lpwstr>BuildingLocationPlan</vt:lpwstr>
      </vt:variant>
      <vt:variant>
        <vt:i4>1507337</vt:i4>
      </vt:variant>
      <vt:variant>
        <vt:i4>45</vt:i4>
      </vt:variant>
      <vt:variant>
        <vt:i4>0</vt:i4>
      </vt:variant>
      <vt:variant>
        <vt:i4>5</vt:i4>
      </vt:variant>
      <vt:variant>
        <vt:lpwstr>../Schedule 1 - Definitions/Definitions.doc</vt:lpwstr>
      </vt:variant>
      <vt:variant>
        <vt:lpwstr>Setback</vt:lpwstr>
      </vt:variant>
      <vt:variant>
        <vt:i4>3604606</vt:i4>
      </vt:variant>
      <vt:variant>
        <vt:i4>42</vt:i4>
      </vt:variant>
      <vt:variant>
        <vt:i4>0</vt:i4>
      </vt:variant>
      <vt:variant>
        <vt:i4>5</vt:i4>
      </vt:variant>
      <vt:variant>
        <vt:lpwstr/>
      </vt:variant>
      <vt:variant>
        <vt:lpwstr>Table94192B</vt:lpwstr>
      </vt:variant>
      <vt:variant>
        <vt:i4>4456515</vt:i4>
      </vt:variant>
      <vt:variant>
        <vt:i4>39</vt:i4>
      </vt:variant>
      <vt:variant>
        <vt:i4>0</vt:i4>
      </vt:variant>
      <vt:variant>
        <vt:i4>5</vt:i4>
      </vt:variant>
      <vt:variant>
        <vt:lpwstr>http://www.legislation.qld.gov.au/LEGISLTN/CURRENT/B/BodyCorpA97.pdf</vt:lpwstr>
      </vt:variant>
      <vt:variant>
        <vt:lpwstr/>
      </vt:variant>
      <vt:variant>
        <vt:i4>589852</vt:i4>
      </vt:variant>
      <vt:variant>
        <vt:i4>36</vt:i4>
      </vt:variant>
      <vt:variant>
        <vt:i4>0</vt:i4>
      </vt:variant>
      <vt:variant>
        <vt:i4>5</vt:i4>
      </vt:variant>
      <vt:variant>
        <vt:lpwstr>http://www.legislation.qld.gov.au/LEGISLTN/CURRENT/L/LandTitleA94.pdf</vt:lpwstr>
      </vt:variant>
      <vt:variant>
        <vt:lpwstr/>
      </vt:variant>
      <vt:variant>
        <vt:i4>3145786</vt:i4>
      </vt:variant>
      <vt:variant>
        <vt:i4>33</vt:i4>
      </vt:variant>
      <vt:variant>
        <vt:i4>0</vt:i4>
      </vt:variant>
      <vt:variant>
        <vt:i4>5</vt:i4>
      </vt:variant>
      <vt:variant>
        <vt:lpwstr>../Schedule 6 - Planning scheme policies/TransportAccessParkingPSP.doc</vt:lpwstr>
      </vt:variant>
      <vt:variant>
        <vt:lpwstr/>
      </vt:variant>
      <vt:variant>
        <vt:i4>1507353</vt:i4>
      </vt:variant>
      <vt:variant>
        <vt:i4>30</vt:i4>
      </vt:variant>
      <vt:variant>
        <vt:i4>0</vt:i4>
      </vt:variant>
      <vt:variant>
        <vt:i4>5</vt:i4>
      </vt:variant>
      <vt:variant>
        <vt:lpwstr>../Schedule 6 - Planning scheme policies/StructurePlanningPSP.doc</vt:lpwstr>
      </vt:variant>
      <vt:variant>
        <vt:lpwstr/>
      </vt:variant>
      <vt:variant>
        <vt:i4>4522069</vt:i4>
      </vt:variant>
      <vt:variant>
        <vt:i4>27</vt:i4>
      </vt:variant>
      <vt:variant>
        <vt:i4>0</vt:i4>
      </vt:variant>
      <vt:variant>
        <vt:i4>5</vt:i4>
      </vt:variant>
      <vt:variant>
        <vt:lpwstr>../Schedule 6 - Planning scheme policies/InfrastructureDesignPSP.doc</vt:lpwstr>
      </vt:variant>
      <vt:variant>
        <vt:lpwstr/>
      </vt:variant>
      <vt:variant>
        <vt:i4>7012475</vt:i4>
      </vt:variant>
      <vt:variant>
        <vt:i4>24</vt:i4>
      </vt:variant>
      <vt:variant>
        <vt:i4>0</vt:i4>
      </vt:variant>
      <vt:variant>
        <vt:i4>5</vt:i4>
      </vt:variant>
      <vt:variant>
        <vt:lpwstr>../Schedule 6 - Planning scheme policies/CrimePreventionPSP.doc</vt:lpwstr>
      </vt:variant>
      <vt:variant>
        <vt:lpwstr/>
      </vt:variant>
      <vt:variant>
        <vt:i4>5898304</vt:i4>
      </vt:variant>
      <vt:variant>
        <vt:i4>21</vt:i4>
      </vt:variant>
      <vt:variant>
        <vt:i4>0</vt:i4>
      </vt:variant>
      <vt:variant>
        <vt:i4>5</vt:i4>
      </vt:variant>
      <vt:variant>
        <vt:lpwstr>../Schedule 6 - Planning scheme policies/BiodiversityPSP.doc</vt:lpwstr>
      </vt:variant>
      <vt:variant>
        <vt:lpwstr/>
      </vt:variant>
      <vt:variant>
        <vt:i4>5177353</vt:i4>
      </vt:variant>
      <vt:variant>
        <vt:i4>18</vt:i4>
      </vt:variant>
      <vt:variant>
        <vt:i4>0</vt:i4>
      </vt:variant>
      <vt:variant>
        <vt:i4>5</vt:i4>
      </vt:variant>
      <vt:variant>
        <vt:lpwstr>../Part 5 - Tables of assessment/Part5TablesOfAssessmentIntro.doc</vt:lpwstr>
      </vt:variant>
      <vt:variant>
        <vt:lpwstr/>
      </vt:variant>
      <vt:variant>
        <vt:i4>2228257</vt:i4>
      </vt:variant>
      <vt:variant>
        <vt:i4>15</vt:i4>
      </vt:variant>
      <vt:variant>
        <vt:i4>0</vt:i4>
      </vt:variant>
      <vt:variant>
        <vt:i4>5</vt:i4>
      </vt:variant>
      <vt:variant>
        <vt:lpwstr>../Part 1 - About the planning scheme/Part1.doc</vt:lpwstr>
      </vt:variant>
      <vt:variant>
        <vt:lpwstr>Part1Pt5</vt:lpwstr>
      </vt:variant>
      <vt:variant>
        <vt:i4>5373961</vt:i4>
      </vt:variant>
      <vt:variant>
        <vt:i4>12</vt:i4>
      </vt:variant>
      <vt:variant>
        <vt:i4>0</vt:i4>
      </vt:variant>
      <vt:variant>
        <vt:i4>5</vt:i4>
      </vt:variant>
      <vt:variant>
        <vt:lpwstr>92StatewideCodes.doc</vt:lpwstr>
      </vt:variant>
      <vt:variant>
        <vt:lpwstr/>
      </vt:variant>
      <vt:variant>
        <vt:i4>5177353</vt:i4>
      </vt:variant>
      <vt:variant>
        <vt:i4>9</vt:i4>
      </vt:variant>
      <vt:variant>
        <vt:i4>0</vt:i4>
      </vt:variant>
      <vt:variant>
        <vt:i4>5</vt:i4>
      </vt:variant>
      <vt:variant>
        <vt:lpwstr>../Part 5 - Tables of assessment/Part5TablesOfAssessmentIntro.doc</vt:lpwstr>
      </vt:variant>
      <vt:variant>
        <vt:lpwstr/>
      </vt:variant>
      <vt:variant>
        <vt:i4>7274559</vt:i4>
      </vt:variant>
      <vt:variant>
        <vt:i4>6</vt:i4>
      </vt:variant>
      <vt:variant>
        <vt:i4>0</vt:i4>
      </vt:variant>
      <vt:variant>
        <vt:i4>5</vt:i4>
      </vt:variant>
      <vt:variant>
        <vt:lpwstr>../Part 5 - Tables of assessment/Part5Overlays.doc</vt:lpwstr>
      </vt:variant>
      <vt:variant>
        <vt:lpwstr/>
      </vt:variant>
      <vt:variant>
        <vt:i4>1572937</vt:i4>
      </vt:variant>
      <vt:variant>
        <vt:i4>3</vt:i4>
      </vt:variant>
      <vt:variant>
        <vt:i4>0</vt:i4>
      </vt:variant>
      <vt:variant>
        <vt:i4>5</vt:i4>
      </vt:variant>
      <vt:variant>
        <vt:lpwstr>../Part 5 - Tables of assessment/Part5ReconfigureLot.doc</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BCC</dc:creator>
  <cp:lastModifiedBy>Alisha Pettit</cp:lastModifiedBy>
  <cp:revision>15</cp:revision>
  <cp:lastPrinted>2018-07-03T10:02:00Z</cp:lastPrinted>
  <dcterms:created xsi:type="dcterms:W3CDTF">2018-03-21T23:28:00Z</dcterms:created>
  <dcterms:modified xsi:type="dcterms:W3CDTF">2018-07-03T10:12:00Z</dcterms:modified>
</cp:coreProperties>
</file>