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9992" w14:textId="77777777" w:rsidR="00373FA4" w:rsidRPr="00D11715" w:rsidRDefault="00373FA4" w:rsidP="00711762">
      <w:pPr>
        <w:pStyle w:val="QPPHeading3"/>
      </w:pPr>
      <w:bookmarkStart w:id="0" w:name="_GoBack"/>
      <w:bookmarkEnd w:id="0"/>
      <w:r w:rsidRPr="00D11715">
        <w:t>8.2</w:t>
      </w:r>
      <w:r>
        <w:t>.1</w:t>
      </w:r>
      <w:r w:rsidR="008E3F4E">
        <w:t>4</w:t>
      </w:r>
      <w:r>
        <w:t xml:space="preserve"> </w:t>
      </w:r>
      <w:r w:rsidRPr="00D11715">
        <w:t>Landslide overlay code</w:t>
      </w:r>
    </w:p>
    <w:p w14:paraId="17E73236" w14:textId="77777777" w:rsidR="00373FA4" w:rsidRPr="00D23DF0" w:rsidRDefault="00373FA4" w:rsidP="00373FA4">
      <w:pPr>
        <w:pStyle w:val="QPPHeading4"/>
      </w:pPr>
      <w:r>
        <w:t>8</w:t>
      </w:r>
      <w:r w:rsidRPr="00D23DF0">
        <w:t>.</w:t>
      </w:r>
      <w:r>
        <w:t>2.</w:t>
      </w:r>
      <w:bookmarkStart w:id="1" w:name="Application"/>
      <w:r>
        <w:t>1</w:t>
      </w:r>
      <w:r w:rsidR="008E3F4E">
        <w:t>4</w:t>
      </w:r>
      <w:r>
        <w:t xml:space="preserve">.1 </w:t>
      </w:r>
      <w:r w:rsidRPr="00D23DF0">
        <w:t>Application</w:t>
      </w:r>
      <w:bookmarkEnd w:id="1"/>
    </w:p>
    <w:p w14:paraId="1B7DEFA0" w14:textId="77777777" w:rsidR="00373FA4" w:rsidRDefault="00373FA4" w:rsidP="00373FA4">
      <w:pPr>
        <w:pStyle w:val="QPPBulletPoint1"/>
      </w:pPr>
      <w:r>
        <w:t>This code applies to assessing</w:t>
      </w:r>
      <w:r w:rsidR="000E2D59">
        <w:t xml:space="preserve"> development in the Landslide overlay if</w:t>
      </w:r>
      <w:r>
        <w:t>:</w:t>
      </w:r>
    </w:p>
    <w:p w14:paraId="495E94D5" w14:textId="77777777" w:rsidR="0070430D" w:rsidRDefault="0070430D" w:rsidP="00373FA4">
      <w:pPr>
        <w:pStyle w:val="QPPBulletpoint2"/>
      </w:pPr>
      <w:r>
        <w:t>accepted development subject to compliance with identified requirements, where acceptable outcomes of this code are identified requirements in a table of assessment for an overlay (</w:t>
      </w:r>
      <w:hyperlink r:id="rId7" w:tgtFrame="_blank" w:history="1">
        <w:r w:rsidRPr="001E4791">
          <w:rPr>
            <w:rStyle w:val="Hyperlink"/>
          </w:rPr>
          <w:t>section 5.10</w:t>
        </w:r>
      </w:hyperlink>
      <w:r>
        <w:t>)</w:t>
      </w:r>
      <w:r w:rsidR="00373FA4">
        <w:t>;</w:t>
      </w:r>
      <w:r>
        <w:t xml:space="preserve"> or</w:t>
      </w:r>
    </w:p>
    <w:p w14:paraId="4C8082B3" w14:textId="77777777" w:rsidR="00373FA4" w:rsidRDefault="00373FA4" w:rsidP="00373FA4">
      <w:pPr>
        <w:pStyle w:val="QPPBulletpoint2"/>
      </w:pPr>
      <w:r>
        <w:t xml:space="preserve">assessable development, where this code is an applicable code identified in the assessment </w:t>
      </w:r>
      <w:r w:rsidR="00C277D5">
        <w:t xml:space="preserve">benchmarks </w:t>
      </w:r>
      <w:r>
        <w:t>column of a table of assessment for an overlay (</w:t>
      </w:r>
      <w:hyperlink r:id="rId8" w:history="1">
        <w:r w:rsidRPr="0084591C">
          <w:rPr>
            <w:rStyle w:val="Hyperlink"/>
          </w:rPr>
          <w:t>section 5.10</w:t>
        </w:r>
      </w:hyperlink>
      <w:r>
        <w:t>);</w:t>
      </w:r>
      <w:r w:rsidR="000E56EE">
        <w:t xml:space="preserve"> or</w:t>
      </w:r>
    </w:p>
    <w:p w14:paraId="7922E644" w14:textId="77777777" w:rsidR="00373FA4" w:rsidRDefault="00373FA4" w:rsidP="00373FA4">
      <w:pPr>
        <w:pStyle w:val="QPPBulletpoint2"/>
      </w:pPr>
      <w:r>
        <w:t>impact assessable development.</w:t>
      </w:r>
    </w:p>
    <w:p w14:paraId="4AE8A55B" w14:textId="23DBAEE0" w:rsidR="00373FA4" w:rsidRDefault="00373FA4" w:rsidP="00373FA4">
      <w:pPr>
        <w:pStyle w:val="QPPBulletPoint1"/>
      </w:pPr>
      <w:r w:rsidRPr="00EF3440">
        <w:t xml:space="preserve">Land </w:t>
      </w:r>
      <w:r>
        <w:t>in</w:t>
      </w:r>
      <w:r w:rsidRPr="00EF3440">
        <w:t xml:space="preserve"> the</w:t>
      </w:r>
      <w:r>
        <w:t xml:space="preserve"> Landslide overlay is identified on the </w:t>
      </w:r>
      <w:hyperlink r:id="rId9" w:history="1">
        <w:r w:rsidRPr="004C7E40">
          <w:rPr>
            <w:rStyle w:val="Hyperlink"/>
          </w:rPr>
          <w:t>Landslide overlay map</w:t>
        </w:r>
      </w:hyperlink>
      <w:r>
        <w:t xml:space="preserve"> and </w:t>
      </w:r>
      <w:r w:rsidRPr="00EF3440">
        <w:t>is included</w:t>
      </w:r>
      <w:r>
        <w:t xml:space="preserve"> in the Landslide susceptibility area sub-category.</w:t>
      </w:r>
    </w:p>
    <w:p w14:paraId="5A1C6834" w14:textId="16D74482" w:rsidR="00373FA4" w:rsidRDefault="00373FA4" w:rsidP="00373FA4">
      <w:pPr>
        <w:pStyle w:val="QPPEditorsNoteStyle1"/>
      </w:pPr>
      <w:r w:rsidRPr="00672E98">
        <w:t xml:space="preserve">Note—The </w:t>
      </w:r>
      <w:r w:rsidRPr="00953998">
        <w:t>Landslide overlay area is</w:t>
      </w:r>
      <w:r w:rsidRPr="00672E98">
        <w:t xml:space="preserve"> a </w:t>
      </w:r>
      <w:r w:rsidR="003C7D16">
        <w:t>‘</w:t>
      </w:r>
      <w:r w:rsidR="004168C5">
        <w:t>landslide</w:t>
      </w:r>
      <w:r w:rsidR="004168C5" w:rsidRPr="00953998">
        <w:t xml:space="preserve"> </w:t>
      </w:r>
      <w:r w:rsidRPr="00953998">
        <w:t>hazard area</w:t>
      </w:r>
      <w:r w:rsidR="003C7D16">
        <w:t>’</w:t>
      </w:r>
      <w:r w:rsidRPr="00953998">
        <w:t xml:space="preserve"> for</w:t>
      </w:r>
      <w:r w:rsidRPr="00672E98">
        <w:t xml:space="preserve"> the purposes of </w:t>
      </w:r>
      <w:r w:rsidR="0066321A">
        <w:t xml:space="preserve">the </w:t>
      </w:r>
      <w:hyperlink r:id="rId10" w:anchor="SPP" w:history="1">
        <w:r w:rsidRPr="00C73BCB">
          <w:rPr>
            <w:rStyle w:val="Hyperlink"/>
          </w:rPr>
          <w:t>State Planning Policy</w:t>
        </w:r>
        <w:r w:rsidR="003C7D16" w:rsidRPr="00C73BCB">
          <w:rPr>
            <w:rStyle w:val="Hyperlink"/>
          </w:rPr>
          <w:t>.</w:t>
        </w:r>
      </w:hyperlink>
      <w:r w:rsidRPr="003C7D16">
        <w:t xml:space="preserve"> </w:t>
      </w:r>
      <w:r w:rsidRPr="00672E98">
        <w:t>Within this area, susceptibility to</w:t>
      </w:r>
      <w:r>
        <w:t xml:space="preserve"> landslide has been identified.</w:t>
      </w:r>
      <w:r w:rsidRPr="00672E98">
        <w:t xml:space="preserve"> The area identified in the </w:t>
      </w:r>
      <w:hyperlink r:id="rId11" w:history="1">
        <w:r w:rsidRPr="004C7E40">
          <w:rPr>
            <w:rStyle w:val="Hyperlink"/>
          </w:rPr>
          <w:t>Landslide overlay map</w:t>
        </w:r>
      </w:hyperlink>
      <w:r w:rsidRPr="00672E98">
        <w:t xml:space="preserve"> may not reflect the full extent of the area that may be affected by landslide.</w:t>
      </w:r>
    </w:p>
    <w:p w14:paraId="0ED66C0F" w14:textId="77777777" w:rsidR="00373FA4" w:rsidRPr="007D3E12" w:rsidRDefault="00373FA4" w:rsidP="00373FA4">
      <w:pPr>
        <w:pStyle w:val="QPPBulletPoint1"/>
      </w:pPr>
      <w:r w:rsidRPr="00D23DF0">
        <w:t xml:space="preserve">When using this code, reference should be made to </w:t>
      </w:r>
      <w:hyperlink r:id="rId12" w:anchor="Part1Pt5" w:history="1">
        <w:r w:rsidRPr="00CC3657">
          <w:rPr>
            <w:rStyle w:val="Hyperlink"/>
          </w:rPr>
          <w:t>section 1.5</w:t>
        </w:r>
      </w:hyperlink>
      <w:r w:rsidRPr="00CC3657">
        <w:t xml:space="preserve"> and </w:t>
      </w:r>
      <w:hyperlink r:id="rId13" w:anchor="Part533" w:history="1">
        <w:r w:rsidRPr="00CC3657">
          <w:rPr>
            <w:rStyle w:val="Hyperlink"/>
          </w:rPr>
          <w:t>section 5.3.3</w:t>
        </w:r>
      </w:hyperlink>
      <w:r w:rsidRPr="00CC3657">
        <w:t>.</w:t>
      </w:r>
    </w:p>
    <w:p w14:paraId="52FC34C5" w14:textId="77777777" w:rsidR="00653C58" w:rsidRPr="00653C58" w:rsidRDefault="00653C58" w:rsidP="00653C58">
      <w:pPr>
        <w:pStyle w:val="QPPEditorsNoteStyle1"/>
      </w:pPr>
      <w:r w:rsidRPr="00653C58">
        <w:t xml:space="preserve">Note—The following purpose, overall outcomes, performance outcomes and acceptable outcomes comprise the assessment benchmarks of this code. </w:t>
      </w:r>
    </w:p>
    <w:p w14:paraId="308141AF" w14:textId="77777777" w:rsidR="00373FA4" w:rsidRDefault="00373FA4" w:rsidP="00373FA4">
      <w:pPr>
        <w:pStyle w:val="QPPEditorsNoteStyle1"/>
      </w:pPr>
      <w:r w:rsidRPr="00672E98">
        <w:t>Note—Where this code includes performance outcomes or acceptable outcomes that r</w:t>
      </w:r>
      <w:r>
        <w:t xml:space="preserve">elate to </w:t>
      </w:r>
      <w:r w:rsidRPr="00AC668C">
        <w:t xml:space="preserve">determining requirements for managing </w:t>
      </w:r>
      <w:r w:rsidRPr="002B7887">
        <w:t>landslide r</w:t>
      </w:r>
      <w:r>
        <w:t xml:space="preserve">isk, guidance is provided in the </w:t>
      </w:r>
      <w:hyperlink r:id="rId14" w:history="1">
        <w:r w:rsidRPr="00691BD5">
          <w:rPr>
            <w:rStyle w:val="Hyperlink"/>
          </w:rPr>
          <w:t>Landslide planning scheme policy</w:t>
        </w:r>
      </w:hyperlink>
      <w:r>
        <w:t>.</w:t>
      </w:r>
    </w:p>
    <w:p w14:paraId="69C1A16D" w14:textId="77777777" w:rsidR="00787867" w:rsidRDefault="00787867" w:rsidP="00787867">
      <w:pPr>
        <w:pStyle w:val="QPPEditorsNoteStyle1"/>
      </w:pPr>
      <w:r>
        <w:t xml:space="preserve">Editor's note—For a proposal to be </w:t>
      </w:r>
      <w:r w:rsidR="00653C58">
        <w:t>accepted development</w:t>
      </w:r>
      <w:r w:rsidR="0070430D" w:rsidRPr="0070430D">
        <w:t xml:space="preserve"> </w:t>
      </w:r>
      <w:r w:rsidR="0070430D">
        <w:t>subject to compliance with identified requirements</w:t>
      </w:r>
      <w:r w:rsidRPr="00D23DF0">
        <w:t xml:space="preserve">, it must meet all the </w:t>
      </w:r>
      <w:r w:rsidR="00653C58">
        <w:t>identified acceptable</w:t>
      </w:r>
      <w:r w:rsidRPr="00D23DF0">
        <w:t xml:space="preserve"> outcomes of this code </w:t>
      </w:r>
      <w:r w:rsidR="000E56EE" w:rsidRPr="006D0905">
        <w:t>that relate to the applicable sub-category</w:t>
      </w:r>
      <w:r w:rsidR="000E56EE" w:rsidRPr="00FD1C61">
        <w:t xml:space="preserve"> </w:t>
      </w:r>
      <w:r w:rsidRPr="00D23DF0">
        <w:t>and any other applicable code.</w:t>
      </w:r>
      <w:r>
        <w:t xml:space="preserve"> </w:t>
      </w:r>
      <w:r w:rsidRPr="00D23DF0">
        <w:t xml:space="preserve">Where it does not meet all </w:t>
      </w:r>
      <w:r w:rsidR="00653C58">
        <w:t>identified acceptable</w:t>
      </w:r>
      <w:r w:rsidRPr="00D23DF0">
        <w:t xml:space="preserve"> outcomes, the proposal becomes assessable development and a development application is required.</w:t>
      </w:r>
      <w:r>
        <w:t xml:space="preserve"> </w:t>
      </w:r>
      <w:r w:rsidRPr="00D23DF0">
        <w:t>Where</w:t>
      </w:r>
      <w:r>
        <w:t xml:space="preserve"> </w:t>
      </w:r>
      <w:r w:rsidRPr="00D23DF0">
        <w:t xml:space="preserve">a development application </w:t>
      </w:r>
      <w:r>
        <w:t>is</w:t>
      </w:r>
      <w:r w:rsidR="0070430D">
        <w:t xml:space="preserve"> triggered</w:t>
      </w:r>
      <w:r>
        <w:t xml:space="preserve">, </w:t>
      </w:r>
      <w:r w:rsidR="0070430D">
        <w:t xml:space="preserve">only </w:t>
      </w:r>
      <w:r>
        <w:t>the specific acceptable outcome</w:t>
      </w:r>
      <w:r w:rsidR="00653C58">
        <w:t>s</w:t>
      </w:r>
      <w:r w:rsidRPr="00D23DF0">
        <w:t xml:space="preserve"> that the proposal fails to meet need to be assessed against the corresponding</w:t>
      </w:r>
      <w:r>
        <w:t xml:space="preserve"> assessable acceptable outcome</w:t>
      </w:r>
      <w:r w:rsidR="00653C58">
        <w:t>s</w:t>
      </w:r>
      <w:r>
        <w:t xml:space="preserve"> or performance outcome</w:t>
      </w:r>
      <w:r w:rsidR="00653C58">
        <w:t xml:space="preserve"> and relevant overall outcomes</w:t>
      </w:r>
      <w:r w:rsidRPr="00D23DF0">
        <w:t>.</w:t>
      </w:r>
      <w:r>
        <w:t xml:space="preserve"> Other </w:t>
      </w:r>
      <w:r w:rsidR="00653C58">
        <w:t>identified acceptable</w:t>
      </w:r>
      <w:r>
        <w:t xml:space="preserve"> outcomes</w:t>
      </w:r>
      <w:r w:rsidRPr="00D23DF0">
        <w:t xml:space="preserve"> that are met are not assessed as part of the development application.</w:t>
      </w:r>
    </w:p>
    <w:p w14:paraId="445ABE0B" w14:textId="77777777" w:rsidR="00373FA4" w:rsidRPr="00D23DF0" w:rsidRDefault="00373FA4" w:rsidP="00373FA4">
      <w:pPr>
        <w:pStyle w:val="QPPHeading4"/>
      </w:pPr>
      <w:r>
        <w:t>8.2.1</w:t>
      </w:r>
      <w:r w:rsidR="008E3F4E">
        <w:t>4</w:t>
      </w:r>
      <w:r>
        <w:t>.2</w:t>
      </w:r>
      <w:bookmarkStart w:id="2" w:name="Purpose"/>
      <w:r>
        <w:t xml:space="preserve"> </w:t>
      </w:r>
      <w:r w:rsidRPr="00D23DF0">
        <w:t>Purpose</w:t>
      </w:r>
      <w:bookmarkEnd w:id="2"/>
    </w:p>
    <w:p w14:paraId="683997F7" w14:textId="77777777" w:rsidR="00405FFE" w:rsidRPr="000C2A73" w:rsidRDefault="00373FA4" w:rsidP="00B862B1">
      <w:pPr>
        <w:pStyle w:val="QPPBulletPoint1"/>
        <w:numPr>
          <w:ilvl w:val="0"/>
          <w:numId w:val="11"/>
        </w:numPr>
      </w:pPr>
      <w:r>
        <w:t xml:space="preserve">The purpose of the Landslide overlay code </w:t>
      </w:r>
      <w:r w:rsidRPr="00EF3440">
        <w:t>is to</w:t>
      </w:r>
      <w:r>
        <w:t>:</w:t>
      </w:r>
    </w:p>
    <w:p w14:paraId="0487D51F" w14:textId="77777777" w:rsidR="00373FA4" w:rsidRPr="000C2A73" w:rsidRDefault="00373FA4" w:rsidP="00B862B1">
      <w:pPr>
        <w:pStyle w:val="QPPBulletpoint2"/>
        <w:numPr>
          <w:ilvl w:val="0"/>
          <w:numId w:val="20"/>
        </w:numPr>
      </w:pPr>
      <w:r w:rsidRPr="00493D38">
        <w:t xml:space="preserve">Implement the policy direction in the </w:t>
      </w:r>
      <w:hyperlink r:id="rId15" w:history="1">
        <w:r w:rsidR="0072613D" w:rsidRPr="0072613D">
          <w:rPr>
            <w:rStyle w:val="Hyperlink"/>
          </w:rPr>
          <w:t>Strategic framework</w:t>
        </w:r>
      </w:hyperlink>
      <w:r w:rsidR="0021629F">
        <w:t>,</w:t>
      </w:r>
      <w:r w:rsidRPr="00493D38">
        <w:t xml:space="preserve"> in particular</w:t>
      </w:r>
      <w:r>
        <w:t>:</w:t>
      </w:r>
    </w:p>
    <w:p w14:paraId="6A07B96F" w14:textId="77777777" w:rsidR="00373FA4" w:rsidRDefault="000935B8" w:rsidP="00373FA4">
      <w:pPr>
        <w:pStyle w:val="QPPBulletpoint3"/>
      </w:pPr>
      <w:hyperlink r:id="rId16" w:history="1">
        <w:r w:rsidR="00373FA4" w:rsidRPr="0072613D">
          <w:rPr>
            <w:rStyle w:val="Hyperlink"/>
          </w:rPr>
          <w:t>Theme 2: Brisbane’s outstanding lifestyle</w:t>
        </w:r>
      </w:hyperlink>
      <w:r w:rsidR="00373FA4">
        <w:t xml:space="preserve"> and </w:t>
      </w:r>
      <w:hyperlink r:id="rId17" w:anchor="Part344Element23" w:history="1">
        <w:r w:rsidR="00373FA4" w:rsidRPr="0072613D">
          <w:rPr>
            <w:rStyle w:val="Hyperlink"/>
          </w:rPr>
          <w:t>Element 2.3 – Brisbane’s healthy and safe communities</w:t>
        </w:r>
      </w:hyperlink>
      <w:r w:rsidR="00373FA4">
        <w:t>;</w:t>
      </w:r>
    </w:p>
    <w:p w14:paraId="4561D9D9" w14:textId="77777777" w:rsidR="00373FA4" w:rsidRPr="000C2A73" w:rsidRDefault="000935B8" w:rsidP="00373FA4">
      <w:pPr>
        <w:pStyle w:val="QPPBulletpoint3"/>
      </w:pPr>
      <w:hyperlink r:id="rId18" w:history="1">
        <w:r w:rsidR="00373FA4" w:rsidRPr="0072613D">
          <w:rPr>
            <w:rStyle w:val="Hyperlink"/>
          </w:rPr>
          <w:t>Theme 4: Brisbane’s highly effective transport and infrastructure networks</w:t>
        </w:r>
      </w:hyperlink>
      <w:r w:rsidR="00373FA4" w:rsidRPr="00AA7D03">
        <w:t xml:space="preserve"> </w:t>
      </w:r>
      <w:r w:rsidR="0021629F">
        <w:t xml:space="preserve">and </w:t>
      </w:r>
      <w:hyperlink r:id="rId19" w:anchor="Part364Element43" w:history="1">
        <w:r w:rsidR="00373FA4" w:rsidRPr="0072613D">
          <w:rPr>
            <w:rStyle w:val="Hyperlink"/>
          </w:rPr>
          <w:t>Element 4.3 – Brisbane’s coordinated infrastructure planning and delivery</w:t>
        </w:r>
      </w:hyperlink>
      <w:r w:rsidR="00373FA4">
        <w:t>.</w:t>
      </w:r>
    </w:p>
    <w:p w14:paraId="55EF43B4" w14:textId="77777777" w:rsidR="00373FA4" w:rsidRPr="000C2A73" w:rsidRDefault="00373FA4" w:rsidP="00373FA4">
      <w:pPr>
        <w:pStyle w:val="QPPBulletpoint2"/>
      </w:pPr>
      <w:r>
        <w:t xml:space="preserve">Provide for assessment of the </w:t>
      </w:r>
      <w:r w:rsidRPr="00535147">
        <w:t>suitability of developmen</w:t>
      </w:r>
      <w:r>
        <w:t>t in</w:t>
      </w:r>
      <w:r w:rsidRPr="00535147">
        <w:t xml:space="preserve"> the </w:t>
      </w:r>
      <w:r>
        <w:t>Landslide overlay.</w:t>
      </w:r>
    </w:p>
    <w:p w14:paraId="5705437B" w14:textId="77777777" w:rsidR="006A47FF" w:rsidRDefault="00373FA4" w:rsidP="006A47FF">
      <w:pPr>
        <w:pStyle w:val="QPPBulletPoint1"/>
      </w:pPr>
      <w:r>
        <w:t xml:space="preserve">The purpose of this code will be achieved through </w:t>
      </w:r>
      <w:r w:rsidR="00366CD5">
        <w:t>the following overall outcomes:</w:t>
      </w:r>
    </w:p>
    <w:p w14:paraId="7FFA9F85" w14:textId="77777777" w:rsidR="00EF44D3" w:rsidRPr="009F6317" w:rsidRDefault="002C1CF6" w:rsidP="002C1CF6">
      <w:pPr>
        <w:pStyle w:val="QPPBulletpoint2"/>
        <w:numPr>
          <w:ilvl w:val="0"/>
          <w:numId w:val="21"/>
        </w:numPr>
      </w:pPr>
      <w:r w:rsidRPr="002C1CF6">
        <w:t>Development and infrastructure in an area at risk of landslide is located, designed and constructed not to adversely impact the safety of people, public infrastructure, private property and the environment</w:t>
      </w:r>
      <w:r w:rsidR="00373FA4">
        <w:t>.</w:t>
      </w:r>
    </w:p>
    <w:p w14:paraId="4CC6A95A" w14:textId="77777777" w:rsidR="00373FA4" w:rsidRPr="009F6317" w:rsidRDefault="00373FA4" w:rsidP="00373FA4">
      <w:pPr>
        <w:pStyle w:val="QPPBulletpoint2"/>
      </w:pPr>
      <w:r>
        <w:t>D</w:t>
      </w:r>
      <w:r w:rsidRPr="009F6317">
        <w:t>evelopment is not at risk from and does not pose</w:t>
      </w:r>
      <w:r>
        <w:t xml:space="preserve"> a</w:t>
      </w:r>
      <w:r w:rsidRPr="009F6317">
        <w:t xml:space="preserve"> risk to </w:t>
      </w:r>
      <w:r>
        <w:t xml:space="preserve">an </w:t>
      </w:r>
      <w:r w:rsidRPr="009F6317">
        <w:t xml:space="preserve">adjacent </w:t>
      </w:r>
      <w:r>
        <w:t xml:space="preserve">or nearby site </w:t>
      </w:r>
      <w:r w:rsidRPr="009F6317">
        <w:t>from landslide</w:t>
      </w:r>
      <w:r>
        <w:t>.</w:t>
      </w:r>
    </w:p>
    <w:p w14:paraId="7C5BBB3B" w14:textId="77777777" w:rsidR="00373FA4" w:rsidRDefault="00373FA4" w:rsidP="00373FA4">
      <w:pPr>
        <w:pStyle w:val="QPPBulletpoint2"/>
      </w:pPr>
      <w:r>
        <w:t xml:space="preserve">Development involving the storage and handling of </w:t>
      </w:r>
      <w:hyperlink r:id="rId20" w:anchor="HazMaterials" w:history="1">
        <w:r w:rsidR="00C42970" w:rsidRPr="00E73C84">
          <w:rPr>
            <w:rStyle w:val="Hyperlink"/>
          </w:rPr>
          <w:t>hazardous</w:t>
        </w:r>
      </w:hyperlink>
      <w:r w:rsidR="00E20975">
        <w:t xml:space="preserve"> c</w:t>
      </w:r>
      <w:r w:rsidR="00C42970">
        <w:t>hemicals</w:t>
      </w:r>
      <w:r w:rsidR="00C42970" w:rsidRPr="00126522">
        <w:t xml:space="preserve"> </w:t>
      </w:r>
      <w:r>
        <w:t>is not at risk from landslide.</w:t>
      </w:r>
    </w:p>
    <w:p w14:paraId="662AC8F5" w14:textId="77777777" w:rsidR="007D4E83" w:rsidRDefault="00373FA4" w:rsidP="002C1CF6">
      <w:pPr>
        <w:pStyle w:val="QPPBulletpoint2"/>
      </w:pPr>
      <w:r>
        <w:t xml:space="preserve">Development ensures that vegetation clearing, stormwater management and </w:t>
      </w:r>
      <w:hyperlink r:id="rId21" w:anchor="FillOrExc" w:history="1">
        <w:r w:rsidRPr="00E73C84">
          <w:rPr>
            <w:rStyle w:val="Hyperlink"/>
          </w:rPr>
          <w:t>filling or excavation</w:t>
        </w:r>
      </w:hyperlink>
      <w:r>
        <w:t xml:space="preserve"> on a site does not </w:t>
      </w:r>
      <w:r w:rsidR="005C7B13">
        <w:t>increase the risk of landslide.</w:t>
      </w:r>
    </w:p>
    <w:p w14:paraId="126C4908" w14:textId="77777777" w:rsidR="00373FA4" w:rsidRDefault="00373FA4" w:rsidP="00373FA4">
      <w:pPr>
        <w:pStyle w:val="QPPHeading4"/>
      </w:pPr>
      <w:r>
        <w:t>8.2.1</w:t>
      </w:r>
      <w:r w:rsidR="008E3F4E">
        <w:t>4</w:t>
      </w:r>
      <w:bookmarkStart w:id="3" w:name="Assessmentcriteria"/>
      <w:r>
        <w:t xml:space="preserve">.3 </w:t>
      </w:r>
      <w:bookmarkEnd w:id="3"/>
      <w:r w:rsidR="00653C58">
        <w:t>Performance outcomes and acceptable outcomes</w:t>
      </w:r>
    </w:p>
    <w:p w14:paraId="5F3A6C34" w14:textId="77777777" w:rsidR="00373FA4" w:rsidRPr="00C30623" w:rsidRDefault="00373FA4" w:rsidP="00373FA4">
      <w:pPr>
        <w:pStyle w:val="QPPTableHeadingStyle1"/>
      </w:pPr>
      <w:bookmarkStart w:id="4" w:name="Table82143a"/>
      <w:r w:rsidRPr="00833F3B">
        <w:t>Table 8.2</w:t>
      </w:r>
      <w:r>
        <w:t>.1</w:t>
      </w:r>
      <w:r w:rsidR="008E3F4E">
        <w:t>4</w:t>
      </w:r>
      <w:r w:rsidRPr="00833F3B">
        <w:t>.3.</w:t>
      </w:r>
      <w:r w:rsidR="00341FD5">
        <w:t>A</w:t>
      </w:r>
      <w:r>
        <w:t>—</w:t>
      </w:r>
      <w:r w:rsidR="00F953D4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373FA4" w:rsidRPr="00710DDB" w14:paraId="144356BF" w14:textId="77777777" w:rsidTr="00594296">
        <w:trPr>
          <w:trHeight w:val="434"/>
          <w:tblHeader/>
        </w:trPr>
        <w:tc>
          <w:tcPr>
            <w:tcW w:w="4150" w:type="dxa"/>
            <w:shd w:val="clear" w:color="auto" w:fill="auto"/>
          </w:tcPr>
          <w:bookmarkEnd w:id="4"/>
          <w:p w14:paraId="5F55FED9" w14:textId="77777777" w:rsidR="00373FA4" w:rsidRPr="00710DDB" w:rsidRDefault="00373FA4" w:rsidP="00A94B99">
            <w:pPr>
              <w:pStyle w:val="QPPTableTextBold"/>
            </w:pPr>
            <w:r w:rsidRPr="00710DDB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14:paraId="011EC39F" w14:textId="77777777" w:rsidR="00373FA4" w:rsidRPr="00710DDB" w:rsidRDefault="00373FA4" w:rsidP="00A94B99">
            <w:pPr>
              <w:pStyle w:val="QPPTableTextBold"/>
            </w:pPr>
            <w:r w:rsidRPr="00710DDB">
              <w:t>Acceptable outcomes</w:t>
            </w:r>
          </w:p>
        </w:tc>
      </w:tr>
      <w:tr w:rsidR="00373FA4" w:rsidRPr="00594296" w14:paraId="684E4234" w14:textId="77777777" w:rsidTr="00594296">
        <w:trPr>
          <w:trHeight w:val="434"/>
        </w:trPr>
        <w:tc>
          <w:tcPr>
            <w:tcW w:w="8301" w:type="dxa"/>
            <w:gridSpan w:val="2"/>
            <w:shd w:val="clear" w:color="auto" w:fill="auto"/>
          </w:tcPr>
          <w:p w14:paraId="7663A8C3" w14:textId="77777777" w:rsidR="00373FA4" w:rsidRPr="00710DDB" w:rsidRDefault="00373FA4" w:rsidP="00F953D4">
            <w:pPr>
              <w:pStyle w:val="QPPTableTextBold"/>
            </w:pPr>
            <w:r w:rsidRPr="00710DDB">
              <w:lastRenderedPageBreak/>
              <w:t xml:space="preserve">Section A—If </w:t>
            </w:r>
            <w:r w:rsidR="00201D26">
              <w:t>a</w:t>
            </w:r>
            <w:r w:rsidR="00F953D4">
              <w:t>ccepted development subject to compliance with identified requirements (acceptable outcomes only)</w:t>
            </w:r>
            <w:r w:rsidRPr="00710DDB">
              <w:t xml:space="preserve"> or assessable development</w:t>
            </w:r>
            <w:r w:rsidR="00F34235">
              <w:t xml:space="preserve"> </w:t>
            </w:r>
            <w:r w:rsidRPr="00710DDB">
              <w:t xml:space="preserve">where for </w:t>
            </w:r>
            <w:hyperlink r:id="rId22" w:anchor="FillOrExc" w:history="1">
              <w:r w:rsidR="00930DB9" w:rsidRPr="00E73C84">
                <w:rPr>
                  <w:rStyle w:val="Hyperlink"/>
                </w:rPr>
                <w:t>filling or excavation</w:t>
              </w:r>
            </w:hyperlink>
          </w:p>
        </w:tc>
      </w:tr>
      <w:tr w:rsidR="00373FA4" w:rsidRPr="00710DDB" w14:paraId="5E4C510D" w14:textId="77777777" w:rsidTr="00594296">
        <w:trPr>
          <w:trHeight w:val="434"/>
        </w:trPr>
        <w:tc>
          <w:tcPr>
            <w:tcW w:w="4150" w:type="dxa"/>
            <w:shd w:val="clear" w:color="auto" w:fill="auto"/>
          </w:tcPr>
          <w:p w14:paraId="1D4EA2C7" w14:textId="77777777" w:rsidR="00373FA4" w:rsidRPr="00710DDB" w:rsidRDefault="00373FA4" w:rsidP="00A94B99">
            <w:pPr>
              <w:pStyle w:val="QPPTableTextBold"/>
            </w:pPr>
            <w:r w:rsidRPr="00710DDB">
              <w:t>PO1</w:t>
            </w:r>
          </w:p>
          <w:p w14:paraId="6CC7769F" w14:textId="77777777" w:rsidR="00373FA4" w:rsidRPr="00710DDB" w:rsidRDefault="00373FA4" w:rsidP="00710DDB">
            <w:pPr>
              <w:pStyle w:val="QPPTableTextBody"/>
            </w:pPr>
            <w:r w:rsidRPr="00710DDB">
              <w:t xml:space="preserve">Filling </w:t>
            </w:r>
            <w:r w:rsidR="00EF6FBC">
              <w:t>or</w:t>
            </w:r>
            <w:r w:rsidR="00EF6FBC" w:rsidRPr="00710DDB">
              <w:t xml:space="preserve"> </w:t>
            </w:r>
            <w:r w:rsidR="005C7B13">
              <w:t>excavation:</w:t>
            </w:r>
          </w:p>
          <w:p w14:paraId="3B1E92CB" w14:textId="77777777" w:rsidR="00373FA4" w:rsidRPr="00710DDB" w:rsidRDefault="00373FA4" w:rsidP="00711762">
            <w:pPr>
              <w:pStyle w:val="HGTableBullet2"/>
            </w:pPr>
            <w:r w:rsidRPr="00710DDB">
              <w:t>maintains the safety of people and property on the site and neighbouring sites from landslides;</w:t>
            </w:r>
          </w:p>
          <w:p w14:paraId="1EF25847" w14:textId="77777777" w:rsidR="00373FA4" w:rsidRPr="00710DDB" w:rsidRDefault="00373FA4" w:rsidP="00711762">
            <w:pPr>
              <w:pStyle w:val="HGTableBullet2"/>
            </w:pPr>
            <w:r w:rsidRPr="00710DDB">
              <w:t>ensures acceptable risk during all phases of construction and use.</w:t>
            </w:r>
          </w:p>
        </w:tc>
        <w:tc>
          <w:tcPr>
            <w:tcW w:w="4151" w:type="dxa"/>
            <w:shd w:val="clear" w:color="auto" w:fill="auto"/>
          </w:tcPr>
          <w:p w14:paraId="52317029" w14:textId="77777777" w:rsidR="00373FA4" w:rsidRPr="00710DDB" w:rsidRDefault="00373FA4" w:rsidP="00A94B99">
            <w:pPr>
              <w:pStyle w:val="QPPTableTextBold"/>
            </w:pPr>
            <w:r w:rsidRPr="00710DDB">
              <w:t>AO1</w:t>
            </w:r>
          </w:p>
          <w:p w14:paraId="4DA8C2F7" w14:textId="77777777" w:rsidR="00373FA4" w:rsidRPr="00710DDB" w:rsidRDefault="00373FA4" w:rsidP="00EF6FBC">
            <w:pPr>
              <w:pStyle w:val="QPPTableTextBody"/>
            </w:pPr>
            <w:r w:rsidRPr="00710DDB">
              <w:t xml:space="preserve">Filling </w:t>
            </w:r>
            <w:r w:rsidR="00EF6FBC">
              <w:t>or</w:t>
            </w:r>
            <w:r w:rsidR="00EF6FBC" w:rsidRPr="00710DDB">
              <w:t xml:space="preserve"> </w:t>
            </w:r>
            <w:r w:rsidRPr="00710DDB">
              <w:t xml:space="preserve">excavation is designed in </w:t>
            </w:r>
            <w:r w:rsidR="00EF6FBC">
              <w:t>compliance with</w:t>
            </w:r>
            <w:r w:rsidRPr="00710DDB">
              <w:t xml:space="preserve"> the recommendations of a site-specific geotechnical assessment prepared in </w:t>
            </w:r>
            <w:r w:rsidR="00EF6FBC">
              <w:t>accordance</w:t>
            </w:r>
            <w:r w:rsidR="00EF6FBC" w:rsidRPr="00710DDB">
              <w:t xml:space="preserve"> </w:t>
            </w:r>
            <w:r w:rsidRPr="00710DDB">
              <w:t xml:space="preserve">with the </w:t>
            </w:r>
            <w:hyperlink r:id="rId23" w:history="1">
              <w:r w:rsidRPr="00710DDB">
                <w:rPr>
                  <w:rStyle w:val="Hyperlink"/>
                </w:rPr>
                <w:t>Landslide planning scheme policy.</w:t>
              </w:r>
            </w:hyperlink>
          </w:p>
        </w:tc>
      </w:tr>
      <w:tr w:rsidR="00373FA4" w:rsidRPr="00710DDB" w14:paraId="36D6622E" w14:textId="77777777" w:rsidTr="00594296">
        <w:trPr>
          <w:trHeight w:val="979"/>
        </w:trPr>
        <w:tc>
          <w:tcPr>
            <w:tcW w:w="4150" w:type="dxa"/>
            <w:shd w:val="clear" w:color="auto" w:fill="auto"/>
          </w:tcPr>
          <w:p w14:paraId="30CE38F7" w14:textId="77777777" w:rsidR="00373FA4" w:rsidRPr="00710DDB" w:rsidRDefault="00373FA4" w:rsidP="00A94B99">
            <w:pPr>
              <w:pStyle w:val="QPPTableTextBold"/>
            </w:pPr>
            <w:r w:rsidRPr="00710DDB">
              <w:t>PO2</w:t>
            </w:r>
          </w:p>
          <w:p w14:paraId="726C1C04" w14:textId="77777777" w:rsidR="00373FA4" w:rsidRPr="00710DDB" w:rsidRDefault="00373FA4" w:rsidP="00E7526F">
            <w:pPr>
              <w:pStyle w:val="QPPTableTextBody"/>
            </w:pPr>
            <w:r w:rsidRPr="00710DDB">
              <w:t xml:space="preserve">Filling </w:t>
            </w:r>
            <w:r w:rsidR="00E7526F">
              <w:t>or</w:t>
            </w:r>
            <w:r w:rsidR="00E7526F" w:rsidRPr="00710DDB">
              <w:t xml:space="preserve"> </w:t>
            </w:r>
            <w:r w:rsidRPr="00710DDB">
              <w:t xml:space="preserve">excavation does not create or increase </w:t>
            </w:r>
            <w:r w:rsidR="00E7526F">
              <w:t xml:space="preserve">the </w:t>
            </w:r>
            <w:r w:rsidRPr="00710DDB">
              <w:t xml:space="preserve">risk </w:t>
            </w:r>
            <w:r w:rsidR="00E7526F">
              <w:t xml:space="preserve">of landslides </w:t>
            </w:r>
            <w:r w:rsidRPr="00710DDB">
              <w:t xml:space="preserve">on the </w:t>
            </w:r>
            <w:r w:rsidRPr="00E73C84">
              <w:t>site</w:t>
            </w:r>
            <w:r w:rsidRPr="00710DDB">
              <w:t xml:space="preserve"> or neighbouring </w:t>
            </w:r>
            <w:r w:rsidRPr="00E73C84">
              <w:t>sites</w:t>
            </w:r>
            <w:r w:rsidRPr="00710DDB">
              <w:t xml:space="preserve"> by changing the hydrology of the </w:t>
            </w:r>
            <w:r w:rsidRPr="00E73C84">
              <w:t>site</w:t>
            </w:r>
            <w:r w:rsidRPr="00710DDB">
              <w:t>.</w:t>
            </w:r>
          </w:p>
        </w:tc>
        <w:tc>
          <w:tcPr>
            <w:tcW w:w="4151" w:type="dxa"/>
            <w:shd w:val="clear" w:color="auto" w:fill="auto"/>
          </w:tcPr>
          <w:p w14:paraId="387BBFD0" w14:textId="77777777" w:rsidR="00373FA4" w:rsidRPr="00710DDB" w:rsidRDefault="00373FA4" w:rsidP="00A94B99">
            <w:pPr>
              <w:pStyle w:val="QPPTableTextBold"/>
            </w:pPr>
            <w:r w:rsidRPr="00710DDB">
              <w:t>AO2</w:t>
            </w:r>
          </w:p>
          <w:p w14:paraId="7E7A59DD" w14:textId="77777777" w:rsidR="00373FA4" w:rsidRPr="00710DDB" w:rsidRDefault="00373FA4" w:rsidP="00E7526F">
            <w:pPr>
              <w:pStyle w:val="QPPTableTextBody"/>
            </w:pPr>
            <w:r w:rsidRPr="00710DDB">
              <w:t xml:space="preserve">Filling </w:t>
            </w:r>
            <w:r w:rsidR="00F10432">
              <w:t>or</w:t>
            </w:r>
            <w:r w:rsidR="00F10432" w:rsidRPr="00710DDB">
              <w:t xml:space="preserve"> </w:t>
            </w:r>
            <w:r w:rsidRPr="00710DDB">
              <w:t xml:space="preserve">excavation does not </w:t>
            </w:r>
            <w:r w:rsidR="00F10432">
              <w:t xml:space="preserve">create or increase the risk of landslide by redirecting the flow or concentrating surface water or groundwater on the site or </w:t>
            </w:r>
            <w:r w:rsidR="00E7526F">
              <w:t xml:space="preserve">an </w:t>
            </w:r>
            <w:r w:rsidR="00F10432">
              <w:t>adjoining site.</w:t>
            </w:r>
          </w:p>
        </w:tc>
      </w:tr>
      <w:tr w:rsidR="00373FA4" w:rsidRPr="00710DDB" w14:paraId="5131F646" w14:textId="77777777" w:rsidTr="00594296">
        <w:trPr>
          <w:trHeight w:val="537"/>
        </w:trPr>
        <w:tc>
          <w:tcPr>
            <w:tcW w:w="8301" w:type="dxa"/>
            <w:gridSpan w:val="2"/>
            <w:shd w:val="clear" w:color="auto" w:fill="auto"/>
          </w:tcPr>
          <w:p w14:paraId="598151F4" w14:textId="77777777" w:rsidR="00373FA4" w:rsidRPr="00710DDB" w:rsidRDefault="00373FA4" w:rsidP="00F10432">
            <w:pPr>
              <w:pStyle w:val="QPPTableTextBold"/>
            </w:pPr>
            <w:r w:rsidRPr="00710DDB">
              <w:t xml:space="preserve">Section B—If </w:t>
            </w:r>
            <w:r w:rsidR="00201D26">
              <w:t>a</w:t>
            </w:r>
            <w:r w:rsidR="00D4301A">
              <w:t>ccepted development subject to compliance with identified requirements (acceptable outcomes only)</w:t>
            </w:r>
            <w:r w:rsidRPr="00710DDB">
              <w:t xml:space="preserve"> </w:t>
            </w:r>
            <w:r w:rsidR="0021629F">
              <w:t xml:space="preserve">or assessable </w:t>
            </w:r>
            <w:r w:rsidRPr="00710DDB">
              <w:t>development</w:t>
            </w:r>
            <w:r w:rsidR="00F10432">
              <w:t xml:space="preserve"> involving the storage or handling of hazardous chemicals</w:t>
            </w:r>
          </w:p>
        </w:tc>
      </w:tr>
      <w:tr w:rsidR="00373FA4" w:rsidRPr="00710DDB" w14:paraId="1FB56C40" w14:textId="77777777" w:rsidTr="00594296">
        <w:trPr>
          <w:trHeight w:val="841"/>
        </w:trPr>
        <w:tc>
          <w:tcPr>
            <w:tcW w:w="4150" w:type="dxa"/>
            <w:shd w:val="clear" w:color="auto" w:fill="auto"/>
          </w:tcPr>
          <w:p w14:paraId="04C1C635" w14:textId="77777777" w:rsidR="00373FA4" w:rsidRPr="00710DDB" w:rsidRDefault="00373FA4" w:rsidP="00711762">
            <w:pPr>
              <w:pStyle w:val="QPPTableTextBold"/>
            </w:pPr>
            <w:r w:rsidRPr="00710DDB">
              <w:t>PO</w:t>
            </w:r>
            <w:r w:rsidR="00BF152D">
              <w:t>3</w:t>
            </w:r>
          </w:p>
          <w:p w14:paraId="18DD8C83" w14:textId="77777777" w:rsidR="00373FA4" w:rsidRPr="00710DDB" w:rsidRDefault="00373FA4" w:rsidP="00711762">
            <w:pPr>
              <w:pStyle w:val="QPPTableTextBody"/>
            </w:pPr>
            <w:r w:rsidRPr="00710DDB">
              <w:t xml:space="preserve">Development protects the safety of people and property and the environment from the impacts of landslide on </w:t>
            </w:r>
            <w:hyperlink r:id="rId24" w:anchor="HazardousChemical" w:history="1">
              <w:r w:rsidR="00BF152D" w:rsidRPr="000C1672">
                <w:rPr>
                  <w:rStyle w:val="Hyperlink"/>
                </w:rPr>
                <w:t>hazardous chemicals</w:t>
              </w:r>
            </w:hyperlink>
            <w:r w:rsidRPr="00710DDB">
              <w:t xml:space="preserve"> stored or handled on the </w:t>
            </w:r>
            <w:r w:rsidRPr="00E73C84">
              <w:t>sites.</w:t>
            </w:r>
          </w:p>
          <w:p w14:paraId="06644C58" w14:textId="77777777" w:rsidR="00373FA4" w:rsidRPr="00710DDB" w:rsidRDefault="00373FA4" w:rsidP="00E547C5">
            <w:pPr>
              <w:pStyle w:val="QPPEditorsNoteStyle1"/>
            </w:pPr>
            <w:r w:rsidRPr="00710DDB">
              <w:t>Note—</w:t>
            </w:r>
            <w:r w:rsidR="00E547C5">
              <w:t>A</w:t>
            </w:r>
            <w:r w:rsidRPr="00710DDB">
              <w:t xml:space="preserve"> site-specific geotechnical assessment report </w:t>
            </w:r>
            <w:r w:rsidR="00E547C5">
              <w:t xml:space="preserve">prepared </w:t>
            </w:r>
            <w:r w:rsidRPr="00710DDB">
              <w:t xml:space="preserve">in accordance with the </w:t>
            </w:r>
            <w:hyperlink r:id="rId25" w:history="1">
              <w:r w:rsidRPr="00710DDB">
                <w:rPr>
                  <w:rStyle w:val="Hyperlink"/>
                </w:rPr>
                <w:t>Landslide planning scheme policy</w:t>
              </w:r>
            </w:hyperlink>
            <w:r w:rsidRPr="00710DDB">
              <w:t xml:space="preserve">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14:paraId="50D17BC6" w14:textId="77777777" w:rsidR="00373FA4" w:rsidRPr="00710DDB" w:rsidRDefault="00373FA4" w:rsidP="00711762">
            <w:pPr>
              <w:pStyle w:val="QPPTableTextBold"/>
            </w:pPr>
            <w:r w:rsidRPr="00710DDB">
              <w:t>AO</w:t>
            </w:r>
            <w:r w:rsidR="00BF152D">
              <w:t>3</w:t>
            </w:r>
          </w:p>
          <w:p w14:paraId="0F86306D" w14:textId="77777777" w:rsidR="00373FA4" w:rsidRPr="00710DDB" w:rsidRDefault="008D2295" w:rsidP="00711762">
            <w:pPr>
              <w:pStyle w:val="QPPTableTextBody"/>
            </w:pPr>
            <w:r>
              <w:t>Development either:</w:t>
            </w:r>
          </w:p>
          <w:p w14:paraId="29FC82BE" w14:textId="77777777" w:rsidR="00373FA4" w:rsidRPr="00710DDB" w:rsidRDefault="00373FA4" w:rsidP="00B862B1">
            <w:pPr>
              <w:pStyle w:val="HGTableBullet2"/>
              <w:numPr>
                <w:ilvl w:val="0"/>
                <w:numId w:val="14"/>
              </w:numPr>
            </w:pPr>
            <w:r w:rsidRPr="00710DDB">
              <w:t xml:space="preserve">does not </w:t>
            </w:r>
            <w:r w:rsidR="00BF152D">
              <w:t xml:space="preserve">include the storage or handling of hazardous chemicals that are equivalent to or exceed the threshold quantities set out in </w:t>
            </w:r>
            <w:hyperlink w:anchor="Table82143b" w:history="1">
              <w:r w:rsidR="00BF152D" w:rsidRPr="000C1672">
                <w:rPr>
                  <w:rStyle w:val="Hyperlink"/>
                </w:rPr>
                <w:t>Table 8.2.1</w:t>
              </w:r>
              <w:r w:rsidR="006D363E" w:rsidRPr="00CA0F00">
                <w:rPr>
                  <w:rStyle w:val="Hyperlink"/>
                </w:rPr>
                <w:t>4</w:t>
              </w:r>
              <w:r w:rsidR="00BF152D" w:rsidRPr="000C1672">
                <w:rPr>
                  <w:rStyle w:val="Hyperlink"/>
                </w:rPr>
                <w:t>.3.</w:t>
              </w:r>
              <w:r w:rsidR="00EB498F">
                <w:rPr>
                  <w:rStyle w:val="Hyperlink"/>
                </w:rPr>
                <w:t>B</w:t>
              </w:r>
            </w:hyperlink>
            <w:r w:rsidRPr="00710DDB">
              <w:t>; or</w:t>
            </w:r>
          </w:p>
          <w:p w14:paraId="57306EE4" w14:textId="77777777" w:rsidR="00373FA4" w:rsidRPr="00710DDB" w:rsidRDefault="00373FA4" w:rsidP="00711762">
            <w:pPr>
              <w:pStyle w:val="HGTableBullet2"/>
            </w:pPr>
            <w:r w:rsidRPr="00710DDB">
              <w:t>incorporates design measures to ensure:</w:t>
            </w:r>
          </w:p>
          <w:p w14:paraId="781AFFAF" w14:textId="77777777" w:rsidR="00D12C63" w:rsidRDefault="00373FA4" w:rsidP="00D12C63">
            <w:pPr>
              <w:pStyle w:val="HGTableBullet3"/>
            </w:pPr>
            <w:r w:rsidRPr="00710DDB">
              <w:t xml:space="preserve">the long-term stability of the development </w:t>
            </w:r>
            <w:r w:rsidRPr="00E73C84">
              <w:t>site</w:t>
            </w:r>
            <w:r w:rsidRPr="00710DDB">
              <w:t xml:space="preserve"> considering the full nature and end use of the development;</w:t>
            </w:r>
          </w:p>
          <w:p w14:paraId="3ECFDB21" w14:textId="77777777" w:rsidR="00D12C63" w:rsidRDefault="00373FA4" w:rsidP="00D12C63">
            <w:pPr>
              <w:pStyle w:val="HGTableBullet3"/>
            </w:pPr>
            <w:r w:rsidRPr="00710DDB">
              <w:t>site stability during all phases of construction and development;</w:t>
            </w:r>
          </w:p>
          <w:p w14:paraId="471652E3" w14:textId="77777777" w:rsidR="00373FA4" w:rsidRDefault="00373FA4" w:rsidP="00D12C63">
            <w:pPr>
              <w:pStyle w:val="HGTableBullet3"/>
            </w:pPr>
            <w:r w:rsidRPr="00710DDB">
              <w:t xml:space="preserve">that the development is not adversely affected by landslide activity originating on sloping land above the </w:t>
            </w:r>
            <w:r w:rsidRPr="00E73C84">
              <w:t>site</w:t>
            </w:r>
            <w:r w:rsidRPr="00710DDB">
              <w:t>;</w:t>
            </w:r>
          </w:p>
          <w:p w14:paraId="3E769665" w14:textId="77777777" w:rsidR="000D6B99" w:rsidRPr="00710DDB" w:rsidRDefault="000D6B99" w:rsidP="000D6B99">
            <w:pPr>
              <w:pStyle w:val="HGTableBullet3"/>
            </w:pPr>
            <w:r w:rsidRPr="000D6B99">
              <w:rPr>
                <w:rStyle w:val="HGTableBullet3Char"/>
              </w:rPr>
              <w:t>emergency access and egress from the site for the public and emergency</w:t>
            </w:r>
            <w:r w:rsidRPr="00710DDB">
              <w:t xml:space="preserve"> vehicles is available and is not at risk from landslide.</w:t>
            </w:r>
          </w:p>
          <w:p w14:paraId="667488EA" w14:textId="77777777" w:rsidR="00373FA4" w:rsidRPr="00A756EB" w:rsidRDefault="00373FA4" w:rsidP="000C1672">
            <w:pPr>
              <w:pStyle w:val="QPPEditorsNoteStyle1"/>
            </w:pPr>
            <w:r w:rsidRPr="000C1672">
              <w:t>Note—</w:t>
            </w:r>
            <w:r w:rsidR="00E547C5" w:rsidRPr="00A756EB">
              <w:t>A</w:t>
            </w:r>
            <w:r w:rsidRPr="000C1672">
              <w:t xml:space="preserve"> site-specific geotechnical assessment report</w:t>
            </w:r>
            <w:r w:rsidR="00E547C5" w:rsidRPr="00A756EB">
              <w:t xml:space="preserve"> prepared</w:t>
            </w:r>
            <w:r w:rsidRPr="000C1672">
              <w:t xml:space="preserve"> in accordance with the </w:t>
            </w:r>
            <w:hyperlink r:id="rId26" w:history="1">
              <w:r w:rsidRPr="000C1672">
                <w:rPr>
                  <w:rStyle w:val="HighlightingGreen"/>
                  <w:shd w:val="clear" w:color="auto" w:fill="auto"/>
                </w:rPr>
                <w:t>Landslide planning scheme policy</w:t>
              </w:r>
            </w:hyperlink>
            <w:r w:rsidRPr="000C1672">
              <w:t xml:space="preserve"> can assist in demonstrating achievement of this acceptable outcome. </w:t>
            </w:r>
          </w:p>
        </w:tc>
      </w:tr>
      <w:tr w:rsidR="00373FA4" w:rsidRPr="00710DDB" w14:paraId="2D820730" w14:textId="77777777" w:rsidTr="00594296">
        <w:trPr>
          <w:trHeight w:val="87"/>
        </w:trPr>
        <w:tc>
          <w:tcPr>
            <w:tcW w:w="8301" w:type="dxa"/>
            <w:gridSpan w:val="2"/>
            <w:shd w:val="clear" w:color="auto" w:fill="auto"/>
          </w:tcPr>
          <w:p w14:paraId="0E0694AA" w14:textId="77777777" w:rsidR="00373FA4" w:rsidRPr="00710DDB" w:rsidRDefault="00373FA4" w:rsidP="00711762">
            <w:pPr>
              <w:pStyle w:val="QPPTableTextBold"/>
            </w:pPr>
            <w:r w:rsidRPr="00710DDB">
              <w:t>Section C—If reconfiguring a lot</w:t>
            </w:r>
          </w:p>
        </w:tc>
      </w:tr>
      <w:tr w:rsidR="00373FA4" w:rsidRPr="00710DDB" w14:paraId="351B4694" w14:textId="77777777" w:rsidTr="00594296">
        <w:trPr>
          <w:trHeight w:val="350"/>
        </w:trPr>
        <w:tc>
          <w:tcPr>
            <w:tcW w:w="4150" w:type="dxa"/>
            <w:vMerge w:val="restart"/>
            <w:shd w:val="clear" w:color="auto" w:fill="auto"/>
          </w:tcPr>
          <w:p w14:paraId="705A9693" w14:textId="77777777" w:rsidR="00373FA4" w:rsidRPr="00710DDB" w:rsidRDefault="00373FA4" w:rsidP="00A94B99">
            <w:pPr>
              <w:pStyle w:val="QPPTableTextBold"/>
            </w:pPr>
            <w:r w:rsidRPr="00710DDB">
              <w:t>PO</w:t>
            </w:r>
            <w:r w:rsidR="00387947">
              <w:t>4</w:t>
            </w:r>
          </w:p>
          <w:p w14:paraId="5E4F72F2" w14:textId="77777777" w:rsidR="00A94B99" w:rsidRPr="00A94B99" w:rsidRDefault="00373FA4" w:rsidP="00A94B99">
            <w:pPr>
              <w:pStyle w:val="QPPTableTextBody"/>
            </w:pPr>
            <w:r w:rsidRPr="00710DDB">
              <w:t>Development ensures that on all new lots:</w:t>
            </w:r>
          </w:p>
          <w:p w14:paraId="28F99D56" w14:textId="77777777" w:rsidR="00373FA4" w:rsidRPr="00710DDB" w:rsidRDefault="00373FA4" w:rsidP="00B862B1">
            <w:pPr>
              <w:pStyle w:val="HGTableBullet2"/>
              <w:numPr>
                <w:ilvl w:val="0"/>
                <w:numId w:val="12"/>
              </w:numPr>
            </w:pPr>
            <w:r w:rsidRPr="00710DDB">
              <w:t xml:space="preserve">need for excessive work or change to the finished landform to reasonably construct a building or vehicular access route within the locations nominated is </w:t>
            </w:r>
            <w:r w:rsidRPr="00710DDB">
              <w:lastRenderedPageBreak/>
              <w:t>avoided;</w:t>
            </w:r>
          </w:p>
          <w:p w14:paraId="0B15A38B" w14:textId="77777777" w:rsidR="00373FA4" w:rsidRPr="00710DDB" w:rsidRDefault="007C59FC" w:rsidP="00711762">
            <w:pPr>
              <w:pStyle w:val="HGTableBullet2"/>
            </w:pPr>
            <w:r>
              <w:t>the</w:t>
            </w:r>
            <w:r w:rsidRPr="00710DDB">
              <w:t xml:space="preserve"> </w:t>
            </w:r>
            <w:r w:rsidR="00373FA4" w:rsidRPr="00710DDB">
              <w:t xml:space="preserve">building </w:t>
            </w:r>
            <w:r>
              <w:t>footprint</w:t>
            </w:r>
            <w:r w:rsidRPr="00710DDB">
              <w:t xml:space="preserve"> </w:t>
            </w:r>
            <w:r w:rsidR="00373FA4" w:rsidRPr="00710DDB">
              <w:t xml:space="preserve">is not </w:t>
            </w:r>
            <w:r>
              <w:t>located</w:t>
            </w:r>
            <w:r w:rsidR="00373FA4" w:rsidRPr="00710DDB">
              <w:t xml:space="preserve"> in </w:t>
            </w:r>
            <w:r>
              <w:t xml:space="preserve">any </w:t>
            </w:r>
            <w:r w:rsidR="00373FA4" w:rsidRPr="00710DDB">
              <w:t>part of the site subject to landslide;</w:t>
            </w:r>
          </w:p>
          <w:p w14:paraId="582FC0EB" w14:textId="77777777" w:rsidR="00373FA4" w:rsidRPr="00710DDB" w:rsidRDefault="00A95B50" w:rsidP="00711762">
            <w:pPr>
              <w:pStyle w:val="HGTableBullet2"/>
            </w:pPr>
            <w:r>
              <w:t xml:space="preserve">the </w:t>
            </w:r>
            <w:r w:rsidR="00373FA4" w:rsidRPr="00710DDB">
              <w:t xml:space="preserve">future </w:t>
            </w:r>
            <w:hyperlink r:id="rId27" w:anchor="DevtFootprint" w:history="1">
              <w:r w:rsidR="007C59FC" w:rsidRPr="000C1672">
                <w:rPr>
                  <w:rStyle w:val="Hyperlink"/>
                </w:rPr>
                <w:t>development footprint</w:t>
              </w:r>
            </w:hyperlink>
            <w:r w:rsidR="007C59FC" w:rsidRPr="00710DDB">
              <w:t xml:space="preserve"> </w:t>
            </w:r>
            <w:r w:rsidR="00373FA4" w:rsidRPr="00710DDB">
              <w:t xml:space="preserve">will not be adversely affected by, or be at unacceptable risk from, landslide activity originating on sloping land above the </w:t>
            </w:r>
            <w:r w:rsidR="00373FA4" w:rsidRPr="00E73C84">
              <w:t>site</w:t>
            </w:r>
            <w:r w:rsidR="00373FA4" w:rsidRPr="00710DDB">
              <w:t>.</w:t>
            </w:r>
          </w:p>
          <w:p w14:paraId="3B08E4C4" w14:textId="77777777" w:rsidR="00373FA4" w:rsidRPr="00710DDB" w:rsidRDefault="00373FA4" w:rsidP="00C51F97">
            <w:pPr>
              <w:pStyle w:val="QPPEditorsNoteStyle1"/>
            </w:pPr>
            <w:r w:rsidRPr="00710DDB">
              <w:t>Note—</w:t>
            </w:r>
            <w:r w:rsidR="00C51F97">
              <w:t>A</w:t>
            </w:r>
            <w:r w:rsidRPr="00710DDB">
              <w:t xml:space="preserve"> site-specific geotechnical assessment report or landslide risk assessment</w:t>
            </w:r>
            <w:r w:rsidR="00C51F97">
              <w:t xml:space="preserve"> prepared</w:t>
            </w:r>
            <w:r w:rsidRPr="00710DDB">
              <w:t xml:space="preserve"> in accordance with the </w:t>
            </w:r>
            <w:hyperlink r:id="rId28" w:history="1">
              <w:r w:rsidRPr="00710DDB">
                <w:rPr>
                  <w:rStyle w:val="Hyperlink"/>
                </w:rPr>
                <w:t>Landslide planning scheme policy</w:t>
              </w:r>
            </w:hyperlink>
            <w:r w:rsidRPr="00710DDB">
              <w:t xml:space="preserve">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14:paraId="5F3D1489" w14:textId="77777777" w:rsidR="00373FA4" w:rsidRPr="00710DDB" w:rsidRDefault="00373FA4" w:rsidP="00A94B99">
            <w:pPr>
              <w:pStyle w:val="QPPTableTextBold"/>
            </w:pPr>
            <w:r w:rsidRPr="00710DDB">
              <w:lastRenderedPageBreak/>
              <w:t>AO</w:t>
            </w:r>
            <w:r w:rsidR="00387947">
              <w:t>4</w:t>
            </w:r>
            <w:r w:rsidRPr="00710DDB">
              <w:t>.1</w:t>
            </w:r>
          </w:p>
          <w:p w14:paraId="4549A3BC" w14:textId="77777777" w:rsidR="00373FA4" w:rsidRPr="00710DDB" w:rsidRDefault="00373FA4" w:rsidP="0033722D">
            <w:pPr>
              <w:pStyle w:val="QPPTableTextBody"/>
            </w:pPr>
            <w:r w:rsidRPr="00710DDB">
              <w:t xml:space="preserve">Development ensures that the resulting slope of a building </w:t>
            </w:r>
            <w:r w:rsidR="007C59FC">
              <w:t>footprint</w:t>
            </w:r>
            <w:r w:rsidR="007C59FC" w:rsidRPr="00710DDB">
              <w:t xml:space="preserve"> </w:t>
            </w:r>
            <w:r w:rsidRPr="00710DDB">
              <w:t>and access way does not exceed 15%.</w:t>
            </w:r>
          </w:p>
        </w:tc>
      </w:tr>
      <w:tr w:rsidR="00373FA4" w:rsidRPr="00710DDB" w14:paraId="32372DA3" w14:textId="77777777" w:rsidTr="00594296">
        <w:trPr>
          <w:trHeight w:val="350"/>
        </w:trPr>
        <w:tc>
          <w:tcPr>
            <w:tcW w:w="4150" w:type="dxa"/>
            <w:vMerge/>
            <w:shd w:val="clear" w:color="auto" w:fill="auto"/>
          </w:tcPr>
          <w:p w14:paraId="726F6917" w14:textId="77777777" w:rsidR="00373FA4" w:rsidRPr="00710DDB" w:rsidRDefault="00373FA4" w:rsidP="00A94B99">
            <w:pPr>
              <w:pStyle w:val="QPPTableTextBody"/>
            </w:pPr>
          </w:p>
        </w:tc>
        <w:tc>
          <w:tcPr>
            <w:tcW w:w="4151" w:type="dxa"/>
            <w:shd w:val="clear" w:color="auto" w:fill="auto"/>
          </w:tcPr>
          <w:p w14:paraId="371F8294" w14:textId="77777777" w:rsidR="00373FA4" w:rsidRPr="00710DDB" w:rsidRDefault="00373FA4" w:rsidP="00A94B99">
            <w:pPr>
              <w:pStyle w:val="QPPTableTextBold"/>
            </w:pPr>
            <w:r w:rsidRPr="00710DDB">
              <w:t>AO</w:t>
            </w:r>
            <w:r w:rsidR="00387947">
              <w:t>4</w:t>
            </w:r>
            <w:r w:rsidR="008D2295">
              <w:t>.2</w:t>
            </w:r>
          </w:p>
          <w:p w14:paraId="4EE13EE8" w14:textId="77777777" w:rsidR="00373FA4" w:rsidRPr="00710DDB" w:rsidRDefault="00373FA4" w:rsidP="007C59FC">
            <w:pPr>
              <w:pStyle w:val="QPPTableTextBody"/>
            </w:pPr>
            <w:r w:rsidRPr="00710DDB">
              <w:lastRenderedPageBreak/>
              <w:t xml:space="preserve">Development provides a </w:t>
            </w:r>
            <w:hyperlink r:id="rId29" w:anchor="DevtFootprintPlan" w:history="1">
              <w:r w:rsidR="00501270" w:rsidRPr="00E20975">
                <w:t>development</w:t>
              </w:r>
              <w:r w:rsidR="00387947" w:rsidRPr="00E20975">
                <w:t xml:space="preserve"> footprint</w:t>
              </w:r>
              <w:r w:rsidR="000410D2" w:rsidRPr="00E20975">
                <w:t xml:space="preserve"> plan</w:t>
              </w:r>
            </w:hyperlink>
            <w:r w:rsidRPr="00710DDB">
              <w:t xml:space="preserve"> </w:t>
            </w:r>
            <w:r w:rsidR="002B7496">
              <w:t>for</w:t>
            </w:r>
            <w:r w:rsidRPr="00710DDB">
              <w:t xml:space="preserve"> all new lots</w:t>
            </w:r>
            <w:r w:rsidR="002B7496">
              <w:t>, w</w:t>
            </w:r>
            <w:r w:rsidRPr="00710DDB">
              <w:t xml:space="preserve">hich </w:t>
            </w:r>
            <w:r w:rsidR="007C59FC">
              <w:t>is</w:t>
            </w:r>
            <w:r w:rsidR="007C59FC" w:rsidRPr="00710DDB">
              <w:t xml:space="preserve"> </w:t>
            </w:r>
            <w:r w:rsidRPr="00710DDB">
              <w:t xml:space="preserve">free from </w:t>
            </w:r>
            <w:r w:rsidR="007C59FC">
              <w:t xml:space="preserve">the </w:t>
            </w:r>
            <w:r w:rsidRPr="00710DDB">
              <w:t xml:space="preserve">risk </w:t>
            </w:r>
            <w:r w:rsidR="007C59FC">
              <w:t>of</w:t>
            </w:r>
            <w:r w:rsidR="007C59FC" w:rsidRPr="00710DDB">
              <w:t xml:space="preserve"> </w:t>
            </w:r>
            <w:r w:rsidRPr="00710DDB">
              <w:t>landslide.</w:t>
            </w:r>
          </w:p>
        </w:tc>
      </w:tr>
    </w:tbl>
    <w:p w14:paraId="09DE9A83" w14:textId="77777777" w:rsidR="00006E29" w:rsidRPr="00006E29" w:rsidRDefault="00387947" w:rsidP="00387947">
      <w:pPr>
        <w:pStyle w:val="QPPTableHeadingStyle1"/>
      </w:pPr>
      <w:bookmarkStart w:id="5" w:name="Table82143b"/>
      <w:r>
        <w:lastRenderedPageBreak/>
        <w:t>Table 8.2.1</w:t>
      </w:r>
      <w:r w:rsidR="008E3F4E">
        <w:t>4</w:t>
      </w:r>
      <w:r>
        <w:t>.3.</w:t>
      </w:r>
      <w:r w:rsidR="00341FD5">
        <w:t>B</w:t>
      </w:r>
      <w:r>
        <w:t>—Threshold quantities for hazardous chemicals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552"/>
        <w:gridCol w:w="2835"/>
        <w:gridCol w:w="2460"/>
      </w:tblGrid>
      <w:tr w:rsidR="00006E29" w14:paraId="2FBC5AD3" w14:textId="77777777" w:rsidTr="000A35D0">
        <w:tc>
          <w:tcPr>
            <w:tcW w:w="675" w:type="dxa"/>
          </w:tcPr>
          <w:bookmarkEnd w:id="5"/>
          <w:p w14:paraId="3BDA5454" w14:textId="77777777" w:rsidR="00006E29" w:rsidRDefault="00006E29" w:rsidP="000C1672">
            <w:pPr>
              <w:pStyle w:val="QPPTableTextBold"/>
            </w:pPr>
            <w:r>
              <w:t>Item</w:t>
            </w:r>
          </w:p>
        </w:tc>
        <w:tc>
          <w:tcPr>
            <w:tcW w:w="5387" w:type="dxa"/>
            <w:gridSpan w:val="2"/>
          </w:tcPr>
          <w:p w14:paraId="41E1F1F5" w14:textId="77777777" w:rsidR="00006E29" w:rsidRDefault="00006E29" w:rsidP="000C1672">
            <w:pPr>
              <w:pStyle w:val="QPPTableTextBold"/>
            </w:pPr>
            <w:r>
              <w:t xml:space="preserve">Description </w:t>
            </w:r>
            <w:r w:rsidR="00C64CEC">
              <w:t>of</w:t>
            </w:r>
            <w:r>
              <w:t xml:space="preserve"> hazardous chemical</w:t>
            </w:r>
          </w:p>
        </w:tc>
        <w:tc>
          <w:tcPr>
            <w:tcW w:w="2460" w:type="dxa"/>
          </w:tcPr>
          <w:p w14:paraId="140C1CDF" w14:textId="77777777" w:rsidR="00006E29" w:rsidRDefault="00006E29" w:rsidP="000C1672">
            <w:pPr>
              <w:pStyle w:val="QPPTableTextBold"/>
            </w:pPr>
            <w:r>
              <w:t>Threshold quantity</w:t>
            </w:r>
          </w:p>
        </w:tc>
      </w:tr>
      <w:tr w:rsidR="00006E29" w14:paraId="5A6BB068" w14:textId="77777777" w:rsidTr="000A35D0">
        <w:tc>
          <w:tcPr>
            <w:tcW w:w="675" w:type="dxa"/>
          </w:tcPr>
          <w:p w14:paraId="67F512E3" w14:textId="77777777" w:rsidR="00006E29" w:rsidRPr="00006E29" w:rsidRDefault="00006E29" w:rsidP="000C1672">
            <w:pPr>
              <w:pStyle w:val="QPPTableTextBody"/>
            </w:pPr>
            <w:r>
              <w:t>1</w:t>
            </w:r>
          </w:p>
        </w:tc>
        <w:tc>
          <w:tcPr>
            <w:tcW w:w="2552" w:type="dxa"/>
          </w:tcPr>
          <w:p w14:paraId="3FE27E2F" w14:textId="77777777" w:rsidR="00006E29" w:rsidRPr="00006E29" w:rsidRDefault="00006E29" w:rsidP="000C1672">
            <w:pPr>
              <w:pStyle w:val="QPPTableTextBody"/>
            </w:pPr>
            <w:r w:rsidRPr="00006E29">
              <w:t>Flammable gases</w:t>
            </w:r>
          </w:p>
        </w:tc>
        <w:tc>
          <w:tcPr>
            <w:tcW w:w="2835" w:type="dxa"/>
          </w:tcPr>
          <w:p w14:paraId="6F0FA43E" w14:textId="77777777" w:rsidR="00006E29" w:rsidRPr="00006E29" w:rsidRDefault="00006E29" w:rsidP="000C1672">
            <w:pPr>
              <w:pStyle w:val="QPPTableTextBody"/>
            </w:pPr>
            <w:r w:rsidRPr="00006E29">
              <w:t>Category 1</w:t>
            </w:r>
          </w:p>
        </w:tc>
        <w:tc>
          <w:tcPr>
            <w:tcW w:w="2460" w:type="dxa"/>
          </w:tcPr>
          <w:p w14:paraId="461CD031" w14:textId="77777777" w:rsidR="00006E29" w:rsidRPr="00006E29" w:rsidRDefault="00006E29" w:rsidP="000C1672">
            <w:pPr>
              <w:pStyle w:val="QPPTableTextBody"/>
            </w:pPr>
            <w:r w:rsidRPr="00006E29">
              <w:t>5,000L</w:t>
            </w:r>
          </w:p>
        </w:tc>
      </w:tr>
      <w:tr w:rsidR="00006E29" w14:paraId="5933D71D" w14:textId="77777777" w:rsidTr="000A35D0">
        <w:tc>
          <w:tcPr>
            <w:tcW w:w="675" w:type="dxa"/>
          </w:tcPr>
          <w:p w14:paraId="705B5FFE" w14:textId="77777777" w:rsidR="00006E29" w:rsidRPr="00006E29" w:rsidRDefault="00006E29" w:rsidP="000C1672">
            <w:pPr>
              <w:pStyle w:val="QPPTableTextBody"/>
            </w:pPr>
            <w:r>
              <w:t>2</w:t>
            </w:r>
          </w:p>
        </w:tc>
        <w:tc>
          <w:tcPr>
            <w:tcW w:w="2552" w:type="dxa"/>
          </w:tcPr>
          <w:p w14:paraId="7C7E87C9" w14:textId="77777777" w:rsidR="00006E29" w:rsidRPr="00006E29" w:rsidRDefault="00006E29" w:rsidP="000C1672">
            <w:pPr>
              <w:pStyle w:val="QPPTableTextBody"/>
            </w:pPr>
            <w:r w:rsidRPr="00006E29">
              <w:t>Gases under pressure</w:t>
            </w:r>
          </w:p>
        </w:tc>
        <w:tc>
          <w:tcPr>
            <w:tcW w:w="2835" w:type="dxa"/>
          </w:tcPr>
          <w:p w14:paraId="1D2C153F" w14:textId="77777777" w:rsidR="00006E29" w:rsidRPr="00006E29" w:rsidRDefault="00006E29" w:rsidP="000C1672">
            <w:pPr>
              <w:pStyle w:val="QPPTableTextBody"/>
            </w:pPr>
            <w:r w:rsidRPr="00006E29">
              <w:t>With acute toxicity, categories 1, 2, 3 or 4</w:t>
            </w:r>
          </w:p>
        </w:tc>
        <w:tc>
          <w:tcPr>
            <w:tcW w:w="2460" w:type="dxa"/>
          </w:tcPr>
          <w:p w14:paraId="3F37C2AA" w14:textId="77777777" w:rsidR="00006E29" w:rsidRPr="00006E29" w:rsidRDefault="00006E29" w:rsidP="000C1672">
            <w:pPr>
              <w:pStyle w:val="QPPTableTextBody"/>
            </w:pPr>
            <w:r w:rsidRPr="00006E29">
              <w:t>500L</w:t>
            </w:r>
          </w:p>
        </w:tc>
      </w:tr>
      <w:tr w:rsidR="00006E29" w14:paraId="7F06D8C3" w14:textId="77777777" w:rsidTr="000A35D0">
        <w:tc>
          <w:tcPr>
            <w:tcW w:w="675" w:type="dxa"/>
          </w:tcPr>
          <w:p w14:paraId="34D047D5" w14:textId="77777777" w:rsidR="00006E29" w:rsidRPr="00006E29" w:rsidRDefault="00006E29" w:rsidP="000C1672">
            <w:pPr>
              <w:pStyle w:val="QPPTableTextBody"/>
            </w:pPr>
            <w:r>
              <w:t>3</w:t>
            </w:r>
          </w:p>
        </w:tc>
        <w:tc>
          <w:tcPr>
            <w:tcW w:w="2552" w:type="dxa"/>
          </w:tcPr>
          <w:p w14:paraId="3560771E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50C69157" w14:textId="77777777" w:rsidR="00006E29" w:rsidRPr="00006E29" w:rsidRDefault="00006E29" w:rsidP="000C1672">
            <w:pPr>
              <w:pStyle w:val="QPPTableTextBody"/>
            </w:pPr>
            <w:r w:rsidRPr="00006E29">
              <w:t>With skin corrosion categories 1A, 1B or 1C</w:t>
            </w:r>
          </w:p>
        </w:tc>
        <w:tc>
          <w:tcPr>
            <w:tcW w:w="2460" w:type="dxa"/>
          </w:tcPr>
          <w:p w14:paraId="6CC28F78" w14:textId="77777777" w:rsidR="00006E29" w:rsidRPr="00006E29" w:rsidRDefault="00006E29" w:rsidP="000C1672">
            <w:pPr>
              <w:pStyle w:val="QPPTableTextBody"/>
            </w:pPr>
            <w:r w:rsidRPr="00006E29">
              <w:t>500L</w:t>
            </w:r>
          </w:p>
        </w:tc>
      </w:tr>
      <w:tr w:rsidR="00006E29" w14:paraId="0D4928F2" w14:textId="77777777" w:rsidTr="000A35D0">
        <w:tc>
          <w:tcPr>
            <w:tcW w:w="675" w:type="dxa"/>
          </w:tcPr>
          <w:p w14:paraId="44B6BFE1" w14:textId="77777777" w:rsidR="00006E29" w:rsidRPr="00006E29" w:rsidRDefault="00006E29" w:rsidP="000C1672">
            <w:pPr>
              <w:pStyle w:val="QPPTableTextBody"/>
            </w:pPr>
            <w:r>
              <w:t>4</w:t>
            </w:r>
          </w:p>
        </w:tc>
        <w:tc>
          <w:tcPr>
            <w:tcW w:w="2552" w:type="dxa"/>
          </w:tcPr>
          <w:p w14:paraId="31EBEB23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42A873BC" w14:textId="77777777" w:rsidR="00006E29" w:rsidRPr="00006E29" w:rsidRDefault="00006E29" w:rsidP="000C1672">
            <w:pPr>
              <w:pStyle w:val="QPPTableTextBody"/>
            </w:pPr>
            <w:r w:rsidRPr="00006E29">
              <w:t>Aerosols</w:t>
            </w:r>
          </w:p>
        </w:tc>
        <w:tc>
          <w:tcPr>
            <w:tcW w:w="2460" w:type="dxa"/>
          </w:tcPr>
          <w:p w14:paraId="536CBADA" w14:textId="77777777" w:rsidR="00006E29" w:rsidRPr="00006E29" w:rsidRDefault="00006E29" w:rsidP="000C1672">
            <w:pPr>
              <w:pStyle w:val="QPPTableTextBody"/>
            </w:pPr>
            <w:r w:rsidRPr="00006E29">
              <w:t>10,000L</w:t>
            </w:r>
          </w:p>
        </w:tc>
      </w:tr>
      <w:tr w:rsidR="00006E29" w14:paraId="5F875AF9" w14:textId="77777777" w:rsidTr="000A35D0">
        <w:tc>
          <w:tcPr>
            <w:tcW w:w="675" w:type="dxa"/>
          </w:tcPr>
          <w:p w14:paraId="4AB48708" w14:textId="77777777" w:rsidR="00006E29" w:rsidRPr="00006E29" w:rsidRDefault="00006E29" w:rsidP="000C1672">
            <w:pPr>
              <w:pStyle w:val="QPPTableTextBody"/>
            </w:pPr>
            <w:r>
              <w:t>5</w:t>
            </w:r>
          </w:p>
        </w:tc>
        <w:tc>
          <w:tcPr>
            <w:tcW w:w="2552" w:type="dxa"/>
          </w:tcPr>
          <w:p w14:paraId="0AAD23D0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2F43973D" w14:textId="77777777" w:rsidR="00006E29" w:rsidRPr="00006E29" w:rsidRDefault="00006E29" w:rsidP="000C1672">
            <w:pPr>
              <w:pStyle w:val="QPPTableTextBody"/>
            </w:pPr>
            <w:r w:rsidRPr="00006E29">
              <w:t>Not stated elsewhere in this table</w:t>
            </w:r>
          </w:p>
        </w:tc>
        <w:tc>
          <w:tcPr>
            <w:tcW w:w="2460" w:type="dxa"/>
          </w:tcPr>
          <w:p w14:paraId="4F0DCD3C" w14:textId="77777777" w:rsidR="00006E29" w:rsidRPr="00006E29" w:rsidRDefault="00006E29" w:rsidP="000C1672">
            <w:pPr>
              <w:pStyle w:val="QPPTableTextBody"/>
            </w:pPr>
            <w:r w:rsidRPr="00006E29">
              <w:t>10,000L</w:t>
            </w:r>
          </w:p>
        </w:tc>
      </w:tr>
      <w:tr w:rsidR="00006E29" w14:paraId="65C360FE" w14:textId="77777777" w:rsidTr="000A35D0">
        <w:tc>
          <w:tcPr>
            <w:tcW w:w="675" w:type="dxa"/>
          </w:tcPr>
          <w:p w14:paraId="66B9FD0A" w14:textId="77777777" w:rsidR="00006E29" w:rsidRPr="00006E29" w:rsidRDefault="00006E29" w:rsidP="000C1672">
            <w:pPr>
              <w:pStyle w:val="QPPTableTextBody"/>
            </w:pPr>
            <w:r>
              <w:t>6</w:t>
            </w:r>
          </w:p>
        </w:tc>
        <w:tc>
          <w:tcPr>
            <w:tcW w:w="2552" w:type="dxa"/>
          </w:tcPr>
          <w:p w14:paraId="082D48C5" w14:textId="77777777" w:rsidR="00006E29" w:rsidRPr="00006E29" w:rsidRDefault="00006E29" w:rsidP="000C1672">
            <w:pPr>
              <w:pStyle w:val="QPPTableTextBody"/>
            </w:pPr>
            <w:r w:rsidRPr="00006E29">
              <w:t>Flammable liquids</w:t>
            </w:r>
          </w:p>
        </w:tc>
        <w:tc>
          <w:tcPr>
            <w:tcW w:w="2835" w:type="dxa"/>
          </w:tcPr>
          <w:p w14:paraId="4C4D62C4" w14:textId="77777777" w:rsidR="00006E29" w:rsidRPr="00006E29" w:rsidRDefault="00006E29" w:rsidP="000C1672">
            <w:pPr>
              <w:pStyle w:val="QPPTableTextBody"/>
            </w:pPr>
            <w:r w:rsidRPr="00006E29">
              <w:t>Category 1</w:t>
            </w:r>
          </w:p>
        </w:tc>
        <w:tc>
          <w:tcPr>
            <w:tcW w:w="2460" w:type="dxa"/>
          </w:tcPr>
          <w:p w14:paraId="4FD2D1B1" w14:textId="77777777" w:rsidR="00006E29" w:rsidRPr="00006E29" w:rsidRDefault="00006E29" w:rsidP="000C1672">
            <w:pPr>
              <w:pStyle w:val="QPPTableTextBody"/>
            </w:pPr>
            <w:r w:rsidRPr="00006E29">
              <w:t>500L</w:t>
            </w:r>
          </w:p>
        </w:tc>
      </w:tr>
      <w:tr w:rsidR="00006E29" w14:paraId="0424118B" w14:textId="77777777" w:rsidTr="000A35D0">
        <w:tc>
          <w:tcPr>
            <w:tcW w:w="675" w:type="dxa"/>
          </w:tcPr>
          <w:p w14:paraId="136CED7B" w14:textId="77777777" w:rsidR="00006E29" w:rsidRPr="00006E29" w:rsidRDefault="00006E29" w:rsidP="000C1672">
            <w:pPr>
              <w:pStyle w:val="QPPTableTextBody"/>
            </w:pPr>
            <w:r>
              <w:t>7</w:t>
            </w:r>
          </w:p>
        </w:tc>
        <w:tc>
          <w:tcPr>
            <w:tcW w:w="2552" w:type="dxa"/>
          </w:tcPr>
          <w:p w14:paraId="54DF4F2A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15ECE30A" w14:textId="77777777" w:rsidR="00006E29" w:rsidRPr="00006E29" w:rsidRDefault="00006E29" w:rsidP="000C1672">
            <w:pPr>
              <w:pStyle w:val="QPPTableTextBody"/>
            </w:pPr>
            <w:r w:rsidRPr="00006E29">
              <w:t>Category 2</w:t>
            </w:r>
          </w:p>
        </w:tc>
        <w:tc>
          <w:tcPr>
            <w:tcW w:w="2460" w:type="dxa"/>
          </w:tcPr>
          <w:p w14:paraId="3BCEB5DF" w14:textId="77777777" w:rsidR="00006E29" w:rsidRPr="00006E29" w:rsidRDefault="00006E29" w:rsidP="000C1672">
            <w:pPr>
              <w:pStyle w:val="QPPTableTextBody"/>
            </w:pPr>
            <w:r w:rsidRPr="00006E29">
              <w:t>2,500L</w:t>
            </w:r>
          </w:p>
        </w:tc>
      </w:tr>
      <w:tr w:rsidR="00006E29" w14:paraId="07C4B2A0" w14:textId="77777777" w:rsidTr="000A35D0">
        <w:tc>
          <w:tcPr>
            <w:tcW w:w="675" w:type="dxa"/>
          </w:tcPr>
          <w:p w14:paraId="76C1B9B0" w14:textId="77777777" w:rsidR="00006E29" w:rsidRPr="00006E29" w:rsidRDefault="00006E29" w:rsidP="000C1672">
            <w:pPr>
              <w:pStyle w:val="QPPTableTextBody"/>
            </w:pPr>
            <w:r>
              <w:t>8</w:t>
            </w:r>
          </w:p>
        </w:tc>
        <w:tc>
          <w:tcPr>
            <w:tcW w:w="2552" w:type="dxa"/>
          </w:tcPr>
          <w:p w14:paraId="00FD9DFC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1CA28891" w14:textId="77777777" w:rsidR="00006E29" w:rsidRPr="00006E29" w:rsidRDefault="00006E29" w:rsidP="000C1672">
            <w:pPr>
              <w:pStyle w:val="QPPTableTextBody"/>
            </w:pPr>
            <w:r w:rsidRPr="00006E29">
              <w:t>Category 3</w:t>
            </w:r>
          </w:p>
        </w:tc>
        <w:tc>
          <w:tcPr>
            <w:tcW w:w="2460" w:type="dxa"/>
          </w:tcPr>
          <w:p w14:paraId="225DE91D" w14:textId="77777777" w:rsidR="00006E29" w:rsidRPr="00006E29" w:rsidRDefault="00006E29" w:rsidP="000C1672">
            <w:pPr>
              <w:pStyle w:val="QPPTableTextBody"/>
            </w:pPr>
            <w:r w:rsidRPr="00006E29">
              <w:t>10,000L</w:t>
            </w:r>
          </w:p>
        </w:tc>
      </w:tr>
      <w:tr w:rsidR="00006E29" w14:paraId="2812A74F" w14:textId="77777777" w:rsidTr="000A35D0">
        <w:tc>
          <w:tcPr>
            <w:tcW w:w="675" w:type="dxa"/>
          </w:tcPr>
          <w:p w14:paraId="20055EFC" w14:textId="77777777" w:rsidR="00006E29" w:rsidRPr="00006E29" w:rsidRDefault="00006E29" w:rsidP="000C1672">
            <w:pPr>
              <w:pStyle w:val="QPPTableTextBody"/>
            </w:pPr>
            <w:r>
              <w:t>9</w:t>
            </w:r>
          </w:p>
        </w:tc>
        <w:tc>
          <w:tcPr>
            <w:tcW w:w="2552" w:type="dxa"/>
          </w:tcPr>
          <w:p w14:paraId="0919A3E2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37B0C505" w14:textId="77777777" w:rsidR="00006E29" w:rsidRPr="00006E29" w:rsidRDefault="00006E29" w:rsidP="000C1672">
            <w:pPr>
              <w:pStyle w:val="QPPTableTextBody"/>
            </w:pPr>
            <w:r w:rsidRPr="00006E29">
              <w:t>Any combination of chemicals from items 6 to 8 where none of the items exceeds the threshold quantities on their own</w:t>
            </w:r>
          </w:p>
        </w:tc>
        <w:tc>
          <w:tcPr>
            <w:tcW w:w="2460" w:type="dxa"/>
          </w:tcPr>
          <w:p w14:paraId="13831D95" w14:textId="77777777" w:rsidR="00006E29" w:rsidRPr="00006E29" w:rsidRDefault="00006E29" w:rsidP="000C1672">
            <w:pPr>
              <w:pStyle w:val="QPPTableTextBody"/>
            </w:pPr>
            <w:r w:rsidRPr="00006E29">
              <w:t>10,000L</w:t>
            </w:r>
          </w:p>
        </w:tc>
      </w:tr>
      <w:tr w:rsidR="00006E29" w14:paraId="6E23B918" w14:textId="77777777" w:rsidTr="000A35D0">
        <w:tc>
          <w:tcPr>
            <w:tcW w:w="675" w:type="dxa"/>
          </w:tcPr>
          <w:p w14:paraId="6EA954CB" w14:textId="77777777" w:rsidR="00006E29" w:rsidRPr="00006E29" w:rsidRDefault="00006E29" w:rsidP="000C1672">
            <w:pPr>
              <w:pStyle w:val="QPPTableTextBody"/>
            </w:pPr>
            <w:r>
              <w:t>10</w:t>
            </w:r>
          </w:p>
        </w:tc>
        <w:tc>
          <w:tcPr>
            <w:tcW w:w="2552" w:type="dxa"/>
          </w:tcPr>
          <w:p w14:paraId="7126DA71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7A971410" w14:textId="77777777" w:rsidR="00006E29" w:rsidRPr="00006E29" w:rsidRDefault="00006E29" w:rsidP="000C1672">
            <w:pPr>
              <w:pStyle w:val="QPPTableTextBody"/>
            </w:pPr>
            <w:r w:rsidRPr="00006E29">
              <w:t>Category 4</w:t>
            </w:r>
          </w:p>
        </w:tc>
        <w:tc>
          <w:tcPr>
            <w:tcW w:w="2460" w:type="dxa"/>
          </w:tcPr>
          <w:p w14:paraId="10E9A320" w14:textId="77777777" w:rsidR="00006E29" w:rsidRPr="00006E29" w:rsidRDefault="00006E29" w:rsidP="000C1672">
            <w:pPr>
              <w:pStyle w:val="QPPTableTextBody"/>
            </w:pPr>
            <w:r w:rsidRPr="00006E29">
              <w:t>100,000L</w:t>
            </w:r>
          </w:p>
        </w:tc>
      </w:tr>
      <w:tr w:rsidR="00006E29" w14:paraId="32AC21A1" w14:textId="77777777" w:rsidTr="000A35D0">
        <w:tc>
          <w:tcPr>
            <w:tcW w:w="675" w:type="dxa"/>
          </w:tcPr>
          <w:p w14:paraId="6B80CFF1" w14:textId="77777777" w:rsidR="00006E29" w:rsidRPr="00006E29" w:rsidRDefault="00006E29" w:rsidP="000C1672">
            <w:pPr>
              <w:pStyle w:val="QPPTableTextBody"/>
            </w:pPr>
            <w:r>
              <w:t>11</w:t>
            </w:r>
          </w:p>
        </w:tc>
        <w:tc>
          <w:tcPr>
            <w:tcW w:w="2552" w:type="dxa"/>
          </w:tcPr>
          <w:p w14:paraId="47B64510" w14:textId="77777777" w:rsidR="00006E29" w:rsidRPr="00006E29" w:rsidRDefault="00006E29" w:rsidP="000C1672">
            <w:pPr>
              <w:pStyle w:val="QPPTableTextBody"/>
            </w:pPr>
            <w:r w:rsidRPr="00006E29">
              <w:t>Self-reactive substances</w:t>
            </w:r>
          </w:p>
        </w:tc>
        <w:tc>
          <w:tcPr>
            <w:tcW w:w="2835" w:type="dxa"/>
          </w:tcPr>
          <w:p w14:paraId="36846209" w14:textId="77777777" w:rsidR="00006E29" w:rsidRPr="00006E29" w:rsidRDefault="00006E29" w:rsidP="000C1672">
            <w:pPr>
              <w:pStyle w:val="QPPTableTextBody"/>
            </w:pPr>
            <w:r w:rsidRPr="00006E29">
              <w:t>Type A</w:t>
            </w:r>
          </w:p>
        </w:tc>
        <w:tc>
          <w:tcPr>
            <w:tcW w:w="2460" w:type="dxa"/>
          </w:tcPr>
          <w:p w14:paraId="0FB1CA57" w14:textId="77777777" w:rsidR="00006E29" w:rsidRPr="00006E29" w:rsidRDefault="00006E29" w:rsidP="000C1672">
            <w:pPr>
              <w:pStyle w:val="QPPTableTextBody"/>
            </w:pPr>
            <w:r w:rsidRPr="00006E29">
              <w:t>50kg or 50L</w:t>
            </w:r>
          </w:p>
        </w:tc>
      </w:tr>
      <w:tr w:rsidR="00006E29" w14:paraId="4068CA02" w14:textId="77777777" w:rsidTr="000A35D0">
        <w:tc>
          <w:tcPr>
            <w:tcW w:w="675" w:type="dxa"/>
          </w:tcPr>
          <w:p w14:paraId="1092F5E8" w14:textId="77777777" w:rsidR="00006E29" w:rsidRPr="00006E29" w:rsidRDefault="00006E29" w:rsidP="000C1672">
            <w:pPr>
              <w:pStyle w:val="QPPTableTextBody"/>
            </w:pPr>
            <w:r>
              <w:t>12</w:t>
            </w:r>
          </w:p>
        </w:tc>
        <w:tc>
          <w:tcPr>
            <w:tcW w:w="2552" w:type="dxa"/>
          </w:tcPr>
          <w:p w14:paraId="70F085A4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5643E5E7" w14:textId="77777777" w:rsidR="00006E29" w:rsidRPr="00006E29" w:rsidRDefault="00006E29" w:rsidP="000C1672">
            <w:pPr>
              <w:pStyle w:val="QPPTableTextBody"/>
            </w:pPr>
            <w:r w:rsidRPr="00006E29">
              <w:t>Type B</w:t>
            </w:r>
          </w:p>
        </w:tc>
        <w:tc>
          <w:tcPr>
            <w:tcW w:w="2460" w:type="dxa"/>
          </w:tcPr>
          <w:p w14:paraId="05D7BC8B" w14:textId="77777777" w:rsidR="00006E29" w:rsidRPr="00006E29" w:rsidRDefault="00006E29" w:rsidP="000C1672">
            <w:pPr>
              <w:pStyle w:val="QPPTableTextBody"/>
            </w:pPr>
            <w:r w:rsidRPr="00006E29">
              <w:t>500kg or 500L</w:t>
            </w:r>
          </w:p>
        </w:tc>
      </w:tr>
      <w:tr w:rsidR="00006E29" w14:paraId="29304BF8" w14:textId="77777777" w:rsidTr="000A35D0">
        <w:tc>
          <w:tcPr>
            <w:tcW w:w="675" w:type="dxa"/>
          </w:tcPr>
          <w:p w14:paraId="0F1A7A55" w14:textId="77777777" w:rsidR="00006E29" w:rsidRPr="00006E29" w:rsidRDefault="00006E29" w:rsidP="000C1672">
            <w:pPr>
              <w:pStyle w:val="QPPTableTextBody"/>
            </w:pPr>
            <w:r>
              <w:t>13</w:t>
            </w:r>
          </w:p>
        </w:tc>
        <w:tc>
          <w:tcPr>
            <w:tcW w:w="2552" w:type="dxa"/>
          </w:tcPr>
          <w:p w14:paraId="05D3CCEC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29693C7F" w14:textId="77777777" w:rsidR="00006E29" w:rsidRPr="00006E29" w:rsidRDefault="00006E29" w:rsidP="000C1672">
            <w:pPr>
              <w:pStyle w:val="QPPTableTextBody"/>
            </w:pPr>
            <w:r w:rsidRPr="00006E29">
              <w:t>Type C to F</w:t>
            </w:r>
          </w:p>
        </w:tc>
        <w:tc>
          <w:tcPr>
            <w:tcW w:w="2460" w:type="dxa"/>
          </w:tcPr>
          <w:p w14:paraId="4542A7E8" w14:textId="77777777" w:rsidR="00006E29" w:rsidRPr="00006E29" w:rsidRDefault="00006E29" w:rsidP="000C1672">
            <w:pPr>
              <w:pStyle w:val="QPPTableTextBody"/>
            </w:pPr>
            <w:r w:rsidRPr="00006E29">
              <w:t>2,500kg or 2,500L</w:t>
            </w:r>
          </w:p>
        </w:tc>
      </w:tr>
      <w:tr w:rsidR="00006E29" w14:paraId="46025926" w14:textId="77777777" w:rsidTr="000A35D0">
        <w:tc>
          <w:tcPr>
            <w:tcW w:w="675" w:type="dxa"/>
          </w:tcPr>
          <w:p w14:paraId="3CDF3705" w14:textId="77777777" w:rsidR="00006E29" w:rsidRPr="00006E29" w:rsidRDefault="00006E29" w:rsidP="000C1672">
            <w:pPr>
              <w:pStyle w:val="QPPTableTextBody"/>
            </w:pPr>
            <w:r>
              <w:t>14</w:t>
            </w:r>
          </w:p>
        </w:tc>
        <w:tc>
          <w:tcPr>
            <w:tcW w:w="2552" w:type="dxa"/>
          </w:tcPr>
          <w:p w14:paraId="5A4E910F" w14:textId="77777777" w:rsidR="00006E29" w:rsidRPr="00006E29" w:rsidRDefault="00006E29" w:rsidP="000C1672">
            <w:pPr>
              <w:pStyle w:val="QPPTableTextBody"/>
            </w:pPr>
            <w:r w:rsidRPr="00006E29">
              <w:t>Flammable solids</w:t>
            </w:r>
          </w:p>
        </w:tc>
        <w:tc>
          <w:tcPr>
            <w:tcW w:w="2835" w:type="dxa"/>
          </w:tcPr>
          <w:p w14:paraId="131FC8EA" w14:textId="77777777" w:rsidR="00006E29" w:rsidRPr="00006E29" w:rsidRDefault="00006E29" w:rsidP="000C1672">
            <w:pPr>
              <w:pStyle w:val="QPPTableTextBody"/>
            </w:pPr>
            <w:r w:rsidRPr="00006E29">
              <w:t>Category 1</w:t>
            </w:r>
          </w:p>
        </w:tc>
        <w:tc>
          <w:tcPr>
            <w:tcW w:w="2460" w:type="dxa"/>
          </w:tcPr>
          <w:p w14:paraId="456B7207" w14:textId="77777777" w:rsidR="00006E29" w:rsidRPr="00006E29" w:rsidRDefault="00006E29" w:rsidP="000C1672">
            <w:pPr>
              <w:pStyle w:val="QPPTableTextBody"/>
            </w:pPr>
            <w:r w:rsidRPr="00006E29">
              <w:t>2,500kg</w:t>
            </w:r>
          </w:p>
        </w:tc>
      </w:tr>
      <w:tr w:rsidR="00006E29" w14:paraId="7BE0EBC8" w14:textId="77777777" w:rsidTr="000A35D0">
        <w:tc>
          <w:tcPr>
            <w:tcW w:w="675" w:type="dxa"/>
          </w:tcPr>
          <w:p w14:paraId="6322E224" w14:textId="77777777" w:rsidR="00006E29" w:rsidRPr="00006E29" w:rsidRDefault="00006E29" w:rsidP="000C1672">
            <w:pPr>
              <w:pStyle w:val="QPPTableTextBody"/>
            </w:pPr>
            <w:r>
              <w:t>15</w:t>
            </w:r>
          </w:p>
        </w:tc>
        <w:tc>
          <w:tcPr>
            <w:tcW w:w="2552" w:type="dxa"/>
          </w:tcPr>
          <w:p w14:paraId="4C4A6907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5DAC053D" w14:textId="77777777" w:rsidR="00006E29" w:rsidRPr="00006E29" w:rsidRDefault="00006E29" w:rsidP="000C1672">
            <w:pPr>
              <w:pStyle w:val="QPPTableTextBody"/>
            </w:pPr>
            <w:r w:rsidRPr="00006E29">
              <w:t>Category 2</w:t>
            </w:r>
          </w:p>
        </w:tc>
        <w:tc>
          <w:tcPr>
            <w:tcW w:w="2460" w:type="dxa"/>
          </w:tcPr>
          <w:p w14:paraId="2B51CAE1" w14:textId="77777777" w:rsidR="00006E29" w:rsidRPr="00006E29" w:rsidRDefault="00006E29" w:rsidP="000C1672">
            <w:pPr>
              <w:pStyle w:val="QPPTableTextBody"/>
            </w:pPr>
            <w:r w:rsidRPr="00006E29">
              <w:t>10,000kg</w:t>
            </w:r>
          </w:p>
        </w:tc>
      </w:tr>
      <w:tr w:rsidR="00006E29" w14:paraId="6D6A0EAE" w14:textId="77777777" w:rsidTr="000A35D0">
        <w:tc>
          <w:tcPr>
            <w:tcW w:w="675" w:type="dxa"/>
          </w:tcPr>
          <w:p w14:paraId="7EC253E2" w14:textId="77777777" w:rsidR="00006E29" w:rsidRPr="00006E29" w:rsidRDefault="00006E29" w:rsidP="000C1672">
            <w:pPr>
              <w:pStyle w:val="QPPTableTextBody"/>
            </w:pPr>
            <w:r>
              <w:t>16</w:t>
            </w:r>
          </w:p>
        </w:tc>
        <w:tc>
          <w:tcPr>
            <w:tcW w:w="2552" w:type="dxa"/>
          </w:tcPr>
          <w:p w14:paraId="00190B9A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5BDEC838" w14:textId="77777777" w:rsidR="00006E29" w:rsidRPr="00006E29" w:rsidRDefault="00006E29" w:rsidP="000C1672">
            <w:pPr>
              <w:pStyle w:val="QPPTableTextBody"/>
            </w:pPr>
            <w:r w:rsidRPr="00006E29">
              <w:t>Any combination of chemicals from items 12 to 15 where none of the items exceeds the threshold quantities on their own</w:t>
            </w:r>
          </w:p>
        </w:tc>
        <w:tc>
          <w:tcPr>
            <w:tcW w:w="2460" w:type="dxa"/>
          </w:tcPr>
          <w:p w14:paraId="0CB3EBCF" w14:textId="77777777" w:rsidR="00006E29" w:rsidRP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2D3BEF9D" w14:textId="77777777" w:rsidTr="000A35D0">
        <w:tc>
          <w:tcPr>
            <w:tcW w:w="675" w:type="dxa"/>
          </w:tcPr>
          <w:p w14:paraId="18C2290B" w14:textId="77777777" w:rsidR="00006E29" w:rsidRPr="00006E29" w:rsidRDefault="00006E29" w:rsidP="000C1672">
            <w:pPr>
              <w:pStyle w:val="QPPTableTextBody"/>
            </w:pPr>
            <w:r>
              <w:t>17</w:t>
            </w:r>
          </w:p>
        </w:tc>
        <w:tc>
          <w:tcPr>
            <w:tcW w:w="2552" w:type="dxa"/>
          </w:tcPr>
          <w:p w14:paraId="6BAD39F9" w14:textId="77777777" w:rsidR="00006E29" w:rsidRPr="00006E29" w:rsidRDefault="00006E29" w:rsidP="000C1672">
            <w:pPr>
              <w:pStyle w:val="QPPTableTextBody"/>
            </w:pPr>
            <w:r w:rsidRPr="00006E29">
              <w:t>Pyrophoric liquids and pyrophoric solids</w:t>
            </w:r>
          </w:p>
        </w:tc>
        <w:tc>
          <w:tcPr>
            <w:tcW w:w="2835" w:type="dxa"/>
          </w:tcPr>
          <w:p w14:paraId="6F960163" w14:textId="77777777" w:rsidR="00006E29" w:rsidRPr="00006E29" w:rsidRDefault="00006E29" w:rsidP="000C1672">
            <w:pPr>
              <w:pStyle w:val="QPPTableTextBody"/>
            </w:pPr>
            <w:r w:rsidRPr="00006E29">
              <w:t>Category 1</w:t>
            </w:r>
          </w:p>
        </w:tc>
        <w:tc>
          <w:tcPr>
            <w:tcW w:w="2460" w:type="dxa"/>
          </w:tcPr>
          <w:p w14:paraId="68C01D96" w14:textId="77777777" w:rsidR="00006E29" w:rsidRPr="00006E29" w:rsidRDefault="00006E29" w:rsidP="000C1672">
            <w:pPr>
              <w:pStyle w:val="QPPTableTextBody"/>
            </w:pPr>
            <w:r w:rsidRPr="00006E29">
              <w:t>500kg or 500L</w:t>
            </w:r>
          </w:p>
        </w:tc>
      </w:tr>
      <w:tr w:rsidR="00006E29" w14:paraId="28D957A1" w14:textId="77777777" w:rsidTr="000A35D0">
        <w:tc>
          <w:tcPr>
            <w:tcW w:w="675" w:type="dxa"/>
          </w:tcPr>
          <w:p w14:paraId="6F6437FE" w14:textId="77777777" w:rsidR="00006E29" w:rsidRPr="00006E29" w:rsidRDefault="00006E29" w:rsidP="000C1672">
            <w:pPr>
              <w:pStyle w:val="QPPTableTextBody"/>
            </w:pPr>
            <w:r>
              <w:t>18</w:t>
            </w:r>
          </w:p>
        </w:tc>
        <w:tc>
          <w:tcPr>
            <w:tcW w:w="2552" w:type="dxa"/>
          </w:tcPr>
          <w:p w14:paraId="72C502EE" w14:textId="77777777" w:rsidR="00006E29" w:rsidRPr="00006E29" w:rsidRDefault="00006E29" w:rsidP="000C1672">
            <w:pPr>
              <w:pStyle w:val="QPPTableTextBody"/>
            </w:pPr>
            <w:r w:rsidRPr="00006E29">
              <w:t>Self-heating substances and mixtures</w:t>
            </w:r>
          </w:p>
        </w:tc>
        <w:tc>
          <w:tcPr>
            <w:tcW w:w="2835" w:type="dxa"/>
          </w:tcPr>
          <w:p w14:paraId="0B0E67D0" w14:textId="77777777" w:rsidR="00006E29" w:rsidRPr="00006E29" w:rsidRDefault="00006E29" w:rsidP="000C1672">
            <w:pPr>
              <w:pStyle w:val="QPPTableTextBody"/>
            </w:pPr>
            <w:r w:rsidRPr="00006E29">
              <w:t xml:space="preserve">Category 1 </w:t>
            </w:r>
          </w:p>
        </w:tc>
        <w:tc>
          <w:tcPr>
            <w:tcW w:w="2460" w:type="dxa"/>
          </w:tcPr>
          <w:p w14:paraId="42B15A13" w14:textId="77777777" w:rsidR="00006E29" w:rsidRPr="00006E29" w:rsidRDefault="00006E29" w:rsidP="000C1672">
            <w:pPr>
              <w:pStyle w:val="QPPTableTextBody"/>
            </w:pPr>
            <w:r w:rsidRPr="00006E29">
              <w:t>2,500kg or 2,500L</w:t>
            </w:r>
          </w:p>
        </w:tc>
      </w:tr>
      <w:tr w:rsidR="00006E29" w14:paraId="0DD60448" w14:textId="77777777" w:rsidTr="000A35D0">
        <w:tc>
          <w:tcPr>
            <w:tcW w:w="675" w:type="dxa"/>
          </w:tcPr>
          <w:p w14:paraId="35039554" w14:textId="77777777" w:rsidR="00006E29" w:rsidRPr="00006E29" w:rsidRDefault="00006E29" w:rsidP="000C1672">
            <w:pPr>
              <w:pStyle w:val="QPPTableTextBody"/>
            </w:pPr>
            <w:r>
              <w:lastRenderedPageBreak/>
              <w:t>19</w:t>
            </w:r>
          </w:p>
        </w:tc>
        <w:tc>
          <w:tcPr>
            <w:tcW w:w="2552" w:type="dxa"/>
          </w:tcPr>
          <w:p w14:paraId="6584892F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288FCFD4" w14:textId="77777777" w:rsidR="00006E29" w:rsidRPr="00006E29" w:rsidRDefault="00006E29" w:rsidP="000C1672">
            <w:pPr>
              <w:pStyle w:val="QPPTableTextBody"/>
            </w:pPr>
            <w:r w:rsidRPr="00006E29">
              <w:t>Category 2</w:t>
            </w:r>
          </w:p>
        </w:tc>
        <w:tc>
          <w:tcPr>
            <w:tcW w:w="2460" w:type="dxa"/>
          </w:tcPr>
          <w:p w14:paraId="3024C63E" w14:textId="77777777" w:rsidR="00006E29" w:rsidRP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4F241EC4" w14:textId="77777777" w:rsidTr="000A35D0">
        <w:tc>
          <w:tcPr>
            <w:tcW w:w="675" w:type="dxa"/>
          </w:tcPr>
          <w:p w14:paraId="666EE3C5" w14:textId="77777777" w:rsidR="00006E29" w:rsidRPr="00006E29" w:rsidRDefault="00006E29" w:rsidP="000C1672">
            <w:pPr>
              <w:pStyle w:val="QPPTableTextBody"/>
            </w:pPr>
            <w:r>
              <w:t>20</w:t>
            </w:r>
          </w:p>
        </w:tc>
        <w:tc>
          <w:tcPr>
            <w:tcW w:w="2552" w:type="dxa"/>
          </w:tcPr>
          <w:p w14:paraId="4724DD73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6C50594B" w14:textId="77777777" w:rsidR="00006E29" w:rsidRPr="00006E29" w:rsidRDefault="00006E29" w:rsidP="000C1672">
            <w:pPr>
              <w:pStyle w:val="QPPTableTextBody"/>
            </w:pPr>
            <w:r w:rsidRPr="00006E29">
              <w:t>Any combination of chemicals from items 17 to 19 where none of the items exceeds the threshold quantities on their own</w:t>
            </w:r>
          </w:p>
        </w:tc>
        <w:tc>
          <w:tcPr>
            <w:tcW w:w="2460" w:type="dxa"/>
          </w:tcPr>
          <w:p w14:paraId="617E8E40" w14:textId="77777777" w:rsidR="00006E29" w:rsidRP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1DC7FFBC" w14:textId="77777777" w:rsidTr="000A35D0">
        <w:tc>
          <w:tcPr>
            <w:tcW w:w="675" w:type="dxa"/>
          </w:tcPr>
          <w:p w14:paraId="37BD2629" w14:textId="77777777" w:rsidR="00006E29" w:rsidRPr="00006E29" w:rsidRDefault="00006E29" w:rsidP="000C1672">
            <w:pPr>
              <w:pStyle w:val="QPPTableTextBody"/>
            </w:pPr>
            <w:r>
              <w:t>21</w:t>
            </w:r>
          </w:p>
        </w:tc>
        <w:tc>
          <w:tcPr>
            <w:tcW w:w="2552" w:type="dxa"/>
          </w:tcPr>
          <w:p w14:paraId="6E6DCE61" w14:textId="77777777" w:rsidR="00006E29" w:rsidRPr="00006E29" w:rsidRDefault="00006E29" w:rsidP="000C1672">
            <w:pPr>
              <w:pStyle w:val="QPPTableTextBody"/>
            </w:pPr>
            <w:r w:rsidRPr="00006E29">
              <w:t>Substances which in contact with water emit flammable gas</w:t>
            </w:r>
          </w:p>
        </w:tc>
        <w:tc>
          <w:tcPr>
            <w:tcW w:w="2835" w:type="dxa"/>
          </w:tcPr>
          <w:p w14:paraId="05935721" w14:textId="77777777" w:rsidR="00006E29" w:rsidRPr="00006E29" w:rsidRDefault="00006E29" w:rsidP="000C1672">
            <w:pPr>
              <w:pStyle w:val="QPPTableTextBody"/>
            </w:pPr>
            <w:r w:rsidRPr="00006E29">
              <w:t>Category 1</w:t>
            </w:r>
          </w:p>
        </w:tc>
        <w:tc>
          <w:tcPr>
            <w:tcW w:w="2460" w:type="dxa"/>
          </w:tcPr>
          <w:p w14:paraId="00823215" w14:textId="77777777" w:rsidR="00006E29" w:rsidRPr="00006E29" w:rsidRDefault="00006E29" w:rsidP="000C1672">
            <w:pPr>
              <w:pStyle w:val="QPPTableTextBody"/>
            </w:pPr>
            <w:r w:rsidRPr="00006E29">
              <w:t>500kg or 500L</w:t>
            </w:r>
          </w:p>
        </w:tc>
      </w:tr>
      <w:tr w:rsidR="00006E29" w14:paraId="49726D45" w14:textId="77777777" w:rsidTr="000A35D0">
        <w:tc>
          <w:tcPr>
            <w:tcW w:w="675" w:type="dxa"/>
          </w:tcPr>
          <w:p w14:paraId="1CAA9A4E" w14:textId="77777777" w:rsidR="00006E29" w:rsidRPr="00006E29" w:rsidRDefault="00006E29" w:rsidP="000C1672">
            <w:pPr>
              <w:pStyle w:val="QPPTableTextBody"/>
            </w:pPr>
            <w:r>
              <w:t>22</w:t>
            </w:r>
          </w:p>
        </w:tc>
        <w:tc>
          <w:tcPr>
            <w:tcW w:w="2552" w:type="dxa"/>
          </w:tcPr>
          <w:p w14:paraId="57EE5A7E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6E128626" w14:textId="77777777" w:rsidR="00006E29" w:rsidRPr="00006E29" w:rsidRDefault="00006E29" w:rsidP="000C1672">
            <w:pPr>
              <w:pStyle w:val="QPPTableTextBody"/>
            </w:pPr>
            <w:r w:rsidRPr="00006E29">
              <w:t>Category 2</w:t>
            </w:r>
          </w:p>
        </w:tc>
        <w:tc>
          <w:tcPr>
            <w:tcW w:w="2460" w:type="dxa"/>
          </w:tcPr>
          <w:p w14:paraId="57B15764" w14:textId="77777777" w:rsidR="00006E29" w:rsidRPr="00006E29" w:rsidRDefault="00006E29" w:rsidP="000C1672">
            <w:pPr>
              <w:pStyle w:val="QPPTableTextBody"/>
            </w:pPr>
            <w:r w:rsidRPr="00006E29">
              <w:t>2,500kg or 2,500L</w:t>
            </w:r>
          </w:p>
        </w:tc>
      </w:tr>
      <w:tr w:rsidR="00006E29" w14:paraId="08DEB6AF" w14:textId="77777777" w:rsidTr="000A35D0">
        <w:tc>
          <w:tcPr>
            <w:tcW w:w="675" w:type="dxa"/>
          </w:tcPr>
          <w:p w14:paraId="45D6D705" w14:textId="77777777" w:rsidR="00006E29" w:rsidRPr="00006E29" w:rsidRDefault="00006E29" w:rsidP="000C1672">
            <w:pPr>
              <w:pStyle w:val="QPPTableTextBody"/>
            </w:pPr>
            <w:r>
              <w:t>23</w:t>
            </w:r>
          </w:p>
        </w:tc>
        <w:tc>
          <w:tcPr>
            <w:tcW w:w="2552" w:type="dxa"/>
          </w:tcPr>
          <w:p w14:paraId="5E03A452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4CC3BEE5" w14:textId="77777777" w:rsidR="00006E29" w:rsidRPr="00006E29" w:rsidRDefault="00006E29" w:rsidP="000C1672">
            <w:pPr>
              <w:pStyle w:val="QPPTableTextBody"/>
            </w:pPr>
            <w:r w:rsidRPr="00006E29">
              <w:t>Category 3</w:t>
            </w:r>
          </w:p>
        </w:tc>
        <w:tc>
          <w:tcPr>
            <w:tcW w:w="2460" w:type="dxa"/>
          </w:tcPr>
          <w:p w14:paraId="0C7F409E" w14:textId="77777777" w:rsidR="00006E29" w:rsidRP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16197228" w14:textId="77777777" w:rsidTr="000A35D0">
        <w:tc>
          <w:tcPr>
            <w:tcW w:w="675" w:type="dxa"/>
          </w:tcPr>
          <w:p w14:paraId="6312FD69" w14:textId="77777777" w:rsidR="00006E29" w:rsidRPr="00006E29" w:rsidRDefault="00006E29" w:rsidP="000C1672">
            <w:pPr>
              <w:pStyle w:val="QPPTableTextBody"/>
            </w:pPr>
            <w:r>
              <w:t>24</w:t>
            </w:r>
          </w:p>
        </w:tc>
        <w:tc>
          <w:tcPr>
            <w:tcW w:w="2552" w:type="dxa"/>
          </w:tcPr>
          <w:p w14:paraId="6A909AEE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48948AFB" w14:textId="77777777" w:rsidR="00006E29" w:rsidRPr="00006E29" w:rsidRDefault="00006E29" w:rsidP="000C1672">
            <w:pPr>
              <w:pStyle w:val="QPPTableTextBody"/>
            </w:pPr>
            <w:r w:rsidRPr="00006E29">
              <w:t xml:space="preserve">Any combination of chemicals from items 21 to 23 where none of the items exceeds the threshold quantities on their own </w:t>
            </w:r>
          </w:p>
        </w:tc>
        <w:tc>
          <w:tcPr>
            <w:tcW w:w="2460" w:type="dxa"/>
          </w:tcPr>
          <w:p w14:paraId="05A495F4" w14:textId="77777777" w:rsidR="00006E29" w:rsidRPr="00006E29" w:rsidRDefault="00006E29" w:rsidP="000C1672">
            <w:pPr>
              <w:pStyle w:val="QPPTableTextBody"/>
            </w:pPr>
            <w:r w:rsidRPr="00006E29">
              <w:t xml:space="preserve">10,000kg or 10,000L </w:t>
            </w:r>
          </w:p>
        </w:tc>
      </w:tr>
      <w:tr w:rsidR="00006E29" w14:paraId="07061381" w14:textId="77777777" w:rsidTr="000A35D0">
        <w:tc>
          <w:tcPr>
            <w:tcW w:w="675" w:type="dxa"/>
          </w:tcPr>
          <w:p w14:paraId="693D2B11" w14:textId="77777777" w:rsidR="00006E29" w:rsidRPr="00006E29" w:rsidRDefault="00006E29" w:rsidP="000C1672">
            <w:pPr>
              <w:pStyle w:val="QPPTableTextBody"/>
            </w:pPr>
            <w:r>
              <w:t>25</w:t>
            </w:r>
          </w:p>
        </w:tc>
        <w:tc>
          <w:tcPr>
            <w:tcW w:w="2552" w:type="dxa"/>
          </w:tcPr>
          <w:p w14:paraId="6AAA1067" w14:textId="77777777" w:rsidR="00006E29" w:rsidRPr="00006E29" w:rsidRDefault="00006E29" w:rsidP="000C1672">
            <w:pPr>
              <w:pStyle w:val="QPPTableTextBody"/>
            </w:pPr>
            <w:r w:rsidRPr="00006E29">
              <w:t>Oxidising liquids and oxidising solids</w:t>
            </w:r>
          </w:p>
        </w:tc>
        <w:tc>
          <w:tcPr>
            <w:tcW w:w="2835" w:type="dxa"/>
          </w:tcPr>
          <w:p w14:paraId="19442878" w14:textId="77777777" w:rsidR="00006E29" w:rsidRPr="00006E29" w:rsidRDefault="00006E29" w:rsidP="000C1672">
            <w:pPr>
              <w:pStyle w:val="QPPTableTextBody"/>
            </w:pPr>
            <w:r w:rsidRPr="00006E29">
              <w:t>Category 1</w:t>
            </w:r>
          </w:p>
        </w:tc>
        <w:tc>
          <w:tcPr>
            <w:tcW w:w="2460" w:type="dxa"/>
          </w:tcPr>
          <w:p w14:paraId="66D15065" w14:textId="77777777" w:rsidR="00006E29" w:rsidRPr="00006E29" w:rsidRDefault="00006E29" w:rsidP="000C1672">
            <w:pPr>
              <w:pStyle w:val="QPPTableTextBody"/>
            </w:pPr>
            <w:r w:rsidRPr="00006E29">
              <w:t>500kg or 500L</w:t>
            </w:r>
          </w:p>
        </w:tc>
      </w:tr>
      <w:tr w:rsidR="00006E29" w14:paraId="28BFBD36" w14:textId="77777777" w:rsidTr="000A35D0">
        <w:tc>
          <w:tcPr>
            <w:tcW w:w="675" w:type="dxa"/>
          </w:tcPr>
          <w:p w14:paraId="0F26E30E" w14:textId="77777777" w:rsidR="00006E29" w:rsidRPr="00006E29" w:rsidRDefault="00006E29" w:rsidP="000C1672">
            <w:pPr>
              <w:pStyle w:val="QPPTableTextBody"/>
            </w:pPr>
            <w:r>
              <w:t>26</w:t>
            </w:r>
          </w:p>
        </w:tc>
        <w:tc>
          <w:tcPr>
            <w:tcW w:w="2552" w:type="dxa"/>
          </w:tcPr>
          <w:p w14:paraId="61E1437C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19E6DD1E" w14:textId="77777777" w:rsidR="00006E29" w:rsidRPr="00006E29" w:rsidRDefault="00006E29" w:rsidP="000C1672">
            <w:pPr>
              <w:pStyle w:val="QPPTableTextBody"/>
            </w:pPr>
            <w:r w:rsidRPr="00006E29">
              <w:t>Category 2</w:t>
            </w:r>
          </w:p>
        </w:tc>
        <w:tc>
          <w:tcPr>
            <w:tcW w:w="2460" w:type="dxa"/>
          </w:tcPr>
          <w:p w14:paraId="48BD7F0C" w14:textId="77777777" w:rsidR="00006E29" w:rsidRPr="00006E29" w:rsidRDefault="00006E29" w:rsidP="000C1672">
            <w:pPr>
              <w:pStyle w:val="QPPTableTextBody"/>
            </w:pPr>
            <w:r w:rsidRPr="00006E29">
              <w:t>2,500kg or 2,500L</w:t>
            </w:r>
          </w:p>
        </w:tc>
      </w:tr>
      <w:tr w:rsidR="00006E29" w14:paraId="626ADC30" w14:textId="77777777" w:rsidTr="000A35D0">
        <w:tc>
          <w:tcPr>
            <w:tcW w:w="675" w:type="dxa"/>
          </w:tcPr>
          <w:p w14:paraId="5ECA8FE4" w14:textId="77777777" w:rsidR="00006E29" w:rsidRPr="00006E29" w:rsidRDefault="00006E29" w:rsidP="000C1672">
            <w:pPr>
              <w:pStyle w:val="QPPTableTextBody"/>
            </w:pPr>
            <w:r>
              <w:t>27</w:t>
            </w:r>
          </w:p>
        </w:tc>
        <w:tc>
          <w:tcPr>
            <w:tcW w:w="2552" w:type="dxa"/>
          </w:tcPr>
          <w:p w14:paraId="1BFEFE6A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2072E128" w14:textId="77777777" w:rsidR="00006E29" w:rsidRPr="00006E29" w:rsidRDefault="00006E29" w:rsidP="000C1672">
            <w:pPr>
              <w:pStyle w:val="QPPTableTextBody"/>
            </w:pPr>
            <w:r w:rsidRPr="00006E29">
              <w:t>Category 3</w:t>
            </w:r>
          </w:p>
        </w:tc>
        <w:tc>
          <w:tcPr>
            <w:tcW w:w="2460" w:type="dxa"/>
          </w:tcPr>
          <w:p w14:paraId="72347B4B" w14:textId="77777777" w:rsidR="00006E29" w:rsidRP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17BA4783" w14:textId="77777777" w:rsidTr="000A35D0">
        <w:tc>
          <w:tcPr>
            <w:tcW w:w="675" w:type="dxa"/>
          </w:tcPr>
          <w:p w14:paraId="388E05AA" w14:textId="77777777" w:rsidR="00006E29" w:rsidRPr="00006E29" w:rsidRDefault="00006E29" w:rsidP="000C1672">
            <w:pPr>
              <w:pStyle w:val="QPPTableTextBody"/>
            </w:pPr>
            <w:r>
              <w:t>28</w:t>
            </w:r>
          </w:p>
        </w:tc>
        <w:tc>
          <w:tcPr>
            <w:tcW w:w="2552" w:type="dxa"/>
          </w:tcPr>
          <w:p w14:paraId="3B7C17A3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22A389A1" w14:textId="77777777" w:rsidR="00006E29" w:rsidRPr="00006E29" w:rsidRDefault="00006E29" w:rsidP="000C1672">
            <w:pPr>
              <w:pStyle w:val="QPPTableTextBody"/>
            </w:pPr>
            <w:r w:rsidRPr="00006E29">
              <w:t>Any combination of chemicals from items 25 to 27 where none of the items exceeds the threshold quantities on their own</w:t>
            </w:r>
          </w:p>
        </w:tc>
        <w:tc>
          <w:tcPr>
            <w:tcW w:w="2460" w:type="dxa"/>
          </w:tcPr>
          <w:p w14:paraId="76E3AEEA" w14:textId="77777777" w:rsidR="00006E29" w:rsidRP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66096CFD" w14:textId="77777777" w:rsidTr="000A35D0">
        <w:tc>
          <w:tcPr>
            <w:tcW w:w="675" w:type="dxa"/>
          </w:tcPr>
          <w:p w14:paraId="605633D8" w14:textId="77777777" w:rsidR="00006E29" w:rsidRPr="00006E29" w:rsidRDefault="00006E29" w:rsidP="000C1672">
            <w:pPr>
              <w:pStyle w:val="QPPTableTextBody"/>
            </w:pPr>
            <w:r>
              <w:t>29</w:t>
            </w:r>
          </w:p>
        </w:tc>
        <w:tc>
          <w:tcPr>
            <w:tcW w:w="2552" w:type="dxa"/>
          </w:tcPr>
          <w:p w14:paraId="660FDBB4" w14:textId="77777777" w:rsidR="00006E29" w:rsidRPr="00006E29" w:rsidRDefault="00006E29" w:rsidP="000C1672">
            <w:pPr>
              <w:pStyle w:val="QPPTableTextBody"/>
            </w:pPr>
            <w:r w:rsidRPr="00006E29">
              <w:t>Organic peroxides</w:t>
            </w:r>
          </w:p>
        </w:tc>
        <w:tc>
          <w:tcPr>
            <w:tcW w:w="2835" w:type="dxa"/>
          </w:tcPr>
          <w:p w14:paraId="096C7A5C" w14:textId="77777777" w:rsidR="00006E29" w:rsidRPr="00006E29" w:rsidRDefault="00006E29" w:rsidP="000C1672">
            <w:pPr>
              <w:pStyle w:val="QPPTableTextBody"/>
            </w:pPr>
            <w:r w:rsidRPr="00006E29">
              <w:t>Type A</w:t>
            </w:r>
          </w:p>
        </w:tc>
        <w:tc>
          <w:tcPr>
            <w:tcW w:w="2460" w:type="dxa"/>
          </w:tcPr>
          <w:p w14:paraId="219ED977" w14:textId="77777777" w:rsidR="00006E29" w:rsidRPr="00006E29" w:rsidRDefault="00006E29" w:rsidP="000C1672">
            <w:pPr>
              <w:pStyle w:val="QPPTableTextBody"/>
            </w:pPr>
            <w:r w:rsidRPr="00006E29">
              <w:t>50kg or 50L</w:t>
            </w:r>
          </w:p>
        </w:tc>
      </w:tr>
      <w:tr w:rsidR="00006E29" w14:paraId="0C5BF290" w14:textId="77777777" w:rsidTr="000A35D0">
        <w:tc>
          <w:tcPr>
            <w:tcW w:w="675" w:type="dxa"/>
          </w:tcPr>
          <w:p w14:paraId="12A7200C" w14:textId="77777777" w:rsidR="00006E29" w:rsidRPr="00006E29" w:rsidRDefault="00006E29" w:rsidP="000C1672">
            <w:pPr>
              <w:pStyle w:val="QPPTableTextBody"/>
            </w:pPr>
            <w:r>
              <w:t>30</w:t>
            </w:r>
          </w:p>
        </w:tc>
        <w:tc>
          <w:tcPr>
            <w:tcW w:w="2552" w:type="dxa"/>
          </w:tcPr>
          <w:p w14:paraId="308522AF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7E90617F" w14:textId="77777777" w:rsidR="00006E29" w:rsidRPr="00006E29" w:rsidRDefault="00006E29" w:rsidP="000C1672">
            <w:pPr>
              <w:pStyle w:val="QPPTableTextBody"/>
            </w:pPr>
            <w:r w:rsidRPr="00006E29">
              <w:t>Type B</w:t>
            </w:r>
          </w:p>
        </w:tc>
        <w:tc>
          <w:tcPr>
            <w:tcW w:w="2460" w:type="dxa"/>
          </w:tcPr>
          <w:p w14:paraId="03F941BF" w14:textId="77777777" w:rsidR="00006E29" w:rsidRPr="00006E29" w:rsidRDefault="00006E29" w:rsidP="000C1672">
            <w:pPr>
              <w:pStyle w:val="QPPTableTextBody"/>
            </w:pPr>
            <w:r w:rsidRPr="00006E29">
              <w:t xml:space="preserve">500kg or 500L </w:t>
            </w:r>
          </w:p>
        </w:tc>
      </w:tr>
      <w:tr w:rsidR="00006E29" w14:paraId="2636B950" w14:textId="77777777" w:rsidTr="000A35D0">
        <w:tc>
          <w:tcPr>
            <w:tcW w:w="675" w:type="dxa"/>
          </w:tcPr>
          <w:p w14:paraId="3E753E4D" w14:textId="77777777" w:rsidR="00006E29" w:rsidRPr="00006E29" w:rsidRDefault="00006E29" w:rsidP="000C1672">
            <w:pPr>
              <w:pStyle w:val="QPPTableTextBody"/>
            </w:pPr>
            <w:r>
              <w:t>31</w:t>
            </w:r>
          </w:p>
        </w:tc>
        <w:tc>
          <w:tcPr>
            <w:tcW w:w="2552" w:type="dxa"/>
          </w:tcPr>
          <w:p w14:paraId="32E3EE75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6D3FDA37" w14:textId="77777777" w:rsidR="00006E29" w:rsidRPr="00006E29" w:rsidRDefault="00006E29" w:rsidP="000C1672">
            <w:pPr>
              <w:pStyle w:val="QPPTableTextBody"/>
            </w:pPr>
            <w:r w:rsidRPr="00006E29">
              <w:t>Type C to F</w:t>
            </w:r>
          </w:p>
        </w:tc>
        <w:tc>
          <w:tcPr>
            <w:tcW w:w="2460" w:type="dxa"/>
          </w:tcPr>
          <w:p w14:paraId="45A35668" w14:textId="77777777" w:rsidR="00006E29" w:rsidRPr="00006E29" w:rsidRDefault="00006E29" w:rsidP="000C1672">
            <w:pPr>
              <w:pStyle w:val="QPPTableTextBody"/>
            </w:pPr>
            <w:r w:rsidRPr="00006E29">
              <w:t>2,500kg or 2,500L</w:t>
            </w:r>
          </w:p>
        </w:tc>
      </w:tr>
      <w:tr w:rsidR="00006E29" w14:paraId="64DE3A9B" w14:textId="77777777" w:rsidTr="000A35D0">
        <w:tc>
          <w:tcPr>
            <w:tcW w:w="675" w:type="dxa"/>
          </w:tcPr>
          <w:p w14:paraId="1C6FEA43" w14:textId="77777777" w:rsidR="00006E29" w:rsidRPr="00006E29" w:rsidRDefault="00006E29" w:rsidP="000C1672">
            <w:pPr>
              <w:pStyle w:val="QPPTableTextBody"/>
            </w:pPr>
            <w:r>
              <w:t>32</w:t>
            </w:r>
          </w:p>
        </w:tc>
        <w:tc>
          <w:tcPr>
            <w:tcW w:w="2552" w:type="dxa"/>
          </w:tcPr>
          <w:p w14:paraId="0C7AC8A9" w14:textId="77777777" w:rsidR="00006E29" w:rsidRDefault="00006E29" w:rsidP="000C1672">
            <w:pPr>
              <w:pStyle w:val="QPPTableTextBody"/>
            </w:pPr>
          </w:p>
        </w:tc>
        <w:tc>
          <w:tcPr>
            <w:tcW w:w="2835" w:type="dxa"/>
          </w:tcPr>
          <w:p w14:paraId="5D70B756" w14:textId="77777777" w:rsidR="00006E29" w:rsidRPr="00006E29" w:rsidRDefault="00006E29" w:rsidP="000C1672">
            <w:pPr>
              <w:pStyle w:val="QPPTableTextBody"/>
            </w:pPr>
            <w:r w:rsidRPr="00006E29">
              <w:t>Any combination of chemicals from items 30 and 31 where none of the items exceeds the threshold quantities on their own</w:t>
            </w:r>
          </w:p>
        </w:tc>
        <w:tc>
          <w:tcPr>
            <w:tcW w:w="2460" w:type="dxa"/>
          </w:tcPr>
          <w:p w14:paraId="48364412" w14:textId="77777777" w:rsidR="00006E29" w:rsidRP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1290AB03" w14:textId="77777777" w:rsidTr="000A35D0">
        <w:tc>
          <w:tcPr>
            <w:tcW w:w="675" w:type="dxa"/>
          </w:tcPr>
          <w:p w14:paraId="3C7B44DE" w14:textId="77777777" w:rsidR="00006E29" w:rsidRPr="00006E29" w:rsidRDefault="00006E29" w:rsidP="000C1672">
            <w:pPr>
              <w:pStyle w:val="QPPTableTextBody"/>
            </w:pPr>
            <w:r>
              <w:t>33</w:t>
            </w:r>
          </w:p>
        </w:tc>
        <w:tc>
          <w:tcPr>
            <w:tcW w:w="2552" w:type="dxa"/>
          </w:tcPr>
          <w:p w14:paraId="600DDC74" w14:textId="77777777" w:rsidR="00006E29" w:rsidRPr="00006E29" w:rsidRDefault="00006E29" w:rsidP="000C1672">
            <w:pPr>
              <w:pStyle w:val="QPPTableTextBody"/>
            </w:pPr>
            <w:r w:rsidRPr="00006E29">
              <w:t>Acute toxicity</w:t>
            </w:r>
          </w:p>
        </w:tc>
        <w:tc>
          <w:tcPr>
            <w:tcW w:w="2835" w:type="dxa"/>
          </w:tcPr>
          <w:p w14:paraId="0ECF25E3" w14:textId="77777777" w:rsidR="00006E29" w:rsidRPr="00006E29" w:rsidRDefault="00006E29" w:rsidP="000C1672">
            <w:pPr>
              <w:pStyle w:val="QPPTableTextBody"/>
            </w:pPr>
            <w:r w:rsidRPr="00006E29">
              <w:t>Category 1</w:t>
            </w:r>
          </w:p>
        </w:tc>
        <w:tc>
          <w:tcPr>
            <w:tcW w:w="2460" w:type="dxa"/>
          </w:tcPr>
          <w:p w14:paraId="3BED1D7A" w14:textId="77777777" w:rsidR="00006E29" w:rsidRPr="00006E29" w:rsidRDefault="00006E29" w:rsidP="000C1672">
            <w:pPr>
              <w:pStyle w:val="QPPTableTextBody"/>
            </w:pPr>
            <w:r w:rsidRPr="00006E29">
              <w:t>500kg or 500L</w:t>
            </w:r>
          </w:p>
        </w:tc>
      </w:tr>
      <w:tr w:rsidR="00006E29" w14:paraId="790E0025" w14:textId="77777777" w:rsidTr="000A35D0">
        <w:tc>
          <w:tcPr>
            <w:tcW w:w="675" w:type="dxa"/>
          </w:tcPr>
          <w:p w14:paraId="52FD55D3" w14:textId="77777777" w:rsidR="00006E29" w:rsidRDefault="00006E29" w:rsidP="00A7304F">
            <w:pPr>
              <w:pStyle w:val="QPPTableTextBody"/>
            </w:pPr>
            <w:r>
              <w:t>34</w:t>
            </w:r>
          </w:p>
        </w:tc>
        <w:tc>
          <w:tcPr>
            <w:tcW w:w="2552" w:type="dxa"/>
          </w:tcPr>
          <w:p w14:paraId="5BD26148" w14:textId="77777777" w:rsidR="00006E29" w:rsidRDefault="00006E29" w:rsidP="00A7304F">
            <w:pPr>
              <w:pStyle w:val="QPPTableTextBody"/>
            </w:pPr>
          </w:p>
        </w:tc>
        <w:tc>
          <w:tcPr>
            <w:tcW w:w="2835" w:type="dxa"/>
          </w:tcPr>
          <w:p w14:paraId="30EAFAFF" w14:textId="77777777" w:rsidR="00006E29" w:rsidRDefault="00006E29" w:rsidP="00A7304F">
            <w:pPr>
              <w:pStyle w:val="QPPTableTextBody"/>
            </w:pPr>
            <w:r w:rsidRPr="00006E29">
              <w:t>Category 2</w:t>
            </w:r>
          </w:p>
        </w:tc>
        <w:tc>
          <w:tcPr>
            <w:tcW w:w="2460" w:type="dxa"/>
          </w:tcPr>
          <w:p w14:paraId="41ABDB6F" w14:textId="77777777" w:rsidR="00006E29" w:rsidRDefault="00006E29" w:rsidP="000C1672">
            <w:pPr>
              <w:pStyle w:val="QPPTableTextBody"/>
            </w:pPr>
            <w:r w:rsidRPr="00006E29">
              <w:t>2,500kg or 2,500L</w:t>
            </w:r>
          </w:p>
        </w:tc>
      </w:tr>
      <w:tr w:rsidR="00006E29" w14:paraId="70AF07EA" w14:textId="77777777" w:rsidTr="000A35D0">
        <w:tc>
          <w:tcPr>
            <w:tcW w:w="675" w:type="dxa"/>
          </w:tcPr>
          <w:p w14:paraId="29288EF1" w14:textId="77777777" w:rsidR="00006E29" w:rsidRDefault="00006E29" w:rsidP="00A7304F">
            <w:pPr>
              <w:pStyle w:val="QPPTableTextBody"/>
            </w:pPr>
            <w:r>
              <w:t>35</w:t>
            </w:r>
          </w:p>
        </w:tc>
        <w:tc>
          <w:tcPr>
            <w:tcW w:w="2552" w:type="dxa"/>
          </w:tcPr>
          <w:p w14:paraId="14008500" w14:textId="77777777" w:rsidR="00006E29" w:rsidRDefault="00006E29" w:rsidP="00A7304F">
            <w:pPr>
              <w:pStyle w:val="QPPTableTextBody"/>
            </w:pPr>
          </w:p>
        </w:tc>
        <w:tc>
          <w:tcPr>
            <w:tcW w:w="2835" w:type="dxa"/>
          </w:tcPr>
          <w:p w14:paraId="72FB157B" w14:textId="77777777" w:rsidR="00006E29" w:rsidRDefault="00006E29" w:rsidP="00A7304F">
            <w:pPr>
              <w:pStyle w:val="QPPTableTextBody"/>
            </w:pPr>
            <w:r w:rsidRPr="00006E29">
              <w:t>Category 3</w:t>
            </w:r>
          </w:p>
        </w:tc>
        <w:tc>
          <w:tcPr>
            <w:tcW w:w="2460" w:type="dxa"/>
          </w:tcPr>
          <w:p w14:paraId="257410A3" w14:textId="77777777" w:rsid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5D35C9DD" w14:textId="77777777" w:rsidTr="000A35D0">
        <w:tc>
          <w:tcPr>
            <w:tcW w:w="675" w:type="dxa"/>
          </w:tcPr>
          <w:p w14:paraId="05CF9FE3" w14:textId="77777777" w:rsidR="00006E29" w:rsidRDefault="00006E29" w:rsidP="00A7304F">
            <w:pPr>
              <w:pStyle w:val="QPPTableTextBody"/>
            </w:pPr>
            <w:r>
              <w:t>36</w:t>
            </w:r>
          </w:p>
        </w:tc>
        <w:tc>
          <w:tcPr>
            <w:tcW w:w="2552" w:type="dxa"/>
          </w:tcPr>
          <w:p w14:paraId="09356EF5" w14:textId="77777777" w:rsidR="00006E29" w:rsidRDefault="00006E29" w:rsidP="00A7304F">
            <w:pPr>
              <w:pStyle w:val="QPPTableTextBody"/>
            </w:pPr>
          </w:p>
        </w:tc>
        <w:tc>
          <w:tcPr>
            <w:tcW w:w="2835" w:type="dxa"/>
          </w:tcPr>
          <w:p w14:paraId="61EE55EA" w14:textId="77777777" w:rsidR="00006E29" w:rsidRDefault="00006E29" w:rsidP="00A7304F">
            <w:pPr>
              <w:pStyle w:val="QPPTableTextBody"/>
            </w:pPr>
            <w:r w:rsidRPr="00006E29">
              <w:t>Any combination of chemicals from items 33 to 35 where none of the items exceeds the threshold quantities on their own</w:t>
            </w:r>
          </w:p>
        </w:tc>
        <w:tc>
          <w:tcPr>
            <w:tcW w:w="2460" w:type="dxa"/>
          </w:tcPr>
          <w:p w14:paraId="0F62D298" w14:textId="77777777" w:rsid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67AEA21E" w14:textId="77777777" w:rsidTr="000A35D0">
        <w:tc>
          <w:tcPr>
            <w:tcW w:w="675" w:type="dxa"/>
          </w:tcPr>
          <w:p w14:paraId="738E0969" w14:textId="77777777" w:rsidR="00006E29" w:rsidRDefault="00006E29" w:rsidP="00A7304F">
            <w:pPr>
              <w:pStyle w:val="QPPTableTextBody"/>
            </w:pPr>
            <w:r>
              <w:t>37</w:t>
            </w:r>
          </w:p>
        </w:tc>
        <w:tc>
          <w:tcPr>
            <w:tcW w:w="2552" w:type="dxa"/>
          </w:tcPr>
          <w:p w14:paraId="2B0BF117" w14:textId="77777777" w:rsidR="00006E29" w:rsidRDefault="00006E29" w:rsidP="00A7304F">
            <w:pPr>
              <w:pStyle w:val="QPPTableTextBody"/>
            </w:pPr>
            <w:r w:rsidRPr="00006E29">
              <w:t>Skin corrosion</w:t>
            </w:r>
          </w:p>
        </w:tc>
        <w:tc>
          <w:tcPr>
            <w:tcW w:w="2835" w:type="dxa"/>
          </w:tcPr>
          <w:p w14:paraId="042CC139" w14:textId="77777777" w:rsidR="00006E29" w:rsidRDefault="00006E29" w:rsidP="00A7304F">
            <w:pPr>
              <w:pStyle w:val="QPPTableTextBody"/>
            </w:pPr>
            <w:r w:rsidRPr="00006E29">
              <w:t>Category 1A</w:t>
            </w:r>
          </w:p>
        </w:tc>
        <w:tc>
          <w:tcPr>
            <w:tcW w:w="2460" w:type="dxa"/>
          </w:tcPr>
          <w:p w14:paraId="43FD4E38" w14:textId="77777777" w:rsidR="00006E29" w:rsidRDefault="00006E29" w:rsidP="000C1672">
            <w:pPr>
              <w:pStyle w:val="QPPTableTextBody"/>
            </w:pPr>
            <w:r w:rsidRPr="00006E29">
              <w:t>500kg or 500L</w:t>
            </w:r>
          </w:p>
        </w:tc>
      </w:tr>
      <w:tr w:rsidR="00006E29" w14:paraId="500C4530" w14:textId="77777777" w:rsidTr="000A35D0">
        <w:tc>
          <w:tcPr>
            <w:tcW w:w="675" w:type="dxa"/>
          </w:tcPr>
          <w:p w14:paraId="318E48B1" w14:textId="77777777" w:rsidR="00006E29" w:rsidRDefault="00006E29" w:rsidP="00A7304F">
            <w:pPr>
              <w:pStyle w:val="QPPTableTextBody"/>
            </w:pPr>
            <w:r>
              <w:t>38</w:t>
            </w:r>
          </w:p>
        </w:tc>
        <w:tc>
          <w:tcPr>
            <w:tcW w:w="2552" w:type="dxa"/>
          </w:tcPr>
          <w:p w14:paraId="3A878871" w14:textId="77777777" w:rsidR="00006E29" w:rsidRDefault="00006E29" w:rsidP="00A7304F">
            <w:pPr>
              <w:pStyle w:val="QPPTableTextBody"/>
            </w:pPr>
          </w:p>
        </w:tc>
        <w:tc>
          <w:tcPr>
            <w:tcW w:w="2835" w:type="dxa"/>
          </w:tcPr>
          <w:p w14:paraId="7C8A1E3B" w14:textId="77777777" w:rsidR="00006E29" w:rsidRDefault="00006E29" w:rsidP="00A7304F">
            <w:pPr>
              <w:pStyle w:val="QPPTableTextBody"/>
            </w:pPr>
            <w:r w:rsidRPr="00006E29">
              <w:t>Category 1B</w:t>
            </w:r>
          </w:p>
        </w:tc>
        <w:tc>
          <w:tcPr>
            <w:tcW w:w="2460" w:type="dxa"/>
          </w:tcPr>
          <w:p w14:paraId="59B6ACB3" w14:textId="77777777" w:rsidR="00006E29" w:rsidRDefault="00006E29" w:rsidP="000C1672">
            <w:pPr>
              <w:pStyle w:val="QPPTableTextBody"/>
            </w:pPr>
            <w:r w:rsidRPr="00006E29">
              <w:t>2,500kg or 2,500L</w:t>
            </w:r>
          </w:p>
        </w:tc>
      </w:tr>
      <w:tr w:rsidR="00006E29" w14:paraId="75F61575" w14:textId="77777777" w:rsidTr="000A35D0">
        <w:tc>
          <w:tcPr>
            <w:tcW w:w="675" w:type="dxa"/>
          </w:tcPr>
          <w:p w14:paraId="01C72D70" w14:textId="77777777" w:rsidR="00006E29" w:rsidRDefault="00006E29" w:rsidP="00A7304F">
            <w:pPr>
              <w:pStyle w:val="QPPTableTextBody"/>
            </w:pPr>
            <w:r>
              <w:t>39</w:t>
            </w:r>
          </w:p>
        </w:tc>
        <w:tc>
          <w:tcPr>
            <w:tcW w:w="2552" w:type="dxa"/>
          </w:tcPr>
          <w:p w14:paraId="5126E3D9" w14:textId="77777777" w:rsidR="00006E29" w:rsidRDefault="00006E29" w:rsidP="00A7304F">
            <w:pPr>
              <w:pStyle w:val="QPPTableTextBody"/>
            </w:pPr>
          </w:p>
        </w:tc>
        <w:tc>
          <w:tcPr>
            <w:tcW w:w="2835" w:type="dxa"/>
          </w:tcPr>
          <w:p w14:paraId="5BFFE495" w14:textId="77777777" w:rsidR="00006E29" w:rsidRDefault="00006E29" w:rsidP="00A7304F">
            <w:pPr>
              <w:pStyle w:val="QPPTableTextBody"/>
            </w:pPr>
            <w:r w:rsidRPr="00006E29">
              <w:t>Category 1C</w:t>
            </w:r>
          </w:p>
        </w:tc>
        <w:tc>
          <w:tcPr>
            <w:tcW w:w="2460" w:type="dxa"/>
          </w:tcPr>
          <w:p w14:paraId="02F1166D" w14:textId="77777777" w:rsidR="00006E29" w:rsidRDefault="00006E29" w:rsidP="000C1672">
            <w:pPr>
              <w:pStyle w:val="QPPTableTextBody"/>
            </w:pPr>
            <w:r w:rsidRPr="00006E29">
              <w:t>10,000kg</w:t>
            </w:r>
            <w:r w:rsidR="00C64CEC">
              <w:t xml:space="preserve"> </w:t>
            </w:r>
            <w:r w:rsidRPr="00006E29">
              <w:t>or 10,000L</w:t>
            </w:r>
          </w:p>
        </w:tc>
      </w:tr>
      <w:tr w:rsidR="00006E29" w14:paraId="14086BD9" w14:textId="77777777" w:rsidTr="000A35D0">
        <w:tc>
          <w:tcPr>
            <w:tcW w:w="675" w:type="dxa"/>
          </w:tcPr>
          <w:p w14:paraId="7CA21CBE" w14:textId="77777777" w:rsidR="00006E29" w:rsidRDefault="00006E29" w:rsidP="00A7304F">
            <w:pPr>
              <w:pStyle w:val="QPPTableTextBody"/>
            </w:pPr>
            <w:r>
              <w:t>40</w:t>
            </w:r>
          </w:p>
        </w:tc>
        <w:tc>
          <w:tcPr>
            <w:tcW w:w="2552" w:type="dxa"/>
          </w:tcPr>
          <w:p w14:paraId="7235A3E0" w14:textId="77777777" w:rsidR="00006E29" w:rsidRDefault="00006E29" w:rsidP="00A7304F">
            <w:pPr>
              <w:pStyle w:val="QPPTableTextBody"/>
            </w:pPr>
            <w:r w:rsidRPr="00006E29">
              <w:t>Corrosive to metals</w:t>
            </w:r>
          </w:p>
        </w:tc>
        <w:tc>
          <w:tcPr>
            <w:tcW w:w="2835" w:type="dxa"/>
          </w:tcPr>
          <w:p w14:paraId="0EDCB626" w14:textId="77777777" w:rsidR="00006E29" w:rsidRDefault="00006E29" w:rsidP="00A7304F">
            <w:pPr>
              <w:pStyle w:val="QPPTableTextBody"/>
            </w:pPr>
            <w:r w:rsidRPr="00006E29">
              <w:t>Category 1</w:t>
            </w:r>
          </w:p>
        </w:tc>
        <w:tc>
          <w:tcPr>
            <w:tcW w:w="2460" w:type="dxa"/>
          </w:tcPr>
          <w:p w14:paraId="44448754" w14:textId="77777777" w:rsidR="00006E29" w:rsidRDefault="00006E29" w:rsidP="000C1672">
            <w:pPr>
              <w:pStyle w:val="QPPTableTextBody"/>
            </w:pPr>
            <w:r w:rsidRPr="00006E29">
              <w:t>10,000kg or 10,000L</w:t>
            </w:r>
          </w:p>
        </w:tc>
      </w:tr>
      <w:tr w:rsidR="00006E29" w14:paraId="0BF9C27E" w14:textId="77777777" w:rsidTr="000A35D0">
        <w:tc>
          <w:tcPr>
            <w:tcW w:w="675" w:type="dxa"/>
          </w:tcPr>
          <w:p w14:paraId="221E1E81" w14:textId="77777777" w:rsidR="00006E29" w:rsidRDefault="00006E29" w:rsidP="00A7304F">
            <w:pPr>
              <w:pStyle w:val="QPPTableTextBody"/>
            </w:pPr>
            <w:r>
              <w:t>41</w:t>
            </w:r>
          </w:p>
        </w:tc>
        <w:tc>
          <w:tcPr>
            <w:tcW w:w="2552" w:type="dxa"/>
          </w:tcPr>
          <w:p w14:paraId="7884F6F4" w14:textId="77777777" w:rsidR="00006E29" w:rsidRDefault="00006E29" w:rsidP="00A7304F">
            <w:pPr>
              <w:pStyle w:val="QPPTableTextBody"/>
            </w:pPr>
          </w:p>
        </w:tc>
        <w:tc>
          <w:tcPr>
            <w:tcW w:w="2835" w:type="dxa"/>
          </w:tcPr>
          <w:p w14:paraId="2002E268" w14:textId="77777777" w:rsidR="00006E29" w:rsidRDefault="00006E29" w:rsidP="000C1672">
            <w:pPr>
              <w:pStyle w:val="QPPTableTextBody"/>
            </w:pPr>
            <w:r w:rsidRPr="00006E29">
              <w:t xml:space="preserve">Any combination of chemicals from items 37 to </w:t>
            </w:r>
            <w:r w:rsidRPr="00006E29">
              <w:lastRenderedPageBreak/>
              <w:t>40 where none of the items exceeds the threshold quantities on their own</w:t>
            </w:r>
          </w:p>
        </w:tc>
        <w:tc>
          <w:tcPr>
            <w:tcW w:w="2460" w:type="dxa"/>
          </w:tcPr>
          <w:p w14:paraId="29B47BAF" w14:textId="77777777" w:rsidR="00006E29" w:rsidRDefault="00006E29" w:rsidP="000C1672">
            <w:pPr>
              <w:pStyle w:val="QPPTableTextBody"/>
            </w:pPr>
            <w:r w:rsidRPr="00006E29">
              <w:lastRenderedPageBreak/>
              <w:t>10,000kg or 10,000L</w:t>
            </w:r>
          </w:p>
        </w:tc>
      </w:tr>
    </w:tbl>
    <w:p w14:paraId="07A70E0E" w14:textId="77777777" w:rsidR="00C1364E" w:rsidRDefault="00C1364E" w:rsidP="00AD1086">
      <w:pPr>
        <w:pStyle w:val="QPPEditorsNoteStyle1"/>
      </w:pPr>
      <w:r>
        <w:t>Notes</w:t>
      </w:r>
      <w:r>
        <w:rPr>
          <w:rFonts w:cstheme="minorHAnsi"/>
        </w:rPr>
        <w:t>—</w:t>
      </w:r>
    </w:p>
    <w:p w14:paraId="2ED2DDFE" w14:textId="77777777" w:rsidR="00387947" w:rsidRDefault="00AD1086" w:rsidP="00201D26">
      <w:pPr>
        <w:pStyle w:val="QPPEditorsnotebulletpoint1"/>
      </w:pPr>
      <w:r>
        <w:t xml:space="preserve">In item 2, </w:t>
      </w:r>
      <w:r w:rsidR="00C26F4F">
        <w:t>g</w:t>
      </w:r>
      <w:r>
        <w:t>ases under pressure with acute toxicity, category 4</w:t>
      </w:r>
      <w:r w:rsidR="00C26F4F">
        <w:t>,</w:t>
      </w:r>
      <w:r>
        <w:t xml:space="preserve"> only applies up to a LC50 of 5000 </w:t>
      </w:r>
      <w:proofErr w:type="spellStart"/>
      <w:r>
        <w:t>ppm</w:t>
      </w:r>
      <w:r w:rsidR="00C26F4F">
        <w:t>v</w:t>
      </w:r>
      <w:proofErr w:type="spellEnd"/>
      <w:r>
        <w:t>. This is equivalent to dangerous goods of Division 2.3</w:t>
      </w:r>
      <w:r w:rsidR="00F05580">
        <w:t xml:space="preserve"> as defined in the </w:t>
      </w:r>
      <w:hyperlink r:id="rId30" w:history="1">
        <w:r w:rsidR="00F05580" w:rsidRPr="000C1672">
          <w:rPr>
            <w:rStyle w:val="Hyperlink"/>
          </w:rPr>
          <w:t>Australian code for the transport of dangerous</w:t>
        </w:r>
        <w:r w:rsidR="00630A43" w:rsidRPr="000C1672">
          <w:rPr>
            <w:rStyle w:val="Hyperlink"/>
          </w:rPr>
          <w:t xml:space="preserve"> goods by road and rail</w:t>
        </w:r>
        <w:r w:rsidR="00CB0DF7" w:rsidRPr="00A27053">
          <w:t>.</w:t>
        </w:r>
      </w:hyperlink>
    </w:p>
    <w:p w14:paraId="6A9B27DF" w14:textId="77777777" w:rsidR="00AD1086" w:rsidRDefault="00AD1086" w:rsidP="00201D26">
      <w:pPr>
        <w:pStyle w:val="QPPEditorsnotebulletpoint1"/>
      </w:pPr>
      <w:r>
        <w:t>Item 4 includes flammable aerosols</w:t>
      </w:r>
      <w:r w:rsidR="00CB0DF7">
        <w:t>.</w:t>
      </w:r>
    </w:p>
    <w:p w14:paraId="5D55849B" w14:textId="77777777" w:rsidR="005C7B13" w:rsidRPr="005C7B13" w:rsidRDefault="005C7B13" w:rsidP="00201D26">
      <w:pPr>
        <w:pStyle w:val="QPPEditorsnotebulletpoint1"/>
      </w:pPr>
      <w:r w:rsidRPr="005C7B13">
        <w:t>If a flammable liquid category 4 is used, handled or stored in the same spill compound as 1 or more flammable liquids of categories 1, 2 or 3, the total quantity of flammable liquids categories 1, 2 or 3 must be determined as if the flammable liquid category 4 had the same classification as the flammable liquid in the spill compound with the lowest flash point. Example: For placarding and manifest purposes, a spill compound containing 1000L of flammable liquid category 1 and 1000L of flammable liquid category 4 is considered to contain 2000L of flammable liquid category.</w:t>
      </w:r>
    </w:p>
    <w:sectPr w:rsidR="005C7B13" w:rsidRPr="005C7B13">
      <w:headerReference w:type="even" r:id="rId31"/>
      <w:footerReference w:type="default" r:id="rId32"/>
      <w:headerReference w:type="first" r:id="rId3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B286" w14:textId="77777777" w:rsidR="00C0572F" w:rsidRDefault="00C0572F">
      <w:r>
        <w:separator/>
      </w:r>
    </w:p>
  </w:endnote>
  <w:endnote w:type="continuationSeparator" w:id="0">
    <w:p w14:paraId="67D967F3" w14:textId="77777777" w:rsidR="00C0572F" w:rsidRDefault="00C0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3A75" w14:textId="5B6BDEA8" w:rsidR="00C0572F" w:rsidRDefault="00FD11E0" w:rsidP="00366CD5">
    <w:pPr>
      <w:pStyle w:val="QPPFooter"/>
    </w:pPr>
    <w:r w:rsidRPr="00FD11E0">
      <w:t>Part 8 – Overlay Codes (Landslide)</w:t>
    </w:r>
    <w:r>
      <w:ptab w:relativeTo="margin" w:alignment="center" w:leader="none"/>
    </w:r>
    <w:r>
      <w:ptab w:relativeTo="margin" w:alignment="right" w:leader="none"/>
    </w:r>
    <w:r w:rsidRPr="00FD11E0">
      <w:t xml:space="preserve">Effective </w:t>
    </w:r>
    <w:r w:rsidR="00582591">
      <w:t>1 December</w:t>
    </w:r>
    <w:r w:rsidR="00BA2434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5EE3" w14:textId="77777777" w:rsidR="00C0572F" w:rsidRDefault="00C0572F">
      <w:r>
        <w:separator/>
      </w:r>
    </w:p>
  </w:footnote>
  <w:footnote w:type="continuationSeparator" w:id="0">
    <w:p w14:paraId="35C1FF52" w14:textId="77777777" w:rsidR="00C0572F" w:rsidRDefault="00C0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F758" w14:textId="77777777" w:rsidR="00E9080B" w:rsidRDefault="000935B8">
    <w:pPr>
      <w:pStyle w:val="Header"/>
    </w:pPr>
    <w:r>
      <w:rPr>
        <w:noProof/>
        <w:lang w:eastAsia="en-US"/>
      </w:rPr>
      <w:pict w14:anchorId="77BEB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496" o:spid="_x0000_s35842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A848" w14:textId="77777777" w:rsidR="00E9080B" w:rsidRDefault="000935B8">
    <w:pPr>
      <w:pStyle w:val="Header"/>
    </w:pPr>
    <w:r>
      <w:rPr>
        <w:noProof/>
        <w:lang w:eastAsia="en-US"/>
      </w:rPr>
      <w:pict w14:anchorId="6AD50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495" o:spid="_x0000_s35841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15"/>
  </w:num>
  <w:num w:numId="6">
    <w:abstractNumId w:val="32"/>
  </w:num>
  <w:num w:numId="7">
    <w:abstractNumId w:val="29"/>
  </w:num>
  <w:num w:numId="8">
    <w:abstractNumId w:val="22"/>
  </w:num>
  <w:num w:numId="9">
    <w:abstractNumId w:val="25"/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8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9"/>
  </w:num>
  <w:num w:numId="23">
    <w:abstractNumId w:val="11"/>
  </w:num>
  <w:num w:numId="24">
    <w:abstractNumId w:val="3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5"/>
  </w:num>
  <w:num w:numId="36">
    <w:abstractNumId w:val="20"/>
  </w:num>
  <w:num w:numId="37">
    <w:abstractNumId w:val="17"/>
  </w:num>
  <w:num w:numId="38">
    <w:abstractNumId w:val="34"/>
  </w:num>
  <w:num w:numId="39">
    <w:abstractNumId w:val="14"/>
  </w:num>
  <w:num w:numId="40">
    <w:abstractNumId w:val="36"/>
  </w:num>
  <w:num w:numId="41">
    <w:abstractNumId w:val="13"/>
  </w:num>
  <w:num w:numId="42">
    <w:abstractNumId w:val="26"/>
  </w:num>
  <w:num w:numId="43">
    <w:abstractNumId w:val="21"/>
  </w:num>
  <w:num w:numId="44">
    <w:abstractNumId w:val="23"/>
  </w:num>
  <w:num w:numId="45">
    <w:abstractNumId w:val="27"/>
  </w:num>
  <w:num w:numId="46">
    <w:abstractNumId w:val="27"/>
    <w:lvlOverride w:ilvl="0">
      <w:startOverride w:val="1"/>
    </w:lvlOverride>
  </w:num>
  <w:num w:numId="47">
    <w:abstractNumId w:val="31"/>
  </w:num>
  <w:num w:numId="48">
    <w:abstractNumId w:val="30"/>
  </w:num>
  <w:num w:numId="49">
    <w:abstractNumId w:val="10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10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1" w:cryptProviderType="rsaAES" w:cryptAlgorithmClass="hash" w:cryptAlgorithmType="typeAny" w:cryptAlgorithmSid="14" w:cryptSpinCount="100000" w:hash="JqdQVNObOs3nbmtojJzpL/ARaMiuFqx4dREeKIePIVF3VIuYWoUd4IpC6xHVzHGuMRn3x0k7L30a/QEguXtVyQ==" w:salt="ktC9C9HpOrro/guRo/x5JQ=="/>
  <w:defaultTabStop w:val="720"/>
  <w:characterSpacingControl w:val="doNotCompress"/>
  <w:hdrShapeDefaults>
    <o:shapedefaults v:ext="edit" spidmax="35843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4"/>
    <w:rsid w:val="00006E29"/>
    <w:rsid w:val="00012447"/>
    <w:rsid w:val="00020C8F"/>
    <w:rsid w:val="00026340"/>
    <w:rsid w:val="00032172"/>
    <w:rsid w:val="00033FB3"/>
    <w:rsid w:val="00037553"/>
    <w:rsid w:val="000410D2"/>
    <w:rsid w:val="000660F2"/>
    <w:rsid w:val="00067955"/>
    <w:rsid w:val="000819DA"/>
    <w:rsid w:val="00084288"/>
    <w:rsid w:val="000918AE"/>
    <w:rsid w:val="000935B8"/>
    <w:rsid w:val="000A35D0"/>
    <w:rsid w:val="000A60D3"/>
    <w:rsid w:val="000A6CE3"/>
    <w:rsid w:val="000A75BB"/>
    <w:rsid w:val="000B4672"/>
    <w:rsid w:val="000B56BE"/>
    <w:rsid w:val="000B5B9F"/>
    <w:rsid w:val="000B7F0B"/>
    <w:rsid w:val="000C041B"/>
    <w:rsid w:val="000C1672"/>
    <w:rsid w:val="000C2A73"/>
    <w:rsid w:val="000C4298"/>
    <w:rsid w:val="000D1C8D"/>
    <w:rsid w:val="000D2BDE"/>
    <w:rsid w:val="000D6B99"/>
    <w:rsid w:val="000E15DC"/>
    <w:rsid w:val="000E2D59"/>
    <w:rsid w:val="000E56EE"/>
    <w:rsid w:val="000E7574"/>
    <w:rsid w:val="000F695A"/>
    <w:rsid w:val="00106BAC"/>
    <w:rsid w:val="001255A9"/>
    <w:rsid w:val="00125940"/>
    <w:rsid w:val="001277FE"/>
    <w:rsid w:val="001409B0"/>
    <w:rsid w:val="00145039"/>
    <w:rsid w:val="00160318"/>
    <w:rsid w:val="00164875"/>
    <w:rsid w:val="00174BEE"/>
    <w:rsid w:val="001A1785"/>
    <w:rsid w:val="001A2721"/>
    <w:rsid w:val="001A40B6"/>
    <w:rsid w:val="001B6535"/>
    <w:rsid w:val="001C75C9"/>
    <w:rsid w:val="001D3F79"/>
    <w:rsid w:val="001E2CAC"/>
    <w:rsid w:val="001E2F5A"/>
    <w:rsid w:val="001F4BB6"/>
    <w:rsid w:val="001F4FDF"/>
    <w:rsid w:val="001F60C6"/>
    <w:rsid w:val="00201D26"/>
    <w:rsid w:val="00213FA1"/>
    <w:rsid w:val="0021629F"/>
    <w:rsid w:val="002302F1"/>
    <w:rsid w:val="00245FBC"/>
    <w:rsid w:val="00246C6D"/>
    <w:rsid w:val="00251D06"/>
    <w:rsid w:val="00254AAE"/>
    <w:rsid w:val="00255113"/>
    <w:rsid w:val="00261E75"/>
    <w:rsid w:val="0026538C"/>
    <w:rsid w:val="00271B55"/>
    <w:rsid w:val="0027648F"/>
    <w:rsid w:val="00282E79"/>
    <w:rsid w:val="00284DF9"/>
    <w:rsid w:val="00286A96"/>
    <w:rsid w:val="002926C4"/>
    <w:rsid w:val="002951F1"/>
    <w:rsid w:val="002B7496"/>
    <w:rsid w:val="002C1CF6"/>
    <w:rsid w:val="002C1D5E"/>
    <w:rsid w:val="002D08D1"/>
    <w:rsid w:val="002D443F"/>
    <w:rsid w:val="002D4D7E"/>
    <w:rsid w:val="002D6B57"/>
    <w:rsid w:val="002E7FCA"/>
    <w:rsid w:val="002F5FC4"/>
    <w:rsid w:val="0033016B"/>
    <w:rsid w:val="0033722D"/>
    <w:rsid w:val="00341FD5"/>
    <w:rsid w:val="00347B27"/>
    <w:rsid w:val="00360014"/>
    <w:rsid w:val="00360837"/>
    <w:rsid w:val="00366CD5"/>
    <w:rsid w:val="00373E7E"/>
    <w:rsid w:val="00373FA4"/>
    <w:rsid w:val="00374FBB"/>
    <w:rsid w:val="00377B26"/>
    <w:rsid w:val="003814EC"/>
    <w:rsid w:val="003859F0"/>
    <w:rsid w:val="00387947"/>
    <w:rsid w:val="00390463"/>
    <w:rsid w:val="003A2A1B"/>
    <w:rsid w:val="003B2384"/>
    <w:rsid w:val="003B7455"/>
    <w:rsid w:val="003C7D16"/>
    <w:rsid w:val="003D784D"/>
    <w:rsid w:val="003E6AB1"/>
    <w:rsid w:val="003F7A99"/>
    <w:rsid w:val="004001B0"/>
    <w:rsid w:val="00405FFE"/>
    <w:rsid w:val="00416247"/>
    <w:rsid w:val="004168C5"/>
    <w:rsid w:val="0044284D"/>
    <w:rsid w:val="00452B49"/>
    <w:rsid w:val="00460750"/>
    <w:rsid w:val="004745F4"/>
    <w:rsid w:val="004807B9"/>
    <w:rsid w:val="0048652E"/>
    <w:rsid w:val="00490054"/>
    <w:rsid w:val="004A0B5B"/>
    <w:rsid w:val="004A2808"/>
    <w:rsid w:val="004A438C"/>
    <w:rsid w:val="004B190C"/>
    <w:rsid w:val="004C122F"/>
    <w:rsid w:val="004C63CE"/>
    <w:rsid w:val="004C7E40"/>
    <w:rsid w:val="004D4336"/>
    <w:rsid w:val="004D6821"/>
    <w:rsid w:val="004D7824"/>
    <w:rsid w:val="004E345C"/>
    <w:rsid w:val="004E7775"/>
    <w:rsid w:val="004F08CB"/>
    <w:rsid w:val="004F29E0"/>
    <w:rsid w:val="005007FB"/>
    <w:rsid w:val="00501270"/>
    <w:rsid w:val="00502C50"/>
    <w:rsid w:val="00506688"/>
    <w:rsid w:val="00523419"/>
    <w:rsid w:val="00532AFF"/>
    <w:rsid w:val="00540B36"/>
    <w:rsid w:val="005431E4"/>
    <w:rsid w:val="00555482"/>
    <w:rsid w:val="00562056"/>
    <w:rsid w:val="00562D18"/>
    <w:rsid w:val="005643E8"/>
    <w:rsid w:val="00565D21"/>
    <w:rsid w:val="00567093"/>
    <w:rsid w:val="00572E0F"/>
    <w:rsid w:val="00575951"/>
    <w:rsid w:val="00582591"/>
    <w:rsid w:val="005868B2"/>
    <w:rsid w:val="00591D80"/>
    <w:rsid w:val="0059274F"/>
    <w:rsid w:val="00594296"/>
    <w:rsid w:val="005A13B4"/>
    <w:rsid w:val="005B0904"/>
    <w:rsid w:val="005B5C01"/>
    <w:rsid w:val="005C02C9"/>
    <w:rsid w:val="005C66DE"/>
    <w:rsid w:val="005C7B13"/>
    <w:rsid w:val="005E0F6E"/>
    <w:rsid w:val="005F1A5D"/>
    <w:rsid w:val="005F7BBE"/>
    <w:rsid w:val="00606186"/>
    <w:rsid w:val="006062BD"/>
    <w:rsid w:val="00617E59"/>
    <w:rsid w:val="00623AA2"/>
    <w:rsid w:val="00630A43"/>
    <w:rsid w:val="0063123C"/>
    <w:rsid w:val="00643813"/>
    <w:rsid w:val="0064436D"/>
    <w:rsid w:val="00646BF9"/>
    <w:rsid w:val="006517F6"/>
    <w:rsid w:val="00651D8C"/>
    <w:rsid w:val="00653C58"/>
    <w:rsid w:val="006542E8"/>
    <w:rsid w:val="006563AA"/>
    <w:rsid w:val="00656ED8"/>
    <w:rsid w:val="00660717"/>
    <w:rsid w:val="00662606"/>
    <w:rsid w:val="0066321A"/>
    <w:rsid w:val="006676B7"/>
    <w:rsid w:val="00682398"/>
    <w:rsid w:val="00685529"/>
    <w:rsid w:val="006A47FF"/>
    <w:rsid w:val="006A566A"/>
    <w:rsid w:val="006B4F1B"/>
    <w:rsid w:val="006B4F63"/>
    <w:rsid w:val="006C0D29"/>
    <w:rsid w:val="006C3C16"/>
    <w:rsid w:val="006D363E"/>
    <w:rsid w:val="006E157C"/>
    <w:rsid w:val="006F08D8"/>
    <w:rsid w:val="006F1568"/>
    <w:rsid w:val="0070430D"/>
    <w:rsid w:val="0070457B"/>
    <w:rsid w:val="0070486B"/>
    <w:rsid w:val="00710DDB"/>
    <w:rsid w:val="007112CF"/>
    <w:rsid w:val="00711762"/>
    <w:rsid w:val="007153A4"/>
    <w:rsid w:val="00721145"/>
    <w:rsid w:val="00725357"/>
    <w:rsid w:val="0072613D"/>
    <w:rsid w:val="0073014F"/>
    <w:rsid w:val="00731E62"/>
    <w:rsid w:val="007561E1"/>
    <w:rsid w:val="00764C7C"/>
    <w:rsid w:val="00781D1A"/>
    <w:rsid w:val="007825C2"/>
    <w:rsid w:val="00784277"/>
    <w:rsid w:val="007853D4"/>
    <w:rsid w:val="00787867"/>
    <w:rsid w:val="00787E36"/>
    <w:rsid w:val="007B04C0"/>
    <w:rsid w:val="007B208B"/>
    <w:rsid w:val="007B3DF2"/>
    <w:rsid w:val="007C5520"/>
    <w:rsid w:val="007C59FC"/>
    <w:rsid w:val="007D4E83"/>
    <w:rsid w:val="007D7A4D"/>
    <w:rsid w:val="007E2C30"/>
    <w:rsid w:val="007E35E4"/>
    <w:rsid w:val="007E5B29"/>
    <w:rsid w:val="007F0F8D"/>
    <w:rsid w:val="007F6793"/>
    <w:rsid w:val="0081159C"/>
    <w:rsid w:val="00811E32"/>
    <w:rsid w:val="00824B75"/>
    <w:rsid w:val="00826D63"/>
    <w:rsid w:val="00826EC8"/>
    <w:rsid w:val="008278F1"/>
    <w:rsid w:val="00833D0F"/>
    <w:rsid w:val="00843C1A"/>
    <w:rsid w:val="00844492"/>
    <w:rsid w:val="0084591C"/>
    <w:rsid w:val="00847293"/>
    <w:rsid w:val="0085087F"/>
    <w:rsid w:val="00861A1D"/>
    <w:rsid w:val="008B3CBA"/>
    <w:rsid w:val="008C3FDD"/>
    <w:rsid w:val="008C5D9A"/>
    <w:rsid w:val="008D2295"/>
    <w:rsid w:val="008E3F4E"/>
    <w:rsid w:val="008F373F"/>
    <w:rsid w:val="00901999"/>
    <w:rsid w:val="009048CD"/>
    <w:rsid w:val="00906B86"/>
    <w:rsid w:val="009104A8"/>
    <w:rsid w:val="00912BD7"/>
    <w:rsid w:val="00925B44"/>
    <w:rsid w:val="00930DB9"/>
    <w:rsid w:val="0093320C"/>
    <w:rsid w:val="0094496A"/>
    <w:rsid w:val="00952843"/>
    <w:rsid w:val="00957D0B"/>
    <w:rsid w:val="00961D98"/>
    <w:rsid w:val="0096695C"/>
    <w:rsid w:val="009677A5"/>
    <w:rsid w:val="009720F6"/>
    <w:rsid w:val="00972FDD"/>
    <w:rsid w:val="00982415"/>
    <w:rsid w:val="009952D3"/>
    <w:rsid w:val="00997D43"/>
    <w:rsid w:val="00997F29"/>
    <w:rsid w:val="009A7710"/>
    <w:rsid w:val="009C24BF"/>
    <w:rsid w:val="009C648E"/>
    <w:rsid w:val="009C7D7A"/>
    <w:rsid w:val="009D1B91"/>
    <w:rsid w:val="009F3C14"/>
    <w:rsid w:val="009F7594"/>
    <w:rsid w:val="00A02454"/>
    <w:rsid w:val="00A038C7"/>
    <w:rsid w:val="00A15E10"/>
    <w:rsid w:val="00A263C2"/>
    <w:rsid w:val="00A27053"/>
    <w:rsid w:val="00A31AE0"/>
    <w:rsid w:val="00A362E6"/>
    <w:rsid w:val="00A51927"/>
    <w:rsid w:val="00A5712B"/>
    <w:rsid w:val="00A61573"/>
    <w:rsid w:val="00A7025E"/>
    <w:rsid w:val="00A7127A"/>
    <w:rsid w:val="00A7304F"/>
    <w:rsid w:val="00A756EB"/>
    <w:rsid w:val="00A8104E"/>
    <w:rsid w:val="00A85017"/>
    <w:rsid w:val="00A94B99"/>
    <w:rsid w:val="00A95B50"/>
    <w:rsid w:val="00AA681F"/>
    <w:rsid w:val="00AB6867"/>
    <w:rsid w:val="00AC5314"/>
    <w:rsid w:val="00AC7D33"/>
    <w:rsid w:val="00AD1086"/>
    <w:rsid w:val="00AD2B4E"/>
    <w:rsid w:val="00AE6335"/>
    <w:rsid w:val="00AF096A"/>
    <w:rsid w:val="00B03375"/>
    <w:rsid w:val="00B45E63"/>
    <w:rsid w:val="00B46304"/>
    <w:rsid w:val="00B46E08"/>
    <w:rsid w:val="00B47815"/>
    <w:rsid w:val="00B77036"/>
    <w:rsid w:val="00B77351"/>
    <w:rsid w:val="00B800AD"/>
    <w:rsid w:val="00B862B1"/>
    <w:rsid w:val="00B876AA"/>
    <w:rsid w:val="00B87B34"/>
    <w:rsid w:val="00BA2434"/>
    <w:rsid w:val="00BA2E5C"/>
    <w:rsid w:val="00BB4421"/>
    <w:rsid w:val="00BC0DCD"/>
    <w:rsid w:val="00BC71C0"/>
    <w:rsid w:val="00BD1A7E"/>
    <w:rsid w:val="00BD228E"/>
    <w:rsid w:val="00BD71F4"/>
    <w:rsid w:val="00BE645F"/>
    <w:rsid w:val="00BF152D"/>
    <w:rsid w:val="00BF55A9"/>
    <w:rsid w:val="00BF6A6C"/>
    <w:rsid w:val="00C0116B"/>
    <w:rsid w:val="00C01996"/>
    <w:rsid w:val="00C0572F"/>
    <w:rsid w:val="00C1364E"/>
    <w:rsid w:val="00C17579"/>
    <w:rsid w:val="00C21F6C"/>
    <w:rsid w:val="00C2259E"/>
    <w:rsid w:val="00C238BB"/>
    <w:rsid w:val="00C26F4F"/>
    <w:rsid w:val="00C277D5"/>
    <w:rsid w:val="00C4018A"/>
    <w:rsid w:val="00C4052D"/>
    <w:rsid w:val="00C42970"/>
    <w:rsid w:val="00C43093"/>
    <w:rsid w:val="00C46A14"/>
    <w:rsid w:val="00C50DD5"/>
    <w:rsid w:val="00C51F97"/>
    <w:rsid w:val="00C53737"/>
    <w:rsid w:val="00C53EB2"/>
    <w:rsid w:val="00C56681"/>
    <w:rsid w:val="00C64CEC"/>
    <w:rsid w:val="00C71339"/>
    <w:rsid w:val="00C73BCB"/>
    <w:rsid w:val="00C74C66"/>
    <w:rsid w:val="00C775B7"/>
    <w:rsid w:val="00C90AA7"/>
    <w:rsid w:val="00C92863"/>
    <w:rsid w:val="00C93802"/>
    <w:rsid w:val="00CA0DAB"/>
    <w:rsid w:val="00CA0F00"/>
    <w:rsid w:val="00CB0DF7"/>
    <w:rsid w:val="00CC28A5"/>
    <w:rsid w:val="00CC5A8D"/>
    <w:rsid w:val="00CD03E0"/>
    <w:rsid w:val="00D12C63"/>
    <w:rsid w:val="00D212D8"/>
    <w:rsid w:val="00D23DF0"/>
    <w:rsid w:val="00D2678F"/>
    <w:rsid w:val="00D36263"/>
    <w:rsid w:val="00D4027F"/>
    <w:rsid w:val="00D417C5"/>
    <w:rsid w:val="00D4301A"/>
    <w:rsid w:val="00D47E8A"/>
    <w:rsid w:val="00D52995"/>
    <w:rsid w:val="00D532D8"/>
    <w:rsid w:val="00D5404C"/>
    <w:rsid w:val="00D61A3F"/>
    <w:rsid w:val="00D72580"/>
    <w:rsid w:val="00D76F7E"/>
    <w:rsid w:val="00D86904"/>
    <w:rsid w:val="00DA64B5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02BE"/>
    <w:rsid w:val="00DF2A45"/>
    <w:rsid w:val="00E0128C"/>
    <w:rsid w:val="00E10C0C"/>
    <w:rsid w:val="00E20975"/>
    <w:rsid w:val="00E240D5"/>
    <w:rsid w:val="00E31B04"/>
    <w:rsid w:val="00E35F4D"/>
    <w:rsid w:val="00E37BD0"/>
    <w:rsid w:val="00E446E6"/>
    <w:rsid w:val="00E45C84"/>
    <w:rsid w:val="00E461C8"/>
    <w:rsid w:val="00E46EC9"/>
    <w:rsid w:val="00E50643"/>
    <w:rsid w:val="00E547C5"/>
    <w:rsid w:val="00E615C5"/>
    <w:rsid w:val="00E715E6"/>
    <w:rsid w:val="00E73C84"/>
    <w:rsid w:val="00E743B8"/>
    <w:rsid w:val="00E75079"/>
    <w:rsid w:val="00E7526F"/>
    <w:rsid w:val="00E7716F"/>
    <w:rsid w:val="00E9080B"/>
    <w:rsid w:val="00EA4DA8"/>
    <w:rsid w:val="00EB13A1"/>
    <w:rsid w:val="00EB3992"/>
    <w:rsid w:val="00EB40A2"/>
    <w:rsid w:val="00EB498F"/>
    <w:rsid w:val="00EF44D3"/>
    <w:rsid w:val="00EF6FBC"/>
    <w:rsid w:val="00EF7BB4"/>
    <w:rsid w:val="00F01BF2"/>
    <w:rsid w:val="00F028A5"/>
    <w:rsid w:val="00F05580"/>
    <w:rsid w:val="00F10432"/>
    <w:rsid w:val="00F13A40"/>
    <w:rsid w:val="00F16AD5"/>
    <w:rsid w:val="00F23DEC"/>
    <w:rsid w:val="00F34235"/>
    <w:rsid w:val="00F3790C"/>
    <w:rsid w:val="00F37C43"/>
    <w:rsid w:val="00F45130"/>
    <w:rsid w:val="00F45131"/>
    <w:rsid w:val="00F50A3A"/>
    <w:rsid w:val="00F55B34"/>
    <w:rsid w:val="00F57CEF"/>
    <w:rsid w:val="00F63E10"/>
    <w:rsid w:val="00F74347"/>
    <w:rsid w:val="00F953D4"/>
    <w:rsid w:val="00F97EE2"/>
    <w:rsid w:val="00FA1F22"/>
    <w:rsid w:val="00FB4A4A"/>
    <w:rsid w:val="00FC4613"/>
    <w:rsid w:val="00FD11E0"/>
    <w:rsid w:val="00FD7CBF"/>
    <w:rsid w:val="00FE37C8"/>
    <w:rsid w:val="00FE53A8"/>
    <w:rsid w:val="00FF0C97"/>
    <w:rsid w:val="00FF43CD"/>
    <w:rsid w:val="00FF56CF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/>
    <o:shapelayout v:ext="edit">
      <o:idmap v:ext="edit" data="1"/>
    </o:shapelayout>
  </w:shapeDefaults>
  <w:decimalSymbol w:val="."/>
  <w:listSeparator w:val=","/>
  <w14:docId w14:val="0E5C1ADD"/>
  <w15:docId w15:val="{257865E1-6230-493E-8673-444626C6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QPPBodytext"/>
    <w:qFormat/>
    <w:rsid w:val="000935B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935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935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935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935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93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935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935B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935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935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935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35B8"/>
  </w:style>
  <w:style w:type="table" w:styleId="TableGrid">
    <w:name w:val="Table Grid"/>
    <w:basedOn w:val="TableNormal"/>
    <w:semiHidden/>
    <w:locked/>
    <w:rsid w:val="000935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935B8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935B8"/>
    <w:pPr>
      <w:spacing w:before="100" w:after="200"/>
      <w:ind w:left="851" w:hanging="851"/>
    </w:pPr>
  </w:style>
  <w:style w:type="character" w:customStyle="1" w:styleId="HighlightingBlue">
    <w:name w:val="Highlighting Blue"/>
    <w:rsid w:val="000935B8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0935B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0935B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935B8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935B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935B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935B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935B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935B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935B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935B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935B8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935B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935B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935B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935B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935B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935B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935B8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0935B8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935B8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0935B8"/>
    <w:rPr>
      <w:rFonts w:ascii="Arial" w:hAnsi="Arial" w:cs="Arial"/>
      <w:color w:val="000000"/>
    </w:rPr>
  </w:style>
  <w:style w:type="character" w:customStyle="1" w:styleId="HighlightingGreen">
    <w:name w:val="Highlighting Green"/>
    <w:rsid w:val="000935B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0935B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0935B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0935B8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0935B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935B8"/>
    <w:rPr>
      <w:vertAlign w:val="superscript"/>
    </w:rPr>
  </w:style>
  <w:style w:type="character" w:customStyle="1" w:styleId="QPPSuperscriptChar">
    <w:name w:val="QPP Superscript Char"/>
    <w:link w:val="QPPSuperscript"/>
    <w:rsid w:val="000935B8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935B8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link w:val="HGTableBullet3Char"/>
    <w:rsid w:val="000935B8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0935B8"/>
    <w:pPr>
      <w:numPr>
        <w:numId w:val="10"/>
      </w:numPr>
      <w:tabs>
        <w:tab w:val="left" w:pos="567"/>
      </w:tabs>
    </w:pPr>
  </w:style>
  <w:style w:type="character" w:styleId="Hyperlink">
    <w:name w:val="Hyperlink"/>
    <w:aliases w:val="Hyperlink to Legislation"/>
    <w:rsid w:val="000935B8"/>
    <w:rPr>
      <w:color w:val="0000FF"/>
      <w:u w:val="single"/>
    </w:rPr>
  </w:style>
  <w:style w:type="paragraph" w:styleId="Header">
    <w:name w:val="header"/>
    <w:basedOn w:val="Normal"/>
    <w:semiHidden/>
    <w:locked/>
    <w:rsid w:val="000935B8"/>
    <w:pPr>
      <w:tabs>
        <w:tab w:val="center" w:pos="4153"/>
        <w:tab w:val="right" w:pos="8306"/>
      </w:tabs>
    </w:pPr>
  </w:style>
  <w:style w:type="character" w:customStyle="1" w:styleId="QPPTableTextBoldChar">
    <w:name w:val="QPP Table Text Bold Char"/>
    <w:link w:val="QPPTableTextBold"/>
    <w:rsid w:val="00373FA4"/>
    <w:rPr>
      <w:rFonts w:ascii="Arial" w:hAnsi="Arial" w:cs="Arial"/>
      <w:b/>
      <w:color w:val="000000"/>
    </w:rPr>
  </w:style>
  <w:style w:type="paragraph" w:styleId="Footer">
    <w:name w:val="footer"/>
    <w:basedOn w:val="Normal"/>
    <w:semiHidden/>
    <w:locked/>
    <w:rsid w:val="000935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0935B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0935B8"/>
    <w:rPr>
      <w:color w:val="800080"/>
      <w:u w:val="single"/>
    </w:rPr>
  </w:style>
  <w:style w:type="character" w:customStyle="1" w:styleId="HGTableBullet3Char">
    <w:name w:val="HG Table Bullet 3 Char"/>
    <w:basedOn w:val="QPPTableTextBodyChar"/>
    <w:link w:val="HGTableBullet3"/>
    <w:rsid w:val="000D6B99"/>
    <w:rPr>
      <w:rFonts w:ascii="Arial" w:hAnsi="Arial" w:cs="Arial"/>
      <w:color w:val="000000"/>
    </w:rPr>
  </w:style>
  <w:style w:type="character" w:customStyle="1" w:styleId="QPPHeading4Char">
    <w:name w:val="QPP Heading 4 Char"/>
    <w:link w:val="QPPHeading4"/>
    <w:rsid w:val="000935B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935B8"/>
    <w:pPr>
      <w:numPr>
        <w:numId w:val="19"/>
      </w:numPr>
    </w:pPr>
  </w:style>
  <w:style w:type="paragraph" w:customStyle="1" w:styleId="QPPTableBullet">
    <w:name w:val="QPP Table Bullet"/>
    <w:basedOn w:val="Normal"/>
    <w:rsid w:val="000935B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0935B8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0935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935B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2B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09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2B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locked/>
    <w:rsid w:val="000935B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0935B8"/>
    <w:pPr>
      <w:numPr>
        <w:numId w:val="22"/>
      </w:numPr>
    </w:pPr>
  </w:style>
  <w:style w:type="numbering" w:styleId="1ai">
    <w:name w:val="Outline List 1"/>
    <w:basedOn w:val="NoList"/>
    <w:semiHidden/>
    <w:locked/>
    <w:rsid w:val="000935B8"/>
    <w:pPr>
      <w:numPr>
        <w:numId w:val="23"/>
      </w:numPr>
    </w:pPr>
  </w:style>
  <w:style w:type="numbering" w:styleId="ArticleSection">
    <w:name w:val="Outline List 3"/>
    <w:basedOn w:val="NoList"/>
    <w:semiHidden/>
    <w:locked/>
    <w:rsid w:val="000935B8"/>
    <w:pPr>
      <w:numPr>
        <w:numId w:val="2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0935B8"/>
  </w:style>
  <w:style w:type="paragraph" w:styleId="BlockText">
    <w:name w:val="Block Text"/>
    <w:basedOn w:val="Normal"/>
    <w:semiHidden/>
    <w:locked/>
    <w:rsid w:val="000935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935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935B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935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935B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935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935B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935B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935B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935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935B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935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935B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935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935B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935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35B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0935B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935B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935B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935B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locked/>
    <w:rsid w:val="00093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locked/>
    <w:rsid w:val="00093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locked/>
    <w:rsid w:val="00093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locked/>
    <w:rsid w:val="00093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locked/>
    <w:rsid w:val="00093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locked/>
    <w:rsid w:val="00093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locked/>
    <w:rsid w:val="00093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locked/>
    <w:rsid w:val="000935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locked/>
    <w:rsid w:val="000935B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locked/>
    <w:rsid w:val="000935B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locked/>
    <w:rsid w:val="000935B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locked/>
    <w:rsid w:val="000935B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locked/>
    <w:rsid w:val="000935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locked/>
    <w:rsid w:val="000935B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locked/>
    <w:rsid w:val="000935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locked/>
    <w:rsid w:val="000935B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locked/>
    <w:rsid w:val="000935B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locked/>
    <w:rsid w:val="000935B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locked/>
    <w:rsid w:val="000935B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locked/>
    <w:rsid w:val="000935B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locked/>
    <w:rsid w:val="000935B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935B8"/>
  </w:style>
  <w:style w:type="character" w:customStyle="1" w:styleId="DateChar">
    <w:name w:val="Date Char"/>
    <w:basedOn w:val="DefaultParagraphFont"/>
    <w:link w:val="Date"/>
    <w:semiHidden/>
    <w:rsid w:val="000935B8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0935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935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935B8"/>
  </w:style>
  <w:style w:type="character" w:customStyle="1" w:styleId="E-mailSignatureChar">
    <w:name w:val="E-mail Signature Char"/>
    <w:basedOn w:val="DefaultParagraphFont"/>
    <w:link w:val="E-mailSignature"/>
    <w:semiHidden/>
    <w:rsid w:val="000935B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935B8"/>
    <w:rPr>
      <w:i/>
      <w:iCs/>
    </w:rPr>
  </w:style>
  <w:style w:type="character" w:styleId="EndnoteReference">
    <w:name w:val="endnote reference"/>
    <w:basedOn w:val="DefaultParagraphFont"/>
    <w:semiHidden/>
    <w:locked/>
    <w:rsid w:val="000935B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935B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35B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935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935B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935B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935B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35B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935B8"/>
  </w:style>
  <w:style w:type="paragraph" w:styleId="HTMLAddress">
    <w:name w:val="HTML Address"/>
    <w:basedOn w:val="Normal"/>
    <w:link w:val="HTMLAddressChar"/>
    <w:semiHidden/>
    <w:locked/>
    <w:rsid w:val="000935B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935B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935B8"/>
    <w:rPr>
      <w:i/>
      <w:iCs/>
    </w:rPr>
  </w:style>
  <w:style w:type="character" w:styleId="HTMLCode">
    <w:name w:val="HTML Code"/>
    <w:basedOn w:val="DefaultParagraphFont"/>
    <w:semiHidden/>
    <w:locked/>
    <w:rsid w:val="000935B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935B8"/>
    <w:rPr>
      <w:i/>
      <w:iCs/>
    </w:rPr>
  </w:style>
  <w:style w:type="character" w:styleId="HTMLKeyboard">
    <w:name w:val="HTML Keyboard"/>
    <w:basedOn w:val="DefaultParagraphFont"/>
    <w:semiHidden/>
    <w:locked/>
    <w:rsid w:val="000935B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935B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935B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935B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935B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935B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935B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935B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935B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935B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935B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935B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935B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935B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935B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935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0935B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093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35B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0935B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locked/>
    <w:rsid w:val="000935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locked/>
    <w:rsid w:val="000935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locked/>
    <w:rsid w:val="000935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locked/>
    <w:rsid w:val="000935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locked/>
    <w:rsid w:val="000935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locked/>
    <w:rsid w:val="000935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locked/>
    <w:rsid w:val="000935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locked/>
    <w:rsid w:val="000935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locked/>
    <w:rsid w:val="000935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locked/>
    <w:rsid w:val="000935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locked/>
    <w:rsid w:val="000935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locked/>
    <w:rsid w:val="000935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locked/>
    <w:rsid w:val="000935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locked/>
    <w:rsid w:val="000935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locked/>
    <w:rsid w:val="000935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locked/>
    <w:rsid w:val="000935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locked/>
    <w:rsid w:val="000935B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locked/>
    <w:rsid w:val="000935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locked/>
    <w:rsid w:val="000935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locked/>
    <w:rsid w:val="000935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locked/>
    <w:rsid w:val="000935B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935B8"/>
  </w:style>
  <w:style w:type="paragraph" w:styleId="List">
    <w:name w:val="List"/>
    <w:basedOn w:val="Normal"/>
    <w:semiHidden/>
    <w:locked/>
    <w:rsid w:val="000935B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935B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935B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935B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935B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935B8"/>
    <w:pPr>
      <w:numPr>
        <w:numId w:val="25"/>
      </w:numPr>
      <w:contextualSpacing/>
    </w:pPr>
  </w:style>
  <w:style w:type="paragraph" w:styleId="ListBullet2">
    <w:name w:val="List Bullet 2"/>
    <w:basedOn w:val="Normal"/>
    <w:semiHidden/>
    <w:locked/>
    <w:rsid w:val="000935B8"/>
    <w:pPr>
      <w:numPr>
        <w:numId w:val="26"/>
      </w:numPr>
      <w:contextualSpacing/>
    </w:pPr>
  </w:style>
  <w:style w:type="paragraph" w:styleId="ListBullet3">
    <w:name w:val="List Bullet 3"/>
    <w:basedOn w:val="Normal"/>
    <w:semiHidden/>
    <w:locked/>
    <w:rsid w:val="000935B8"/>
    <w:pPr>
      <w:numPr>
        <w:numId w:val="27"/>
      </w:numPr>
      <w:contextualSpacing/>
    </w:pPr>
  </w:style>
  <w:style w:type="paragraph" w:styleId="ListBullet4">
    <w:name w:val="List Bullet 4"/>
    <w:basedOn w:val="Normal"/>
    <w:semiHidden/>
    <w:locked/>
    <w:rsid w:val="000935B8"/>
    <w:pPr>
      <w:numPr>
        <w:numId w:val="28"/>
      </w:numPr>
      <w:contextualSpacing/>
    </w:pPr>
  </w:style>
  <w:style w:type="paragraph" w:styleId="ListBullet5">
    <w:name w:val="List Bullet 5"/>
    <w:basedOn w:val="Normal"/>
    <w:semiHidden/>
    <w:locked/>
    <w:rsid w:val="000935B8"/>
    <w:pPr>
      <w:numPr>
        <w:numId w:val="29"/>
      </w:numPr>
      <w:contextualSpacing/>
    </w:pPr>
  </w:style>
  <w:style w:type="paragraph" w:styleId="ListContinue">
    <w:name w:val="List Continue"/>
    <w:basedOn w:val="Normal"/>
    <w:semiHidden/>
    <w:locked/>
    <w:rsid w:val="000935B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935B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935B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935B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935B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935B8"/>
    <w:pPr>
      <w:numPr>
        <w:numId w:val="30"/>
      </w:numPr>
      <w:contextualSpacing/>
    </w:pPr>
  </w:style>
  <w:style w:type="paragraph" w:styleId="ListNumber2">
    <w:name w:val="List Number 2"/>
    <w:basedOn w:val="Normal"/>
    <w:semiHidden/>
    <w:locked/>
    <w:rsid w:val="000935B8"/>
    <w:pPr>
      <w:numPr>
        <w:numId w:val="31"/>
      </w:numPr>
      <w:contextualSpacing/>
    </w:pPr>
  </w:style>
  <w:style w:type="paragraph" w:styleId="ListNumber3">
    <w:name w:val="List Number 3"/>
    <w:basedOn w:val="Normal"/>
    <w:semiHidden/>
    <w:locked/>
    <w:rsid w:val="000935B8"/>
    <w:pPr>
      <w:numPr>
        <w:numId w:val="32"/>
      </w:numPr>
      <w:contextualSpacing/>
    </w:pPr>
  </w:style>
  <w:style w:type="paragraph" w:styleId="ListNumber4">
    <w:name w:val="List Number 4"/>
    <w:basedOn w:val="Normal"/>
    <w:semiHidden/>
    <w:locked/>
    <w:rsid w:val="000935B8"/>
    <w:pPr>
      <w:numPr>
        <w:numId w:val="33"/>
      </w:numPr>
      <w:contextualSpacing/>
    </w:pPr>
  </w:style>
  <w:style w:type="paragraph" w:styleId="ListNumber5">
    <w:name w:val="List Number 5"/>
    <w:basedOn w:val="Normal"/>
    <w:semiHidden/>
    <w:locked/>
    <w:rsid w:val="000935B8"/>
    <w:pPr>
      <w:numPr>
        <w:numId w:val="34"/>
      </w:numPr>
      <w:contextualSpacing/>
    </w:pPr>
  </w:style>
  <w:style w:type="paragraph" w:styleId="MacroText">
    <w:name w:val="macro"/>
    <w:link w:val="MacroTextChar"/>
    <w:semiHidden/>
    <w:locked/>
    <w:rsid w:val="00093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935B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locked/>
    <w:rsid w:val="000935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locked/>
    <w:rsid w:val="000935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locked/>
    <w:rsid w:val="000935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locked/>
    <w:rsid w:val="000935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locked/>
    <w:rsid w:val="000935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locked/>
    <w:rsid w:val="000935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locked/>
    <w:rsid w:val="000935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locked/>
    <w:rsid w:val="00093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locked/>
    <w:rsid w:val="00093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locked/>
    <w:rsid w:val="00093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locked/>
    <w:rsid w:val="00093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locked/>
    <w:rsid w:val="00093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locked/>
    <w:rsid w:val="00093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locked/>
    <w:rsid w:val="00093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locked/>
    <w:rsid w:val="000935B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locked/>
    <w:rsid w:val="00093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locked/>
    <w:rsid w:val="000935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locked/>
    <w:rsid w:val="000935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locked/>
    <w:rsid w:val="000935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locked/>
    <w:rsid w:val="000935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locked/>
    <w:rsid w:val="000935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locked/>
    <w:rsid w:val="000935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locked/>
    <w:rsid w:val="000935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locked/>
    <w:rsid w:val="00093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locked/>
    <w:rsid w:val="00093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locked/>
    <w:rsid w:val="00093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locked/>
    <w:rsid w:val="00093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locked/>
    <w:rsid w:val="00093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locked/>
    <w:rsid w:val="00093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locked/>
    <w:rsid w:val="00093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93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935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locked/>
    <w:rsid w:val="000935B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935B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935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935B8"/>
  </w:style>
  <w:style w:type="character" w:customStyle="1" w:styleId="NoteHeadingChar">
    <w:name w:val="Note Heading Char"/>
    <w:basedOn w:val="DefaultParagraphFont"/>
    <w:link w:val="NoteHeading"/>
    <w:semiHidden/>
    <w:rsid w:val="000935B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935B8"/>
  </w:style>
  <w:style w:type="character" w:styleId="PlaceholderText">
    <w:name w:val="Placeholder Text"/>
    <w:basedOn w:val="DefaultParagraphFont"/>
    <w:uiPriority w:val="99"/>
    <w:semiHidden/>
    <w:locked/>
    <w:rsid w:val="000935B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935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935B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0935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935B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935B8"/>
  </w:style>
  <w:style w:type="character" w:customStyle="1" w:styleId="SalutationChar">
    <w:name w:val="Salutation Char"/>
    <w:basedOn w:val="DefaultParagraphFont"/>
    <w:link w:val="Salutation"/>
    <w:semiHidden/>
    <w:rsid w:val="000935B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935B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935B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935B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9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93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locked/>
    <w:rsid w:val="000935B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0935B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935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935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93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935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935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935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935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935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935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935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935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935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935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935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935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935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935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935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935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935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935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935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935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935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935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935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935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935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935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935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935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935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935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935B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935B8"/>
  </w:style>
  <w:style w:type="table" w:styleId="TableProfessional">
    <w:name w:val="Table Professional"/>
    <w:basedOn w:val="TableNormal"/>
    <w:semiHidden/>
    <w:locked/>
    <w:rsid w:val="000935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935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935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935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935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935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9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935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935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935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935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9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935B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935B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935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935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935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935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935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935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935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935B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935B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935B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935B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935B8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0935B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0935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6F0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rt5Overlays.docx" TargetMode="External"/><Relationship Id="rId13" Type="http://schemas.openxmlformats.org/officeDocument/2006/relationships/hyperlink" Target="Part5TablesOfAssessmentIntro.docx" TargetMode="External"/><Relationship Id="rId18" Type="http://schemas.openxmlformats.org/officeDocument/2006/relationships/hyperlink" Target="Part3Theme4.docx" TargetMode="External"/><Relationship Id="rId26" Type="http://schemas.openxmlformats.org/officeDocument/2006/relationships/hyperlink" Target="LandslideHazardPSP.docx" TargetMode="External"/><Relationship Id="rId3" Type="http://schemas.openxmlformats.org/officeDocument/2006/relationships/settings" Target="settings.xml"/><Relationship Id="rId21" Type="http://schemas.openxmlformats.org/officeDocument/2006/relationships/hyperlink" Target="Definitions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../../../../../City%20Plan%202014/CURRENT%20CITY%20PLAN%20UPDATE_ADOPTED/CITY%20PLAN%202014_Text/Part%205%20-%20Tables%20of%20assessment/Part5Overlays.docx" TargetMode="External"/><Relationship Id="rId12" Type="http://schemas.openxmlformats.org/officeDocument/2006/relationships/hyperlink" Target="Part1.docx" TargetMode="External"/><Relationship Id="rId17" Type="http://schemas.openxmlformats.org/officeDocument/2006/relationships/hyperlink" Target="Part3Theme2.docx" TargetMode="External"/><Relationship Id="rId25" Type="http://schemas.openxmlformats.org/officeDocument/2006/relationships/hyperlink" Target="LandslideHazardPSP.docx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Part3Theme2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hyperlink" Target="Definition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sbane.qld.gov.au/planning-building/planning-guidelines-tools/brisbane-city-plan-2014/city-plan-2014-mapping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../Part%203%20-%20Strategic%20framework/Part3StrategicFramework.docx" TargetMode="External"/><Relationship Id="rId23" Type="http://schemas.openxmlformats.org/officeDocument/2006/relationships/hyperlink" Target="LandslideHazardPSP.docx" TargetMode="External"/><Relationship Id="rId28" Type="http://schemas.openxmlformats.org/officeDocument/2006/relationships/hyperlink" Target="LandslideHazardPSP.docx" TargetMode="External"/><Relationship Id="rId10" Type="http://schemas.openxmlformats.org/officeDocument/2006/relationships/hyperlink" Target="Appendix1IndexGlossary.docx" TargetMode="External"/><Relationship Id="rId19" Type="http://schemas.openxmlformats.org/officeDocument/2006/relationships/hyperlink" Target="Part3Theme4.doc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yperlink" Target="LandslideHazardPSP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Definitions.docx" TargetMode="External"/><Relationship Id="rId30" Type="http://schemas.openxmlformats.org/officeDocument/2006/relationships/hyperlink" Target="http://www.ntc.gov.au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438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Landslide Overlay Code</vt:lpstr>
    </vt:vector>
  </TitlesOfParts>
  <Company>Brisbane City Council</Company>
  <LinksUpToDate>false</LinksUpToDate>
  <CharactersWithSpaces>11568</CharactersWithSpaces>
  <SharedDoc>false</SharedDoc>
  <HLinks>
    <vt:vector size="240" baseType="variant">
      <vt:variant>
        <vt:i4>852038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7274603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BuildingLocationPlan</vt:lpwstr>
      </vt:variant>
      <vt:variant>
        <vt:i4>7340130</vt:i4>
      </vt:variant>
      <vt:variant>
        <vt:i4>111</vt:i4>
      </vt:variant>
      <vt:variant>
        <vt:i4>0</vt:i4>
      </vt:variant>
      <vt:variant>
        <vt:i4>5</vt:i4>
      </vt:variant>
      <vt:variant>
        <vt:lpwstr>../Schedule 6 - Planning scheme policies/LandslideHazardPSP.doc</vt:lpwstr>
      </vt:variant>
      <vt:variant>
        <vt:lpwstr/>
      </vt:variant>
      <vt:variant>
        <vt:i4>7733361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DifficultEvacuate</vt:lpwstr>
      </vt:variant>
      <vt:variant>
        <vt:i4>1900557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VulnerableUses</vt:lpwstr>
      </vt:variant>
      <vt:variant>
        <vt:i4>7667811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EssentialCommunityInfrastructure</vt:lpwstr>
      </vt:variant>
      <vt:variant>
        <vt:i4>8257644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AssemblyUses</vt:lpwstr>
      </vt:variant>
      <vt:variant>
        <vt:i4>7340130</vt:i4>
      </vt:variant>
      <vt:variant>
        <vt:i4>96</vt:i4>
      </vt:variant>
      <vt:variant>
        <vt:i4>0</vt:i4>
      </vt:variant>
      <vt:variant>
        <vt:i4>5</vt:i4>
      </vt:variant>
      <vt:variant>
        <vt:lpwstr>../Schedule 6 - Planning scheme policies/LandslideHazardPSP.doc</vt:lpwstr>
      </vt:variant>
      <vt:variant>
        <vt:lpwstr/>
      </vt:variant>
      <vt:variant>
        <vt:i4>7733361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DifficultEvacuate</vt:lpwstr>
      </vt:variant>
      <vt:variant>
        <vt:i4>1900557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VulnerableUses</vt:lpwstr>
      </vt:variant>
      <vt:variant>
        <vt:i4>7667811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EssentialCommunityInfrastructure</vt:lpwstr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AssemblyUses</vt:lpwstr>
      </vt:variant>
      <vt:variant>
        <vt:i4>7733361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DifficultEvacuate</vt:lpwstr>
      </vt:variant>
      <vt:variant>
        <vt:i4>1900557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VulnerableUses</vt:lpwstr>
      </vt:variant>
      <vt:variant>
        <vt:i4>7667811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EssentialCommunityInfrastructure</vt:lpwstr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AssemblyUses</vt:lpwstr>
      </vt:variant>
      <vt:variant>
        <vt:i4>7340130</vt:i4>
      </vt:variant>
      <vt:variant>
        <vt:i4>69</vt:i4>
      </vt:variant>
      <vt:variant>
        <vt:i4>0</vt:i4>
      </vt:variant>
      <vt:variant>
        <vt:i4>5</vt:i4>
      </vt:variant>
      <vt:variant>
        <vt:lpwstr>../Schedule 6 - Planning scheme policies/LandslideHazardPSP.doc</vt:lpwstr>
      </vt:variant>
      <vt:variant>
        <vt:lpwstr/>
      </vt:variant>
      <vt:variant>
        <vt:i4>4718677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>Table93143h</vt:lpwstr>
      </vt:variant>
      <vt:variant>
        <vt:i4>4390942</vt:i4>
      </vt:variant>
      <vt:variant>
        <vt:i4>63</vt:i4>
      </vt:variant>
      <vt:variant>
        <vt:i4>0</vt:i4>
      </vt:variant>
      <vt:variant>
        <vt:i4>5</vt:i4>
      </vt:variant>
      <vt:variant>
        <vt:lpwstr>LandslideHazardOC.doc</vt:lpwstr>
      </vt:variant>
      <vt:variant>
        <vt:lpwstr/>
      </vt:variant>
      <vt:variant>
        <vt:i4>7012476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HazMaterials</vt:lpwstr>
      </vt:variant>
      <vt:variant>
        <vt:i4>7340130</vt:i4>
      </vt:variant>
      <vt:variant>
        <vt:i4>57</vt:i4>
      </vt:variant>
      <vt:variant>
        <vt:i4>0</vt:i4>
      </vt:variant>
      <vt:variant>
        <vt:i4>5</vt:i4>
      </vt:variant>
      <vt:variant>
        <vt:lpwstr>../Schedule 6 - Planning scheme policies/LandslideHazardPSP.doc</vt:lpwstr>
      </vt:variant>
      <vt:variant>
        <vt:lpwstr/>
      </vt:variant>
      <vt:variant>
        <vt:i4>7012476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HazMaterials</vt:lpwstr>
      </vt:variant>
      <vt:variant>
        <vt:i4>7012476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HazMaterials</vt:lpwstr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policies/LandslideHazardPSP.doc</vt:lpwstr>
      </vt:variant>
      <vt:variant>
        <vt:lpwstr/>
      </vt:variant>
      <vt:variant>
        <vt:i4>7340130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policies/LandslideHazardPSP.doc</vt:lpwstr>
      </vt:variant>
      <vt:variant>
        <vt:lpwstr/>
      </vt:variant>
      <vt:variant>
        <vt:i4>8126575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7340130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policies/LandslideHazardPSP.doc</vt:lpwstr>
      </vt:variant>
      <vt:variant>
        <vt:lpwstr/>
      </vt:variant>
      <vt:variant>
        <vt:i4>8126575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HazMaterials</vt:lpwstr>
      </vt:variant>
      <vt:variant>
        <vt:i4>7667811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EssentialCommunityInfrastructure</vt:lpwstr>
      </vt:variant>
      <vt:variant>
        <vt:i4>4128823</vt:i4>
      </vt:variant>
      <vt:variant>
        <vt:i4>24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../Schedule 6 - Planning scheme policies/LandslideHazardPSP.doc</vt:lpwstr>
      </vt:variant>
      <vt:variant>
        <vt:lpwstr/>
      </vt:variant>
      <vt:variant>
        <vt:i4>6881342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15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83</vt:i4>
      </vt:variant>
      <vt:variant>
        <vt:i4>9</vt:i4>
      </vt:variant>
      <vt:variant>
        <vt:i4>0</vt:i4>
      </vt:variant>
      <vt:variant>
        <vt:i4>5</vt:i4>
      </vt:variant>
      <vt:variant>
        <vt:lpwstr>http://www.emergency.qld.gov.au/publications/spp/</vt:lpwstr>
      </vt:variant>
      <vt:variant>
        <vt:lpwstr/>
      </vt:variant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Landslide Overlay Code</dc:title>
  <dc:creator>Timna M Green</dc:creator>
  <cp:lastModifiedBy>Alexander Amon</cp:lastModifiedBy>
  <cp:revision>86</cp:revision>
  <cp:lastPrinted>2012-02-16T04:04:00Z</cp:lastPrinted>
  <dcterms:created xsi:type="dcterms:W3CDTF">2013-06-20T23:20:00Z</dcterms:created>
  <dcterms:modified xsi:type="dcterms:W3CDTF">2017-11-30T00:53:00Z</dcterms:modified>
</cp:coreProperties>
</file>