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F0E5" w14:textId="04C7E0B8" w:rsidR="003D1377" w:rsidRPr="00A65A46" w:rsidRDefault="003D1377" w:rsidP="003D1377">
      <w:pPr>
        <w:pStyle w:val="QPPHeading4"/>
      </w:pPr>
      <w:bookmarkStart w:id="0" w:name="_GoBack"/>
      <w:bookmarkEnd w:id="0"/>
      <w:r w:rsidRPr="00A65A46">
        <w:t>7.2.4.3 Dutton Park</w:t>
      </w:r>
      <w:r>
        <w:t>—</w:t>
      </w:r>
      <w:r w:rsidRPr="00A65A46">
        <w:t xml:space="preserve">Fairfield neighbourhood plan code </w:t>
      </w:r>
    </w:p>
    <w:p w14:paraId="19B93964" w14:textId="18CCE0DE" w:rsidR="003D1377" w:rsidRPr="00D21F7E" w:rsidRDefault="003D1377" w:rsidP="003D1377">
      <w:pPr>
        <w:pStyle w:val="QPPHeading4"/>
      </w:pPr>
      <w:bookmarkStart w:id="1" w:name="_Toc398293969"/>
      <w:bookmarkStart w:id="2" w:name="_Toc398303982"/>
      <w:bookmarkStart w:id="3" w:name="_Toc398304067"/>
      <w:bookmarkStart w:id="4" w:name="_Toc398304132"/>
      <w:bookmarkStart w:id="5" w:name="_Toc398304246"/>
      <w:bookmarkStart w:id="6" w:name="_Toc398307444"/>
      <w:bookmarkStart w:id="7" w:name="_Toc398307488"/>
      <w:r w:rsidRPr="00D21F7E">
        <w:t>7.2.4.3.1 Application</w:t>
      </w:r>
      <w:bookmarkEnd w:id="1"/>
      <w:bookmarkEnd w:id="2"/>
      <w:bookmarkEnd w:id="3"/>
      <w:bookmarkEnd w:id="4"/>
      <w:bookmarkEnd w:id="5"/>
      <w:bookmarkEnd w:id="6"/>
      <w:bookmarkEnd w:id="7"/>
    </w:p>
    <w:p w14:paraId="71DB6DA5" w14:textId="03C83CAB" w:rsidR="003D1377" w:rsidRPr="00A65A46" w:rsidRDefault="009F533C" w:rsidP="00631465">
      <w:pPr>
        <w:pStyle w:val="QPPBulletPoint1"/>
      </w:pPr>
      <w:r w:rsidRPr="009F533C">
        <w:t xml:space="preserve">This code applies to assessing a material change of use, reconfiguring a lot, operational work or building work in the </w:t>
      </w:r>
      <w:r w:rsidRPr="00F34EA6">
        <w:t>Dutton Park—Fairfield neighbourhood plan area</w:t>
      </w:r>
      <w:r>
        <w:t xml:space="preserve"> if:</w:t>
      </w:r>
    </w:p>
    <w:p w14:paraId="0A0A3540" w14:textId="3863A813" w:rsidR="003D1377" w:rsidRPr="001568CD" w:rsidRDefault="009F533C">
      <w:pPr>
        <w:pStyle w:val="QPPBulletpoint2"/>
      </w:pPr>
      <w:r w:rsidRPr="00A65A46">
        <w:t xml:space="preserve">assessable development where this code is an applicable code identified in the assessment </w:t>
      </w:r>
      <w:r>
        <w:t>benchmarks</w:t>
      </w:r>
      <w:r w:rsidRPr="006E6FAB">
        <w:t xml:space="preserve"> column of a table of assessment for neighbourhood plan (</w:t>
      </w:r>
      <w:r w:rsidRPr="00F34EA6">
        <w:t>section 5.9</w:t>
      </w:r>
      <w:r w:rsidRPr="006E6FAB">
        <w:t>)</w:t>
      </w:r>
      <w:r w:rsidR="003D1377" w:rsidRPr="001568CD">
        <w:t>; or</w:t>
      </w:r>
    </w:p>
    <w:p w14:paraId="44A997B7" w14:textId="5FD008F4" w:rsidR="003D1377" w:rsidRPr="001568CD" w:rsidRDefault="009F533C">
      <w:pPr>
        <w:pStyle w:val="QPPBulletpoint2"/>
      </w:pPr>
      <w:r w:rsidRPr="006E6FAB">
        <w:t>impact assessable development</w:t>
      </w:r>
      <w:r w:rsidR="003D1377" w:rsidRPr="001568CD">
        <w:t>.</w:t>
      </w:r>
    </w:p>
    <w:p w14:paraId="392E1B8D" w14:textId="6187F08F" w:rsidR="003D1377" w:rsidRPr="003D1377" w:rsidRDefault="009F533C" w:rsidP="003D1377">
      <w:pPr>
        <w:pStyle w:val="QPPBulletPoint1"/>
      </w:pPr>
      <w:r w:rsidRPr="006E6FAB">
        <w:t>Land in the Dutton Park</w:t>
      </w:r>
      <w:r>
        <w:t>—</w:t>
      </w:r>
      <w:r w:rsidRPr="006E6FAB">
        <w:t>Fairfield neighbourhood plan area is identified on the NPM-004.3 Dutton Park</w:t>
      </w:r>
      <w:r>
        <w:t>-</w:t>
      </w:r>
      <w:r w:rsidRPr="006E6FAB">
        <w:t xml:space="preserve">Fairfield </w:t>
      </w:r>
      <w:r w:rsidRPr="006928FA">
        <w:t>neighbourhood</w:t>
      </w:r>
      <w:r w:rsidRPr="006E6FAB">
        <w:t xml:space="preserve"> plan map and includes the following precincts</w:t>
      </w:r>
      <w:r w:rsidR="003D1377" w:rsidRPr="003D1377">
        <w:t>:</w:t>
      </w:r>
    </w:p>
    <w:p w14:paraId="38E3C26B" w14:textId="748A4876" w:rsidR="003D1377" w:rsidRDefault="009F533C" w:rsidP="00631465">
      <w:pPr>
        <w:pStyle w:val="QPPBulletpoint2"/>
        <w:numPr>
          <w:ilvl w:val="0"/>
          <w:numId w:val="42"/>
        </w:numPr>
      </w:pPr>
      <w:r w:rsidRPr="006E6FAB">
        <w:t xml:space="preserve">Mater Hill </w:t>
      </w:r>
      <w:r w:rsidRPr="009F533C">
        <w:t>precinct (</w:t>
      </w:r>
      <w:r w:rsidRPr="00F34EA6">
        <w:t>Dutton Park—Fairfield neighbourhood plan</w:t>
      </w:r>
      <w:r w:rsidRPr="009F533C">
        <w:t>/NPP-001)</w:t>
      </w:r>
      <w:r w:rsidR="003D1377">
        <w:t>;</w:t>
      </w:r>
    </w:p>
    <w:p w14:paraId="0F488E1A" w14:textId="518DCF02" w:rsidR="00761EAF" w:rsidRPr="00942602" w:rsidRDefault="00761EAF" w:rsidP="00631465">
      <w:pPr>
        <w:pStyle w:val="QPPBulletpoint3"/>
      </w:pPr>
      <w:r w:rsidRPr="00942602">
        <w:t>Health sub-precinct (</w:t>
      </w:r>
      <w:r w:rsidRPr="00F34EA6">
        <w:t>Dutton Park—Fairfield neighbourhood plan</w:t>
      </w:r>
      <w:r w:rsidRPr="00942602">
        <w:t>/NPP-001a);</w:t>
      </w:r>
    </w:p>
    <w:p w14:paraId="6D804745" w14:textId="0FBD4A12" w:rsidR="00761EAF" w:rsidRPr="00942602" w:rsidRDefault="00761EAF" w:rsidP="00631465">
      <w:pPr>
        <w:pStyle w:val="QPPBulletpoint3"/>
      </w:pPr>
      <w:r w:rsidRPr="00942602">
        <w:t>Stanley Street and Annerley Road sub-precinct (</w:t>
      </w:r>
      <w:r w:rsidRPr="00F34EA6">
        <w:t>Dutton Park—Fairfield neighbourhood plan</w:t>
      </w:r>
      <w:r w:rsidRPr="00942602">
        <w:t>/NPP-001b);</w:t>
      </w:r>
    </w:p>
    <w:p w14:paraId="6D3B1B5F" w14:textId="0DCAA7EF" w:rsidR="00761EAF" w:rsidRPr="00942602" w:rsidRDefault="00761EAF" w:rsidP="00631465">
      <w:pPr>
        <w:pStyle w:val="QPPBulletpoint3"/>
      </w:pPr>
      <w:r w:rsidRPr="00942602">
        <w:t>Annerley Road sub-precinct (</w:t>
      </w:r>
      <w:r w:rsidRPr="00F34EA6">
        <w:t>Dutton Park—Fairfield neighbourhood plan</w:t>
      </w:r>
      <w:r w:rsidRPr="00942602">
        <w:t>/NPP-001c);</w:t>
      </w:r>
    </w:p>
    <w:p w14:paraId="16AA3374" w14:textId="3A596767" w:rsidR="00761EAF" w:rsidRPr="00942602" w:rsidRDefault="00761EAF" w:rsidP="00631465">
      <w:pPr>
        <w:pStyle w:val="QPPBulletpoint3"/>
      </w:pPr>
      <w:r w:rsidRPr="00942602">
        <w:t>Education sub-precinct (</w:t>
      </w:r>
      <w:r w:rsidRPr="00F34EA6">
        <w:t>Dutton Park—Fairfield neighbourhood plan</w:t>
      </w:r>
      <w:r w:rsidRPr="00942602">
        <w:t>/NPP-001d).</w:t>
      </w:r>
    </w:p>
    <w:p w14:paraId="72D0E124" w14:textId="5147DB75" w:rsidR="00761EAF" w:rsidRDefault="009F533C" w:rsidP="00631465">
      <w:pPr>
        <w:pStyle w:val="QPPBulletpoint2"/>
      </w:pPr>
      <w:r w:rsidRPr="006928FA">
        <w:t>Boggo Road Urban Village precinct (</w:t>
      </w:r>
      <w:r w:rsidRPr="00F34EA6">
        <w:t>Dutton Park—Fairfield neighbourhood plan</w:t>
      </w:r>
      <w:r w:rsidRPr="006928FA">
        <w:t>/NPP-002)</w:t>
      </w:r>
      <w:r w:rsidR="00C00D1A">
        <w:t>;</w:t>
      </w:r>
    </w:p>
    <w:p w14:paraId="525A10D2" w14:textId="3D9DEE0D" w:rsidR="00761EAF" w:rsidRPr="00942602" w:rsidRDefault="00761EAF" w:rsidP="00631465">
      <w:pPr>
        <w:pStyle w:val="QPPBulletpoint3"/>
        <w:numPr>
          <w:ilvl w:val="0"/>
          <w:numId w:val="67"/>
        </w:numPr>
      </w:pPr>
      <w:r w:rsidRPr="00942602">
        <w:t>Boggo Road Urban Village north sub-precinct (</w:t>
      </w:r>
      <w:r w:rsidRPr="00F34EA6">
        <w:t>Dutton Park—Fairfield neighbourhood plan</w:t>
      </w:r>
      <w:r w:rsidRPr="00942602">
        <w:t>/NPP-002a);</w:t>
      </w:r>
    </w:p>
    <w:p w14:paraId="6215A111" w14:textId="2D07A56B" w:rsidR="00761EAF" w:rsidRPr="00942602" w:rsidRDefault="00761EAF" w:rsidP="00631465">
      <w:pPr>
        <w:pStyle w:val="QPPBulletpoint3"/>
      </w:pPr>
      <w:r w:rsidRPr="00942602">
        <w:t>Boggo Road Urban Village north sub-precinct (</w:t>
      </w:r>
      <w:r w:rsidRPr="00F34EA6">
        <w:t>Dutton Park—Fairfield neighbourhood plan</w:t>
      </w:r>
      <w:r w:rsidRPr="00942602">
        <w:t>/NPP-002b).</w:t>
      </w:r>
    </w:p>
    <w:p w14:paraId="4EBDD297" w14:textId="69D7B485" w:rsidR="003D1377" w:rsidRPr="003D1377" w:rsidRDefault="009F533C" w:rsidP="009F533C">
      <w:pPr>
        <w:pStyle w:val="QPPBulletPoint1"/>
      </w:pPr>
      <w:r w:rsidRPr="009727D6">
        <w:t xml:space="preserve">When </w:t>
      </w:r>
      <w:r w:rsidRPr="009F533C">
        <w:t xml:space="preserve">using this code, reference should be made to </w:t>
      </w:r>
      <w:r w:rsidRPr="00F34EA6">
        <w:t>section 1.5</w:t>
      </w:r>
      <w:r w:rsidRPr="009F533C">
        <w:t xml:space="preserve">, </w:t>
      </w:r>
      <w:r w:rsidRPr="00F34EA6">
        <w:t>section 5.3.2</w:t>
      </w:r>
      <w:r>
        <w:t xml:space="preserve"> and </w:t>
      </w:r>
      <w:r w:rsidRPr="00F34EA6">
        <w:t>section 5.3.3</w:t>
      </w:r>
      <w:r>
        <w:t>.</w:t>
      </w:r>
    </w:p>
    <w:p w14:paraId="6344B93B" w14:textId="77777777" w:rsidR="003D1377" w:rsidRDefault="003D1377" w:rsidP="003D1377">
      <w:pPr>
        <w:pStyle w:val="QPPEditorsNoteStyle1"/>
      </w:pPr>
    </w:p>
    <w:p w14:paraId="6B0BE730" w14:textId="77777777" w:rsidR="009F533C" w:rsidRPr="009F533C" w:rsidRDefault="009F533C" w:rsidP="009F533C">
      <w:pPr>
        <w:pStyle w:val="QPPEditorsNoteStyle1"/>
      </w:pPr>
      <w:r w:rsidRPr="009F533C">
        <w:t>Note—The following purpose, overall outcomes, performance outcomes and acceptable outcomes comprise the assessment benchmarks of this code.</w:t>
      </w:r>
    </w:p>
    <w:p w14:paraId="5EC31D5C" w14:textId="07BDE5EB" w:rsidR="003D1377" w:rsidRPr="00DC44A7" w:rsidRDefault="009F533C" w:rsidP="003D1377">
      <w:pPr>
        <w:pStyle w:val="QPPEditorsNoteStyle1"/>
      </w:pPr>
      <w:r w:rsidRPr="009F533C">
        <w:t xml:space="preserve">Note—This neighbourhood plan includes a table of assessment with variations to categories of development and assessment. Refer to </w:t>
      </w:r>
      <w:r w:rsidRPr="00F34EA6">
        <w:t>Table 5.9.80.A</w:t>
      </w:r>
      <w:r w:rsidRPr="009F533C">
        <w:t xml:space="preserve">, </w:t>
      </w:r>
      <w:r w:rsidRPr="00F34EA6">
        <w:t>Table 5.9.80.B</w:t>
      </w:r>
      <w:r w:rsidRPr="009F533C">
        <w:t xml:space="preserve">, </w:t>
      </w:r>
      <w:r w:rsidRPr="00F34EA6">
        <w:t>Table 5.9.80.C</w:t>
      </w:r>
      <w:r w:rsidRPr="009F533C">
        <w:t xml:space="preserve"> and </w:t>
      </w:r>
      <w:r w:rsidRPr="00F34EA6">
        <w:t>Table 5.9.80.D</w:t>
      </w:r>
      <w:r w:rsidRPr="009F533C">
        <w:t>.</w:t>
      </w:r>
    </w:p>
    <w:p w14:paraId="228F1950" w14:textId="39500772" w:rsidR="009F533C" w:rsidRDefault="009F533C" w:rsidP="009F533C">
      <w:pPr>
        <w:pStyle w:val="QPPEditorsNoteStyle1"/>
      </w:pPr>
      <w:r w:rsidRPr="00DC44A7">
        <w:t xml:space="preserve">Editor’s note—Part of the neighbourhood plan area is covered by the Woolloongabba </w:t>
      </w:r>
      <w:r>
        <w:t>p</w:t>
      </w:r>
      <w:r w:rsidRPr="00DC44A7">
        <w:t xml:space="preserve">riority </w:t>
      </w:r>
      <w:r>
        <w:t>d</w:t>
      </w:r>
      <w:r w:rsidRPr="00DC44A7">
        <w:t xml:space="preserve">evelopment </w:t>
      </w:r>
      <w:r>
        <w:t>a</w:t>
      </w:r>
      <w:r w:rsidRPr="00DC44A7">
        <w:t xml:space="preserve">rea which Economic Development Queensland is responsible for planning under the </w:t>
      </w:r>
      <w:r w:rsidRPr="00F34EA6">
        <w:rPr>
          <w:i/>
        </w:rPr>
        <w:t>Economic Development Act 2012</w:t>
      </w:r>
      <w:r w:rsidRPr="00DC44A7">
        <w:t>.</w:t>
      </w:r>
    </w:p>
    <w:p w14:paraId="3D4906DD" w14:textId="32239BCC" w:rsidR="00FE77C2" w:rsidRDefault="00FE77C2">
      <w:pPr>
        <w:pStyle w:val="QPPEditorsNoteStyle1"/>
      </w:pPr>
      <w:r>
        <w:t>Editor's note</w:t>
      </w:r>
      <w:r w:rsidRPr="003E6AFE">
        <w:t>—</w:t>
      </w:r>
      <w:r w:rsidRPr="005B4E2A">
        <w:t xml:space="preserve">Part of the neighbourhood plan area is covered by the </w:t>
      </w:r>
      <w:r>
        <w:t>Yeronga</w:t>
      </w:r>
      <w:r w:rsidRPr="005B4E2A">
        <w:t xml:space="preserve"> Priority Development Area which Economic Development Queensland is responsible for planning under the </w:t>
      </w:r>
      <w:r w:rsidRPr="00F34EA6">
        <w:rPr>
          <w:i/>
        </w:rPr>
        <w:t>Economic Development Act 2012</w:t>
      </w:r>
      <w:r w:rsidRPr="008B641E">
        <w:t>.</w:t>
      </w:r>
    </w:p>
    <w:p w14:paraId="4E6F95C6" w14:textId="77777777" w:rsidR="00FE77C2" w:rsidRPr="003C5B98" w:rsidRDefault="00FE77C2" w:rsidP="004A1623">
      <w:pPr>
        <w:pStyle w:val="QPPBodytext"/>
      </w:pPr>
    </w:p>
    <w:p w14:paraId="7FBBCA8F" w14:textId="1F0B2069" w:rsidR="003D1377" w:rsidRPr="00D21F7E" w:rsidRDefault="003D1377" w:rsidP="003D1377">
      <w:pPr>
        <w:pStyle w:val="QPPHeading4"/>
      </w:pPr>
      <w:bookmarkStart w:id="8" w:name="_Toc398293970"/>
      <w:bookmarkStart w:id="9" w:name="_Toc398303983"/>
      <w:bookmarkStart w:id="10" w:name="_Toc398304068"/>
      <w:bookmarkStart w:id="11" w:name="_Toc398304133"/>
      <w:bookmarkStart w:id="12" w:name="_Toc398304247"/>
      <w:bookmarkStart w:id="13" w:name="_Toc398307445"/>
      <w:bookmarkStart w:id="14" w:name="_Toc398307489"/>
      <w:bookmarkStart w:id="15" w:name="purpose"/>
      <w:r w:rsidRPr="00D21F7E">
        <w:t>7.2.4.3.2 Purpose</w:t>
      </w:r>
      <w:bookmarkEnd w:id="8"/>
      <w:bookmarkEnd w:id="9"/>
      <w:bookmarkEnd w:id="10"/>
      <w:bookmarkEnd w:id="11"/>
      <w:bookmarkEnd w:id="12"/>
      <w:bookmarkEnd w:id="13"/>
      <w:bookmarkEnd w:id="14"/>
    </w:p>
    <w:bookmarkEnd w:id="15"/>
    <w:p w14:paraId="6256C942" w14:textId="2F8046C0" w:rsidR="003D1377" w:rsidRPr="006E6FAB" w:rsidRDefault="009F533C" w:rsidP="00631465">
      <w:pPr>
        <w:pStyle w:val="QPPBulletPoint1"/>
        <w:numPr>
          <w:ilvl w:val="0"/>
          <w:numId w:val="11"/>
        </w:numPr>
      </w:pPr>
      <w:r w:rsidRPr="009727D6">
        <w:t>The purpose</w:t>
      </w:r>
      <w:r w:rsidRPr="009F533C">
        <w:t xml:space="preserve"> of the </w:t>
      </w:r>
      <w:r w:rsidRPr="00394CE2">
        <w:t>Dutton Park—Fairfield neighbourhood plan</w:t>
      </w:r>
      <w:r w:rsidRPr="009F533C">
        <w:t xml:space="preserve"> code is to provide finer grained planning at a local level for the Dutton Park—Fairfield neighbourhood plan area</w:t>
      </w:r>
      <w:r w:rsidR="003D1377" w:rsidRPr="006E6FAB">
        <w:t xml:space="preserve">. </w:t>
      </w:r>
    </w:p>
    <w:p w14:paraId="62D1F16C" w14:textId="60BCC5F7" w:rsidR="009F533C" w:rsidRDefault="009F533C" w:rsidP="009F533C">
      <w:pPr>
        <w:pStyle w:val="QPPBulletPoint1"/>
      </w:pPr>
      <w:r w:rsidRPr="006E6FAB">
        <w:t xml:space="preserve">The purpose </w:t>
      </w:r>
      <w:r w:rsidRPr="009F533C">
        <w:t xml:space="preserve">of the </w:t>
      </w:r>
      <w:r w:rsidRPr="00394CE2">
        <w:t>Dutton Park-Fairfield neighbourhood plan</w:t>
      </w:r>
      <w:r w:rsidRPr="009F533C">
        <w:t xml:space="preserve"> code will be achieved through overall outcomes including overall outcomes for each precinct of the neighbourhood plan area</w:t>
      </w:r>
      <w:r>
        <w:t>.</w:t>
      </w:r>
    </w:p>
    <w:p w14:paraId="1278986D" w14:textId="77777777" w:rsidR="003D1377" w:rsidRPr="006E6FAB" w:rsidRDefault="003D1377" w:rsidP="003D1377">
      <w:pPr>
        <w:pStyle w:val="QPPBulletPoint1"/>
      </w:pPr>
      <w:r w:rsidRPr="006E6FAB">
        <w:t>The overall outcomes for the neighbourhood plan area are:</w:t>
      </w:r>
    </w:p>
    <w:p w14:paraId="377C5B99" w14:textId="2DD49CA8" w:rsidR="003D1377" w:rsidRDefault="009F533C" w:rsidP="00631465">
      <w:pPr>
        <w:pStyle w:val="QPPBulletpoint2"/>
        <w:numPr>
          <w:ilvl w:val="0"/>
          <w:numId w:val="44"/>
        </w:numPr>
      </w:pPr>
      <w:r w:rsidRPr="009F533C">
        <w:t>Development of the Princess Alexandra, Mater and Lady Cilento Children’s hospitals facilitates the growth of specialised health and knowledge facilities to create integrated health and knowledge precincts, supported by a mix of ancillary uses, with dedicated public transport infrastructure.</w:t>
      </w:r>
    </w:p>
    <w:p w14:paraId="7A3C076D" w14:textId="18B554C7" w:rsidR="001319B2" w:rsidRDefault="001319B2" w:rsidP="001319B2">
      <w:pPr>
        <w:pStyle w:val="QPPBulletpoint2"/>
      </w:pPr>
      <w:r w:rsidRPr="001319B2">
        <w:t>Development preserves heritage places, and heritage buildings are retained conserved and re-used.</w:t>
      </w:r>
    </w:p>
    <w:p w14:paraId="0C49A100" w14:textId="5A914B5C" w:rsidR="001319B2" w:rsidRPr="001319B2" w:rsidRDefault="001319B2" w:rsidP="001319B2">
      <w:pPr>
        <w:pStyle w:val="QPPBulletpoint2"/>
      </w:pPr>
      <w:r w:rsidRPr="001319B2">
        <w:t xml:space="preserve">Development minimises impacts on areas of traditional building character in the Character zone precinct of the </w:t>
      </w:r>
      <w:r w:rsidRPr="00F34EA6">
        <w:t>Character residential zone</w:t>
      </w:r>
      <w:r w:rsidRPr="001319B2">
        <w:t xml:space="preserve"> and in the Infill housing zone precinct of the </w:t>
      </w:r>
      <w:r w:rsidRPr="00F34EA6">
        <w:t>Character residential zone</w:t>
      </w:r>
      <w:r w:rsidRPr="001319B2">
        <w:t xml:space="preserve"> by providing transitions in building height.</w:t>
      </w:r>
    </w:p>
    <w:p w14:paraId="7FB23C76" w14:textId="77777777" w:rsidR="001319B2" w:rsidRPr="001319B2" w:rsidRDefault="001319B2" w:rsidP="001319B2">
      <w:pPr>
        <w:pStyle w:val="QPPBulletpoint2"/>
      </w:pPr>
      <w:r w:rsidRPr="001319B2">
        <w:t>Development achieves a high quality built form and public realm that supports the creation of walkable catchments to public transport and pedestrian and cyclist networks through the provision of streetscape treatments, plazas and arcades.</w:t>
      </w:r>
    </w:p>
    <w:p w14:paraId="73C6754C" w14:textId="77777777" w:rsidR="001319B2" w:rsidRPr="001319B2" w:rsidRDefault="001319B2" w:rsidP="001319B2">
      <w:pPr>
        <w:pStyle w:val="QPPBulletpoint2"/>
      </w:pPr>
      <w:r w:rsidRPr="001319B2">
        <w:t xml:space="preserve">Development in the Mixed use zone along Annerley Road and in the Neighbourhood centre zone near Dutton Park Railway Station activates street frontages and supports accessibility </w:t>
      </w:r>
      <w:r w:rsidRPr="001319B2">
        <w:lastRenderedPageBreak/>
        <w:t xml:space="preserve">to centre activities via building design that emphasises shelter, shade, legible paths and crossing points. </w:t>
      </w:r>
    </w:p>
    <w:p w14:paraId="1F8EDD52" w14:textId="77777777" w:rsidR="001319B2" w:rsidRPr="001319B2" w:rsidRDefault="001319B2" w:rsidP="001319B2">
      <w:pPr>
        <w:pStyle w:val="QPPBulletpoint2"/>
      </w:pPr>
      <w:r w:rsidRPr="001319B2">
        <w:t xml:space="preserve">Development on Annerley Road, and other arterial roads, creates subtropical, shady pedestrian boulevards including corner land dedications at key intersections. </w:t>
      </w:r>
    </w:p>
    <w:p w14:paraId="46CD5E3E" w14:textId="77777777" w:rsidR="001319B2" w:rsidRPr="001319B2" w:rsidRDefault="001319B2" w:rsidP="001319B2">
      <w:pPr>
        <w:pStyle w:val="QPPBulletpoint2"/>
      </w:pPr>
      <w:r w:rsidRPr="001319B2">
        <w:t>Development provides for the potential integration of Gair Park with development fronting Maldon Street including maintaining access for pedestrians and cyclists through the park.</w:t>
      </w:r>
    </w:p>
    <w:p w14:paraId="4FA546FD" w14:textId="77777777" w:rsidR="001319B2" w:rsidRPr="001319B2" w:rsidRDefault="001319B2" w:rsidP="001319B2">
      <w:pPr>
        <w:pStyle w:val="QPPBulletpoint2"/>
      </w:pPr>
      <w:r w:rsidRPr="001319B2">
        <w:t>Development does not adversely affect the structural integrity, ongoing operation and maintenance of major transport infrastructure.</w:t>
      </w:r>
    </w:p>
    <w:p w14:paraId="7F821CF2" w14:textId="0F9D72E6" w:rsidR="001319B2" w:rsidRPr="001319B2" w:rsidRDefault="001319B2" w:rsidP="001319B2">
      <w:pPr>
        <w:pStyle w:val="QPPBulletpoint2"/>
      </w:pPr>
      <w:r w:rsidRPr="001319B2">
        <w:t xml:space="preserve">Development is located and designed to enhance the accessibility and integration of existing and future public </w:t>
      </w:r>
      <w:r>
        <w:t>transport passenger facilities.</w:t>
      </w:r>
    </w:p>
    <w:p w14:paraId="776F233F" w14:textId="3E68CA81" w:rsidR="003D1377" w:rsidRPr="003D1377" w:rsidRDefault="001319B2" w:rsidP="001319B2">
      <w:pPr>
        <w:pStyle w:val="QPPBulletPoint1"/>
      </w:pPr>
      <w:r w:rsidRPr="001319B2">
        <w:t>The Mater Hill precinct (</w:t>
      </w:r>
      <w:r w:rsidRPr="00F34EA6">
        <w:t>Dutton Park—Fairfield neighbourhood plan</w:t>
      </w:r>
      <w:r>
        <w:t>/NPP-001) outcomes are</w:t>
      </w:r>
      <w:r w:rsidR="003D1377" w:rsidRPr="003D1377">
        <w:t>:</w:t>
      </w:r>
    </w:p>
    <w:p w14:paraId="7DA818CD" w14:textId="4D66C29F" w:rsidR="003D1377" w:rsidRDefault="001319B2" w:rsidP="00631465">
      <w:pPr>
        <w:pStyle w:val="QPPBulletpoint2"/>
        <w:numPr>
          <w:ilvl w:val="0"/>
          <w:numId w:val="46"/>
        </w:numPr>
      </w:pPr>
      <w:r w:rsidRPr="001319B2">
        <w:t>Development supports the growth of specialised and regionally significant health services, health research and education within an established character residential suburb. Heritage buildings are retained and repurposed to maintain a strong identity for this centre.</w:t>
      </w:r>
    </w:p>
    <w:p w14:paraId="34CC667C" w14:textId="4CCAE0F4" w:rsidR="003D1377" w:rsidRDefault="001319B2" w:rsidP="001319B2">
      <w:pPr>
        <w:pStyle w:val="QPPBulletpoint2"/>
      </w:pPr>
      <w:r w:rsidRPr="001319B2">
        <w:t>The Health sub-precinct (</w:t>
      </w:r>
      <w:r w:rsidRPr="00F34EA6">
        <w:t>Dutton Park—Fairfield neighbourhood plan</w:t>
      </w:r>
      <w:r w:rsidRPr="001319B2">
        <w:t>/NPP-001a) overall outcomes are</w:t>
      </w:r>
      <w:r>
        <w:t xml:space="preserve">: </w:t>
      </w:r>
    </w:p>
    <w:p w14:paraId="4FD2BB16" w14:textId="77777777" w:rsidR="001319B2" w:rsidRDefault="001319B2" w:rsidP="00F9068D">
      <w:pPr>
        <w:pStyle w:val="QPPBulletpoint3"/>
        <w:numPr>
          <w:ilvl w:val="0"/>
          <w:numId w:val="68"/>
        </w:numPr>
      </w:pPr>
      <w:r>
        <w:t xml:space="preserve">Growth of a regionally significant health services, research and education centre is consistent with an endorsed master plan. </w:t>
      </w:r>
    </w:p>
    <w:p w14:paraId="62602277" w14:textId="0721E3B6" w:rsidR="001319B2" w:rsidRPr="001319B2" w:rsidRDefault="001319B2" w:rsidP="001319B2">
      <w:pPr>
        <w:pStyle w:val="QPPBulletpoint3"/>
      </w:pPr>
      <w:r>
        <w:t xml:space="preserve">Provides for the expansion </w:t>
      </w:r>
      <w:r w:rsidRPr="001319B2">
        <w:t xml:space="preserve">of regionally significant health and knowledge uses by support for building heights up to 20 </w:t>
      </w:r>
      <w:r w:rsidRPr="00F34EA6">
        <w:t>storeys</w:t>
      </w:r>
      <w:r w:rsidRPr="001319B2">
        <w:t xml:space="preserve">. </w:t>
      </w:r>
    </w:p>
    <w:p w14:paraId="1D172984" w14:textId="77777777" w:rsidR="001319B2" w:rsidRPr="00DC44A7" w:rsidRDefault="001319B2" w:rsidP="001319B2">
      <w:pPr>
        <w:pStyle w:val="QPPBulletpoint3"/>
      </w:pPr>
      <w:r w:rsidRPr="00DC44A7">
        <w:t>Ensures that a range of complementary uses are co-located with major health care activities including technical institutes, residential care facilities, food and drink outlets and shops.</w:t>
      </w:r>
    </w:p>
    <w:p w14:paraId="1CA07137" w14:textId="77777777" w:rsidR="001319B2" w:rsidRPr="001319B2" w:rsidRDefault="001319B2" w:rsidP="001319B2">
      <w:pPr>
        <w:pStyle w:val="QPPBulletpoint3"/>
      </w:pPr>
      <w:r w:rsidRPr="00D62C97">
        <w:t>Provides high density short-term accommodation</w:t>
      </w:r>
      <w:r w:rsidRPr="001319B2">
        <w:t xml:space="preserve"> for health services and research workers and visitors.</w:t>
      </w:r>
    </w:p>
    <w:p w14:paraId="522410AA" w14:textId="77777777" w:rsidR="001319B2" w:rsidRPr="001319B2" w:rsidRDefault="001319B2" w:rsidP="001319B2">
      <w:pPr>
        <w:pStyle w:val="QPPBulletpoint3"/>
      </w:pPr>
      <w:r>
        <w:t>I</w:t>
      </w:r>
      <w:r w:rsidRPr="001319B2">
        <w:t>ntegrates development with high frequency public transport infrastructure and develops strong active transport linkages to minimise private transport demands.</w:t>
      </w:r>
    </w:p>
    <w:p w14:paraId="32DFD3F2" w14:textId="40A8FE63" w:rsidR="001319B2" w:rsidRPr="00C13BBA" w:rsidRDefault="001319B2" w:rsidP="001319B2">
      <w:pPr>
        <w:pStyle w:val="QPPBulletpoint3"/>
      </w:pPr>
      <w:r>
        <w:t>M</w:t>
      </w:r>
      <w:r w:rsidRPr="001319B2">
        <w:t>inimises operational and service noise from the Mater Hospital and Lady Cilento Children’s Hospital to residential property fronting Clarence Street.</w:t>
      </w:r>
    </w:p>
    <w:p w14:paraId="5396612D" w14:textId="601C880E" w:rsidR="00F9068D" w:rsidRDefault="001319B2" w:rsidP="00631465">
      <w:pPr>
        <w:pStyle w:val="QPPBulletpoint2"/>
      </w:pPr>
      <w:r w:rsidRPr="001319B2">
        <w:t>The Stanley Street and Annerley Road sub-precinct (</w:t>
      </w:r>
      <w:r w:rsidRPr="00F34EA6">
        <w:t>Dutton Park—Fairfield neighbourhood plan</w:t>
      </w:r>
      <w:r w:rsidRPr="001319B2">
        <w:t>/NPP-001b) overall outcomes are:</w:t>
      </w:r>
    </w:p>
    <w:p w14:paraId="070016B2" w14:textId="7724A337" w:rsidR="001319B2" w:rsidRPr="001319B2" w:rsidRDefault="00F9068D" w:rsidP="00F9068D">
      <w:pPr>
        <w:pStyle w:val="QPPBulletpoint3"/>
        <w:numPr>
          <w:ilvl w:val="0"/>
          <w:numId w:val="69"/>
        </w:numPr>
      </w:pPr>
      <w:r w:rsidRPr="001319B2">
        <w:t xml:space="preserve"> </w:t>
      </w:r>
      <w:r w:rsidR="001319B2" w:rsidRPr="001319B2">
        <w:t>Accommodates a mix of non-residential uses which support the Mater and Lady Cilento Children’s Hospitals including health care services, conference facilities, offices, short-term accommodation, food and drink outlets, bars and does not provide for multiple dwellings, rooming accommodation, residential care or retirement facilities.</w:t>
      </w:r>
    </w:p>
    <w:p w14:paraId="29736629" w14:textId="77777777" w:rsidR="001319B2" w:rsidRPr="001319B2" w:rsidRDefault="001319B2" w:rsidP="001319B2">
      <w:pPr>
        <w:pStyle w:val="QPPBulletpoint3"/>
      </w:pPr>
      <w:r w:rsidRPr="001319B2">
        <w:t>Creates a vibrant day and night pedestrian precinct destination in the mixed use area south of Stanley Street including an arcade immediately behind heritage listed buildings, a plaza space next to the Princess Theatre on Annerley Road and public art in prominent locations.</w:t>
      </w:r>
    </w:p>
    <w:p w14:paraId="4B22EEE9" w14:textId="77777777" w:rsidR="001319B2" w:rsidRPr="001319B2" w:rsidRDefault="001319B2" w:rsidP="001319B2">
      <w:pPr>
        <w:pStyle w:val="QPPBulletpoint3"/>
      </w:pPr>
      <w:r w:rsidRPr="001319B2">
        <w:t xml:space="preserve">Retains and reuses heritage buildings on Stanley Street and Annerley Road by ensuring that uses located in Stanley Street activate the street and the arcade. </w:t>
      </w:r>
    </w:p>
    <w:p w14:paraId="16344D71" w14:textId="77777777" w:rsidR="001319B2" w:rsidRPr="001319B2" w:rsidRDefault="001319B2" w:rsidP="001319B2">
      <w:pPr>
        <w:pStyle w:val="QPPBulletpoint3"/>
      </w:pPr>
      <w:r w:rsidRPr="001319B2">
        <w:t>Enhances pedestrian amenity and connectivity between Trinity Lane and Annerley Road by providing active tenancies along the arcade and pedestrian access from Annerley Road to Merton Road and from Merton Road to Trinity Lane.</w:t>
      </w:r>
    </w:p>
    <w:p w14:paraId="6F8BB7FF" w14:textId="77777777" w:rsidR="001319B2" w:rsidRPr="001319B2" w:rsidRDefault="001319B2" w:rsidP="001319B2">
      <w:pPr>
        <w:pStyle w:val="QPPBulletpoint3"/>
      </w:pPr>
      <w:r w:rsidRPr="001319B2">
        <w:t>Manages interface between new development and character residential areas by providing transitions in building heights between development in the Mixed use zone and the Character residential zone, particularly in the Stanley Street and Annerley Road sub-precinct (b) where maximum building heights are reduced.</w:t>
      </w:r>
    </w:p>
    <w:p w14:paraId="44DB113D" w14:textId="206C10CA" w:rsidR="003D1377" w:rsidRPr="003D1377" w:rsidRDefault="001319B2" w:rsidP="001319B2">
      <w:pPr>
        <w:pStyle w:val="QPPBulletpoint3"/>
      </w:pPr>
      <w:r w:rsidRPr="001319B2">
        <w:t>Consolidates access and service arrangements by locating a service lane from Merton Road to Catherine Street in the mixed use area adjacent to the character residential area.</w:t>
      </w:r>
    </w:p>
    <w:p w14:paraId="233120D0" w14:textId="2B63ADB4" w:rsidR="003D1377" w:rsidRPr="003D1377" w:rsidRDefault="009D702F" w:rsidP="009D702F">
      <w:pPr>
        <w:pStyle w:val="QPPBulletpoint2"/>
      </w:pPr>
      <w:r w:rsidRPr="009D702F">
        <w:t>The Annerley Road sub-precinct (</w:t>
      </w:r>
      <w:r w:rsidRPr="00F34EA6">
        <w:t>Dutton Park—Fairfield neighbourhood plan</w:t>
      </w:r>
      <w:r w:rsidRPr="009D702F">
        <w:t>/NPP-001c) overall outcomes are</w:t>
      </w:r>
      <w:r w:rsidR="003D1377" w:rsidRPr="003D1377">
        <w:t>:</w:t>
      </w:r>
    </w:p>
    <w:p w14:paraId="410D9727" w14:textId="1B73D546" w:rsidR="009D702F" w:rsidRPr="009D702F" w:rsidRDefault="009D702F" w:rsidP="00631465">
      <w:pPr>
        <w:pStyle w:val="QPPBulletpoint3"/>
        <w:numPr>
          <w:ilvl w:val="0"/>
          <w:numId w:val="49"/>
        </w:numPr>
      </w:pPr>
      <w:r w:rsidRPr="009D702F">
        <w:t xml:space="preserve">Supports the development, up to 10 </w:t>
      </w:r>
      <w:r w:rsidRPr="00F34EA6">
        <w:t>storeys</w:t>
      </w:r>
      <w:r w:rsidRPr="009D702F">
        <w:t>, of an active sub-precinct near the Mater Hospital, comprising a mix of non-residential ancillary uses, including health care services, conference facilities, offices, short-term accommodation, food and drink outlets.</w:t>
      </w:r>
    </w:p>
    <w:p w14:paraId="43C60EBE" w14:textId="43635A39" w:rsidR="003D1377" w:rsidRPr="00D62C97" w:rsidRDefault="009D702F" w:rsidP="009D702F">
      <w:pPr>
        <w:pStyle w:val="QPPBulletpoint3"/>
      </w:pPr>
      <w:r w:rsidRPr="009D702F">
        <w:t xml:space="preserve">Manages the interface between new development and character residential areas by providing transitions in building heights between development in the Mixed use zone and </w:t>
      </w:r>
      <w:r>
        <w:t>the Character residential zone.</w:t>
      </w:r>
    </w:p>
    <w:p w14:paraId="20307707" w14:textId="63538768" w:rsidR="003D1377" w:rsidRPr="003D1377" w:rsidRDefault="009D702F" w:rsidP="009D702F">
      <w:pPr>
        <w:pStyle w:val="QPPBulletpoint2"/>
      </w:pPr>
      <w:r w:rsidRPr="00D62C97">
        <w:lastRenderedPageBreak/>
        <w:t>The Education sub-precinct (</w:t>
      </w:r>
      <w:r w:rsidRPr="00F34EA6">
        <w:t>Dutton Park—Fairfield neighbourhood plan</w:t>
      </w:r>
      <w:r w:rsidRPr="009D702F">
        <w:t xml:space="preserve">/NPP-001d) overall outcomes are: </w:t>
      </w:r>
      <w:r w:rsidR="003D1377" w:rsidRPr="003D1377">
        <w:t xml:space="preserve"> </w:t>
      </w:r>
    </w:p>
    <w:p w14:paraId="3A04A477" w14:textId="77777777" w:rsidR="009D702F" w:rsidRPr="00D62C97" w:rsidRDefault="009D702F" w:rsidP="00631465">
      <w:pPr>
        <w:pStyle w:val="QPPBulletpoint3"/>
        <w:numPr>
          <w:ilvl w:val="0"/>
          <w:numId w:val="50"/>
        </w:numPr>
      </w:pPr>
      <w:r w:rsidRPr="00D62C97">
        <w:t xml:space="preserve">Provides for the continued operation of preparatory, primary and secondary education facilities within inner city Brisbane, which adjoin a specialised health and knowledge centre. </w:t>
      </w:r>
    </w:p>
    <w:p w14:paraId="5F263CB3" w14:textId="77777777" w:rsidR="009D702F" w:rsidRPr="00D62C97" w:rsidRDefault="009D702F" w:rsidP="009D702F">
      <w:pPr>
        <w:pStyle w:val="QPPBulletpoint3"/>
      </w:pPr>
      <w:r w:rsidRPr="00D62C97">
        <w:t>Ensures the protection, conservation and reuse of heritage listed buildings including Somerville House and the South Brisbane Municipal Chambers.</w:t>
      </w:r>
    </w:p>
    <w:p w14:paraId="58F38634" w14:textId="77777777" w:rsidR="009D702F" w:rsidRPr="00D62C97" w:rsidRDefault="009D702F" w:rsidP="009D702F">
      <w:pPr>
        <w:pStyle w:val="QPPBulletpoint3"/>
      </w:pPr>
      <w:r w:rsidRPr="00D62C97">
        <w:t>Ensures that development is consistent with an endorsed master plan which manages the interface between the Education sub-precinct NPP-001d and the Health sub-precinct NPP-001a.</w:t>
      </w:r>
    </w:p>
    <w:p w14:paraId="30009DEA" w14:textId="77777777" w:rsidR="009D702F" w:rsidRPr="009D702F" w:rsidRDefault="009D702F" w:rsidP="009D702F">
      <w:pPr>
        <w:pStyle w:val="QPPBulletpoint3"/>
      </w:pPr>
      <w:r w:rsidRPr="009D702F">
        <w:t>Manages the interface between character residential areas and education purposes along the Stephens Road frontage by:</w:t>
      </w:r>
    </w:p>
    <w:p w14:paraId="6A718EB3" w14:textId="0DD11053" w:rsidR="003D1377" w:rsidRPr="00F9068D" w:rsidRDefault="009D702F" w:rsidP="00F9068D">
      <w:pPr>
        <w:pStyle w:val="QPPBulletPoint4"/>
      </w:pPr>
      <w:r w:rsidRPr="00F9068D">
        <w:t xml:space="preserve">maintaining a residential scale up to 3 </w:t>
      </w:r>
      <w:r w:rsidRPr="00F34EA6">
        <w:t>storeys</w:t>
      </w:r>
      <w:r w:rsidRPr="00F9068D">
        <w:t xml:space="preserve"> where facing residential zoned areas with traditional building character.</w:t>
      </w:r>
    </w:p>
    <w:p w14:paraId="217C6A6C" w14:textId="359BFFFF" w:rsidR="003D1377" w:rsidRPr="00F9068D" w:rsidRDefault="009D702F" w:rsidP="00F9068D">
      <w:pPr>
        <w:pStyle w:val="QPPBulletPoint4"/>
      </w:pPr>
      <w:r w:rsidRPr="00F9068D">
        <w:t>managing traffic demands on-site to minimise on-street vehicle activity</w:t>
      </w:r>
      <w:r w:rsidR="003D1377" w:rsidRPr="00F9068D">
        <w:t>.</w:t>
      </w:r>
    </w:p>
    <w:p w14:paraId="3D0B7006" w14:textId="5955DAA8" w:rsidR="003D1377" w:rsidRDefault="009D702F" w:rsidP="003D1377">
      <w:pPr>
        <w:pStyle w:val="QPPBulletpoint3"/>
      </w:pPr>
      <w:r>
        <w:t>Facilitates a high degree of pedestrian access to the high frequency public transport infrastructure and supports active transport linkages to minimise private transport demands</w:t>
      </w:r>
      <w:r w:rsidRPr="00C13BBA">
        <w:t>.</w:t>
      </w:r>
      <w:r w:rsidR="003D1377" w:rsidRPr="00C13BBA">
        <w:t xml:space="preserve"> </w:t>
      </w:r>
    </w:p>
    <w:p w14:paraId="57F5EE79" w14:textId="50E413DB" w:rsidR="009D702F" w:rsidRDefault="009D702F" w:rsidP="003D1377">
      <w:pPr>
        <w:pStyle w:val="QPPBulletPoint1"/>
      </w:pPr>
      <w:r w:rsidRPr="00950808">
        <w:t xml:space="preserve">The </w:t>
      </w:r>
      <w:r>
        <w:t xml:space="preserve">Boggo Road Urban Village </w:t>
      </w:r>
      <w:r w:rsidRPr="00950808">
        <w:t>precinct (</w:t>
      </w:r>
      <w:r w:rsidRPr="00F34EA6">
        <w:t>Dutto</w:t>
      </w:r>
      <w:r w:rsidR="0024402D" w:rsidRPr="00F34EA6">
        <w:t xml:space="preserve">n Park—Fairfield neighbourhood </w:t>
      </w:r>
      <w:r w:rsidRPr="00F34EA6">
        <w:t>plan</w:t>
      </w:r>
      <w:r>
        <w:t>/NPP-002</w:t>
      </w:r>
      <w:r w:rsidRPr="00950808">
        <w:t>) overall outcomes are</w:t>
      </w:r>
      <w:r>
        <w:t xml:space="preserve">: </w:t>
      </w:r>
    </w:p>
    <w:p w14:paraId="79766378" w14:textId="77777777" w:rsidR="009D702F" w:rsidRPr="009D702F" w:rsidRDefault="009D702F" w:rsidP="00631465">
      <w:pPr>
        <w:pStyle w:val="QPPBulletpoint2"/>
        <w:numPr>
          <w:ilvl w:val="0"/>
          <w:numId w:val="51"/>
        </w:numPr>
      </w:pPr>
      <w:r w:rsidRPr="009D702F">
        <w:t>Facilitates the development of the Boggo Road Urban Village as a centre for research in eco-sciences within a vibrant inner-city mixed use precinct.</w:t>
      </w:r>
    </w:p>
    <w:p w14:paraId="191050D2" w14:textId="77777777" w:rsidR="009D702F" w:rsidRPr="009D702F" w:rsidRDefault="009D702F" w:rsidP="009D702F">
      <w:pPr>
        <w:pStyle w:val="QPPBulletpoint2"/>
      </w:pPr>
      <w:r w:rsidRPr="009D702F">
        <w:t>Achieves a mix of medium to high density residential, research facility and office uses including providing for a new, small-scale supermarket and retail centre.</w:t>
      </w:r>
    </w:p>
    <w:p w14:paraId="21F94AFA" w14:textId="77777777" w:rsidR="009D702F" w:rsidRPr="009D702F" w:rsidRDefault="009D702F" w:rsidP="009D702F">
      <w:pPr>
        <w:pStyle w:val="QPPBulletpoint2"/>
      </w:pPr>
      <w:r w:rsidRPr="009D702F">
        <w:t>Ensures the protection, conservation and reuse of heritage listed gaol buildings for community facility (e.g. museum), market, shop, food and drink outlet, hotel, function facility and educational establishment uses.</w:t>
      </w:r>
    </w:p>
    <w:p w14:paraId="73BE259E" w14:textId="77777777" w:rsidR="009D702F" w:rsidRPr="009D702F" w:rsidRDefault="009D702F" w:rsidP="009D702F">
      <w:pPr>
        <w:pStyle w:val="QPPBulletpoint2"/>
      </w:pPr>
      <w:r w:rsidRPr="009D702F">
        <w:t>Provides a highly active pedestrian link through the centre of the Boggo Road Urban Village lined by active frontage uses.</w:t>
      </w:r>
    </w:p>
    <w:p w14:paraId="60B62591" w14:textId="77777777" w:rsidR="009D702F" w:rsidRPr="009D702F" w:rsidRDefault="009D702F" w:rsidP="009D702F">
      <w:pPr>
        <w:pStyle w:val="QPPBulletpoint2"/>
      </w:pPr>
      <w:r w:rsidRPr="009D702F">
        <w:t>Manages adverse amenity impacts of the railway and busway through the design and placement of appropriate uses.</w:t>
      </w:r>
    </w:p>
    <w:p w14:paraId="6A737343" w14:textId="071005BF" w:rsidR="003D1377" w:rsidRDefault="009D702F" w:rsidP="009D702F">
      <w:pPr>
        <w:pStyle w:val="QPPBulletpoint2"/>
      </w:pPr>
      <w:r w:rsidRPr="009D702F">
        <w:t>Provides pedestrian and cyclist connections from the Boggo Road busway station to surrounding re</w:t>
      </w:r>
      <w:r>
        <w:t>sidential and employment areas.</w:t>
      </w:r>
    </w:p>
    <w:p w14:paraId="4CBE7D88" w14:textId="77777777" w:rsidR="003D1377" w:rsidRPr="00D21F7E" w:rsidRDefault="003D1377" w:rsidP="003D1377">
      <w:pPr>
        <w:pStyle w:val="QPPHeading4"/>
      </w:pPr>
      <w:bookmarkStart w:id="16" w:name="_Toc398293971"/>
      <w:bookmarkStart w:id="17" w:name="_Toc398303984"/>
      <w:bookmarkStart w:id="18" w:name="_Toc398304069"/>
      <w:bookmarkStart w:id="19" w:name="_Toc398304134"/>
      <w:bookmarkStart w:id="20" w:name="_Toc398304248"/>
      <w:bookmarkStart w:id="21" w:name="_Toc398307446"/>
      <w:bookmarkStart w:id="22" w:name="_Toc398307490"/>
      <w:r w:rsidRPr="00D21F7E">
        <w:t xml:space="preserve">7.2.4.3.3 </w:t>
      </w:r>
      <w:bookmarkEnd w:id="16"/>
      <w:bookmarkEnd w:id="17"/>
      <w:bookmarkEnd w:id="18"/>
      <w:bookmarkEnd w:id="19"/>
      <w:bookmarkEnd w:id="20"/>
      <w:bookmarkEnd w:id="21"/>
      <w:bookmarkEnd w:id="22"/>
      <w:r>
        <w:t>Performance outcomes and acceptable outcomes</w:t>
      </w:r>
    </w:p>
    <w:p w14:paraId="42E2B2C8" w14:textId="77777777" w:rsidR="003D1377" w:rsidRPr="00D62C97" w:rsidRDefault="003D1377" w:rsidP="003D1377">
      <w:pPr>
        <w:pStyle w:val="QPPTableHeadingStyle1"/>
      </w:pPr>
      <w:bookmarkStart w:id="23" w:name="_Toc398293972"/>
      <w:bookmarkStart w:id="24" w:name="_Toc398303985"/>
      <w:bookmarkStart w:id="25" w:name="_Toc398304070"/>
      <w:bookmarkStart w:id="26" w:name="_Toc398304135"/>
      <w:bookmarkStart w:id="27" w:name="_Toc398304249"/>
      <w:bookmarkStart w:id="28" w:name="_Toc398307447"/>
      <w:bookmarkStart w:id="29" w:name="_Toc398307491"/>
      <w:bookmarkStart w:id="30" w:name="Table_72433A"/>
      <w:r w:rsidRPr="00D62C97">
        <w:t>Table 7.2.4.3.3.A–</w:t>
      </w:r>
      <w:bookmarkEnd w:id="23"/>
      <w:bookmarkEnd w:id="24"/>
      <w:bookmarkEnd w:id="25"/>
      <w:bookmarkEnd w:id="26"/>
      <w:bookmarkEnd w:id="27"/>
      <w:bookmarkEnd w:id="28"/>
      <w:bookmarkEnd w:id="29"/>
      <w:r>
        <w:t>Performance outcomes and acceptable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firstRow="1" w:lastRow="0" w:firstColumn="1" w:lastColumn="0" w:noHBand="0" w:noVBand="1"/>
      </w:tblPr>
      <w:tblGrid>
        <w:gridCol w:w="4532"/>
        <w:gridCol w:w="4529"/>
      </w:tblGrid>
      <w:tr w:rsidR="003D1377" w:rsidRPr="00D62C97" w14:paraId="08AD702C" w14:textId="77777777" w:rsidTr="003B344F">
        <w:trPr>
          <w:tblHeader/>
        </w:trPr>
        <w:tc>
          <w:tcPr>
            <w:tcW w:w="4621" w:type="dxa"/>
            <w:shd w:val="clear" w:color="auto" w:fill="auto"/>
          </w:tcPr>
          <w:bookmarkEnd w:id="30"/>
          <w:p w14:paraId="0DF17D79" w14:textId="77777777" w:rsidR="003D1377" w:rsidRPr="00A04AF3" w:rsidRDefault="003D1377" w:rsidP="003B344F">
            <w:pPr>
              <w:pStyle w:val="QPPTableTextBold"/>
            </w:pPr>
            <w:r w:rsidRPr="00A04AF3">
              <w:t>Performance outcomes</w:t>
            </w:r>
          </w:p>
        </w:tc>
        <w:tc>
          <w:tcPr>
            <w:tcW w:w="4621" w:type="dxa"/>
            <w:shd w:val="clear" w:color="auto" w:fill="auto"/>
          </w:tcPr>
          <w:p w14:paraId="04674422" w14:textId="77777777" w:rsidR="003D1377" w:rsidRPr="00A04AF3" w:rsidRDefault="003D1377" w:rsidP="003B344F">
            <w:pPr>
              <w:pStyle w:val="QPPTableTextBold"/>
            </w:pPr>
            <w:r w:rsidRPr="00A04AF3">
              <w:t>Acceptable outcomes</w:t>
            </w:r>
          </w:p>
        </w:tc>
      </w:tr>
      <w:tr w:rsidR="003D1377" w:rsidRPr="00D62C97" w14:paraId="391CFB2E" w14:textId="77777777" w:rsidTr="003B344F">
        <w:trPr>
          <w:trHeight w:val="284"/>
        </w:trPr>
        <w:tc>
          <w:tcPr>
            <w:tcW w:w="9242" w:type="dxa"/>
            <w:gridSpan w:val="2"/>
            <w:shd w:val="clear" w:color="auto" w:fill="auto"/>
          </w:tcPr>
          <w:p w14:paraId="00B4F4B9" w14:textId="77777777" w:rsidR="003D1377" w:rsidRPr="00D62C97" w:rsidRDefault="003D1377" w:rsidP="003B344F">
            <w:pPr>
              <w:pStyle w:val="QPPTableTextBold"/>
            </w:pPr>
            <w:r w:rsidRPr="00D62C97">
              <w:t>Building height</w:t>
            </w:r>
          </w:p>
        </w:tc>
      </w:tr>
      <w:tr w:rsidR="003D1377" w:rsidRPr="00A411D9" w14:paraId="72DF37D4" w14:textId="77777777" w:rsidTr="003B344F">
        <w:trPr>
          <w:trHeight w:val="1225"/>
        </w:trPr>
        <w:tc>
          <w:tcPr>
            <w:tcW w:w="4621" w:type="dxa"/>
            <w:shd w:val="clear" w:color="auto" w:fill="auto"/>
          </w:tcPr>
          <w:p w14:paraId="27DCE05E" w14:textId="77777777" w:rsidR="003D1377" w:rsidRPr="00D62C97" w:rsidRDefault="003D1377" w:rsidP="003B344F">
            <w:pPr>
              <w:pStyle w:val="QPPTableTextBold"/>
            </w:pPr>
            <w:r w:rsidRPr="00A04AF3">
              <w:t>PO1</w:t>
            </w:r>
          </w:p>
          <w:p w14:paraId="5F982E1E" w14:textId="578A9E0F" w:rsidR="003D1377" w:rsidRPr="00D62C97" w:rsidRDefault="003D1377" w:rsidP="005E3FA5">
            <w:pPr>
              <w:pStyle w:val="QPPTableTextBody"/>
            </w:pPr>
            <w:r w:rsidRPr="00D62C97">
              <w:t>Development is of a height, scale and form that achieves the intended outcome for the precinct, improves the </w:t>
            </w:r>
            <w:r w:rsidRPr="00F34EA6">
              <w:t>amenity </w:t>
            </w:r>
            <w:r w:rsidRPr="00D62C97">
              <w:t>of the neighbourhood plan area, contributes to a cohesive streetscape and built form character and is:</w:t>
            </w:r>
          </w:p>
          <w:p w14:paraId="6C2E2909" w14:textId="77777777" w:rsidR="003D1377" w:rsidRPr="00853120" w:rsidRDefault="003D1377" w:rsidP="00631465">
            <w:pPr>
              <w:pStyle w:val="HGTableBullet2"/>
              <w:numPr>
                <w:ilvl w:val="0"/>
                <w:numId w:val="10"/>
              </w:numPr>
            </w:pPr>
            <w:r w:rsidRPr="00853120">
              <w:t>consistent with the anticipated density and assumed infrastructure demand</w:t>
            </w:r>
            <w:r>
              <w:t>;</w:t>
            </w:r>
          </w:p>
          <w:p w14:paraId="41E92CF0" w14:textId="21057439" w:rsidR="003D1377" w:rsidRPr="003D1377" w:rsidRDefault="003D1377" w:rsidP="005E3FA5">
            <w:pPr>
              <w:pStyle w:val="QPPTableTextBody"/>
            </w:pPr>
            <w:r w:rsidRPr="00853120">
              <w:t xml:space="preserve">aligned with community expectations about the number of </w:t>
            </w:r>
            <w:r w:rsidRPr="00F34EA6">
              <w:t>storeys </w:t>
            </w:r>
            <w:r w:rsidRPr="003D1377">
              <w:t>to be built;</w:t>
            </w:r>
          </w:p>
          <w:p w14:paraId="296DD7F8" w14:textId="77777777" w:rsidR="003D1377" w:rsidRPr="003D1377" w:rsidRDefault="003D1377" w:rsidP="003D1377">
            <w:pPr>
              <w:pStyle w:val="HGTableBullet2"/>
            </w:pPr>
            <w:r w:rsidRPr="00853120">
              <w:t>proportionate to and commensurate with the utility of the site area and frontage width</w:t>
            </w:r>
            <w:r w:rsidRPr="003D1377">
              <w:t>;</w:t>
            </w:r>
          </w:p>
          <w:p w14:paraId="76030455" w14:textId="77777777" w:rsidR="003D1377" w:rsidRPr="003D1377" w:rsidRDefault="003D1377" w:rsidP="003D1377">
            <w:pPr>
              <w:pStyle w:val="HGTableBullet2"/>
            </w:pPr>
            <w:r w:rsidRPr="00853120">
              <w:t>designed so as to not cause a significant and undue adverse amenity impact to adjoining development</w:t>
            </w:r>
            <w:r w:rsidRPr="003D1377">
              <w:t>;</w:t>
            </w:r>
          </w:p>
          <w:p w14:paraId="6CCA1668" w14:textId="77777777" w:rsidR="003D1377" w:rsidRPr="00853120" w:rsidRDefault="003D1377" w:rsidP="003D1377">
            <w:pPr>
              <w:pStyle w:val="HGTableBullet2"/>
            </w:pPr>
            <w:r w:rsidRPr="00853120">
              <w:t xml:space="preserve">sited to enable existing and future buildings to be well separated from each other and to </w:t>
            </w:r>
            <w:r w:rsidRPr="00853120">
              <w:lastRenderedPageBreak/>
              <w:t>avoid affecting the potential development of an adjoining site.</w:t>
            </w:r>
          </w:p>
          <w:p w14:paraId="1FCA726B" w14:textId="4EC47589" w:rsidR="003D1377" w:rsidRPr="00DC44A7" w:rsidRDefault="00E3693D" w:rsidP="005E3FA5">
            <w:pPr>
              <w:pStyle w:val="QPPEditorsNoteStyle1"/>
            </w:pPr>
            <w:r>
              <w:t>Note—</w:t>
            </w:r>
            <w:r w:rsidR="000A4C21">
              <w:t>D</w:t>
            </w:r>
            <w:r w:rsidR="003D1377" w:rsidRPr="00DC44A7">
              <w:t>evelopment that exceeds the intended number of </w:t>
            </w:r>
            <w:r w:rsidR="003D1377" w:rsidRPr="00F34EA6">
              <w:t>storeys </w:t>
            </w:r>
            <w:r w:rsidR="003D1377" w:rsidRPr="00DC44A7">
              <w:t xml:space="preserve">or </w:t>
            </w:r>
            <w:r w:rsidR="003D1377" w:rsidRPr="00F34EA6">
              <w:t>building height</w:t>
            </w:r>
            <w:r w:rsidR="003D1377" w:rsidRPr="00DC44A7">
              <w:t> can place disproportionate pressure on the transport network, public space or </w:t>
            </w:r>
            <w:r w:rsidR="003D1377" w:rsidRPr="00F34EA6">
              <w:t>community facilities </w:t>
            </w:r>
            <w:r w:rsidR="003D1377" w:rsidRPr="00DC44A7">
              <w:t>in particular.</w:t>
            </w:r>
          </w:p>
          <w:p w14:paraId="3494363C" w14:textId="77777777" w:rsidR="003D1377" w:rsidRPr="003D1377" w:rsidRDefault="003D1377" w:rsidP="003D1377"/>
          <w:p w14:paraId="34F15A96" w14:textId="179354A0" w:rsidR="003D1377" w:rsidRPr="00D62C97" w:rsidRDefault="00E3693D" w:rsidP="003B344F">
            <w:pPr>
              <w:pStyle w:val="QPPEditorsNoteStyle1"/>
            </w:pPr>
            <w:r>
              <w:t>Note—</w:t>
            </w:r>
            <w:r w:rsidR="000A4C21">
              <w:t>D</w:t>
            </w:r>
            <w:r w:rsidR="003D1377" w:rsidRPr="00D62C97">
              <w:t>evelopment that is over-scaled for its site can result in an undesirable dominance of vehicle access, parking and manoeuvring areas that significantly reduce streetscape character and </w:t>
            </w:r>
            <w:r w:rsidR="003D1377" w:rsidRPr="00F34EA6">
              <w:t>amenity</w:t>
            </w:r>
            <w:r w:rsidR="003D1377" w:rsidRPr="00D62C97">
              <w:t>.</w:t>
            </w:r>
          </w:p>
        </w:tc>
        <w:tc>
          <w:tcPr>
            <w:tcW w:w="4621" w:type="dxa"/>
            <w:shd w:val="clear" w:color="auto" w:fill="auto"/>
          </w:tcPr>
          <w:p w14:paraId="2A2D0E93" w14:textId="77777777" w:rsidR="003D1377" w:rsidRPr="00D62C97" w:rsidRDefault="003D1377" w:rsidP="003B344F">
            <w:pPr>
              <w:pStyle w:val="QPPTableTextBold"/>
            </w:pPr>
            <w:r w:rsidRPr="00A04AF3">
              <w:lastRenderedPageBreak/>
              <w:t>AO1</w:t>
            </w:r>
          </w:p>
          <w:p w14:paraId="1D94EE54" w14:textId="72A89569" w:rsidR="003D1377" w:rsidRPr="00D62C97" w:rsidRDefault="003D1377" w:rsidP="003B344F">
            <w:pPr>
              <w:pStyle w:val="QPPTableTextBody"/>
            </w:pPr>
            <w:r w:rsidRPr="00D62C97">
              <w:t>Development complies with the number of</w:t>
            </w:r>
            <w:r>
              <w:t xml:space="preserve"> </w:t>
            </w:r>
            <w:r w:rsidRPr="00F34EA6">
              <w:t>storeys</w:t>
            </w:r>
            <w:r>
              <w:t xml:space="preserve"> </w:t>
            </w:r>
            <w:r w:rsidRPr="00D62C97">
              <w:t xml:space="preserve">in </w:t>
            </w:r>
            <w:r w:rsidRPr="00F34EA6">
              <w:t>Table 7.2.4.3.3.B</w:t>
            </w:r>
            <w:r w:rsidRPr="00D62C97">
              <w:t>.</w:t>
            </w:r>
          </w:p>
          <w:p w14:paraId="7587C695" w14:textId="77777777" w:rsidR="003D1377" w:rsidRPr="00D62C97" w:rsidRDefault="003D1377" w:rsidP="003D1377"/>
          <w:p w14:paraId="74DA3990" w14:textId="1B09E651" w:rsidR="003D1377" w:rsidRPr="00D62C97" w:rsidRDefault="003D1377" w:rsidP="005E3FA5">
            <w:pPr>
              <w:pStyle w:val="QPPEditorsNoteStyle1"/>
            </w:pPr>
            <w:r w:rsidRPr="00D62C97">
              <w:t xml:space="preserve">Note—Neighbourhood plans will mostly specify a maximum number of </w:t>
            </w:r>
            <w:r w:rsidRPr="00F34EA6">
              <w:t>storeys </w:t>
            </w:r>
            <w:r w:rsidRPr="00D62C97">
              <w:t>where zone outcomes have been varied in relation to </w:t>
            </w:r>
            <w:r w:rsidRPr="00F34EA6">
              <w:t>building height.</w:t>
            </w:r>
            <w:r w:rsidRPr="00D62C97">
              <w:t xml:space="preserve"> Some neighbourhood plans may also specify height in metres. Development must comply with both parameters where maximum number of storeys and height in metres are specified.</w:t>
            </w:r>
          </w:p>
        </w:tc>
      </w:tr>
      <w:tr w:rsidR="003D1377" w:rsidRPr="00A411D9" w14:paraId="2500FB44" w14:textId="77777777" w:rsidTr="003B344F">
        <w:trPr>
          <w:trHeight w:val="361"/>
        </w:trPr>
        <w:tc>
          <w:tcPr>
            <w:tcW w:w="9242" w:type="dxa"/>
            <w:gridSpan w:val="2"/>
            <w:shd w:val="clear" w:color="auto" w:fill="auto"/>
          </w:tcPr>
          <w:p w14:paraId="786DBD38" w14:textId="7C8186E8" w:rsidR="003D1377" w:rsidRPr="00D62C97" w:rsidRDefault="003D1377" w:rsidP="00E3693D">
            <w:pPr>
              <w:pStyle w:val="QPPTableTextBold"/>
            </w:pPr>
            <w:r w:rsidRPr="00D62C97">
              <w:t>If in the Mater Hill precinct (NPP-001), where in the Health sub-precinct (NPP-001a)</w:t>
            </w:r>
          </w:p>
        </w:tc>
      </w:tr>
      <w:tr w:rsidR="003D1377" w:rsidRPr="00A411D9" w14:paraId="3FA4BE43" w14:textId="77777777" w:rsidTr="003B344F">
        <w:trPr>
          <w:trHeight w:val="1225"/>
        </w:trPr>
        <w:tc>
          <w:tcPr>
            <w:tcW w:w="4621" w:type="dxa"/>
            <w:shd w:val="clear" w:color="auto" w:fill="auto"/>
          </w:tcPr>
          <w:p w14:paraId="31B4252A" w14:textId="77777777" w:rsidR="003D1377" w:rsidRPr="00853120" w:rsidRDefault="003D1377" w:rsidP="003B344F">
            <w:pPr>
              <w:pStyle w:val="QPPTableTextBold"/>
            </w:pPr>
            <w:r w:rsidRPr="00853120">
              <w:t>PO2</w:t>
            </w:r>
          </w:p>
          <w:p w14:paraId="67027E58" w14:textId="77777777" w:rsidR="003D1377" w:rsidRPr="00D62C97" w:rsidRDefault="003D1377" w:rsidP="003B344F">
            <w:pPr>
              <w:pStyle w:val="QPPTableTextBody"/>
            </w:pPr>
            <w:r w:rsidRPr="00D62C97">
              <w:t>Development has, and is undertaken in accordance with, a Master Plan that:</w:t>
            </w:r>
          </w:p>
          <w:p w14:paraId="65B5D7C0" w14:textId="77777777" w:rsidR="003D1377" w:rsidRPr="00D62C97" w:rsidRDefault="003D1377" w:rsidP="00631465">
            <w:pPr>
              <w:pStyle w:val="HGTableBullet2"/>
              <w:numPr>
                <w:ilvl w:val="0"/>
                <w:numId w:val="52"/>
              </w:numPr>
            </w:pPr>
            <w:r w:rsidRPr="00D62C97">
              <w:t>provides a mix of health services, education and research uses</w:t>
            </w:r>
            <w:r>
              <w:t>;</w:t>
            </w:r>
          </w:p>
          <w:p w14:paraId="0C22BC2A" w14:textId="77777777" w:rsidR="003D1377" w:rsidRPr="003D1377" w:rsidRDefault="003D1377" w:rsidP="003D1377">
            <w:pPr>
              <w:pStyle w:val="HGTableBullet2"/>
            </w:pPr>
            <w:r w:rsidRPr="00D62C97">
              <w:t>demonstrates that the scale and design of new buildings will respect and respond to the cultural significance of the heritage buildings and spaces</w:t>
            </w:r>
            <w:r w:rsidRPr="003D1377">
              <w:t>;</w:t>
            </w:r>
          </w:p>
          <w:p w14:paraId="2B9961D0" w14:textId="77777777" w:rsidR="003D1377" w:rsidRPr="003D1377" w:rsidRDefault="003D1377" w:rsidP="003D1377">
            <w:pPr>
              <w:pStyle w:val="HGTableBullet2"/>
            </w:pPr>
            <w:r w:rsidRPr="00D62C97">
              <w:t>preserves heritage buildings through the retention, conservation and adaptive reuse of heritage buildings and spaces</w:t>
            </w:r>
            <w:r w:rsidRPr="003D1377">
              <w:t>;</w:t>
            </w:r>
          </w:p>
          <w:p w14:paraId="364A3823" w14:textId="77777777" w:rsidR="003D1377" w:rsidRPr="003D1377" w:rsidRDefault="003D1377" w:rsidP="003D1377">
            <w:pPr>
              <w:pStyle w:val="HGTableBullet2"/>
            </w:pPr>
            <w:r w:rsidRPr="00D62C97">
              <w:t>activates the ground storey of buildings fronting pedestrian connections and open spaces, where compatible with health services operations, to ensure passive surveillance of these spaces</w:t>
            </w:r>
            <w:r w:rsidRPr="003D1377">
              <w:t>;</w:t>
            </w:r>
          </w:p>
          <w:p w14:paraId="58586CCE" w14:textId="77777777" w:rsidR="003D1377" w:rsidRPr="003D1377" w:rsidRDefault="003D1377" w:rsidP="003D1377">
            <w:pPr>
              <w:pStyle w:val="HGTableBullet2"/>
            </w:pPr>
            <w:r w:rsidRPr="00D62C97">
              <w:t>provides a high quality public realm with a strong pedestrian focus through subtropical landscaping, streetscape improvements and passive surveillance</w:t>
            </w:r>
            <w:r w:rsidRPr="003D1377">
              <w:t>;</w:t>
            </w:r>
          </w:p>
          <w:p w14:paraId="53530FB9" w14:textId="77777777" w:rsidR="003D1377" w:rsidRPr="003D1377" w:rsidRDefault="003D1377" w:rsidP="003D1377">
            <w:pPr>
              <w:pStyle w:val="HGTableBullet2"/>
            </w:pPr>
            <w:r w:rsidRPr="00D62C97">
              <w:t>provides high quality pedestrian and cyclist access within the sub-precinct that connects with high frequency public transport infrastructure and promotes reduction in private transport demands</w:t>
            </w:r>
            <w:r w:rsidRPr="003D1377">
              <w:t>;</w:t>
            </w:r>
          </w:p>
          <w:p w14:paraId="348F13D5" w14:textId="77777777" w:rsidR="003D1377" w:rsidRPr="003D1377" w:rsidRDefault="003D1377" w:rsidP="003D1377">
            <w:pPr>
              <w:pStyle w:val="HGTableBullet2"/>
            </w:pPr>
            <w:r w:rsidRPr="00D62C97">
              <w:t>provides vehicular access and circulation to the site compatible with health services operations</w:t>
            </w:r>
            <w:r w:rsidRPr="003D1377">
              <w:t>;</w:t>
            </w:r>
          </w:p>
          <w:p w14:paraId="6FF8B43C" w14:textId="77777777" w:rsidR="003D1377" w:rsidRPr="00D62C97" w:rsidRDefault="003D1377" w:rsidP="003D1377">
            <w:pPr>
              <w:pStyle w:val="HGTableBullet2"/>
            </w:pPr>
            <w:r w:rsidRPr="00D62C97">
              <w:t>demonstrates that acceptable air quality and hazard risk outcomes can be achieved where located within 100m of any on-site coal fired boiler emission stack.</w:t>
            </w:r>
          </w:p>
        </w:tc>
        <w:tc>
          <w:tcPr>
            <w:tcW w:w="4621" w:type="dxa"/>
            <w:shd w:val="clear" w:color="auto" w:fill="auto"/>
          </w:tcPr>
          <w:p w14:paraId="3327442E" w14:textId="77777777" w:rsidR="003D1377" w:rsidRPr="00D62C97" w:rsidRDefault="003D1377" w:rsidP="003B344F">
            <w:pPr>
              <w:pStyle w:val="QPPTableTextBold"/>
            </w:pPr>
            <w:r w:rsidRPr="0024265A">
              <w:t>AO2</w:t>
            </w:r>
          </w:p>
          <w:p w14:paraId="046F5F39" w14:textId="77777777" w:rsidR="003D1377" w:rsidRPr="00D62C97" w:rsidRDefault="003D1377" w:rsidP="003B344F">
            <w:pPr>
              <w:pStyle w:val="QPPTableTextBody"/>
            </w:pPr>
            <w:r w:rsidRPr="00D62C97">
              <w:t>No acceptable outcome is prescribed.</w:t>
            </w:r>
          </w:p>
        </w:tc>
      </w:tr>
      <w:tr w:rsidR="003D1377" w:rsidRPr="00A411D9" w14:paraId="3126CC0B" w14:textId="77777777" w:rsidTr="003B344F">
        <w:trPr>
          <w:trHeight w:val="361"/>
        </w:trPr>
        <w:tc>
          <w:tcPr>
            <w:tcW w:w="9242" w:type="dxa"/>
            <w:gridSpan w:val="2"/>
            <w:shd w:val="clear" w:color="auto" w:fill="auto"/>
          </w:tcPr>
          <w:p w14:paraId="2E23DECB" w14:textId="60AFCFCF" w:rsidR="003D1377" w:rsidRPr="00D62C97" w:rsidRDefault="003D1377" w:rsidP="00BD5C6A">
            <w:pPr>
              <w:pStyle w:val="QPPTableTextBold"/>
            </w:pPr>
            <w:r w:rsidRPr="00D62C97">
              <w:t>If in the Mater Hill precinct (NPP-001), where in the Stanley Street and Annerley Road sub-precinct (NPP-001b)</w:t>
            </w:r>
          </w:p>
        </w:tc>
      </w:tr>
      <w:tr w:rsidR="003D1377" w:rsidRPr="00A411D9" w14:paraId="1AFA968D" w14:textId="77777777" w:rsidTr="003B344F">
        <w:trPr>
          <w:trHeight w:val="515"/>
        </w:trPr>
        <w:tc>
          <w:tcPr>
            <w:tcW w:w="4621" w:type="dxa"/>
            <w:shd w:val="clear" w:color="auto" w:fill="auto"/>
          </w:tcPr>
          <w:p w14:paraId="386E819C" w14:textId="77777777" w:rsidR="003D1377" w:rsidRPr="00853120" w:rsidRDefault="003D1377" w:rsidP="003B344F">
            <w:pPr>
              <w:pStyle w:val="QPPTableTextBold"/>
            </w:pPr>
            <w:r w:rsidRPr="00853120">
              <w:t>PO3</w:t>
            </w:r>
          </w:p>
          <w:p w14:paraId="026F1FAF" w14:textId="77777777" w:rsidR="003D1377" w:rsidRPr="00D62C97" w:rsidRDefault="003D1377" w:rsidP="003B344F">
            <w:pPr>
              <w:pStyle w:val="QPPTableTextBody"/>
            </w:pPr>
            <w:r w:rsidRPr="00D62C97">
              <w:t xml:space="preserve">Development creates an arcade </w:t>
            </w:r>
            <w:r w:rsidRPr="00453785">
              <w:t>that:</w:t>
            </w:r>
          </w:p>
          <w:p w14:paraId="7C1F2029" w14:textId="77777777" w:rsidR="003D1377" w:rsidRPr="0024265A" w:rsidRDefault="003D1377" w:rsidP="00631465">
            <w:pPr>
              <w:pStyle w:val="HGTableBullet2"/>
              <w:numPr>
                <w:ilvl w:val="0"/>
                <w:numId w:val="53"/>
              </w:numPr>
            </w:pPr>
            <w:r w:rsidRPr="0024265A">
              <w:lastRenderedPageBreak/>
              <w:t>provides public access and connection from Annerley Road to Trinity Lane to facilitate direct, convenient, comfortable and safe access</w:t>
            </w:r>
            <w:r>
              <w:t>;</w:t>
            </w:r>
          </w:p>
          <w:p w14:paraId="5121CFD0" w14:textId="77777777" w:rsidR="003D1377" w:rsidRPr="003D1377" w:rsidRDefault="003D1377" w:rsidP="003D1377">
            <w:pPr>
              <w:pStyle w:val="HGTableBullet2"/>
            </w:pPr>
            <w:r w:rsidRPr="0024265A">
              <w:t>has a strong street presence and clear entry from Annerley Road</w:t>
            </w:r>
            <w:r w:rsidRPr="003D1377">
              <w:t>;</w:t>
            </w:r>
          </w:p>
          <w:p w14:paraId="192E4657" w14:textId="77777777" w:rsidR="003D1377" w:rsidRPr="003D1377" w:rsidRDefault="003D1377" w:rsidP="003D1377">
            <w:pPr>
              <w:pStyle w:val="HGTableBullet2"/>
            </w:pPr>
            <w:r w:rsidRPr="00B43F74">
              <w:t>has an active frontage and use including activating heritage buildings</w:t>
            </w:r>
            <w:r w:rsidRPr="003D1377">
              <w:t xml:space="preserve"> facing Stanley Street.</w:t>
            </w:r>
          </w:p>
        </w:tc>
        <w:tc>
          <w:tcPr>
            <w:tcW w:w="4621" w:type="dxa"/>
            <w:shd w:val="clear" w:color="auto" w:fill="auto"/>
          </w:tcPr>
          <w:p w14:paraId="1F4D410A" w14:textId="77777777" w:rsidR="003D1377" w:rsidRPr="00D62C97" w:rsidRDefault="003D1377" w:rsidP="003B344F">
            <w:pPr>
              <w:pStyle w:val="QPPTableTextBold"/>
            </w:pPr>
            <w:r w:rsidRPr="0024265A">
              <w:lastRenderedPageBreak/>
              <w:t>AO3</w:t>
            </w:r>
          </w:p>
          <w:p w14:paraId="71C4D068" w14:textId="77777777" w:rsidR="003D1377" w:rsidRPr="00D62C97" w:rsidRDefault="003D1377" w:rsidP="003B344F">
            <w:pPr>
              <w:pStyle w:val="QPPTableTextBody"/>
            </w:pPr>
            <w:r w:rsidRPr="00D62C97">
              <w:t>Development provides an arcade which:</w:t>
            </w:r>
          </w:p>
          <w:p w14:paraId="267C1354" w14:textId="4C93D08E" w:rsidR="003D1377" w:rsidRPr="00853120" w:rsidRDefault="003D1377" w:rsidP="00631465">
            <w:pPr>
              <w:pStyle w:val="HGTableBullet2"/>
              <w:numPr>
                <w:ilvl w:val="0"/>
                <w:numId w:val="54"/>
              </w:numPr>
            </w:pPr>
            <w:r w:rsidRPr="00853120">
              <w:lastRenderedPageBreak/>
              <w:t>is located at the rear (i</w:t>
            </w:r>
            <w:r>
              <w:t>.</w:t>
            </w:r>
            <w:r w:rsidRPr="00853120">
              <w:t>e</w:t>
            </w:r>
            <w:r>
              <w:t>.</w:t>
            </w:r>
            <w:r w:rsidRPr="00853120">
              <w:t xml:space="preserve"> along the rear wall) of the heritage listed buildings on Stanley Street as indicated in </w:t>
            </w:r>
            <w:r w:rsidRPr="00F34EA6">
              <w:t>Figures a</w:t>
            </w:r>
            <w:r w:rsidRPr="00853120">
              <w:t xml:space="preserve"> and </w:t>
            </w:r>
            <w:r w:rsidRPr="00F34EA6">
              <w:t>b</w:t>
            </w:r>
            <w:r w:rsidRPr="00853120">
              <w:t>;</w:t>
            </w:r>
          </w:p>
          <w:p w14:paraId="00FE4693" w14:textId="77777777" w:rsidR="003D1377" w:rsidRPr="003D1377" w:rsidRDefault="003D1377" w:rsidP="003D1377">
            <w:pPr>
              <w:pStyle w:val="HGTableBullet2"/>
            </w:pPr>
            <w:r w:rsidRPr="00853120">
              <w:t xml:space="preserve">is uncovered in area a as indicated in </w:t>
            </w:r>
            <w:r w:rsidRPr="00853120">
              <w:br/>
              <w:t>Figure b</w:t>
            </w:r>
            <w:r w:rsidRPr="003D1377">
              <w:t>;</w:t>
            </w:r>
          </w:p>
          <w:p w14:paraId="35E62CB3" w14:textId="77777777" w:rsidR="003D1377" w:rsidRPr="003D1377" w:rsidRDefault="003D1377" w:rsidP="003D1377">
            <w:pPr>
              <w:pStyle w:val="HGTableBullet2"/>
            </w:pPr>
            <w:r w:rsidRPr="00853120">
              <w:t>provides pedestrian access from Annerley Road to Trinity Lane during the hours of operation of the use</w:t>
            </w:r>
            <w:r w:rsidRPr="003D1377">
              <w:t>;</w:t>
            </w:r>
          </w:p>
          <w:p w14:paraId="5A4DAAD0" w14:textId="77777777" w:rsidR="003D1377" w:rsidRPr="003D1377" w:rsidRDefault="003D1377" w:rsidP="003D1377">
            <w:pPr>
              <w:pStyle w:val="HGTableBullet2"/>
            </w:pPr>
            <w:r w:rsidRPr="00853120">
              <w:t>provides a buffer to heritage building wall and footing elements</w:t>
            </w:r>
            <w:r w:rsidRPr="003D1377">
              <w:t>;</w:t>
            </w:r>
          </w:p>
          <w:p w14:paraId="709EE66B" w14:textId="77777777" w:rsidR="003D1377" w:rsidRPr="00853120" w:rsidRDefault="003D1377" w:rsidP="003D1377">
            <w:pPr>
              <w:pStyle w:val="HGTableBullet2"/>
            </w:pPr>
            <w:r w:rsidRPr="00853120">
              <w:t>activates heritage buildings by enabling pedestrian access from the rear.</w:t>
            </w:r>
          </w:p>
        </w:tc>
      </w:tr>
      <w:tr w:rsidR="003D1377" w:rsidRPr="00A411D9" w14:paraId="6B72F0AD" w14:textId="77777777" w:rsidTr="003B344F">
        <w:trPr>
          <w:trHeight w:val="1781"/>
        </w:trPr>
        <w:tc>
          <w:tcPr>
            <w:tcW w:w="4621" w:type="dxa"/>
            <w:shd w:val="clear" w:color="auto" w:fill="auto"/>
          </w:tcPr>
          <w:p w14:paraId="1A6E667B" w14:textId="77777777" w:rsidR="003D1377" w:rsidRPr="00853120" w:rsidRDefault="003D1377" w:rsidP="003B344F">
            <w:pPr>
              <w:pStyle w:val="QPPTableTextBold"/>
            </w:pPr>
            <w:r w:rsidRPr="00853120">
              <w:lastRenderedPageBreak/>
              <w:t>PO4</w:t>
            </w:r>
          </w:p>
          <w:p w14:paraId="185E4C8F" w14:textId="77411D31" w:rsidR="003D1377" w:rsidRPr="003D1377" w:rsidRDefault="003D1377" w:rsidP="003B344F">
            <w:pPr>
              <w:pStyle w:val="QPPTableTextBody"/>
            </w:pPr>
            <w:r w:rsidRPr="00D62C97">
              <w:t xml:space="preserve">Development respects, retains and adaptively reuses heritage buildings as indicated in </w:t>
            </w:r>
            <w:r w:rsidRPr="00F34EA6">
              <w:t>Figure b</w:t>
            </w:r>
            <w:r w:rsidRPr="00D62C97">
              <w:t>.</w:t>
            </w:r>
          </w:p>
        </w:tc>
        <w:tc>
          <w:tcPr>
            <w:tcW w:w="4621" w:type="dxa"/>
            <w:shd w:val="clear" w:color="auto" w:fill="auto"/>
          </w:tcPr>
          <w:p w14:paraId="74ABD58D" w14:textId="77777777" w:rsidR="003D1377" w:rsidRPr="00D62C97" w:rsidRDefault="003D1377" w:rsidP="003B344F">
            <w:pPr>
              <w:pStyle w:val="QPPTableTextBold"/>
            </w:pPr>
            <w:r w:rsidRPr="0024265A">
              <w:t>AO4</w:t>
            </w:r>
          </w:p>
          <w:p w14:paraId="7F2C669F" w14:textId="77777777" w:rsidR="003D1377" w:rsidRPr="00D62C97" w:rsidRDefault="003D1377" w:rsidP="003B344F">
            <w:pPr>
              <w:pStyle w:val="QPPTableTextBody"/>
            </w:pPr>
            <w:r w:rsidRPr="00D62C97">
              <w:t>Development ensures that:</w:t>
            </w:r>
          </w:p>
          <w:p w14:paraId="6569F13F" w14:textId="77777777" w:rsidR="003D1377" w:rsidRPr="00853120" w:rsidRDefault="003D1377" w:rsidP="00631465">
            <w:pPr>
              <w:pStyle w:val="HGTableBullet2"/>
              <w:numPr>
                <w:ilvl w:val="0"/>
                <w:numId w:val="55"/>
              </w:numPr>
            </w:pPr>
            <w:r w:rsidRPr="00853120">
              <w:t>the scale and design of new buildings respects and responds to the cultural significance of heritage buildings and spaces</w:t>
            </w:r>
            <w:r>
              <w:t>;</w:t>
            </w:r>
          </w:p>
          <w:p w14:paraId="2C58F819" w14:textId="77777777" w:rsidR="003D1377" w:rsidRPr="003D1377" w:rsidRDefault="003D1377" w:rsidP="003D1377">
            <w:pPr>
              <w:pStyle w:val="HGTableBullet2"/>
            </w:pPr>
            <w:r w:rsidRPr="00853120">
              <w:t>heritage buildings and spaces are conserved and adaptively reused</w:t>
            </w:r>
            <w:r w:rsidRPr="003D1377">
              <w:t>;</w:t>
            </w:r>
          </w:p>
          <w:p w14:paraId="6C32945F" w14:textId="77777777" w:rsidR="003D1377" w:rsidRPr="003D1377" w:rsidRDefault="003D1377" w:rsidP="003D1377">
            <w:pPr>
              <w:pStyle w:val="HGTableBullet2"/>
            </w:pPr>
            <w:r w:rsidRPr="00853120">
              <w:t>the ground storey of buildings fronting Stanley Street, arcades and open spaces are activated to ensure passive surveillance.</w:t>
            </w:r>
          </w:p>
        </w:tc>
      </w:tr>
      <w:tr w:rsidR="003D1377" w:rsidRPr="0040087E" w14:paraId="277EFB04" w14:textId="77777777" w:rsidTr="003B344F">
        <w:trPr>
          <w:cantSplit/>
          <w:trHeight w:val="658"/>
        </w:trPr>
        <w:tc>
          <w:tcPr>
            <w:tcW w:w="4621" w:type="dxa"/>
            <w:shd w:val="clear" w:color="auto" w:fill="auto"/>
          </w:tcPr>
          <w:p w14:paraId="338819E7" w14:textId="77777777" w:rsidR="003D1377" w:rsidRPr="00853120" w:rsidRDefault="003D1377" w:rsidP="003B344F">
            <w:pPr>
              <w:pStyle w:val="QPPTableTextBold"/>
            </w:pPr>
            <w:r w:rsidRPr="00853120">
              <w:t>PO5</w:t>
            </w:r>
          </w:p>
          <w:p w14:paraId="075692E8" w14:textId="77777777" w:rsidR="003D1377" w:rsidRPr="00D62C97" w:rsidRDefault="003D1377" w:rsidP="003B344F">
            <w:pPr>
              <w:pStyle w:val="QPPTableTextBody"/>
            </w:pPr>
            <w:r w:rsidRPr="00D62C97">
              <w:t>Development creates an informal meeting place for workers, visitors and local residents by providing a new plaza within the Stanley Street and Annerley Road sub-precinct.</w:t>
            </w:r>
          </w:p>
        </w:tc>
        <w:tc>
          <w:tcPr>
            <w:tcW w:w="4621" w:type="dxa"/>
            <w:shd w:val="clear" w:color="auto" w:fill="auto"/>
          </w:tcPr>
          <w:p w14:paraId="1F4E758C" w14:textId="77777777" w:rsidR="003D1377" w:rsidRPr="00D62C97" w:rsidRDefault="003D1377" w:rsidP="003B344F">
            <w:pPr>
              <w:pStyle w:val="QPPTableTextBold"/>
            </w:pPr>
            <w:r w:rsidRPr="0024265A">
              <w:t>AO5</w:t>
            </w:r>
          </w:p>
          <w:p w14:paraId="2000363B" w14:textId="4A973CBD" w:rsidR="003D1377" w:rsidRPr="00D62C97" w:rsidRDefault="003D1377" w:rsidP="003B344F">
            <w:pPr>
              <w:pStyle w:val="QPPTableTextBody"/>
            </w:pPr>
            <w:r w:rsidRPr="00D62C97">
              <w:t xml:space="preserve">Development provides a plaza where indicated in </w:t>
            </w:r>
            <w:r w:rsidRPr="00F34EA6">
              <w:t>Figure a</w:t>
            </w:r>
            <w:r w:rsidRPr="00D62C97">
              <w:t xml:space="preserve"> that:</w:t>
            </w:r>
          </w:p>
          <w:p w14:paraId="432D3C04" w14:textId="77777777" w:rsidR="003D1377" w:rsidRPr="00D62C97" w:rsidRDefault="003D1377" w:rsidP="00631465">
            <w:pPr>
              <w:pStyle w:val="HGTableBullet2"/>
              <w:numPr>
                <w:ilvl w:val="0"/>
                <w:numId w:val="56"/>
              </w:numPr>
            </w:pPr>
            <w:r w:rsidRPr="00D62C97">
              <w:t>is at least 10m wide for the length of the Princess Theatre</w:t>
            </w:r>
            <w:r>
              <w:t>;</w:t>
            </w:r>
          </w:p>
          <w:p w14:paraId="39644357" w14:textId="77777777" w:rsidR="003D1377" w:rsidRPr="003D1377" w:rsidRDefault="003D1377" w:rsidP="003D1377">
            <w:pPr>
              <w:pStyle w:val="HGTableBullet2"/>
            </w:pPr>
            <w:r w:rsidRPr="00D62C97">
              <w:t>is regularly shaped</w:t>
            </w:r>
            <w:r w:rsidRPr="003D1377">
              <w:t>;</w:t>
            </w:r>
          </w:p>
          <w:p w14:paraId="56782AEF" w14:textId="77777777" w:rsidR="003D1377" w:rsidRPr="003D1377" w:rsidRDefault="003D1377" w:rsidP="003D1377">
            <w:pPr>
              <w:pStyle w:val="HGTableBullet2"/>
            </w:pPr>
            <w:r w:rsidRPr="00D62C97">
              <w:t>is highly visible from Annerley Road</w:t>
            </w:r>
            <w:r w:rsidRPr="003D1377">
              <w:t>;</w:t>
            </w:r>
          </w:p>
          <w:p w14:paraId="5B13F3DB" w14:textId="77777777" w:rsidR="003D1377" w:rsidRPr="00D62C97" w:rsidRDefault="003D1377" w:rsidP="003D1377">
            <w:pPr>
              <w:pStyle w:val="HGTableBullet2"/>
            </w:pPr>
            <w:r w:rsidRPr="00D62C97">
              <w:t>complements and provides a positive interface to the Princess Theatre.</w:t>
            </w:r>
          </w:p>
        </w:tc>
      </w:tr>
      <w:tr w:rsidR="003D1377" w:rsidRPr="0040087E" w14:paraId="552C338B" w14:textId="77777777" w:rsidTr="003B344F">
        <w:trPr>
          <w:trHeight w:val="1414"/>
        </w:trPr>
        <w:tc>
          <w:tcPr>
            <w:tcW w:w="4621" w:type="dxa"/>
            <w:vMerge w:val="restart"/>
            <w:shd w:val="clear" w:color="auto" w:fill="auto"/>
          </w:tcPr>
          <w:p w14:paraId="4D7095DB" w14:textId="77777777" w:rsidR="003D1377" w:rsidRPr="00D62C97" w:rsidRDefault="003D1377" w:rsidP="003B344F">
            <w:pPr>
              <w:pStyle w:val="QPPTableTextBold"/>
            </w:pPr>
            <w:r w:rsidRPr="00D62C97">
              <w:t>PO6</w:t>
            </w:r>
          </w:p>
          <w:p w14:paraId="7331BE62" w14:textId="77777777" w:rsidR="003D1377" w:rsidRPr="00D62C97" w:rsidRDefault="003D1377" w:rsidP="003B344F">
            <w:pPr>
              <w:pStyle w:val="QPPTableTextBody"/>
            </w:pPr>
            <w:r w:rsidRPr="00D62C97">
              <w:t>Development ensures that access for all vehicles including for site servicing minimises disruption and reduces visual impact on building frontages, pedestrian circulation areas, plazas and arcades.</w:t>
            </w:r>
          </w:p>
        </w:tc>
        <w:tc>
          <w:tcPr>
            <w:tcW w:w="4621" w:type="dxa"/>
            <w:shd w:val="clear" w:color="auto" w:fill="auto"/>
          </w:tcPr>
          <w:p w14:paraId="5661AEE9" w14:textId="77777777" w:rsidR="003D1377" w:rsidRPr="00D62C97" w:rsidRDefault="003D1377" w:rsidP="003B344F">
            <w:pPr>
              <w:pStyle w:val="QPPTableTextBold"/>
            </w:pPr>
            <w:r w:rsidRPr="0024265A">
              <w:t>AO6</w:t>
            </w:r>
            <w:r w:rsidRPr="00D62C97">
              <w:t>.1</w:t>
            </w:r>
          </w:p>
          <w:p w14:paraId="7C7FFD7A" w14:textId="11763A60" w:rsidR="003D1377" w:rsidRPr="00D62C97" w:rsidRDefault="003D1377" w:rsidP="003B344F">
            <w:pPr>
              <w:pStyle w:val="QPPTableTextBody"/>
            </w:pPr>
            <w:r w:rsidRPr="00D62C97">
              <w:t xml:space="preserve">Development provides a shared service lane along the eastern boundary of the Stanley Street and Annerley Road sub-precinct which provides access from Merton Road and Catherine Street, where indicated in </w:t>
            </w:r>
            <w:r w:rsidRPr="00F34EA6">
              <w:t>Figure a</w:t>
            </w:r>
            <w:r w:rsidRPr="00D62C97">
              <w:t xml:space="preserve">. </w:t>
            </w:r>
          </w:p>
        </w:tc>
      </w:tr>
      <w:tr w:rsidR="003D1377" w:rsidRPr="0040087E" w14:paraId="2EA4FE77" w14:textId="77777777" w:rsidTr="003B344F">
        <w:trPr>
          <w:trHeight w:val="950"/>
        </w:trPr>
        <w:tc>
          <w:tcPr>
            <w:tcW w:w="4621" w:type="dxa"/>
            <w:vMerge/>
            <w:shd w:val="clear" w:color="auto" w:fill="auto"/>
          </w:tcPr>
          <w:p w14:paraId="1BC25003" w14:textId="77777777" w:rsidR="003D1377" w:rsidRPr="003D1377" w:rsidRDefault="003D1377" w:rsidP="003D1377"/>
        </w:tc>
        <w:tc>
          <w:tcPr>
            <w:tcW w:w="4621" w:type="dxa"/>
            <w:shd w:val="clear" w:color="auto" w:fill="auto"/>
          </w:tcPr>
          <w:p w14:paraId="088447E1" w14:textId="77777777" w:rsidR="003D1377" w:rsidRPr="00D62C97" w:rsidRDefault="003D1377" w:rsidP="003B344F">
            <w:pPr>
              <w:pStyle w:val="QPPTableTextBold"/>
            </w:pPr>
            <w:r w:rsidRPr="0024265A">
              <w:t>AO6</w:t>
            </w:r>
            <w:r w:rsidRPr="00D62C97">
              <w:t>.2</w:t>
            </w:r>
          </w:p>
          <w:p w14:paraId="55C62C79" w14:textId="77777777" w:rsidR="003D1377" w:rsidRPr="00D62C97" w:rsidRDefault="003D1377" w:rsidP="003B344F">
            <w:pPr>
              <w:pStyle w:val="QPPTableTextBody"/>
            </w:pPr>
            <w:r w:rsidRPr="00D62C97">
              <w:t>Development does not gain access from Annerley Road unless no alternative access point can be provided.</w:t>
            </w:r>
          </w:p>
        </w:tc>
      </w:tr>
      <w:tr w:rsidR="003D1377" w:rsidRPr="0040087E" w14:paraId="16474F69" w14:textId="77777777" w:rsidTr="003B344F">
        <w:trPr>
          <w:trHeight w:val="1076"/>
        </w:trPr>
        <w:tc>
          <w:tcPr>
            <w:tcW w:w="4621" w:type="dxa"/>
            <w:shd w:val="clear" w:color="auto" w:fill="auto"/>
          </w:tcPr>
          <w:p w14:paraId="0AC2F346" w14:textId="77777777" w:rsidR="003D1377" w:rsidRPr="0040087E" w:rsidRDefault="003D1377" w:rsidP="003B344F">
            <w:pPr>
              <w:pStyle w:val="QPPTableTextBold"/>
            </w:pPr>
            <w:r w:rsidRPr="0040087E">
              <w:t>PO</w:t>
            </w:r>
            <w:r>
              <w:t>7</w:t>
            </w:r>
          </w:p>
          <w:p w14:paraId="73FB8850" w14:textId="77777777" w:rsidR="003D1377" w:rsidRPr="0040087E" w:rsidRDefault="003D1377" w:rsidP="003B344F">
            <w:pPr>
              <w:pStyle w:val="QPPTableTextBody"/>
            </w:pPr>
            <w:r w:rsidRPr="009449D2">
              <w:t xml:space="preserve">Development </w:t>
            </w:r>
            <w:r>
              <w:t>ensures that the front boundary setbacks relate to the existing setback patterns of heritage buildings along Annerley Road.</w:t>
            </w:r>
          </w:p>
        </w:tc>
        <w:tc>
          <w:tcPr>
            <w:tcW w:w="4621" w:type="dxa"/>
            <w:shd w:val="clear" w:color="auto" w:fill="auto"/>
          </w:tcPr>
          <w:p w14:paraId="13A954A2" w14:textId="77777777" w:rsidR="003D1377" w:rsidRPr="0040087E" w:rsidRDefault="003D1377" w:rsidP="003B344F">
            <w:pPr>
              <w:pStyle w:val="QPPTableTextBold"/>
            </w:pPr>
            <w:r w:rsidRPr="0024265A">
              <w:t>AO7</w:t>
            </w:r>
          </w:p>
          <w:p w14:paraId="62209029" w14:textId="77777777" w:rsidR="003D1377" w:rsidRPr="0040087E" w:rsidRDefault="003D1377" w:rsidP="003B344F">
            <w:pPr>
              <w:pStyle w:val="QPPTableTextBody"/>
              <w:rPr>
                <w:highlight w:val="yellow"/>
              </w:rPr>
            </w:pPr>
            <w:r w:rsidRPr="0040087E">
              <w:t xml:space="preserve">Development </w:t>
            </w:r>
            <w:r>
              <w:t xml:space="preserve">for a podium </w:t>
            </w:r>
            <w:r w:rsidRPr="0040087E">
              <w:t xml:space="preserve">has a front setback of 0m to the front property boundary along </w:t>
            </w:r>
            <w:r>
              <w:br/>
            </w:r>
            <w:r w:rsidRPr="0040087E">
              <w:t>Annerley Road between Stanley and Catherine Streets</w:t>
            </w:r>
            <w:r>
              <w:t>.</w:t>
            </w:r>
          </w:p>
        </w:tc>
      </w:tr>
      <w:tr w:rsidR="003D1377" w:rsidRPr="0040087E" w14:paraId="26924336" w14:textId="77777777" w:rsidTr="003B344F">
        <w:trPr>
          <w:trHeight w:val="1082"/>
        </w:trPr>
        <w:tc>
          <w:tcPr>
            <w:tcW w:w="4621" w:type="dxa"/>
            <w:shd w:val="clear" w:color="auto" w:fill="auto"/>
          </w:tcPr>
          <w:p w14:paraId="48BE32CE" w14:textId="77777777" w:rsidR="003D1377" w:rsidRPr="0040087E" w:rsidRDefault="003D1377" w:rsidP="003B344F">
            <w:pPr>
              <w:pStyle w:val="QPPTableTextBold"/>
            </w:pPr>
            <w:r w:rsidRPr="0040087E">
              <w:lastRenderedPageBreak/>
              <w:t>PO</w:t>
            </w:r>
            <w:r>
              <w:t>8</w:t>
            </w:r>
          </w:p>
          <w:p w14:paraId="43AFE380" w14:textId="77777777" w:rsidR="003D1377" w:rsidRPr="003D1377" w:rsidRDefault="003D1377" w:rsidP="003B344F">
            <w:pPr>
              <w:pStyle w:val="QPPTableTextBody"/>
              <w:rPr>
                <w:highlight w:val="yellow"/>
              </w:rPr>
            </w:pPr>
            <w:r>
              <w:t>Development for a new premises adjacent to or in the vicinity of a heritage place maintains and enhances the heritage place and its surrounds.</w:t>
            </w:r>
          </w:p>
        </w:tc>
        <w:tc>
          <w:tcPr>
            <w:tcW w:w="4621" w:type="dxa"/>
            <w:shd w:val="clear" w:color="auto" w:fill="auto"/>
          </w:tcPr>
          <w:p w14:paraId="4DB77719" w14:textId="77777777" w:rsidR="003D1377" w:rsidRDefault="003D1377" w:rsidP="003B344F">
            <w:pPr>
              <w:pStyle w:val="QPPTableTextBold"/>
            </w:pPr>
            <w:r w:rsidRPr="0024265A">
              <w:t>AO8</w:t>
            </w:r>
          </w:p>
          <w:p w14:paraId="1260CC82" w14:textId="77777777" w:rsidR="003D1377" w:rsidRDefault="003D1377" w:rsidP="003B344F">
            <w:pPr>
              <w:pStyle w:val="QPPTableTextBody"/>
              <w:rPr>
                <w:highlight w:val="yellow"/>
              </w:rPr>
            </w:pPr>
            <w:r w:rsidRPr="0040087E">
              <w:t xml:space="preserve">Development provides a podium </w:t>
            </w:r>
            <w:r>
              <w:t xml:space="preserve">height which aligns with parapet levels of adjacent heritage buildings. </w:t>
            </w:r>
          </w:p>
        </w:tc>
      </w:tr>
      <w:tr w:rsidR="003D1377" w:rsidRPr="0040087E" w14:paraId="43801DDC" w14:textId="77777777" w:rsidTr="003B344F">
        <w:trPr>
          <w:trHeight w:val="2077"/>
        </w:trPr>
        <w:tc>
          <w:tcPr>
            <w:tcW w:w="4621" w:type="dxa"/>
            <w:vMerge w:val="restart"/>
            <w:shd w:val="clear" w:color="auto" w:fill="auto"/>
          </w:tcPr>
          <w:p w14:paraId="542939FF" w14:textId="77777777" w:rsidR="003D1377" w:rsidRPr="00650D2C" w:rsidRDefault="003D1377" w:rsidP="003B344F">
            <w:pPr>
              <w:pStyle w:val="QPPTableTextBold"/>
            </w:pPr>
            <w:r w:rsidRPr="00650D2C">
              <w:t>PO</w:t>
            </w:r>
            <w:r>
              <w:t>9</w:t>
            </w:r>
          </w:p>
          <w:p w14:paraId="4CA2BB23" w14:textId="3CC9C2A7" w:rsidR="003D1377" w:rsidRPr="00650D2C" w:rsidRDefault="003D1377" w:rsidP="003B344F">
            <w:pPr>
              <w:pStyle w:val="QPPTableTextBody"/>
            </w:pPr>
            <w:r w:rsidRPr="00650D2C">
              <w:t>Development provides a transition to surrounding residential areas and does not create an overbearing appearance or significantly impact on the privacy and </w:t>
            </w:r>
            <w:r w:rsidRPr="00F34EA6">
              <w:t>amenity </w:t>
            </w:r>
            <w:r w:rsidRPr="00650D2C">
              <w:t>of adjoining residences by:</w:t>
            </w:r>
          </w:p>
          <w:p w14:paraId="19F1FCD7" w14:textId="77777777" w:rsidR="003D1377" w:rsidRPr="00650D2C" w:rsidRDefault="003D1377" w:rsidP="00631465">
            <w:pPr>
              <w:pStyle w:val="HGTableBullet2"/>
              <w:numPr>
                <w:ilvl w:val="0"/>
                <w:numId w:val="57"/>
              </w:numPr>
            </w:pPr>
            <w:r w:rsidRPr="00650D2C">
              <w:t>st</w:t>
            </w:r>
            <w:r>
              <w:t>epping down in height and scale;</w:t>
            </w:r>
          </w:p>
          <w:p w14:paraId="737D96C0" w14:textId="77777777" w:rsidR="003D1377" w:rsidRPr="003D1377" w:rsidRDefault="003D1377" w:rsidP="003D1377">
            <w:pPr>
              <w:pStyle w:val="HGTableBullet2"/>
            </w:pPr>
            <w:r w:rsidRPr="00650D2C">
              <w:t>minimising impacts including those from o</w:t>
            </w:r>
            <w:r w:rsidRPr="003D1377">
              <w:t>verlooking and visual dominance;</w:t>
            </w:r>
          </w:p>
          <w:p w14:paraId="340D2B01" w14:textId="77777777" w:rsidR="003D1377" w:rsidRPr="00650D2C" w:rsidRDefault="003D1377" w:rsidP="003D1377">
            <w:pPr>
              <w:pStyle w:val="HGTableBullet2"/>
            </w:pPr>
            <w:r w:rsidRPr="00650D2C">
              <w:t>maintaining adequate levels of natural ventilation and light penetration to a habitable room, balcony and private open space.</w:t>
            </w:r>
          </w:p>
        </w:tc>
        <w:tc>
          <w:tcPr>
            <w:tcW w:w="4621" w:type="dxa"/>
            <w:shd w:val="clear" w:color="auto" w:fill="auto"/>
          </w:tcPr>
          <w:p w14:paraId="78378486" w14:textId="77777777" w:rsidR="003D1377" w:rsidRDefault="003D1377" w:rsidP="003B344F">
            <w:pPr>
              <w:pStyle w:val="QPPTableTextBold"/>
            </w:pPr>
            <w:r w:rsidRPr="00650D2C">
              <w:t>AO</w:t>
            </w:r>
            <w:r>
              <w:t>9</w:t>
            </w:r>
            <w:r w:rsidRPr="00650D2C">
              <w:t>.1</w:t>
            </w:r>
          </w:p>
          <w:p w14:paraId="04E40D9B" w14:textId="77777777" w:rsidR="003D1377" w:rsidRPr="00D62C97" w:rsidRDefault="003D1377" w:rsidP="003B344F">
            <w:pPr>
              <w:pStyle w:val="QPPTableTextBody"/>
            </w:pPr>
            <w:r w:rsidRPr="00D62C97">
              <w:t>Development where sharing a common boundary with premises in the Low-medium density residential zone or Character residential zone:</w:t>
            </w:r>
          </w:p>
          <w:p w14:paraId="3BEAAFC7" w14:textId="77777777" w:rsidR="003D1377" w:rsidRDefault="003D1377" w:rsidP="00631465">
            <w:pPr>
              <w:pStyle w:val="HGTableBullet2"/>
              <w:numPr>
                <w:ilvl w:val="0"/>
                <w:numId w:val="58"/>
              </w:numPr>
            </w:pPr>
            <w:r w:rsidRPr="00D62C97">
              <w:t>has a building height of no</w:t>
            </w:r>
            <w:r>
              <w:t xml:space="preserve"> more than one storey higher than the maximum allowable height of the adjoining property within 10m from the common property boundary;</w:t>
            </w:r>
          </w:p>
          <w:p w14:paraId="35662F2C" w14:textId="77777777" w:rsidR="003D1377" w:rsidRPr="003D1377" w:rsidRDefault="003D1377" w:rsidP="003D1377">
            <w:pPr>
              <w:pStyle w:val="HGTableBullet2"/>
            </w:pPr>
            <w:r>
              <w:t>all structures, except adjoining boundary fences, are set back a minimum of 4m from the common boundary</w:t>
            </w:r>
            <w:r w:rsidRPr="003D1377">
              <w:t xml:space="preserve">; </w:t>
            </w:r>
          </w:p>
          <w:p w14:paraId="2C2C8892" w14:textId="77777777" w:rsidR="003D1377" w:rsidRPr="003D1377" w:rsidRDefault="003D1377" w:rsidP="003D1377">
            <w:pPr>
              <w:pStyle w:val="HGTableBullet2"/>
            </w:pPr>
            <w:r>
              <w:t>an acoustic and visual screen fence of 2m height is provided on the common boundary.</w:t>
            </w:r>
          </w:p>
        </w:tc>
      </w:tr>
      <w:tr w:rsidR="003D1377" w:rsidRPr="0040087E" w14:paraId="45E88738" w14:textId="77777777" w:rsidTr="003B344F">
        <w:trPr>
          <w:trHeight w:val="2076"/>
        </w:trPr>
        <w:tc>
          <w:tcPr>
            <w:tcW w:w="4621" w:type="dxa"/>
            <w:vMerge/>
            <w:shd w:val="clear" w:color="auto" w:fill="auto"/>
          </w:tcPr>
          <w:p w14:paraId="25064C14" w14:textId="77777777" w:rsidR="003D1377" w:rsidRPr="003D1377" w:rsidRDefault="003D1377" w:rsidP="003D1377"/>
        </w:tc>
        <w:tc>
          <w:tcPr>
            <w:tcW w:w="4621" w:type="dxa"/>
            <w:shd w:val="clear" w:color="auto" w:fill="auto"/>
          </w:tcPr>
          <w:p w14:paraId="7DA155DB" w14:textId="77777777" w:rsidR="003D1377" w:rsidRPr="0024265A" w:rsidRDefault="003D1377" w:rsidP="003B344F">
            <w:pPr>
              <w:pStyle w:val="QPPTableTextBold"/>
            </w:pPr>
            <w:r w:rsidRPr="00650D2C">
              <w:t>AO</w:t>
            </w:r>
            <w:r>
              <w:t>9</w:t>
            </w:r>
            <w:r w:rsidRPr="00650D2C">
              <w:t>.1</w:t>
            </w:r>
          </w:p>
          <w:p w14:paraId="3167B469" w14:textId="77777777" w:rsidR="003D1377" w:rsidRPr="00630E1C" w:rsidRDefault="003D1377" w:rsidP="003B344F">
            <w:pPr>
              <w:pStyle w:val="QPPTableTextBody"/>
            </w:pPr>
            <w:r w:rsidRPr="00630E1C">
              <w:t xml:space="preserve">Development where </w:t>
            </w:r>
            <w:r w:rsidRPr="00DC44A7">
              <w:t>located fronting a minor road that is opposite premises in the Low–medium density residential zone or Character residential zone:</w:t>
            </w:r>
          </w:p>
          <w:p w14:paraId="7280F1BD" w14:textId="04E571F8" w:rsidR="003D1377" w:rsidRPr="0024265A" w:rsidRDefault="003D1377" w:rsidP="00631465">
            <w:pPr>
              <w:pStyle w:val="HGTableBullet2"/>
              <w:numPr>
                <w:ilvl w:val="0"/>
                <w:numId w:val="59"/>
              </w:numPr>
            </w:pPr>
            <w:r w:rsidRPr="00D62C97">
              <w:t xml:space="preserve">has a </w:t>
            </w:r>
            <w:r w:rsidRPr="0024265A">
              <w:t xml:space="preserve">building height of no more than </w:t>
            </w:r>
            <w:r w:rsidRPr="0024265A">
              <w:br/>
              <w:t xml:space="preserve">4 </w:t>
            </w:r>
            <w:r w:rsidRPr="00F34EA6">
              <w:t>storeys</w:t>
            </w:r>
            <w:r w:rsidRPr="0024265A">
              <w:t xml:space="preserve"> within 10m from the front boundary</w:t>
            </w:r>
            <w:r>
              <w:t>;</w:t>
            </w:r>
            <w:r w:rsidRPr="0024265A">
              <w:t xml:space="preserve"> </w:t>
            </w:r>
          </w:p>
          <w:p w14:paraId="57C6D872" w14:textId="77777777" w:rsidR="003D1377" w:rsidRPr="0024265A" w:rsidRDefault="003D1377" w:rsidP="003D1377">
            <w:pPr>
              <w:pStyle w:val="HGTableBullet2"/>
            </w:pPr>
            <w:r w:rsidRPr="0024265A">
              <w:t>has a heavily landscaped front setback;</w:t>
            </w:r>
          </w:p>
          <w:p w14:paraId="026A5FC4" w14:textId="77777777" w:rsidR="003D1377" w:rsidRPr="003D1377" w:rsidRDefault="003D1377" w:rsidP="003D1377">
            <w:pPr>
              <w:pStyle w:val="HGTableBullet2"/>
            </w:pPr>
            <w:r w:rsidRPr="0024265A">
              <w:t>buildings are provided with modulation and articulation with variations in the wall and roof plan every 10m</w:t>
            </w:r>
            <w:r w:rsidRPr="003D1377">
              <w:t>.</w:t>
            </w:r>
          </w:p>
        </w:tc>
      </w:tr>
      <w:tr w:rsidR="003D1377" w:rsidRPr="0040087E" w14:paraId="5FAFCA98" w14:textId="77777777" w:rsidTr="003B344F">
        <w:trPr>
          <w:trHeight w:val="453"/>
        </w:trPr>
        <w:tc>
          <w:tcPr>
            <w:tcW w:w="9242" w:type="dxa"/>
            <w:gridSpan w:val="2"/>
            <w:shd w:val="clear" w:color="auto" w:fill="auto"/>
          </w:tcPr>
          <w:p w14:paraId="04983ED9" w14:textId="226A9CA6" w:rsidR="003D1377" w:rsidRPr="00650D2C" w:rsidRDefault="003D1377" w:rsidP="009E3607">
            <w:pPr>
              <w:pStyle w:val="QPPTableTextBold"/>
            </w:pPr>
            <w:r w:rsidRPr="00D62C97">
              <w:t>If in the Mater Hill precinct (NPP-001), where in the Education sub-precinct (NPP-001d)</w:t>
            </w:r>
          </w:p>
        </w:tc>
      </w:tr>
      <w:tr w:rsidR="003D1377" w:rsidRPr="0040087E" w14:paraId="4CA00241" w14:textId="77777777" w:rsidTr="003B344F">
        <w:trPr>
          <w:trHeight w:val="373"/>
        </w:trPr>
        <w:tc>
          <w:tcPr>
            <w:tcW w:w="4621" w:type="dxa"/>
            <w:shd w:val="clear" w:color="auto" w:fill="auto"/>
          </w:tcPr>
          <w:p w14:paraId="75FC1929" w14:textId="77777777" w:rsidR="003D1377" w:rsidRPr="00853120" w:rsidRDefault="003D1377" w:rsidP="003B344F">
            <w:pPr>
              <w:pStyle w:val="QPPTableTextBold"/>
            </w:pPr>
            <w:r w:rsidRPr="00853120">
              <w:t>PO10</w:t>
            </w:r>
          </w:p>
          <w:p w14:paraId="635E21F8" w14:textId="77777777" w:rsidR="003D1377" w:rsidRPr="00480C79" w:rsidRDefault="003D1377" w:rsidP="003B344F">
            <w:pPr>
              <w:pStyle w:val="QPPTableTextBody"/>
            </w:pPr>
            <w:r w:rsidRPr="00480C79">
              <w:t>Development has</w:t>
            </w:r>
            <w:r>
              <w:t>, and is undertaken in accordance with,</w:t>
            </w:r>
            <w:r w:rsidRPr="00480C79">
              <w:t xml:space="preserve"> a Master Plan that:</w:t>
            </w:r>
          </w:p>
          <w:p w14:paraId="2D4A0C79" w14:textId="77777777" w:rsidR="003D1377" w:rsidRPr="00480C79" w:rsidRDefault="003D1377" w:rsidP="00631465">
            <w:pPr>
              <w:pStyle w:val="HGTableBullet2"/>
              <w:numPr>
                <w:ilvl w:val="0"/>
                <w:numId w:val="60"/>
              </w:numPr>
            </w:pPr>
            <w:r w:rsidRPr="00480C79">
              <w:t>provides a mi</w:t>
            </w:r>
            <w:r>
              <w:t>x of preparatory, primary and secondary education uses;</w:t>
            </w:r>
          </w:p>
          <w:p w14:paraId="0CCD4E95" w14:textId="77777777" w:rsidR="003D1377" w:rsidRPr="003D1377" w:rsidRDefault="003D1377" w:rsidP="003D1377">
            <w:pPr>
              <w:pStyle w:val="HGTableBullet2"/>
            </w:pPr>
            <w:r w:rsidRPr="00480C79">
              <w:t>demonstrates that the scale and design of new buildings w</w:t>
            </w:r>
            <w:r w:rsidRPr="003D1377">
              <w:t>ill respect and respond to the cultural significance of the heritage buildings and spaces;</w:t>
            </w:r>
          </w:p>
          <w:p w14:paraId="3B4C6EB0" w14:textId="77777777" w:rsidR="003D1377" w:rsidRPr="003D1377" w:rsidRDefault="003D1377" w:rsidP="003D1377">
            <w:pPr>
              <w:pStyle w:val="HGTableBullet2"/>
            </w:pPr>
            <w:r>
              <w:t xml:space="preserve">ensures that heritage buildings and spaces are </w:t>
            </w:r>
            <w:r w:rsidRPr="003D1377">
              <w:t>conserved and adaptively reused;</w:t>
            </w:r>
          </w:p>
          <w:p w14:paraId="7E3F377E" w14:textId="77777777" w:rsidR="003D1377" w:rsidRPr="003D1377" w:rsidRDefault="003D1377" w:rsidP="003D1377">
            <w:pPr>
              <w:pStyle w:val="HGTableBullet2"/>
            </w:pPr>
            <w:r w:rsidRPr="00D62C97">
              <w:t>ensures building heights step down to neighbouring</w:t>
            </w:r>
            <w:r w:rsidRPr="003D1377">
              <w:t xml:space="preserve"> residential areas;</w:t>
            </w:r>
          </w:p>
          <w:p w14:paraId="5A40C9A5" w14:textId="77777777" w:rsidR="003D1377" w:rsidRPr="003D1377" w:rsidRDefault="003D1377" w:rsidP="003D1377">
            <w:pPr>
              <w:pStyle w:val="HGTableBullet2"/>
            </w:pPr>
            <w:r w:rsidRPr="00480C79">
              <w:t xml:space="preserve">provides a high quality public realm </w:t>
            </w:r>
            <w:r w:rsidRPr="003D1377">
              <w:t>and internal access circulation with a strong pedestrian focus through subtropical landscaping, streetscape improvements and passive surveillance;</w:t>
            </w:r>
          </w:p>
          <w:p w14:paraId="028495F0" w14:textId="77777777" w:rsidR="003D1377" w:rsidRPr="003D1377" w:rsidRDefault="003D1377" w:rsidP="003D1377">
            <w:pPr>
              <w:pStyle w:val="HGTableBullet2"/>
            </w:pPr>
            <w:r w:rsidRPr="00480C79">
              <w:t xml:space="preserve">provides </w:t>
            </w:r>
            <w:r w:rsidRPr="003D1377">
              <w:t xml:space="preserve">high quality pedestrian and cyclist access that connects with high frequency public transport infrastructure and promotes reduction in private transport demands; </w:t>
            </w:r>
          </w:p>
          <w:p w14:paraId="3378C73E" w14:textId="77777777" w:rsidR="003D1377" w:rsidRPr="003D1377" w:rsidRDefault="003D1377" w:rsidP="003D1377">
            <w:pPr>
              <w:pStyle w:val="HGTableBullet2"/>
            </w:pPr>
            <w:r w:rsidRPr="00480C79">
              <w:t>provides vehicular access and circulation to the site</w:t>
            </w:r>
            <w:r w:rsidRPr="003D1377">
              <w:t xml:space="preserve"> compatible with education operations.</w:t>
            </w:r>
          </w:p>
        </w:tc>
        <w:tc>
          <w:tcPr>
            <w:tcW w:w="4621" w:type="dxa"/>
            <w:shd w:val="clear" w:color="auto" w:fill="auto"/>
          </w:tcPr>
          <w:p w14:paraId="3B807210" w14:textId="77777777" w:rsidR="003D1377" w:rsidRPr="00F5107C" w:rsidRDefault="003D1377" w:rsidP="003B344F">
            <w:pPr>
              <w:pStyle w:val="QPPTableTextBold"/>
            </w:pPr>
            <w:r w:rsidRPr="0024265A">
              <w:t>AO10</w:t>
            </w:r>
          </w:p>
          <w:p w14:paraId="49A4A6CE" w14:textId="77777777" w:rsidR="003D1377" w:rsidRPr="00650D2C" w:rsidRDefault="003D1377" w:rsidP="003B344F">
            <w:pPr>
              <w:pStyle w:val="QPPTableTextBody"/>
            </w:pPr>
            <w:r>
              <w:t xml:space="preserve">No </w:t>
            </w:r>
            <w:r w:rsidRPr="0024265A">
              <w:t>acceptable</w:t>
            </w:r>
            <w:r>
              <w:t xml:space="preserve"> outcome is prescribed</w:t>
            </w:r>
            <w:r w:rsidRPr="00F5107C">
              <w:t>.</w:t>
            </w:r>
          </w:p>
        </w:tc>
      </w:tr>
      <w:tr w:rsidR="003D1377" w:rsidRPr="0040087E" w14:paraId="16401C29" w14:textId="77777777" w:rsidTr="003B344F">
        <w:trPr>
          <w:trHeight w:val="453"/>
        </w:trPr>
        <w:tc>
          <w:tcPr>
            <w:tcW w:w="9242" w:type="dxa"/>
            <w:gridSpan w:val="2"/>
            <w:shd w:val="clear" w:color="auto" w:fill="auto"/>
          </w:tcPr>
          <w:p w14:paraId="31835427" w14:textId="44FBBC34" w:rsidR="003D1377" w:rsidRPr="00650D2C" w:rsidRDefault="003D1377" w:rsidP="00922721">
            <w:pPr>
              <w:pStyle w:val="QPPTableTextBold"/>
            </w:pPr>
            <w:r>
              <w:t xml:space="preserve">If in the Boggo Road Urban Village </w:t>
            </w:r>
            <w:r w:rsidRPr="00BD2A68">
              <w:t>precinct</w:t>
            </w:r>
            <w:r>
              <w:t xml:space="preserve"> (NPP-002)</w:t>
            </w:r>
          </w:p>
        </w:tc>
      </w:tr>
      <w:tr w:rsidR="003D1377" w:rsidRPr="0040087E" w14:paraId="501F92CD" w14:textId="77777777" w:rsidTr="003B344F">
        <w:trPr>
          <w:trHeight w:val="1156"/>
        </w:trPr>
        <w:tc>
          <w:tcPr>
            <w:tcW w:w="4621" w:type="dxa"/>
            <w:shd w:val="clear" w:color="auto" w:fill="auto"/>
          </w:tcPr>
          <w:p w14:paraId="34850904" w14:textId="77777777" w:rsidR="003D1377" w:rsidRPr="00D62C97" w:rsidRDefault="003D1377" w:rsidP="003B344F">
            <w:pPr>
              <w:pStyle w:val="QPPTableTextBold"/>
            </w:pPr>
            <w:r w:rsidRPr="00D62C97">
              <w:t>PO11</w:t>
            </w:r>
          </w:p>
          <w:p w14:paraId="6EB7BA2A" w14:textId="77777777" w:rsidR="003D1377" w:rsidRPr="00540552" w:rsidRDefault="003D1377" w:rsidP="003B344F">
            <w:pPr>
              <w:pStyle w:val="QPPTableTextBody"/>
            </w:pPr>
            <w:r w:rsidRPr="00D62C97">
              <w:t>Development along the village centre link, between Boggo Road and Peter Doherty Drive, provides an active and highly accessible link to the Boggo Road Busway Station.</w:t>
            </w:r>
          </w:p>
        </w:tc>
        <w:tc>
          <w:tcPr>
            <w:tcW w:w="4621" w:type="dxa"/>
            <w:shd w:val="clear" w:color="auto" w:fill="auto"/>
          </w:tcPr>
          <w:p w14:paraId="196DC3B0" w14:textId="77777777" w:rsidR="003D1377" w:rsidRPr="00D62C97" w:rsidRDefault="003D1377" w:rsidP="003B344F">
            <w:pPr>
              <w:pStyle w:val="QPPTableTextBold"/>
            </w:pPr>
            <w:r w:rsidRPr="00453785">
              <w:t>AO11</w:t>
            </w:r>
          </w:p>
          <w:p w14:paraId="22F8F61B" w14:textId="77777777" w:rsidR="003D1377" w:rsidRPr="00D62C97" w:rsidRDefault="003D1377" w:rsidP="003B344F">
            <w:pPr>
              <w:pStyle w:val="QPPTableTextBody"/>
            </w:pPr>
            <w:r w:rsidRPr="00DC44A7">
              <w:t>Development adjoining the village centre link between Boggo Road and Peter Doherty Street, provides</w:t>
            </w:r>
            <w:r w:rsidRPr="00D62C97">
              <w:t xml:space="preserve">: </w:t>
            </w:r>
          </w:p>
          <w:p w14:paraId="44062201" w14:textId="59EE5A13" w:rsidR="003D1377" w:rsidRPr="00D62C97" w:rsidRDefault="003D1377" w:rsidP="00631465">
            <w:pPr>
              <w:pStyle w:val="HGTableBullet2"/>
              <w:numPr>
                <w:ilvl w:val="0"/>
                <w:numId w:val="61"/>
              </w:numPr>
            </w:pPr>
            <w:r w:rsidRPr="00D62C97">
              <w:t>continuous active uses, such as</w:t>
            </w:r>
            <w:r>
              <w:t xml:space="preserve"> </w:t>
            </w:r>
            <w:r w:rsidRPr="00D62C97">
              <w:t>shops</w:t>
            </w:r>
            <w:r>
              <w:t xml:space="preserve"> </w:t>
            </w:r>
            <w:r w:rsidRPr="00D62C97">
              <w:t>and</w:t>
            </w:r>
            <w:r>
              <w:t xml:space="preserve"> </w:t>
            </w:r>
            <w:r w:rsidRPr="00D62C97">
              <w:t>food and drink outlets, at street level, including access and orientation to the street</w:t>
            </w:r>
            <w:r>
              <w:t>;</w:t>
            </w:r>
          </w:p>
          <w:p w14:paraId="3A53630B" w14:textId="004F8E25" w:rsidR="003D1377" w:rsidRPr="003D1377" w:rsidRDefault="003D1377" w:rsidP="003D1377">
            <w:pPr>
              <w:pStyle w:val="HGTableBullet2"/>
            </w:pPr>
            <w:r w:rsidRPr="00D62C97">
              <w:t xml:space="preserve">a shop (supermarket) or shop tenancy component of a shopping centre not exceeding </w:t>
            </w:r>
            <w:r w:rsidR="00922721" w:rsidRPr="00D62C97">
              <w:t>1,500m</w:t>
            </w:r>
            <w:r w:rsidR="00922721" w:rsidRPr="00043594">
              <w:rPr>
                <w:vertAlign w:val="superscript"/>
              </w:rPr>
              <w:t>2</w:t>
            </w:r>
            <w:r w:rsidR="00922721">
              <w:t xml:space="preserve"> </w:t>
            </w:r>
            <w:r w:rsidRPr="003D1377">
              <w:t>in gross floor area;</w:t>
            </w:r>
          </w:p>
          <w:p w14:paraId="2C0B7F4E" w14:textId="77777777" w:rsidR="003D1377" w:rsidRPr="003D1377" w:rsidRDefault="003D1377" w:rsidP="003D1377">
            <w:pPr>
              <w:pStyle w:val="HGTableBullet2"/>
            </w:pPr>
            <w:r w:rsidRPr="00D62C97">
              <w:t xml:space="preserve">legible and convenient pedestrian access through the centre of the precinct to the Boggo Road Busway </w:t>
            </w:r>
            <w:r w:rsidRPr="003D1377">
              <w:t>Station and the precinct’s proposed future public passenger transport facility.</w:t>
            </w:r>
          </w:p>
        </w:tc>
      </w:tr>
      <w:tr w:rsidR="003D1377" w:rsidRPr="0040087E" w14:paraId="2A86EA0A" w14:textId="77777777" w:rsidTr="003B344F">
        <w:trPr>
          <w:trHeight w:val="3340"/>
        </w:trPr>
        <w:tc>
          <w:tcPr>
            <w:tcW w:w="4621" w:type="dxa"/>
            <w:shd w:val="clear" w:color="auto" w:fill="auto"/>
          </w:tcPr>
          <w:p w14:paraId="664F968A" w14:textId="77777777" w:rsidR="003D1377" w:rsidRPr="00D62C97" w:rsidRDefault="003D1377" w:rsidP="003B344F">
            <w:pPr>
              <w:pStyle w:val="QPPTableTextBold"/>
            </w:pPr>
            <w:r w:rsidRPr="00D62C97">
              <w:t>PO12</w:t>
            </w:r>
          </w:p>
          <w:p w14:paraId="164F24B2" w14:textId="13AFBD45" w:rsidR="003D1377" w:rsidRPr="00D62C97" w:rsidRDefault="003D1377" w:rsidP="003B344F">
            <w:pPr>
              <w:pStyle w:val="QPPTableTextBody"/>
            </w:pPr>
            <w:r w:rsidRPr="00D62C97">
              <w:t>Development provides a transition to adjoining residential and education purpose areas and does not create an overbearing appearance or significantly impact on the privacy and</w:t>
            </w:r>
            <w:r>
              <w:t xml:space="preserve"> </w:t>
            </w:r>
            <w:r w:rsidRPr="00F34EA6">
              <w:t>amenity</w:t>
            </w:r>
            <w:r>
              <w:t xml:space="preserve"> </w:t>
            </w:r>
            <w:r w:rsidRPr="00D62C97">
              <w:t>of adjoining residences or the operation of the education purposes by:</w:t>
            </w:r>
          </w:p>
          <w:p w14:paraId="753F7E1A" w14:textId="77777777" w:rsidR="003D1377" w:rsidRPr="00D62C97" w:rsidRDefault="003D1377" w:rsidP="00631465">
            <w:pPr>
              <w:pStyle w:val="HGTableBullet2"/>
              <w:numPr>
                <w:ilvl w:val="0"/>
                <w:numId w:val="62"/>
              </w:numPr>
            </w:pPr>
            <w:r w:rsidRPr="00D62C97">
              <w:t>stepping down in height and scale</w:t>
            </w:r>
            <w:r>
              <w:t>;</w:t>
            </w:r>
          </w:p>
          <w:p w14:paraId="1FD5A98D" w14:textId="77777777" w:rsidR="003D1377" w:rsidRPr="003D1377" w:rsidRDefault="003D1377" w:rsidP="003D1377">
            <w:pPr>
              <w:pStyle w:val="HGTableBullet2"/>
            </w:pPr>
            <w:r w:rsidRPr="00D62C97">
              <w:t>minimising impacts including those from overlooking and visual dominance</w:t>
            </w:r>
            <w:r w:rsidRPr="003D1377">
              <w:t>;</w:t>
            </w:r>
          </w:p>
          <w:p w14:paraId="62D654AC" w14:textId="77777777" w:rsidR="003D1377" w:rsidRPr="00540552" w:rsidRDefault="003D1377" w:rsidP="003D1377">
            <w:pPr>
              <w:pStyle w:val="HGTableBullet2"/>
            </w:pPr>
            <w:r w:rsidRPr="00540552">
              <w:t>maintaining adequate levels of natural ventilation and light penetration to a habitable room, balcony and private open space.</w:t>
            </w:r>
          </w:p>
        </w:tc>
        <w:tc>
          <w:tcPr>
            <w:tcW w:w="4621" w:type="dxa"/>
            <w:shd w:val="clear" w:color="auto" w:fill="auto"/>
          </w:tcPr>
          <w:p w14:paraId="537B2B24" w14:textId="77777777" w:rsidR="003D1377" w:rsidRPr="00453785" w:rsidRDefault="003D1377" w:rsidP="003B344F">
            <w:pPr>
              <w:pStyle w:val="QPPTableTextBold"/>
            </w:pPr>
            <w:r w:rsidRPr="00D62C97">
              <w:t>AO12</w:t>
            </w:r>
          </w:p>
          <w:p w14:paraId="3732EA0E" w14:textId="77777777" w:rsidR="003D1377" w:rsidRPr="00DC44A7" w:rsidRDefault="003D1377" w:rsidP="003B344F">
            <w:pPr>
              <w:pStyle w:val="QPPTableTextBody"/>
            </w:pPr>
            <w:r w:rsidRPr="00DC44A7">
              <w:t xml:space="preserve">Development in the Boggo Road Urban Village south sub-precinct where adjoining the Character residential zone provides a rear setback of: </w:t>
            </w:r>
          </w:p>
          <w:p w14:paraId="3749FD18" w14:textId="6AAC6339" w:rsidR="003D1377" w:rsidRDefault="003D1377" w:rsidP="00631465">
            <w:pPr>
              <w:pStyle w:val="HGTableBullet2"/>
              <w:numPr>
                <w:ilvl w:val="0"/>
                <w:numId w:val="63"/>
              </w:numPr>
            </w:pPr>
            <w:r w:rsidRPr="00D62C97">
              <w:t xml:space="preserve">10m where for the first 2 </w:t>
            </w:r>
            <w:r w:rsidRPr="00F34EA6">
              <w:t>storeys</w:t>
            </w:r>
            <w:r w:rsidRPr="00D62C97">
              <w:t xml:space="preserve"> or 7m </w:t>
            </w:r>
            <w:r w:rsidRPr="00F34EA6">
              <w:t>AHD</w:t>
            </w:r>
            <w:r>
              <w:t xml:space="preserve">; </w:t>
            </w:r>
          </w:p>
          <w:p w14:paraId="2C7F4BAD" w14:textId="07CD1ADF" w:rsidR="003D1377" w:rsidRPr="003D1377" w:rsidRDefault="003D1377" w:rsidP="003D1377">
            <w:pPr>
              <w:pStyle w:val="HGTableBullet2"/>
            </w:pPr>
            <w:r w:rsidRPr="00D62C97">
              <w:t xml:space="preserve">15m where </w:t>
            </w:r>
            <w:r w:rsidRPr="003D1377">
              <w:t>exceeding 2</w:t>
            </w:r>
            <w:r w:rsidR="009B11A1">
              <w:t xml:space="preserve"> </w:t>
            </w:r>
            <w:r w:rsidR="00043594" w:rsidRPr="00F34EA6">
              <w:t>storeys</w:t>
            </w:r>
            <w:r w:rsidR="009B11A1">
              <w:t xml:space="preserve"> </w:t>
            </w:r>
            <w:r w:rsidRPr="003D1377">
              <w:t>in building height.</w:t>
            </w:r>
          </w:p>
        </w:tc>
      </w:tr>
    </w:tbl>
    <w:p w14:paraId="56523D37" w14:textId="7AAB5B0C" w:rsidR="003D1377" w:rsidRPr="001F25EF" w:rsidRDefault="003D1377" w:rsidP="001F25EF">
      <w:pPr>
        <w:pStyle w:val="QPPTableHeadingStyle1"/>
      </w:pPr>
      <w:bookmarkStart w:id="31" w:name="_Toc398293973"/>
      <w:bookmarkStart w:id="32" w:name="_Toc398303986"/>
      <w:bookmarkStart w:id="33" w:name="_Toc398304071"/>
      <w:bookmarkStart w:id="34" w:name="_Toc398304136"/>
      <w:bookmarkStart w:id="35" w:name="_Toc398304250"/>
      <w:bookmarkStart w:id="36" w:name="_Toc398307448"/>
      <w:bookmarkStart w:id="37" w:name="_Toc398307492"/>
      <w:bookmarkStart w:id="38" w:name="Table_72433B"/>
      <w:r w:rsidRPr="001F25EF">
        <w:t>Table 7.2.4.3.3.B–Maximum building height</w:t>
      </w:r>
      <w:bookmarkEnd w:id="31"/>
      <w:bookmarkEnd w:id="32"/>
      <w:bookmarkEnd w:id="33"/>
      <w:bookmarkEnd w:id="34"/>
      <w:bookmarkEnd w:id="35"/>
      <w:bookmarkEnd w:id="36"/>
      <w:bookmarkEnd w:id="37"/>
      <w:r w:rsidRPr="001F25EF">
        <w:t xml:space="preserve"> in </w:t>
      </w:r>
      <w:r w:rsidRPr="0066541D">
        <w:t>storeys</w:t>
      </w:r>
    </w:p>
    <w:bookmarkEnd w:id="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694"/>
        <w:gridCol w:w="1694"/>
        <w:gridCol w:w="1689"/>
      </w:tblGrid>
      <w:tr w:rsidR="003D1377" w14:paraId="53289D70" w14:textId="77777777" w:rsidTr="003B344F">
        <w:tc>
          <w:tcPr>
            <w:tcW w:w="2198" w:type="pct"/>
            <w:tcBorders>
              <w:top w:val="single" w:sz="4" w:space="0" w:color="auto"/>
              <w:left w:val="single" w:sz="4" w:space="0" w:color="auto"/>
              <w:bottom w:val="single" w:sz="4" w:space="0" w:color="auto"/>
              <w:right w:val="single" w:sz="4" w:space="0" w:color="auto"/>
            </w:tcBorders>
          </w:tcPr>
          <w:p w14:paraId="2C03543A" w14:textId="77777777" w:rsidR="003D1377" w:rsidRPr="003D1377" w:rsidRDefault="003D1377" w:rsidP="003B344F"/>
        </w:tc>
        <w:tc>
          <w:tcPr>
            <w:tcW w:w="2802" w:type="pct"/>
            <w:gridSpan w:val="3"/>
            <w:tcBorders>
              <w:top w:val="single" w:sz="4" w:space="0" w:color="auto"/>
              <w:left w:val="single" w:sz="4" w:space="0" w:color="auto"/>
              <w:bottom w:val="single" w:sz="4" w:space="0" w:color="auto"/>
              <w:right w:val="single" w:sz="4" w:space="0" w:color="auto"/>
            </w:tcBorders>
          </w:tcPr>
          <w:p w14:paraId="16C30878" w14:textId="472DCA75" w:rsidR="003D1377" w:rsidRPr="00BC02F5" w:rsidRDefault="003D1377" w:rsidP="003B344F">
            <w:pPr>
              <w:pStyle w:val="QPPTableTextBold"/>
            </w:pPr>
            <w:r w:rsidRPr="00BC02F5">
              <w:t xml:space="preserve">Building height (number of </w:t>
            </w:r>
            <w:r w:rsidRPr="00F34EA6">
              <w:t>storeys</w:t>
            </w:r>
            <w:r w:rsidRPr="00BC02F5">
              <w:t>)</w:t>
            </w:r>
          </w:p>
        </w:tc>
      </w:tr>
      <w:tr w:rsidR="003D1377" w14:paraId="73113FB7"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582CB438" w14:textId="77777777" w:rsidR="003D1377" w:rsidRPr="00BC02F5" w:rsidRDefault="003D1377" w:rsidP="003B344F">
            <w:pPr>
              <w:pStyle w:val="QPPTableTextBold"/>
            </w:pPr>
            <w:r w:rsidRPr="00BC02F5">
              <w:t>Site area</w:t>
            </w:r>
          </w:p>
        </w:tc>
        <w:tc>
          <w:tcPr>
            <w:tcW w:w="935" w:type="pct"/>
            <w:tcBorders>
              <w:top w:val="single" w:sz="4" w:space="0" w:color="auto"/>
              <w:left w:val="single" w:sz="4" w:space="0" w:color="auto"/>
              <w:bottom w:val="single" w:sz="4" w:space="0" w:color="auto"/>
              <w:right w:val="single" w:sz="4" w:space="0" w:color="auto"/>
            </w:tcBorders>
            <w:hideMark/>
          </w:tcPr>
          <w:p w14:paraId="460A9CB7" w14:textId="77777777" w:rsidR="003D1377" w:rsidRPr="00BC02F5" w:rsidRDefault="003D1377" w:rsidP="003B344F">
            <w:pPr>
              <w:pStyle w:val="QPPTableTextBold"/>
            </w:pPr>
            <w:r w:rsidRPr="00BC02F5">
              <w:t>800m to less than 1,2000m</w:t>
            </w:r>
            <w:r w:rsidRPr="009B11A1">
              <w:rPr>
                <w:vertAlign w:val="superscript"/>
              </w:rPr>
              <w:t>2</w:t>
            </w:r>
          </w:p>
        </w:tc>
        <w:tc>
          <w:tcPr>
            <w:tcW w:w="935" w:type="pct"/>
            <w:tcBorders>
              <w:top w:val="single" w:sz="4" w:space="0" w:color="auto"/>
              <w:left w:val="single" w:sz="4" w:space="0" w:color="auto"/>
              <w:bottom w:val="single" w:sz="4" w:space="0" w:color="auto"/>
              <w:right w:val="single" w:sz="4" w:space="0" w:color="auto"/>
            </w:tcBorders>
            <w:hideMark/>
          </w:tcPr>
          <w:p w14:paraId="202AE030" w14:textId="4F5ACC7A" w:rsidR="003D1377" w:rsidRPr="00BC02F5" w:rsidRDefault="003D1377" w:rsidP="003B344F">
            <w:pPr>
              <w:pStyle w:val="QPPTableTextBold"/>
            </w:pPr>
            <w:r w:rsidRPr="00BC02F5">
              <w:t>1,200</w:t>
            </w:r>
            <w:r>
              <w:t>m</w:t>
            </w:r>
            <w:r w:rsidRPr="009B11A1">
              <w:rPr>
                <w:vertAlign w:val="superscript"/>
              </w:rPr>
              <w:t>2</w:t>
            </w:r>
            <w:r w:rsidR="00922721">
              <w:t xml:space="preserve"> to less than </w:t>
            </w:r>
            <w:r w:rsidRPr="00BC02F5">
              <w:t>2,500m</w:t>
            </w:r>
            <w:r w:rsidRPr="009B11A1">
              <w:rPr>
                <w:vertAlign w:val="superscript"/>
              </w:rPr>
              <w:t>2</w:t>
            </w:r>
          </w:p>
        </w:tc>
        <w:tc>
          <w:tcPr>
            <w:tcW w:w="932" w:type="pct"/>
            <w:tcBorders>
              <w:top w:val="single" w:sz="4" w:space="0" w:color="auto"/>
              <w:left w:val="single" w:sz="4" w:space="0" w:color="auto"/>
              <w:bottom w:val="single" w:sz="4" w:space="0" w:color="auto"/>
              <w:right w:val="single" w:sz="4" w:space="0" w:color="auto"/>
            </w:tcBorders>
            <w:hideMark/>
          </w:tcPr>
          <w:p w14:paraId="27E764C2" w14:textId="77777777" w:rsidR="003D1377" w:rsidRPr="00BC02F5" w:rsidRDefault="003D1377" w:rsidP="003B344F">
            <w:pPr>
              <w:pStyle w:val="QPPTableTextBold"/>
            </w:pPr>
            <w:r w:rsidRPr="00BC02F5">
              <w:t>2,500m</w:t>
            </w:r>
            <w:r w:rsidRPr="009B11A1">
              <w:rPr>
                <w:vertAlign w:val="superscript"/>
              </w:rPr>
              <w:t>2</w:t>
            </w:r>
            <w:r>
              <w:t xml:space="preserve"> or greater</w:t>
            </w:r>
          </w:p>
        </w:tc>
      </w:tr>
      <w:tr w:rsidR="003D1377" w14:paraId="094AEF0B"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77C63621" w14:textId="77777777" w:rsidR="003D1377" w:rsidRDefault="003D1377" w:rsidP="003B344F">
            <w:pPr>
              <w:pStyle w:val="QPPTableTextBold"/>
            </w:pPr>
            <w:r>
              <w:t>Site frontage</w:t>
            </w:r>
          </w:p>
        </w:tc>
        <w:tc>
          <w:tcPr>
            <w:tcW w:w="935" w:type="pct"/>
            <w:tcBorders>
              <w:top w:val="single" w:sz="4" w:space="0" w:color="auto"/>
              <w:left w:val="single" w:sz="4" w:space="0" w:color="auto"/>
              <w:bottom w:val="single" w:sz="4" w:space="0" w:color="auto"/>
              <w:right w:val="single" w:sz="4" w:space="0" w:color="auto"/>
            </w:tcBorders>
            <w:hideMark/>
          </w:tcPr>
          <w:p w14:paraId="0A178A80" w14:textId="77777777" w:rsidR="003D1377" w:rsidRDefault="003D1377" w:rsidP="003B344F">
            <w:pPr>
              <w:pStyle w:val="QPPTableTextBold"/>
            </w:pPr>
            <w:r>
              <w:t>20m</w:t>
            </w:r>
          </w:p>
        </w:tc>
        <w:tc>
          <w:tcPr>
            <w:tcW w:w="935" w:type="pct"/>
            <w:tcBorders>
              <w:top w:val="single" w:sz="4" w:space="0" w:color="auto"/>
              <w:left w:val="single" w:sz="4" w:space="0" w:color="auto"/>
              <w:bottom w:val="single" w:sz="4" w:space="0" w:color="auto"/>
              <w:right w:val="single" w:sz="4" w:space="0" w:color="auto"/>
            </w:tcBorders>
            <w:hideMark/>
          </w:tcPr>
          <w:p w14:paraId="44290360" w14:textId="77777777" w:rsidR="003D1377" w:rsidRDefault="003D1377" w:rsidP="003B344F">
            <w:pPr>
              <w:pStyle w:val="QPPTableTextBold"/>
            </w:pPr>
            <w:r>
              <w:t>20m to 30m</w:t>
            </w:r>
          </w:p>
        </w:tc>
        <w:tc>
          <w:tcPr>
            <w:tcW w:w="932" w:type="pct"/>
            <w:tcBorders>
              <w:top w:val="single" w:sz="4" w:space="0" w:color="auto"/>
              <w:left w:val="single" w:sz="4" w:space="0" w:color="auto"/>
              <w:bottom w:val="single" w:sz="4" w:space="0" w:color="auto"/>
              <w:right w:val="single" w:sz="4" w:space="0" w:color="auto"/>
            </w:tcBorders>
            <w:hideMark/>
          </w:tcPr>
          <w:p w14:paraId="74736086" w14:textId="77777777" w:rsidR="003D1377" w:rsidRDefault="003D1377" w:rsidP="003B344F">
            <w:pPr>
              <w:pStyle w:val="QPPTableTextBold"/>
            </w:pPr>
            <w:r>
              <w:t>30m</w:t>
            </w:r>
          </w:p>
        </w:tc>
      </w:tr>
      <w:tr w:rsidR="003D1377" w14:paraId="7DA648B7"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1AC11DF0" w14:textId="61C1D33D" w:rsidR="003D1377" w:rsidRDefault="003D1377" w:rsidP="003B344F">
            <w:pPr>
              <w:pStyle w:val="QPPTableTextBold"/>
            </w:pPr>
            <w:r>
              <w:t>If in the Health sub-precinct (</w:t>
            </w:r>
            <w:r w:rsidRPr="00F34EA6">
              <w:t>Dutton Park—Fairfield neighbourhood plan</w:t>
            </w:r>
            <w:r>
              <w:t>/NPP-001a)</w:t>
            </w:r>
          </w:p>
        </w:tc>
      </w:tr>
      <w:tr w:rsidR="003D1377" w:rsidRPr="00DD48A7" w14:paraId="02E392F1"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6F408E16" w14:textId="77777777" w:rsidR="003D1377" w:rsidRPr="003904B9" w:rsidRDefault="003D1377" w:rsidP="003B344F">
            <w:pPr>
              <w:pStyle w:val="QPPTableTextBody"/>
            </w:pPr>
            <w:r w:rsidRPr="003904B9">
              <w:t>Development of a site in the Community facilities major health care zone precinct</w:t>
            </w:r>
          </w:p>
        </w:tc>
        <w:tc>
          <w:tcPr>
            <w:tcW w:w="2802" w:type="pct"/>
            <w:gridSpan w:val="3"/>
            <w:tcBorders>
              <w:top w:val="single" w:sz="4" w:space="0" w:color="auto"/>
              <w:left w:val="single" w:sz="4" w:space="0" w:color="auto"/>
              <w:bottom w:val="single" w:sz="4" w:space="0" w:color="auto"/>
              <w:right w:val="single" w:sz="4" w:space="0" w:color="auto"/>
            </w:tcBorders>
            <w:hideMark/>
          </w:tcPr>
          <w:p w14:paraId="1A97DAB4" w14:textId="7F152740" w:rsidR="003D1377" w:rsidRPr="000938EC" w:rsidRDefault="003D1377" w:rsidP="003B344F">
            <w:pPr>
              <w:pStyle w:val="QPPTableTextBody"/>
            </w:pPr>
            <w:r w:rsidRPr="000938EC">
              <w:t xml:space="preserve">20 </w:t>
            </w:r>
            <w:r w:rsidR="009B11A1" w:rsidRPr="00F34EA6">
              <w:t>storeys</w:t>
            </w:r>
          </w:p>
          <w:p w14:paraId="4EADF6D8" w14:textId="77777777" w:rsidR="003D1377" w:rsidRPr="000938EC" w:rsidRDefault="003D1377" w:rsidP="003B344F">
            <w:pPr>
              <w:pStyle w:val="QPPTableTextBody"/>
            </w:pPr>
          </w:p>
        </w:tc>
      </w:tr>
      <w:tr w:rsidR="003D1377" w:rsidRPr="00DD48A7" w14:paraId="402B4AD5"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6F88CC30" w14:textId="77777777" w:rsidR="003D1377" w:rsidRPr="003904B9" w:rsidRDefault="003D1377" w:rsidP="003B344F">
            <w:pPr>
              <w:pStyle w:val="QPPTableTextBody"/>
            </w:pPr>
            <w:r w:rsidRPr="003904B9">
              <w:t>Development of a site in the High density residential (up to 15 storeys) zone precinct</w:t>
            </w:r>
          </w:p>
        </w:tc>
        <w:tc>
          <w:tcPr>
            <w:tcW w:w="2802" w:type="pct"/>
            <w:gridSpan w:val="3"/>
            <w:tcBorders>
              <w:top w:val="single" w:sz="4" w:space="0" w:color="auto"/>
              <w:left w:val="single" w:sz="4" w:space="0" w:color="auto"/>
              <w:bottom w:val="single" w:sz="4" w:space="0" w:color="auto"/>
              <w:right w:val="single" w:sz="4" w:space="0" w:color="auto"/>
            </w:tcBorders>
            <w:hideMark/>
          </w:tcPr>
          <w:p w14:paraId="6E0E46D2" w14:textId="4C5FDFA9" w:rsidR="003D1377" w:rsidRPr="000938EC" w:rsidRDefault="003D1377" w:rsidP="003B344F">
            <w:pPr>
              <w:pStyle w:val="QPPTableTextBody"/>
            </w:pPr>
            <w:r w:rsidRPr="000938EC">
              <w:t xml:space="preserve">20 </w:t>
            </w:r>
            <w:r w:rsidR="009B11A1" w:rsidRPr="00F34EA6">
              <w:t>storeys</w:t>
            </w:r>
          </w:p>
          <w:p w14:paraId="34BFE119" w14:textId="77777777" w:rsidR="003D1377" w:rsidRPr="000938EC" w:rsidRDefault="003D1377" w:rsidP="003B344F">
            <w:pPr>
              <w:pStyle w:val="QPPTableTextBody"/>
            </w:pPr>
          </w:p>
        </w:tc>
      </w:tr>
      <w:tr w:rsidR="003D1377" w:rsidRPr="00DD48A7" w14:paraId="6B8BEB33"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57E2A38C" w14:textId="77777777" w:rsidR="003D1377" w:rsidRPr="003904B9" w:rsidRDefault="003D1377" w:rsidP="003B344F">
            <w:pPr>
              <w:pStyle w:val="QPPTableTextBody"/>
            </w:pPr>
            <w:r w:rsidRPr="003904B9">
              <w:t>Development of a site in the Mixed use (Inner city) zone precinct</w:t>
            </w:r>
          </w:p>
        </w:tc>
        <w:tc>
          <w:tcPr>
            <w:tcW w:w="2802" w:type="pct"/>
            <w:gridSpan w:val="3"/>
            <w:tcBorders>
              <w:top w:val="single" w:sz="4" w:space="0" w:color="auto"/>
              <w:left w:val="single" w:sz="4" w:space="0" w:color="auto"/>
              <w:bottom w:val="single" w:sz="4" w:space="0" w:color="auto"/>
              <w:right w:val="single" w:sz="4" w:space="0" w:color="auto"/>
            </w:tcBorders>
          </w:tcPr>
          <w:p w14:paraId="2CA9075B" w14:textId="44938810" w:rsidR="003D1377" w:rsidRPr="000938EC" w:rsidRDefault="003D1377" w:rsidP="003B344F">
            <w:pPr>
              <w:pStyle w:val="QPPTableTextBody"/>
            </w:pPr>
            <w:r w:rsidRPr="000938EC">
              <w:t xml:space="preserve">20 </w:t>
            </w:r>
            <w:r w:rsidR="009B11A1" w:rsidRPr="00F34EA6">
              <w:t>storeys</w:t>
            </w:r>
          </w:p>
        </w:tc>
      </w:tr>
      <w:tr w:rsidR="003D1377" w14:paraId="0FDD226A"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71CAE5C1" w14:textId="6990DA90" w:rsidR="003D1377" w:rsidRDefault="003D1377" w:rsidP="003B344F">
            <w:pPr>
              <w:pStyle w:val="QPPTableTextBold"/>
            </w:pPr>
            <w:r>
              <w:t xml:space="preserve">If in the Stanley </w:t>
            </w:r>
            <w:r w:rsidRPr="00453785">
              <w:t xml:space="preserve">Street and Annerley Road sub precinct area a shown on </w:t>
            </w:r>
            <w:r w:rsidRPr="00F34EA6">
              <w:t>Figure a</w:t>
            </w:r>
            <w:r w:rsidRPr="00453785">
              <w:t xml:space="preserve"> (</w:t>
            </w:r>
            <w:r w:rsidRPr="00F34EA6">
              <w:t>Dutton Park—Fairfield neighbourhood plan/</w:t>
            </w:r>
            <w:r w:rsidRPr="00453785">
              <w:t>NPP-001b)</w:t>
            </w:r>
          </w:p>
        </w:tc>
      </w:tr>
      <w:tr w:rsidR="003D1377" w14:paraId="2E703200"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317DF561" w14:textId="77777777" w:rsidR="003D1377" w:rsidRDefault="003D1377" w:rsidP="003B344F">
            <w:pPr>
              <w:pStyle w:val="QPPTableTextBody"/>
            </w:pPr>
            <w:r>
              <w:t>Development of a site in the Mixed use (Inner city) zone precinct</w:t>
            </w:r>
          </w:p>
        </w:tc>
        <w:tc>
          <w:tcPr>
            <w:tcW w:w="935" w:type="pct"/>
            <w:tcBorders>
              <w:top w:val="single" w:sz="4" w:space="0" w:color="auto"/>
              <w:left w:val="single" w:sz="4" w:space="0" w:color="auto"/>
              <w:bottom w:val="single" w:sz="4" w:space="0" w:color="auto"/>
              <w:right w:val="single" w:sz="4" w:space="0" w:color="auto"/>
            </w:tcBorders>
            <w:hideMark/>
          </w:tcPr>
          <w:p w14:paraId="483B5EE8" w14:textId="0D22A382" w:rsidR="003D1377" w:rsidRDefault="003D1377" w:rsidP="003B344F">
            <w:pPr>
              <w:pStyle w:val="QPPTableTextBody"/>
            </w:pPr>
            <w:r>
              <w:t xml:space="preserve">6 </w:t>
            </w:r>
            <w:r w:rsidR="00394CE2" w:rsidRPr="00F34EA6">
              <w:t>storeys</w:t>
            </w:r>
          </w:p>
        </w:tc>
        <w:tc>
          <w:tcPr>
            <w:tcW w:w="935" w:type="pct"/>
            <w:tcBorders>
              <w:top w:val="single" w:sz="4" w:space="0" w:color="auto"/>
              <w:left w:val="single" w:sz="4" w:space="0" w:color="auto"/>
              <w:bottom w:val="single" w:sz="4" w:space="0" w:color="auto"/>
              <w:right w:val="single" w:sz="4" w:space="0" w:color="auto"/>
            </w:tcBorders>
            <w:hideMark/>
          </w:tcPr>
          <w:p w14:paraId="28B4CDDD" w14:textId="3AA30E2B" w:rsidR="003D1377" w:rsidRDefault="003D1377" w:rsidP="003B344F">
            <w:pPr>
              <w:pStyle w:val="QPPTableTextBody"/>
            </w:pPr>
            <w:r>
              <w:t xml:space="preserve">12 </w:t>
            </w:r>
            <w:r w:rsidR="00394CE2" w:rsidRPr="00F34EA6">
              <w:t>storeys</w:t>
            </w:r>
          </w:p>
        </w:tc>
        <w:tc>
          <w:tcPr>
            <w:tcW w:w="932" w:type="pct"/>
            <w:tcBorders>
              <w:top w:val="single" w:sz="4" w:space="0" w:color="auto"/>
              <w:left w:val="single" w:sz="4" w:space="0" w:color="auto"/>
              <w:bottom w:val="single" w:sz="4" w:space="0" w:color="auto"/>
              <w:right w:val="single" w:sz="4" w:space="0" w:color="auto"/>
            </w:tcBorders>
            <w:hideMark/>
          </w:tcPr>
          <w:p w14:paraId="3B4A5A1F" w14:textId="2BC6FBBB" w:rsidR="003D1377" w:rsidRDefault="003D1377" w:rsidP="003B344F">
            <w:pPr>
              <w:pStyle w:val="QPPTableTextBody"/>
            </w:pPr>
            <w:r>
              <w:t xml:space="preserve">15 </w:t>
            </w:r>
            <w:r w:rsidR="00394CE2" w:rsidRPr="00F34EA6">
              <w:t>storeys</w:t>
            </w:r>
          </w:p>
        </w:tc>
      </w:tr>
      <w:tr w:rsidR="003D1377" w14:paraId="6FDE42F9"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213B0291" w14:textId="12B0B5BF" w:rsidR="003D1377" w:rsidRPr="00D62C97" w:rsidRDefault="003D1377" w:rsidP="003B344F">
            <w:pPr>
              <w:pStyle w:val="QPPTableTextBold"/>
            </w:pPr>
            <w:r w:rsidRPr="00D62C97">
              <w:t xml:space="preserve">If in the Stanley Street and Annerley Road sub precinct area b shown on </w:t>
            </w:r>
            <w:r w:rsidRPr="00F34EA6">
              <w:t>Figure a</w:t>
            </w:r>
            <w:r w:rsidRPr="00D62C97">
              <w:t xml:space="preserve"> </w:t>
            </w:r>
            <w:r w:rsidRPr="00D62C97">
              <w:br/>
              <w:t xml:space="preserve">(Dutton </w:t>
            </w:r>
            <w:r>
              <w:t>Park-Fairfield</w:t>
            </w:r>
            <w:r w:rsidRPr="00D62C97">
              <w:t xml:space="preserve"> neighbourhood plan/NPP-001b)</w:t>
            </w:r>
          </w:p>
        </w:tc>
      </w:tr>
      <w:tr w:rsidR="003D1377" w14:paraId="0407559F" w14:textId="77777777" w:rsidTr="003B344F">
        <w:tc>
          <w:tcPr>
            <w:tcW w:w="2198" w:type="pct"/>
            <w:tcBorders>
              <w:top w:val="single" w:sz="4" w:space="0" w:color="auto"/>
              <w:left w:val="single" w:sz="4" w:space="0" w:color="auto"/>
              <w:bottom w:val="single" w:sz="4" w:space="0" w:color="auto"/>
              <w:right w:val="single" w:sz="4" w:space="0" w:color="auto"/>
            </w:tcBorders>
          </w:tcPr>
          <w:p w14:paraId="3CBC438B" w14:textId="77777777" w:rsidR="003D1377" w:rsidRDefault="003D1377" w:rsidP="003B344F">
            <w:pPr>
              <w:pStyle w:val="QPPTableTextBody"/>
            </w:pPr>
            <w:r>
              <w:t>Development of a site in the Mixed use (Inner city) zone precinct</w:t>
            </w:r>
          </w:p>
        </w:tc>
        <w:tc>
          <w:tcPr>
            <w:tcW w:w="935" w:type="pct"/>
            <w:tcBorders>
              <w:top w:val="single" w:sz="4" w:space="0" w:color="auto"/>
              <w:left w:val="single" w:sz="4" w:space="0" w:color="auto"/>
              <w:bottom w:val="single" w:sz="4" w:space="0" w:color="auto"/>
              <w:right w:val="single" w:sz="4" w:space="0" w:color="auto"/>
            </w:tcBorders>
          </w:tcPr>
          <w:p w14:paraId="1D77F35B" w14:textId="4ABB7FF0" w:rsidR="003D1377" w:rsidRPr="00D62C97" w:rsidRDefault="003D1377" w:rsidP="003B344F">
            <w:pPr>
              <w:pStyle w:val="QPPTableTextBody"/>
            </w:pPr>
            <w:r w:rsidRPr="00D62C97">
              <w:t xml:space="preserve">5 </w:t>
            </w:r>
            <w:r w:rsidR="00394CE2" w:rsidRPr="00F34EA6">
              <w:t>storeys</w:t>
            </w:r>
          </w:p>
        </w:tc>
        <w:tc>
          <w:tcPr>
            <w:tcW w:w="1867" w:type="pct"/>
            <w:gridSpan w:val="2"/>
            <w:tcBorders>
              <w:top w:val="single" w:sz="4" w:space="0" w:color="auto"/>
              <w:left w:val="single" w:sz="4" w:space="0" w:color="auto"/>
              <w:bottom w:val="single" w:sz="4" w:space="0" w:color="auto"/>
              <w:right w:val="single" w:sz="4" w:space="0" w:color="auto"/>
            </w:tcBorders>
          </w:tcPr>
          <w:p w14:paraId="1DBFA4F4" w14:textId="15060B03" w:rsidR="003D1377" w:rsidRDefault="003D1377" w:rsidP="003B344F">
            <w:pPr>
              <w:pStyle w:val="QPPTableTextBody"/>
            </w:pPr>
            <w:r>
              <w:t xml:space="preserve">8 </w:t>
            </w:r>
            <w:r w:rsidR="00394CE2" w:rsidRPr="00F34EA6">
              <w:t>storeys</w:t>
            </w:r>
          </w:p>
          <w:p w14:paraId="5C27F5A3" w14:textId="77777777" w:rsidR="003D1377" w:rsidRDefault="003D1377" w:rsidP="003B344F">
            <w:pPr>
              <w:pStyle w:val="QPPTableTextBody"/>
            </w:pPr>
          </w:p>
        </w:tc>
      </w:tr>
      <w:tr w:rsidR="003D1377" w:rsidRPr="00A64CFC" w14:paraId="5FF95413"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286C5B5A" w14:textId="111A29F4" w:rsidR="003D1377" w:rsidRPr="00D62C97" w:rsidRDefault="003D1377" w:rsidP="003B344F">
            <w:pPr>
              <w:pStyle w:val="QPPTableTextBold"/>
            </w:pPr>
            <w:r w:rsidRPr="00D62C97">
              <w:t>If in the Annerley Road sub precinct (</w:t>
            </w:r>
            <w:r w:rsidRPr="00F34EA6">
              <w:t>Dutton Park—Fairfield neighbourhood plan</w:t>
            </w:r>
            <w:r w:rsidRPr="00D62C97">
              <w:t>/NPP-001c)</w:t>
            </w:r>
          </w:p>
        </w:tc>
      </w:tr>
      <w:tr w:rsidR="003D1377" w:rsidRPr="00A64CFC" w14:paraId="44DAABA3"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7B1B4892" w14:textId="77777777" w:rsidR="003D1377" w:rsidRPr="00BF5920" w:rsidRDefault="003D1377" w:rsidP="003B344F">
            <w:pPr>
              <w:pStyle w:val="QPPTableTextBody"/>
            </w:pPr>
            <w:r w:rsidRPr="00BF5920">
              <w:t>Development of a site in the Mixed use (Corridor) zone precinct</w:t>
            </w:r>
          </w:p>
        </w:tc>
        <w:tc>
          <w:tcPr>
            <w:tcW w:w="935" w:type="pct"/>
            <w:tcBorders>
              <w:top w:val="single" w:sz="4" w:space="0" w:color="auto"/>
              <w:left w:val="single" w:sz="4" w:space="0" w:color="auto"/>
              <w:bottom w:val="single" w:sz="4" w:space="0" w:color="auto"/>
              <w:right w:val="single" w:sz="4" w:space="0" w:color="auto"/>
            </w:tcBorders>
            <w:hideMark/>
          </w:tcPr>
          <w:p w14:paraId="60BC09EA" w14:textId="20263DD9" w:rsidR="003D1377" w:rsidRPr="00D62C97" w:rsidRDefault="003D1377" w:rsidP="003B344F">
            <w:pPr>
              <w:pStyle w:val="QPPTableTextBody"/>
            </w:pPr>
            <w:r w:rsidRPr="00D62C97">
              <w:t xml:space="preserve">5 </w:t>
            </w:r>
            <w:r w:rsidR="00394CE2" w:rsidRPr="00F34EA6">
              <w:t>storeys</w:t>
            </w:r>
          </w:p>
        </w:tc>
        <w:tc>
          <w:tcPr>
            <w:tcW w:w="935" w:type="pct"/>
            <w:tcBorders>
              <w:top w:val="single" w:sz="4" w:space="0" w:color="auto"/>
              <w:left w:val="single" w:sz="4" w:space="0" w:color="auto"/>
              <w:bottom w:val="single" w:sz="4" w:space="0" w:color="auto"/>
              <w:right w:val="single" w:sz="4" w:space="0" w:color="auto"/>
            </w:tcBorders>
            <w:hideMark/>
          </w:tcPr>
          <w:p w14:paraId="28D54008" w14:textId="31DB6C36" w:rsidR="003D1377" w:rsidRPr="00BF5920" w:rsidRDefault="003D1377" w:rsidP="003B344F">
            <w:pPr>
              <w:pStyle w:val="QPPTableTextBody"/>
            </w:pPr>
            <w:r w:rsidRPr="00BF5920">
              <w:t xml:space="preserve">8 </w:t>
            </w:r>
            <w:r w:rsidR="00394CE2" w:rsidRPr="00F34EA6">
              <w:t>storeys</w:t>
            </w:r>
          </w:p>
        </w:tc>
        <w:tc>
          <w:tcPr>
            <w:tcW w:w="932" w:type="pct"/>
            <w:tcBorders>
              <w:top w:val="single" w:sz="4" w:space="0" w:color="auto"/>
              <w:left w:val="single" w:sz="4" w:space="0" w:color="auto"/>
              <w:bottom w:val="single" w:sz="4" w:space="0" w:color="auto"/>
              <w:right w:val="single" w:sz="4" w:space="0" w:color="auto"/>
            </w:tcBorders>
          </w:tcPr>
          <w:p w14:paraId="18064D92" w14:textId="42AF53C4" w:rsidR="003D1377" w:rsidRPr="00BF5920" w:rsidRDefault="003D1377" w:rsidP="003B344F">
            <w:pPr>
              <w:pStyle w:val="QPPTableTextBody"/>
            </w:pPr>
            <w:r>
              <w:t xml:space="preserve">10 </w:t>
            </w:r>
            <w:r w:rsidR="00394CE2" w:rsidRPr="00F34EA6">
              <w:t>storeys</w:t>
            </w:r>
          </w:p>
        </w:tc>
      </w:tr>
      <w:tr w:rsidR="003D1377" w14:paraId="13F66590"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13F75EA4" w14:textId="772093C9" w:rsidR="003D1377" w:rsidRPr="00D62C97" w:rsidRDefault="003D1377" w:rsidP="003B344F">
            <w:pPr>
              <w:pStyle w:val="QPPTableTextBold"/>
            </w:pPr>
            <w:r w:rsidRPr="00D62C97">
              <w:t xml:space="preserve">If in the Mixed-use zone and not in a precinct of the </w:t>
            </w:r>
            <w:r w:rsidRPr="00F34EA6">
              <w:t>Dutton Park—Fairfield neighbourhood plan</w:t>
            </w:r>
            <w:r w:rsidRPr="00D62C97">
              <w:t>/NPP-001</w:t>
            </w:r>
          </w:p>
        </w:tc>
      </w:tr>
      <w:tr w:rsidR="003D1377" w14:paraId="246D85C1" w14:textId="77777777" w:rsidTr="003B344F">
        <w:tc>
          <w:tcPr>
            <w:tcW w:w="2198" w:type="pct"/>
            <w:tcBorders>
              <w:top w:val="single" w:sz="4" w:space="0" w:color="auto"/>
              <w:left w:val="single" w:sz="4" w:space="0" w:color="auto"/>
              <w:bottom w:val="single" w:sz="4" w:space="0" w:color="auto"/>
              <w:right w:val="single" w:sz="4" w:space="0" w:color="auto"/>
            </w:tcBorders>
          </w:tcPr>
          <w:p w14:paraId="6EA310B0" w14:textId="77777777" w:rsidR="003D1377" w:rsidRPr="00D42763" w:rsidRDefault="003D1377" w:rsidP="003B344F">
            <w:pPr>
              <w:pStyle w:val="QPPTableTextBody"/>
            </w:pPr>
            <w:r w:rsidRPr="00D42763">
              <w:t>Development of a site in the Mixed use (Corridor) zone precinct</w:t>
            </w:r>
          </w:p>
        </w:tc>
        <w:tc>
          <w:tcPr>
            <w:tcW w:w="935" w:type="pct"/>
            <w:tcBorders>
              <w:top w:val="single" w:sz="4" w:space="0" w:color="auto"/>
              <w:left w:val="single" w:sz="4" w:space="0" w:color="auto"/>
              <w:bottom w:val="single" w:sz="4" w:space="0" w:color="auto"/>
              <w:right w:val="single" w:sz="4" w:space="0" w:color="auto"/>
            </w:tcBorders>
          </w:tcPr>
          <w:p w14:paraId="00C425CE" w14:textId="211B19FA" w:rsidR="003D1377" w:rsidRPr="00D62C97" w:rsidRDefault="003D1377" w:rsidP="003B344F">
            <w:pPr>
              <w:pStyle w:val="QPPTableTextBody"/>
            </w:pPr>
            <w:r w:rsidRPr="00D62C97">
              <w:t xml:space="preserve">5 </w:t>
            </w:r>
            <w:r w:rsidR="00394CE2" w:rsidRPr="00F34EA6">
              <w:t>storeys</w:t>
            </w:r>
          </w:p>
        </w:tc>
        <w:tc>
          <w:tcPr>
            <w:tcW w:w="1867" w:type="pct"/>
            <w:gridSpan w:val="2"/>
            <w:tcBorders>
              <w:top w:val="single" w:sz="4" w:space="0" w:color="auto"/>
              <w:left w:val="single" w:sz="4" w:space="0" w:color="auto"/>
              <w:bottom w:val="single" w:sz="4" w:space="0" w:color="auto"/>
              <w:right w:val="single" w:sz="4" w:space="0" w:color="auto"/>
            </w:tcBorders>
          </w:tcPr>
          <w:p w14:paraId="7FEAF8AB" w14:textId="15A23446" w:rsidR="003D1377" w:rsidRPr="00D42763" w:rsidRDefault="003D1377" w:rsidP="003B344F">
            <w:pPr>
              <w:pStyle w:val="QPPTableTextBody"/>
            </w:pPr>
            <w:r w:rsidRPr="00D42763">
              <w:t xml:space="preserve">8 </w:t>
            </w:r>
            <w:r w:rsidR="00394CE2" w:rsidRPr="00F34EA6">
              <w:t>storeys</w:t>
            </w:r>
          </w:p>
          <w:p w14:paraId="7452B819" w14:textId="77777777" w:rsidR="003D1377" w:rsidRPr="00D42763" w:rsidRDefault="003D1377" w:rsidP="003B344F">
            <w:pPr>
              <w:pStyle w:val="QPPTableTextBody"/>
            </w:pPr>
          </w:p>
        </w:tc>
      </w:tr>
      <w:tr w:rsidR="003D1377" w14:paraId="58AE4FA5"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18B0FB88" w14:textId="70438E5E" w:rsidR="003D1377" w:rsidRPr="00D62C97" w:rsidRDefault="003D1377" w:rsidP="003B344F">
            <w:pPr>
              <w:pStyle w:val="QPPTableTextBold"/>
            </w:pPr>
            <w:r w:rsidRPr="00D62C97">
              <w:t>If in the Education sub-precinct (</w:t>
            </w:r>
            <w:r w:rsidRPr="00F34EA6">
              <w:t>Dutton Park—Fairfield neighbourhood plan</w:t>
            </w:r>
            <w:r w:rsidRPr="00D62C97">
              <w:t>/NPP-001d)</w:t>
            </w:r>
          </w:p>
        </w:tc>
      </w:tr>
      <w:tr w:rsidR="003D1377" w14:paraId="51CDBD23" w14:textId="77777777" w:rsidTr="003B344F">
        <w:tc>
          <w:tcPr>
            <w:tcW w:w="2198" w:type="pct"/>
            <w:tcBorders>
              <w:top w:val="single" w:sz="4" w:space="0" w:color="auto"/>
              <w:left w:val="single" w:sz="4" w:space="0" w:color="auto"/>
              <w:bottom w:val="single" w:sz="4" w:space="0" w:color="auto"/>
              <w:right w:val="single" w:sz="4" w:space="0" w:color="auto"/>
            </w:tcBorders>
          </w:tcPr>
          <w:p w14:paraId="32325278" w14:textId="77777777" w:rsidR="003D1377" w:rsidRDefault="003D1377" w:rsidP="003B344F">
            <w:pPr>
              <w:pStyle w:val="QPPTableTextBody"/>
            </w:pPr>
            <w:r>
              <w:t xml:space="preserve">Development of a site fronting </w:t>
            </w:r>
            <w:r>
              <w:br/>
              <w:t xml:space="preserve">Stephens Road </w:t>
            </w:r>
          </w:p>
        </w:tc>
        <w:tc>
          <w:tcPr>
            <w:tcW w:w="2802" w:type="pct"/>
            <w:gridSpan w:val="3"/>
            <w:tcBorders>
              <w:top w:val="single" w:sz="4" w:space="0" w:color="auto"/>
              <w:left w:val="single" w:sz="4" w:space="0" w:color="auto"/>
              <w:bottom w:val="single" w:sz="4" w:space="0" w:color="auto"/>
              <w:right w:val="single" w:sz="4" w:space="0" w:color="auto"/>
            </w:tcBorders>
          </w:tcPr>
          <w:p w14:paraId="4F92A427" w14:textId="6EDC789C" w:rsidR="003D1377" w:rsidRPr="00D62C97" w:rsidRDefault="003D1377" w:rsidP="003B344F">
            <w:pPr>
              <w:pStyle w:val="QPPTableTextBody"/>
            </w:pPr>
            <w:r w:rsidRPr="00D62C97">
              <w:t xml:space="preserve">3 </w:t>
            </w:r>
            <w:r w:rsidR="00394CE2" w:rsidRPr="00F34EA6">
              <w:t>storeys</w:t>
            </w:r>
            <w:r w:rsidR="00394CE2" w:rsidRPr="00394CE2">
              <w:t xml:space="preserve"> </w:t>
            </w:r>
            <w:r w:rsidRPr="00D62C97">
              <w:t>(within 20m of Stephens Road alignment)</w:t>
            </w:r>
          </w:p>
          <w:p w14:paraId="47B04ED9" w14:textId="77777777" w:rsidR="003D1377" w:rsidRPr="00D62C97" w:rsidRDefault="003D1377" w:rsidP="003B344F">
            <w:pPr>
              <w:pStyle w:val="QPPTableTextBody"/>
            </w:pPr>
          </w:p>
        </w:tc>
      </w:tr>
      <w:tr w:rsidR="003D1377" w14:paraId="12CB89E0" w14:textId="77777777" w:rsidTr="003B344F">
        <w:tc>
          <w:tcPr>
            <w:tcW w:w="2198" w:type="pct"/>
            <w:tcBorders>
              <w:top w:val="single" w:sz="4" w:space="0" w:color="auto"/>
              <w:left w:val="single" w:sz="4" w:space="0" w:color="auto"/>
              <w:bottom w:val="single" w:sz="4" w:space="0" w:color="auto"/>
              <w:right w:val="single" w:sz="4" w:space="0" w:color="auto"/>
            </w:tcBorders>
          </w:tcPr>
          <w:p w14:paraId="5CDDCD8A" w14:textId="77777777" w:rsidR="003D1377" w:rsidRDefault="003D1377" w:rsidP="003B344F">
            <w:pPr>
              <w:pStyle w:val="QPPTableTextBody"/>
            </w:pPr>
            <w:r>
              <w:t xml:space="preserve">Development of a site fronting </w:t>
            </w:r>
            <w:r>
              <w:br/>
              <w:t xml:space="preserve">Graham Street or adjoining health </w:t>
            </w:r>
            <w:r>
              <w:br/>
              <w:t>sub-precinct NPP-001a</w:t>
            </w:r>
          </w:p>
        </w:tc>
        <w:tc>
          <w:tcPr>
            <w:tcW w:w="2802" w:type="pct"/>
            <w:gridSpan w:val="3"/>
            <w:tcBorders>
              <w:top w:val="single" w:sz="4" w:space="0" w:color="auto"/>
              <w:left w:val="single" w:sz="4" w:space="0" w:color="auto"/>
              <w:bottom w:val="single" w:sz="4" w:space="0" w:color="auto"/>
              <w:right w:val="single" w:sz="4" w:space="0" w:color="auto"/>
            </w:tcBorders>
          </w:tcPr>
          <w:p w14:paraId="44232191" w14:textId="35B09730" w:rsidR="003D1377" w:rsidRPr="00D62C97" w:rsidRDefault="003D1377" w:rsidP="003B344F">
            <w:pPr>
              <w:pStyle w:val="QPPTableTextBody"/>
            </w:pPr>
            <w:r w:rsidRPr="00D62C97">
              <w:t xml:space="preserve">10 </w:t>
            </w:r>
            <w:r w:rsidR="00394CE2" w:rsidRPr="00F34EA6">
              <w:t>storeys</w:t>
            </w:r>
            <w:r w:rsidR="00394CE2" w:rsidRPr="00394CE2">
              <w:t xml:space="preserve"> </w:t>
            </w:r>
            <w:r w:rsidRPr="00D62C97">
              <w:t>(where not conflicting with Stephens Road building height specification)</w:t>
            </w:r>
          </w:p>
        </w:tc>
      </w:tr>
      <w:tr w:rsidR="003D1377" w14:paraId="178610AB"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257513D1" w14:textId="1B42A20B" w:rsidR="003D1377" w:rsidRPr="00D62C97" w:rsidRDefault="003D1377" w:rsidP="003B344F">
            <w:pPr>
              <w:pStyle w:val="QPPTableTextBold"/>
            </w:pPr>
            <w:r w:rsidRPr="00D62C97">
              <w:t>If in the Boggo Road Urban Village precinct (</w:t>
            </w:r>
            <w:r w:rsidRPr="00F34EA6">
              <w:t xml:space="preserve">Dutton Park—Fairfield neighbourhood </w:t>
            </w:r>
            <w:r w:rsidRPr="00F34EA6">
              <w:br/>
              <w:t>plan/</w:t>
            </w:r>
            <w:r w:rsidRPr="00D62C97">
              <w:t>NPP-002)</w:t>
            </w:r>
          </w:p>
        </w:tc>
      </w:tr>
      <w:tr w:rsidR="003D1377" w14:paraId="55A7F3C0"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0D3A3E80" w14:textId="77777777" w:rsidR="003D1377" w:rsidRDefault="003D1377" w:rsidP="003B344F">
            <w:pPr>
              <w:pStyle w:val="QPPTableTextBody"/>
            </w:pPr>
            <w:r>
              <w:t>Development of a site in the Specialised centre (Major education and research facility) zone precinct</w:t>
            </w:r>
          </w:p>
        </w:tc>
        <w:tc>
          <w:tcPr>
            <w:tcW w:w="2802" w:type="pct"/>
            <w:gridSpan w:val="3"/>
            <w:tcBorders>
              <w:top w:val="single" w:sz="4" w:space="0" w:color="auto"/>
              <w:left w:val="single" w:sz="4" w:space="0" w:color="auto"/>
              <w:bottom w:val="single" w:sz="4" w:space="0" w:color="auto"/>
              <w:right w:val="single" w:sz="4" w:space="0" w:color="auto"/>
            </w:tcBorders>
          </w:tcPr>
          <w:p w14:paraId="0E7C67D4" w14:textId="0C19A539" w:rsidR="003D1377" w:rsidRPr="00D62C97" w:rsidRDefault="003D1377" w:rsidP="003B344F">
            <w:pPr>
              <w:pStyle w:val="QPPTableTextBody"/>
            </w:pPr>
            <w:r w:rsidRPr="00D62C97">
              <w:t xml:space="preserve">8 </w:t>
            </w:r>
            <w:r w:rsidR="00394CE2" w:rsidRPr="00F34EA6">
              <w:t>storeys</w:t>
            </w:r>
          </w:p>
        </w:tc>
      </w:tr>
      <w:tr w:rsidR="003D1377" w14:paraId="344BF314"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273EEE62" w14:textId="20C828B5" w:rsidR="003D1377" w:rsidRPr="00D62C97" w:rsidDel="00420A56" w:rsidRDefault="003D1377" w:rsidP="003B344F">
            <w:pPr>
              <w:pStyle w:val="QPPTableTextBold"/>
            </w:pPr>
            <w:r w:rsidRPr="00D62C97">
              <w:t>If in the Boggo Road Urban Village north sub-precinct (</w:t>
            </w:r>
            <w:r w:rsidRPr="00F34EA6">
              <w:t>Dutton Park—Fairfield neighbourhood plan</w:t>
            </w:r>
            <w:r w:rsidRPr="00D62C97">
              <w:t>/NPP-002a)</w:t>
            </w:r>
          </w:p>
        </w:tc>
      </w:tr>
      <w:tr w:rsidR="003D1377" w14:paraId="5F1B8111"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60B9190F" w14:textId="77777777" w:rsidR="003D1377" w:rsidRDefault="003D1377" w:rsidP="003B344F">
            <w:pPr>
              <w:pStyle w:val="QPPTableTextBody"/>
            </w:pPr>
            <w:r>
              <w:t>Development of a site in the Mixed use Corridor zone precinct</w:t>
            </w:r>
          </w:p>
        </w:tc>
        <w:tc>
          <w:tcPr>
            <w:tcW w:w="2802" w:type="pct"/>
            <w:gridSpan w:val="3"/>
            <w:tcBorders>
              <w:top w:val="single" w:sz="4" w:space="0" w:color="auto"/>
              <w:left w:val="single" w:sz="4" w:space="0" w:color="auto"/>
              <w:bottom w:val="single" w:sz="4" w:space="0" w:color="auto"/>
              <w:right w:val="single" w:sz="4" w:space="0" w:color="auto"/>
            </w:tcBorders>
          </w:tcPr>
          <w:p w14:paraId="380349A3" w14:textId="40B36862" w:rsidR="003D1377" w:rsidRPr="00D62C97" w:rsidRDefault="00D93B53" w:rsidP="003B344F">
            <w:pPr>
              <w:pStyle w:val="QPPTableTextBody"/>
            </w:pPr>
            <w:r>
              <w:t xml:space="preserve">12 </w:t>
            </w:r>
            <w:r w:rsidR="00394CE2" w:rsidRPr="00F34EA6">
              <w:t>storeys</w:t>
            </w:r>
          </w:p>
          <w:p w14:paraId="712CCF59" w14:textId="77777777" w:rsidR="003D1377" w:rsidRPr="00D62C97" w:rsidRDefault="003D1377" w:rsidP="003B344F">
            <w:pPr>
              <w:pStyle w:val="QPPTableTextBody"/>
            </w:pPr>
          </w:p>
        </w:tc>
      </w:tr>
      <w:tr w:rsidR="003D1377" w14:paraId="7425B089" w14:textId="77777777" w:rsidTr="003B344F">
        <w:tc>
          <w:tcPr>
            <w:tcW w:w="5000" w:type="pct"/>
            <w:gridSpan w:val="4"/>
            <w:tcBorders>
              <w:top w:val="single" w:sz="4" w:space="0" w:color="auto"/>
              <w:left w:val="single" w:sz="4" w:space="0" w:color="auto"/>
              <w:bottom w:val="single" w:sz="4" w:space="0" w:color="auto"/>
              <w:right w:val="single" w:sz="4" w:space="0" w:color="auto"/>
            </w:tcBorders>
          </w:tcPr>
          <w:p w14:paraId="3D334D35" w14:textId="651BB692" w:rsidR="003D1377" w:rsidRPr="00D62C97" w:rsidRDefault="003D1377" w:rsidP="003B344F">
            <w:pPr>
              <w:pStyle w:val="QPPTableTextBold"/>
            </w:pPr>
            <w:r w:rsidRPr="00D62C97">
              <w:t>If in the Boggo Road Urban Village south sub-precinct (</w:t>
            </w:r>
            <w:r w:rsidRPr="00F34EA6">
              <w:t>Dutton Park—Fairfield neighbourhood plan</w:t>
            </w:r>
            <w:r w:rsidRPr="00D62C97">
              <w:t>/NPP-002b)</w:t>
            </w:r>
          </w:p>
        </w:tc>
      </w:tr>
      <w:tr w:rsidR="003D1377" w14:paraId="7F19EB04" w14:textId="77777777" w:rsidTr="003B344F">
        <w:tc>
          <w:tcPr>
            <w:tcW w:w="2198" w:type="pct"/>
            <w:tcBorders>
              <w:top w:val="single" w:sz="4" w:space="0" w:color="auto"/>
              <w:left w:val="single" w:sz="4" w:space="0" w:color="auto"/>
              <w:bottom w:val="single" w:sz="4" w:space="0" w:color="auto"/>
              <w:right w:val="single" w:sz="4" w:space="0" w:color="auto"/>
            </w:tcBorders>
            <w:hideMark/>
          </w:tcPr>
          <w:p w14:paraId="64F26025" w14:textId="44E62F1A" w:rsidR="003D1377" w:rsidRDefault="003D1377" w:rsidP="003B344F">
            <w:pPr>
              <w:pStyle w:val="QPPTableTextBody"/>
            </w:pPr>
            <w:r>
              <w:t xml:space="preserve">Development of a site in the </w:t>
            </w:r>
            <w:r w:rsidRPr="00F34EA6">
              <w:t>Mixed use Corridor zone</w:t>
            </w:r>
            <w:r>
              <w:t xml:space="preserve"> precinct</w:t>
            </w:r>
          </w:p>
        </w:tc>
        <w:tc>
          <w:tcPr>
            <w:tcW w:w="2802" w:type="pct"/>
            <w:gridSpan w:val="3"/>
            <w:tcBorders>
              <w:top w:val="single" w:sz="4" w:space="0" w:color="auto"/>
              <w:left w:val="single" w:sz="4" w:space="0" w:color="auto"/>
              <w:bottom w:val="single" w:sz="4" w:space="0" w:color="auto"/>
              <w:right w:val="single" w:sz="4" w:space="0" w:color="auto"/>
            </w:tcBorders>
            <w:hideMark/>
          </w:tcPr>
          <w:p w14:paraId="415F4654" w14:textId="081FFEBF" w:rsidR="003D1377" w:rsidRPr="00D62C97" w:rsidRDefault="003D1377" w:rsidP="003B344F">
            <w:pPr>
              <w:pStyle w:val="QPPTableTextBody"/>
            </w:pPr>
            <w:r w:rsidRPr="00D62C97">
              <w:t xml:space="preserve">5 </w:t>
            </w:r>
            <w:r w:rsidR="00394CE2" w:rsidRPr="00F34EA6">
              <w:t>storeys</w:t>
            </w:r>
          </w:p>
        </w:tc>
      </w:tr>
    </w:tbl>
    <w:p w14:paraId="33AE38EC" w14:textId="50E2F35D" w:rsidR="003D1377" w:rsidRDefault="00D93B53" w:rsidP="00AC59BA">
      <w:pPr>
        <w:jc w:val="both"/>
      </w:pPr>
      <w:bookmarkStart w:id="39" w:name="FigA"/>
      <w:r>
        <w:rPr>
          <w:noProof/>
        </w:rPr>
        <w:drawing>
          <wp:inline distT="0" distB="0" distL="0" distR="0" wp14:anchorId="56AB1ADF" wp14:editId="28C751F5">
            <wp:extent cx="5284800" cy="8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_precinct_FigureA_D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4800" cy="8064000"/>
                    </a:xfrm>
                    <a:prstGeom prst="rect">
                      <a:avLst/>
                    </a:prstGeom>
                  </pic:spPr>
                </pic:pic>
              </a:graphicData>
            </a:graphic>
          </wp:inline>
        </w:drawing>
      </w:r>
      <w:bookmarkEnd w:id="39"/>
    </w:p>
    <w:p w14:paraId="2D9F1340" w14:textId="4AB24E46" w:rsidR="00AC59BA" w:rsidRDefault="00AC59BA" w:rsidP="00AC59BA">
      <w:pPr>
        <w:pStyle w:val="QPPBodytext"/>
      </w:pPr>
    </w:p>
    <w:p w14:paraId="3571ACF8" w14:textId="77777777" w:rsidR="00AC59BA" w:rsidRPr="00AC59BA" w:rsidRDefault="00AC59BA" w:rsidP="00AC59BA">
      <w:pPr>
        <w:pStyle w:val="QPPBodytext"/>
      </w:pPr>
    </w:p>
    <w:p w14:paraId="3DCA7D84" w14:textId="1BF2F41E" w:rsidR="0024402D" w:rsidRPr="0024402D" w:rsidRDefault="0024402D" w:rsidP="007026C2">
      <w:pPr>
        <w:pStyle w:val="QPPBodytext"/>
        <w:sectPr w:rsidR="0024402D" w:rsidRPr="0024402D" w:rsidSect="003B344F">
          <w:footerReference w:type="default" r:id="rId9"/>
          <w:pgSz w:w="11907" w:h="16839" w:code="9"/>
          <w:pgMar w:top="1418" w:right="1418" w:bottom="1276" w:left="1418" w:header="709" w:footer="709" w:gutter="0"/>
          <w:cols w:space="708"/>
          <w:docGrid w:linePitch="360"/>
        </w:sectPr>
      </w:pPr>
      <w:r w:rsidRPr="00AC59BA">
        <w:t>View the high resolution of</w:t>
      </w:r>
      <w:r w:rsidRPr="0024402D">
        <w:t xml:space="preserve"> </w:t>
      </w:r>
      <w:r w:rsidRPr="00F34EA6">
        <w:t>Figure a–Stanley Street and Annerley Road sub-precicnt</w:t>
      </w:r>
      <w:r w:rsidR="00D5603B" w:rsidRPr="00F34EA6">
        <w:t xml:space="preserve"> NPP-001b</w:t>
      </w:r>
      <w:r w:rsidRPr="00AC59BA">
        <w:t xml:space="preserve"> (PDF file size is </w:t>
      </w:r>
      <w:r w:rsidR="00D5603B">
        <w:t>108</w:t>
      </w:r>
      <w:r w:rsidRPr="00AC59BA">
        <w:t>Kb)</w:t>
      </w:r>
    </w:p>
    <w:p w14:paraId="1C3E0B3F" w14:textId="77777777" w:rsidR="003D1377" w:rsidRPr="00AA317D" w:rsidRDefault="003D1377" w:rsidP="00AC59BA">
      <w:pPr>
        <w:jc w:val="both"/>
      </w:pPr>
      <w:bookmarkStart w:id="40" w:name="FigB"/>
      <w:r w:rsidRPr="003D1377">
        <w:rPr>
          <w:noProof/>
        </w:rPr>
        <w:drawing>
          <wp:inline distT="0" distB="0" distL="0" distR="0" wp14:anchorId="13F7D7A5" wp14:editId="44FC50FC">
            <wp:extent cx="5608955" cy="4872355"/>
            <wp:effectExtent l="0" t="0" r="0" b="3175"/>
            <wp:docPr id="1" name="Picture 1" descr="This map/figure is inaccessible to website assistive technologies. Larger maps are available on Council's website. If you require further assistance or inform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map/figure is inaccessible to website assistive technologies. Larger maps are available on Council's website. If you require further assistance or information please contact Council on 07 3403 8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4872355"/>
                    </a:xfrm>
                    <a:prstGeom prst="rect">
                      <a:avLst/>
                    </a:prstGeom>
                    <a:noFill/>
                    <a:ln>
                      <a:noFill/>
                    </a:ln>
                  </pic:spPr>
                </pic:pic>
              </a:graphicData>
            </a:graphic>
          </wp:inline>
        </w:drawing>
      </w:r>
      <w:bookmarkEnd w:id="40"/>
    </w:p>
    <w:sectPr w:rsidR="003D1377" w:rsidRPr="00AA317D">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2304" w14:textId="77777777" w:rsidR="003B344F" w:rsidRDefault="003B344F">
      <w:r>
        <w:separator/>
      </w:r>
    </w:p>
  </w:endnote>
  <w:endnote w:type="continuationSeparator" w:id="0">
    <w:p w14:paraId="235A406C" w14:textId="77777777" w:rsidR="003B344F" w:rsidRDefault="003B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8859" w14:textId="2A24B7AC" w:rsidR="003B344F" w:rsidRDefault="003B344F" w:rsidP="00F9068D">
    <w:pPr>
      <w:pStyle w:val="QPPFooter"/>
    </w:pPr>
    <w:r w:rsidRPr="00AF287F">
      <w:t>Part 7 – Neighb</w:t>
    </w:r>
    <w:r>
      <w:t>ourhood plans (Dutton Park–Fairfield</w:t>
    </w:r>
    <w:r w:rsidRPr="00AF287F">
      <w:t>)</w:t>
    </w:r>
    <w:r>
      <w:tab/>
    </w:r>
    <w:r>
      <w:tab/>
      <w:t xml:space="preserve">Effective </w:t>
    </w:r>
    <w:r w:rsidR="00FE77C2">
      <w:t>23 November</w:t>
    </w:r>
    <w:r>
      <w:t xml:space="preserve"> </w:t>
    </w:r>
    <w:r w:rsidRPr="007B3BC2">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02F9" w14:textId="77777777" w:rsidR="003B344F" w:rsidRDefault="003B344F" w:rsidP="00E70DA0">
    <w:pPr>
      <w:pStyle w:val="QP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F45F" w14:textId="77777777" w:rsidR="003B344F" w:rsidRDefault="003B344F">
      <w:r>
        <w:separator/>
      </w:r>
    </w:p>
  </w:footnote>
  <w:footnote w:type="continuationSeparator" w:id="0">
    <w:p w14:paraId="6CDB05CC" w14:textId="77777777" w:rsidR="003B344F" w:rsidRDefault="003B3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2"/>
  </w:num>
  <w:num w:numId="27">
    <w:abstractNumId w:val="15"/>
  </w:num>
  <w:num w:numId="28">
    <w:abstractNumId w:val="35"/>
  </w:num>
  <w:num w:numId="29">
    <w:abstractNumId w:val="20"/>
  </w:num>
  <w:num w:numId="30">
    <w:abstractNumId w:val="17"/>
  </w:num>
  <w:num w:numId="31">
    <w:abstractNumId w:val="34"/>
  </w:num>
  <w:num w:numId="32">
    <w:abstractNumId w:val="14"/>
  </w:num>
  <w:num w:numId="33">
    <w:abstractNumId w:val="36"/>
  </w:num>
  <w:num w:numId="34">
    <w:abstractNumId w:val="13"/>
  </w:num>
  <w:num w:numId="35">
    <w:abstractNumId w:val="26"/>
  </w:num>
  <w:num w:numId="36">
    <w:abstractNumId w:val="21"/>
  </w:num>
  <w:num w:numId="37">
    <w:abstractNumId w:val="23"/>
  </w:num>
  <w:num w:numId="38">
    <w:abstractNumId w:val="27"/>
  </w:num>
  <w:num w:numId="39">
    <w:abstractNumId w:val="27"/>
    <w:lvlOverride w:ilvl="0">
      <w:startOverride w:val="1"/>
    </w:lvlOverride>
  </w:num>
  <w:num w:numId="40">
    <w:abstractNumId w:val="31"/>
  </w:num>
  <w:num w:numId="41">
    <w:abstractNumId w:val="30"/>
  </w:num>
  <w:num w:numId="42">
    <w:abstractNumId w:val="15"/>
    <w:lvlOverride w:ilvl="0">
      <w:startOverride w:val="1"/>
    </w:lvlOverride>
  </w:num>
  <w:num w:numId="43">
    <w:abstractNumId w:val="24"/>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5"/>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10"/>
  </w:num>
  <w:num w:numId="65">
    <w:abstractNumId w:val="34"/>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sm43UEZD1hMzKy9WEEAEDHzTjsF5Lq9NiJlUZdkFaNLWgXrz1ASXyz8+pwa4bM4L+COAPjva8u3JexjpvPgfRg==" w:salt="0IcndOhqB59cLnHCFLr9L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77"/>
    <w:rsid w:val="000053BF"/>
    <w:rsid w:val="00022DB0"/>
    <w:rsid w:val="000329AC"/>
    <w:rsid w:val="00043594"/>
    <w:rsid w:val="000451BC"/>
    <w:rsid w:val="00046FEF"/>
    <w:rsid w:val="00047EAC"/>
    <w:rsid w:val="00054522"/>
    <w:rsid w:val="00083782"/>
    <w:rsid w:val="00084F12"/>
    <w:rsid w:val="000A1E83"/>
    <w:rsid w:val="000A4C0B"/>
    <w:rsid w:val="000A4C21"/>
    <w:rsid w:val="000B15DA"/>
    <w:rsid w:val="000C34DF"/>
    <w:rsid w:val="000D4A8A"/>
    <w:rsid w:val="000E14E3"/>
    <w:rsid w:val="000E7560"/>
    <w:rsid w:val="000F30D6"/>
    <w:rsid w:val="00113982"/>
    <w:rsid w:val="0011787A"/>
    <w:rsid w:val="001215AF"/>
    <w:rsid w:val="001309D8"/>
    <w:rsid w:val="00130C90"/>
    <w:rsid w:val="001319B2"/>
    <w:rsid w:val="00134295"/>
    <w:rsid w:val="00140C1F"/>
    <w:rsid w:val="00141358"/>
    <w:rsid w:val="00156619"/>
    <w:rsid w:val="001568CD"/>
    <w:rsid w:val="0018082A"/>
    <w:rsid w:val="00181543"/>
    <w:rsid w:val="001B48B3"/>
    <w:rsid w:val="001B67B9"/>
    <w:rsid w:val="001C0B56"/>
    <w:rsid w:val="001F10C8"/>
    <w:rsid w:val="001F25EF"/>
    <w:rsid w:val="002138AC"/>
    <w:rsid w:val="0023094F"/>
    <w:rsid w:val="0024402D"/>
    <w:rsid w:val="002537F0"/>
    <w:rsid w:val="00265C84"/>
    <w:rsid w:val="00266C4B"/>
    <w:rsid w:val="00266E7F"/>
    <w:rsid w:val="00272A5C"/>
    <w:rsid w:val="00277F2B"/>
    <w:rsid w:val="00284A5A"/>
    <w:rsid w:val="00286BA5"/>
    <w:rsid w:val="0029378E"/>
    <w:rsid w:val="002A522E"/>
    <w:rsid w:val="002C7D6C"/>
    <w:rsid w:val="002D791C"/>
    <w:rsid w:val="002E186A"/>
    <w:rsid w:val="002E3FBC"/>
    <w:rsid w:val="002E6E32"/>
    <w:rsid w:val="002F38DE"/>
    <w:rsid w:val="002F4F92"/>
    <w:rsid w:val="00314263"/>
    <w:rsid w:val="00325A4A"/>
    <w:rsid w:val="0033272C"/>
    <w:rsid w:val="00333CA2"/>
    <w:rsid w:val="003529A4"/>
    <w:rsid w:val="00356669"/>
    <w:rsid w:val="00367675"/>
    <w:rsid w:val="00377D6D"/>
    <w:rsid w:val="00381BB9"/>
    <w:rsid w:val="00386155"/>
    <w:rsid w:val="003943C5"/>
    <w:rsid w:val="00394CE2"/>
    <w:rsid w:val="003B344F"/>
    <w:rsid w:val="003C5B98"/>
    <w:rsid w:val="003D098C"/>
    <w:rsid w:val="003D1377"/>
    <w:rsid w:val="003E4210"/>
    <w:rsid w:val="003E7392"/>
    <w:rsid w:val="004024E7"/>
    <w:rsid w:val="00407306"/>
    <w:rsid w:val="004266A0"/>
    <w:rsid w:val="00435F17"/>
    <w:rsid w:val="00466BF0"/>
    <w:rsid w:val="00471CDD"/>
    <w:rsid w:val="004773F1"/>
    <w:rsid w:val="00487B01"/>
    <w:rsid w:val="004939AB"/>
    <w:rsid w:val="004A1623"/>
    <w:rsid w:val="004B72D5"/>
    <w:rsid w:val="004C2558"/>
    <w:rsid w:val="004D0DBB"/>
    <w:rsid w:val="004D2999"/>
    <w:rsid w:val="004D46E5"/>
    <w:rsid w:val="004D62D1"/>
    <w:rsid w:val="004F04E6"/>
    <w:rsid w:val="0050237C"/>
    <w:rsid w:val="00574869"/>
    <w:rsid w:val="005A6075"/>
    <w:rsid w:val="005B4C80"/>
    <w:rsid w:val="005E2DE9"/>
    <w:rsid w:val="005E3FA5"/>
    <w:rsid w:val="005E6FE8"/>
    <w:rsid w:val="00607640"/>
    <w:rsid w:val="0061249E"/>
    <w:rsid w:val="006175C4"/>
    <w:rsid w:val="00631465"/>
    <w:rsid w:val="006606CF"/>
    <w:rsid w:val="00660CD8"/>
    <w:rsid w:val="0066541D"/>
    <w:rsid w:val="00691700"/>
    <w:rsid w:val="00695068"/>
    <w:rsid w:val="00696256"/>
    <w:rsid w:val="0069777E"/>
    <w:rsid w:val="00697BD7"/>
    <w:rsid w:val="006A1FB7"/>
    <w:rsid w:val="006A4E0C"/>
    <w:rsid w:val="006C6D95"/>
    <w:rsid w:val="006D0F90"/>
    <w:rsid w:val="006D11F8"/>
    <w:rsid w:val="006D3B60"/>
    <w:rsid w:val="007026C2"/>
    <w:rsid w:val="00717838"/>
    <w:rsid w:val="00744C7D"/>
    <w:rsid w:val="00753156"/>
    <w:rsid w:val="00761EAF"/>
    <w:rsid w:val="00775045"/>
    <w:rsid w:val="00781B7B"/>
    <w:rsid w:val="007A5E6C"/>
    <w:rsid w:val="007B3BC2"/>
    <w:rsid w:val="007C7564"/>
    <w:rsid w:val="007D73CA"/>
    <w:rsid w:val="0083354D"/>
    <w:rsid w:val="00836CC1"/>
    <w:rsid w:val="00840A83"/>
    <w:rsid w:val="00842BB9"/>
    <w:rsid w:val="00843900"/>
    <w:rsid w:val="0085253C"/>
    <w:rsid w:val="00853926"/>
    <w:rsid w:val="0086131B"/>
    <w:rsid w:val="00863404"/>
    <w:rsid w:val="00877FAD"/>
    <w:rsid w:val="008B54A4"/>
    <w:rsid w:val="008B5E85"/>
    <w:rsid w:val="008D2CBF"/>
    <w:rsid w:val="008F70A3"/>
    <w:rsid w:val="009040F6"/>
    <w:rsid w:val="009051ED"/>
    <w:rsid w:val="00915683"/>
    <w:rsid w:val="00921725"/>
    <w:rsid w:val="00922721"/>
    <w:rsid w:val="00942602"/>
    <w:rsid w:val="009B11A1"/>
    <w:rsid w:val="009C3CF2"/>
    <w:rsid w:val="009C76D3"/>
    <w:rsid w:val="009D3335"/>
    <w:rsid w:val="009D3F53"/>
    <w:rsid w:val="009D702F"/>
    <w:rsid w:val="009E3607"/>
    <w:rsid w:val="009E3A2A"/>
    <w:rsid w:val="009E6C24"/>
    <w:rsid w:val="009F3DE9"/>
    <w:rsid w:val="009F533C"/>
    <w:rsid w:val="00A02574"/>
    <w:rsid w:val="00A23E10"/>
    <w:rsid w:val="00A56362"/>
    <w:rsid w:val="00AA17BB"/>
    <w:rsid w:val="00AC59BA"/>
    <w:rsid w:val="00AF43B9"/>
    <w:rsid w:val="00AF7F7F"/>
    <w:rsid w:val="00B173EC"/>
    <w:rsid w:val="00B46A1C"/>
    <w:rsid w:val="00B5704E"/>
    <w:rsid w:val="00B651EE"/>
    <w:rsid w:val="00B92D69"/>
    <w:rsid w:val="00B9595F"/>
    <w:rsid w:val="00B96F9E"/>
    <w:rsid w:val="00BA2A9B"/>
    <w:rsid w:val="00BC643D"/>
    <w:rsid w:val="00BD06F7"/>
    <w:rsid w:val="00BD5C6A"/>
    <w:rsid w:val="00BE3238"/>
    <w:rsid w:val="00BF0A7E"/>
    <w:rsid w:val="00C00D1A"/>
    <w:rsid w:val="00C1587D"/>
    <w:rsid w:val="00C226B6"/>
    <w:rsid w:val="00C3544D"/>
    <w:rsid w:val="00C5023E"/>
    <w:rsid w:val="00C52A96"/>
    <w:rsid w:val="00C6228D"/>
    <w:rsid w:val="00C62488"/>
    <w:rsid w:val="00C76509"/>
    <w:rsid w:val="00C910F9"/>
    <w:rsid w:val="00C92EC2"/>
    <w:rsid w:val="00C942E1"/>
    <w:rsid w:val="00CC705C"/>
    <w:rsid w:val="00CD0BA2"/>
    <w:rsid w:val="00CE0794"/>
    <w:rsid w:val="00CE3B33"/>
    <w:rsid w:val="00CF38FF"/>
    <w:rsid w:val="00D30E11"/>
    <w:rsid w:val="00D51D25"/>
    <w:rsid w:val="00D5603B"/>
    <w:rsid w:val="00D578BC"/>
    <w:rsid w:val="00D655B9"/>
    <w:rsid w:val="00D67F96"/>
    <w:rsid w:val="00D938F5"/>
    <w:rsid w:val="00D93B53"/>
    <w:rsid w:val="00DC3C36"/>
    <w:rsid w:val="00DD4287"/>
    <w:rsid w:val="00DE74A7"/>
    <w:rsid w:val="00E0111D"/>
    <w:rsid w:val="00E04C7A"/>
    <w:rsid w:val="00E06F01"/>
    <w:rsid w:val="00E317CF"/>
    <w:rsid w:val="00E3693D"/>
    <w:rsid w:val="00E45BA8"/>
    <w:rsid w:val="00E47E7F"/>
    <w:rsid w:val="00E70DA0"/>
    <w:rsid w:val="00E728E1"/>
    <w:rsid w:val="00E75C2A"/>
    <w:rsid w:val="00E83CAC"/>
    <w:rsid w:val="00E85D61"/>
    <w:rsid w:val="00E930B5"/>
    <w:rsid w:val="00E9403B"/>
    <w:rsid w:val="00EA1982"/>
    <w:rsid w:val="00EB0EB6"/>
    <w:rsid w:val="00EB1D6A"/>
    <w:rsid w:val="00EB7572"/>
    <w:rsid w:val="00EC1FF1"/>
    <w:rsid w:val="00ED4E99"/>
    <w:rsid w:val="00ED6289"/>
    <w:rsid w:val="00EF41AD"/>
    <w:rsid w:val="00F042E3"/>
    <w:rsid w:val="00F1135E"/>
    <w:rsid w:val="00F26EBA"/>
    <w:rsid w:val="00F34EA6"/>
    <w:rsid w:val="00F71761"/>
    <w:rsid w:val="00F9068D"/>
    <w:rsid w:val="00F935CA"/>
    <w:rsid w:val="00FC50AA"/>
    <w:rsid w:val="00FE4014"/>
    <w:rsid w:val="00FE7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BA7BA4"/>
  <w15:docId w15:val="{1A226195-A325-49BE-9706-B2905C23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F34EA6"/>
    <w:rPr>
      <w:rFonts w:ascii="Arial" w:hAnsi="Arial"/>
      <w:szCs w:val="24"/>
    </w:rPr>
  </w:style>
  <w:style w:type="paragraph" w:styleId="Heading1">
    <w:name w:val="heading 1"/>
    <w:basedOn w:val="Normal"/>
    <w:next w:val="Normal"/>
    <w:semiHidden/>
    <w:qFormat/>
    <w:locked/>
    <w:rsid w:val="00BD06F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BD06F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BD06F7"/>
    <w:pPr>
      <w:keepNext/>
      <w:spacing w:before="240" w:after="60"/>
      <w:outlineLvl w:val="2"/>
    </w:pPr>
    <w:rPr>
      <w:rFonts w:cs="Arial"/>
      <w:b/>
      <w:bCs/>
      <w:sz w:val="26"/>
      <w:szCs w:val="26"/>
    </w:rPr>
  </w:style>
  <w:style w:type="paragraph" w:styleId="Heading4">
    <w:name w:val="heading 4"/>
    <w:basedOn w:val="Normal"/>
    <w:next w:val="Normal"/>
    <w:semiHidden/>
    <w:qFormat/>
    <w:locked/>
    <w:rsid w:val="00BD06F7"/>
    <w:pPr>
      <w:keepNext/>
      <w:spacing w:before="240" w:after="60"/>
      <w:outlineLvl w:val="3"/>
    </w:pPr>
    <w:rPr>
      <w:b/>
      <w:bCs/>
      <w:sz w:val="28"/>
      <w:szCs w:val="28"/>
    </w:rPr>
  </w:style>
  <w:style w:type="paragraph" w:styleId="Heading5">
    <w:name w:val="heading 5"/>
    <w:basedOn w:val="Normal"/>
    <w:next w:val="Normal"/>
    <w:semiHidden/>
    <w:qFormat/>
    <w:locked/>
    <w:rsid w:val="00BD06F7"/>
    <w:pPr>
      <w:spacing w:before="240" w:after="60"/>
      <w:outlineLvl w:val="4"/>
    </w:pPr>
    <w:rPr>
      <w:b/>
      <w:bCs/>
      <w:i/>
      <w:iCs/>
      <w:sz w:val="26"/>
      <w:szCs w:val="26"/>
    </w:rPr>
  </w:style>
  <w:style w:type="paragraph" w:styleId="Heading6">
    <w:name w:val="heading 6"/>
    <w:basedOn w:val="Normal"/>
    <w:next w:val="Normal"/>
    <w:semiHidden/>
    <w:qFormat/>
    <w:locked/>
    <w:rsid w:val="00BD06F7"/>
    <w:pPr>
      <w:spacing w:before="240" w:after="60"/>
      <w:outlineLvl w:val="5"/>
    </w:pPr>
    <w:rPr>
      <w:b/>
      <w:bCs/>
      <w:sz w:val="22"/>
      <w:szCs w:val="22"/>
    </w:rPr>
  </w:style>
  <w:style w:type="paragraph" w:styleId="Heading7">
    <w:name w:val="heading 7"/>
    <w:basedOn w:val="Normal"/>
    <w:next w:val="Normal"/>
    <w:semiHidden/>
    <w:qFormat/>
    <w:locked/>
    <w:rsid w:val="00BD06F7"/>
    <w:pPr>
      <w:spacing w:before="240" w:after="60"/>
      <w:outlineLvl w:val="6"/>
    </w:pPr>
  </w:style>
  <w:style w:type="paragraph" w:styleId="Heading8">
    <w:name w:val="heading 8"/>
    <w:basedOn w:val="Normal"/>
    <w:next w:val="Normal"/>
    <w:semiHidden/>
    <w:qFormat/>
    <w:locked/>
    <w:rsid w:val="00BD06F7"/>
    <w:pPr>
      <w:spacing w:before="240" w:after="60"/>
      <w:outlineLvl w:val="7"/>
    </w:pPr>
    <w:rPr>
      <w:i/>
      <w:iCs/>
    </w:rPr>
  </w:style>
  <w:style w:type="paragraph" w:styleId="Heading9">
    <w:name w:val="heading 9"/>
    <w:basedOn w:val="Normal"/>
    <w:next w:val="Normal"/>
    <w:semiHidden/>
    <w:qFormat/>
    <w:locked/>
    <w:rsid w:val="00BD06F7"/>
    <w:pPr>
      <w:spacing w:before="240" w:after="60"/>
      <w:outlineLvl w:val="8"/>
    </w:pPr>
    <w:rPr>
      <w:rFonts w:cs="Arial"/>
      <w:sz w:val="22"/>
      <w:szCs w:val="22"/>
    </w:rPr>
  </w:style>
  <w:style w:type="character" w:default="1" w:styleId="DefaultParagraphFont">
    <w:name w:val="Default Paragraph Font"/>
    <w:uiPriority w:val="1"/>
    <w:semiHidden/>
    <w:unhideWhenUsed/>
    <w:rsid w:val="00F34E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4EA6"/>
  </w:style>
  <w:style w:type="paragraph" w:customStyle="1" w:styleId="QPPBodytext">
    <w:name w:val="QPP Body text"/>
    <w:basedOn w:val="Normal"/>
    <w:link w:val="QPPBodytextChar"/>
    <w:rsid w:val="00F34EA6"/>
    <w:pPr>
      <w:autoSpaceDE w:val="0"/>
      <w:autoSpaceDN w:val="0"/>
      <w:adjustRightInd w:val="0"/>
    </w:pPr>
    <w:rPr>
      <w:rFonts w:cs="Arial"/>
      <w:color w:val="000000"/>
      <w:szCs w:val="20"/>
    </w:rPr>
  </w:style>
  <w:style w:type="character" w:customStyle="1" w:styleId="QPPBodytextChar">
    <w:name w:val="QPP Body text Char"/>
    <w:link w:val="QPPBodytext"/>
    <w:rsid w:val="00BD06F7"/>
    <w:rPr>
      <w:rFonts w:ascii="Arial" w:hAnsi="Arial" w:cs="Arial"/>
      <w:color w:val="000000"/>
    </w:rPr>
  </w:style>
  <w:style w:type="paragraph" w:customStyle="1" w:styleId="HGTableBullet2">
    <w:name w:val="HG Table Bullet 2"/>
    <w:basedOn w:val="QPPTableTextBody"/>
    <w:rsid w:val="00F34EA6"/>
    <w:pPr>
      <w:numPr>
        <w:numId w:val="26"/>
      </w:numPr>
      <w:tabs>
        <w:tab w:val="left" w:pos="567"/>
      </w:tabs>
    </w:pPr>
  </w:style>
  <w:style w:type="paragraph" w:customStyle="1" w:styleId="QPPTableTextBody">
    <w:name w:val="QPP Table Text Body"/>
    <w:basedOn w:val="QPPBodytext"/>
    <w:link w:val="QPPTableTextBodyChar"/>
    <w:autoRedefine/>
    <w:rsid w:val="00F34EA6"/>
    <w:pPr>
      <w:spacing w:before="60" w:after="60"/>
    </w:pPr>
  </w:style>
  <w:style w:type="character" w:customStyle="1" w:styleId="QPPTableTextBodyChar">
    <w:name w:val="QPP Table Text Body Char"/>
    <w:basedOn w:val="QPPBodytextChar"/>
    <w:link w:val="QPPTableTextBody"/>
    <w:rsid w:val="00BD06F7"/>
    <w:rPr>
      <w:rFonts w:ascii="Arial" w:hAnsi="Arial" w:cs="Arial"/>
      <w:color w:val="000000"/>
    </w:rPr>
  </w:style>
  <w:style w:type="paragraph" w:customStyle="1" w:styleId="QPPEditorsNoteStyle1">
    <w:name w:val="QPP Editor's Note Style 1"/>
    <w:basedOn w:val="Normal"/>
    <w:next w:val="QPPBodytext"/>
    <w:link w:val="QPPEditorsNoteStyle1Char"/>
    <w:rsid w:val="00F34EA6"/>
    <w:pPr>
      <w:spacing w:before="100" w:beforeAutospacing="1" w:after="100" w:afterAutospacing="1"/>
    </w:pPr>
    <w:rPr>
      <w:sz w:val="16"/>
      <w:szCs w:val="16"/>
    </w:rPr>
  </w:style>
  <w:style w:type="character" w:customStyle="1" w:styleId="QPPEditorsNoteStyle1Char">
    <w:name w:val="QPP Editor's Note Style 1 Char"/>
    <w:link w:val="QPPEditorsNoteStyle1"/>
    <w:rsid w:val="00BD06F7"/>
    <w:rPr>
      <w:rFonts w:ascii="Arial" w:hAnsi="Arial"/>
      <w:sz w:val="16"/>
      <w:szCs w:val="16"/>
    </w:rPr>
  </w:style>
  <w:style w:type="paragraph" w:customStyle="1" w:styleId="QPPTableHeadingStyle1">
    <w:name w:val="QPP Table Heading Style 1"/>
    <w:basedOn w:val="QPPHeading4"/>
    <w:rsid w:val="00F34EA6"/>
    <w:pPr>
      <w:spacing w:after="0"/>
      <w:ind w:left="0" w:firstLine="0"/>
    </w:pPr>
  </w:style>
  <w:style w:type="paragraph" w:customStyle="1" w:styleId="QPPHeading4">
    <w:name w:val="QPP Heading 4"/>
    <w:basedOn w:val="Normal"/>
    <w:link w:val="QPPHeading4Char"/>
    <w:autoRedefine/>
    <w:rsid w:val="00F34EA6"/>
    <w:pPr>
      <w:keepNext/>
      <w:spacing w:before="100" w:after="200"/>
      <w:ind w:left="851" w:hanging="851"/>
      <w:outlineLvl w:val="2"/>
    </w:pPr>
    <w:rPr>
      <w:rFonts w:cs="Arial"/>
      <w:b/>
      <w:bCs/>
      <w:szCs w:val="26"/>
    </w:rPr>
  </w:style>
  <w:style w:type="character" w:customStyle="1" w:styleId="QPPHeading4Char">
    <w:name w:val="QPP Heading 4 Char"/>
    <w:link w:val="QPPHeading4"/>
    <w:rsid w:val="00BD06F7"/>
    <w:rPr>
      <w:rFonts w:ascii="Arial" w:hAnsi="Arial" w:cs="Arial"/>
      <w:b/>
      <w:bCs/>
      <w:szCs w:val="26"/>
    </w:rPr>
  </w:style>
  <w:style w:type="table" w:styleId="TableGrid">
    <w:name w:val="Table Grid"/>
    <w:basedOn w:val="TableNormal"/>
    <w:semiHidden/>
    <w:rsid w:val="00F34E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34EA6"/>
    <w:pPr>
      <w:numPr>
        <w:numId w:val="4"/>
      </w:numPr>
    </w:pPr>
    <w:rPr>
      <w:rFonts w:cs="Arial"/>
      <w:szCs w:val="20"/>
      <w:lang w:eastAsia="en-US"/>
    </w:rPr>
  </w:style>
  <w:style w:type="paragraph" w:customStyle="1" w:styleId="QPPHeading1">
    <w:name w:val="QPP Heading 1"/>
    <w:basedOn w:val="Heading1"/>
    <w:autoRedefine/>
    <w:rsid w:val="00F34EA6"/>
    <w:pPr>
      <w:spacing w:before="100" w:after="200"/>
      <w:ind w:left="851" w:hanging="851"/>
    </w:pPr>
  </w:style>
  <w:style w:type="paragraph" w:customStyle="1" w:styleId="QPPDotBulletPoint">
    <w:name w:val="QPP Dot Bullet Point"/>
    <w:basedOn w:val="Normal"/>
    <w:semiHidden/>
    <w:locked/>
    <w:rsid w:val="00BD06F7"/>
    <w:pPr>
      <w:numPr>
        <w:numId w:val="5"/>
      </w:numPr>
    </w:pPr>
  </w:style>
  <w:style w:type="paragraph" w:customStyle="1" w:styleId="QPPBulletpoint3">
    <w:name w:val="QPP Bullet point 3"/>
    <w:basedOn w:val="Normal"/>
    <w:rsid w:val="00F34EA6"/>
    <w:pPr>
      <w:numPr>
        <w:numId w:val="3"/>
      </w:numPr>
      <w:tabs>
        <w:tab w:val="left" w:pos="1701"/>
      </w:tabs>
    </w:pPr>
    <w:rPr>
      <w:rFonts w:cs="Arial"/>
      <w:szCs w:val="20"/>
      <w:lang w:eastAsia="en-US"/>
    </w:rPr>
  </w:style>
  <w:style w:type="paragraph" w:customStyle="1" w:styleId="QPPTableTextBold">
    <w:name w:val="QPP Table Text Bold"/>
    <w:basedOn w:val="QPPTableTextBody"/>
    <w:rsid w:val="00F34EA6"/>
    <w:rPr>
      <w:b/>
    </w:rPr>
  </w:style>
  <w:style w:type="paragraph" w:customStyle="1" w:styleId="QPPBulletpoint2">
    <w:name w:val="QPP Bullet point 2"/>
    <w:basedOn w:val="Normal"/>
    <w:rsid w:val="00F34EA6"/>
    <w:pPr>
      <w:numPr>
        <w:numId w:val="27"/>
      </w:numPr>
    </w:pPr>
    <w:rPr>
      <w:rFonts w:cs="Arial"/>
      <w:szCs w:val="20"/>
      <w:lang w:eastAsia="en-US"/>
    </w:rPr>
  </w:style>
  <w:style w:type="paragraph" w:customStyle="1" w:styleId="QPPHeading2">
    <w:name w:val="QPP Heading 2"/>
    <w:basedOn w:val="Normal"/>
    <w:autoRedefine/>
    <w:rsid w:val="00F34EA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34EA6"/>
    <w:rPr>
      <w:i/>
      <w:iCs/>
    </w:rPr>
  </w:style>
  <w:style w:type="paragraph" w:customStyle="1" w:styleId="QPPFooter">
    <w:name w:val="QPP Footer"/>
    <w:basedOn w:val="Normal"/>
    <w:rsid w:val="00F34E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34EA6"/>
    <w:pPr>
      <w:spacing w:before="100" w:after="100"/>
      <w:ind w:left="567"/>
    </w:pPr>
    <w:rPr>
      <w:sz w:val="16"/>
      <w:szCs w:val="16"/>
    </w:rPr>
  </w:style>
  <w:style w:type="paragraph" w:customStyle="1" w:styleId="QPPEditorsnotebulletpoint1">
    <w:name w:val="QPP Editor's note bullet point 1"/>
    <w:basedOn w:val="Normal"/>
    <w:rsid w:val="00F34EA6"/>
    <w:pPr>
      <w:numPr>
        <w:numId w:val="1"/>
      </w:numPr>
      <w:tabs>
        <w:tab w:val="left" w:pos="426"/>
      </w:tabs>
    </w:pPr>
    <w:rPr>
      <w:sz w:val="16"/>
      <w:szCs w:val="16"/>
    </w:rPr>
  </w:style>
  <w:style w:type="paragraph" w:customStyle="1" w:styleId="QPPTableBullet">
    <w:name w:val="QPP Table Bullet"/>
    <w:basedOn w:val="Normal"/>
    <w:rsid w:val="00F34EA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34EA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34EA6"/>
    <w:pPr>
      <w:numPr>
        <w:numId w:val="25"/>
      </w:numPr>
    </w:pPr>
  </w:style>
  <w:style w:type="paragraph" w:customStyle="1" w:styleId="HGTableBullet3">
    <w:name w:val="HG Table Bullet 3"/>
    <w:basedOn w:val="QPPTableTextBody"/>
    <w:rsid w:val="00F34EA6"/>
    <w:pPr>
      <w:numPr>
        <w:numId w:val="8"/>
      </w:numPr>
    </w:pPr>
  </w:style>
  <w:style w:type="paragraph" w:styleId="BalloonText">
    <w:name w:val="Balloon Text"/>
    <w:basedOn w:val="Normal"/>
    <w:semiHidden/>
    <w:locked/>
    <w:rsid w:val="00BD06F7"/>
    <w:rPr>
      <w:rFonts w:ascii="Tahoma" w:hAnsi="Tahoma" w:cs="Tahoma"/>
      <w:sz w:val="16"/>
      <w:szCs w:val="16"/>
    </w:rPr>
  </w:style>
  <w:style w:type="paragraph" w:customStyle="1" w:styleId="QPPBullet">
    <w:name w:val="QPP Bullet"/>
    <w:basedOn w:val="Normal"/>
    <w:autoRedefine/>
    <w:rsid w:val="00F34EA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34EA6"/>
    <w:rPr>
      <w:vertAlign w:val="subscript"/>
    </w:rPr>
  </w:style>
  <w:style w:type="character" w:customStyle="1" w:styleId="QPPSubscriptChar">
    <w:name w:val="QPP Subscript Char"/>
    <w:link w:val="QPPSubscript"/>
    <w:rsid w:val="00BD06F7"/>
    <w:rPr>
      <w:rFonts w:ascii="Arial" w:hAnsi="Arial" w:cs="Arial"/>
      <w:color w:val="000000"/>
      <w:vertAlign w:val="subscript"/>
    </w:rPr>
  </w:style>
  <w:style w:type="paragraph" w:customStyle="1" w:styleId="QPPBulletPoint5DOT">
    <w:name w:val="QPP Bullet Point 5 DOT"/>
    <w:basedOn w:val="QPPBodytext"/>
    <w:autoRedefine/>
    <w:rsid w:val="00F34EA6"/>
    <w:pPr>
      <w:numPr>
        <w:numId w:val="7"/>
      </w:numPr>
    </w:pPr>
  </w:style>
  <w:style w:type="paragraph" w:customStyle="1" w:styleId="QPPBodyTextITALIC">
    <w:name w:val="QPP Body Text ITALIC"/>
    <w:basedOn w:val="QPPBodytext"/>
    <w:autoRedefine/>
    <w:rsid w:val="00F34EA6"/>
    <w:rPr>
      <w:i/>
    </w:rPr>
  </w:style>
  <w:style w:type="paragraph" w:customStyle="1" w:styleId="QPPSuperscript">
    <w:name w:val="QPP Superscript"/>
    <w:basedOn w:val="QPPBodytext"/>
    <w:next w:val="QPPBodytext"/>
    <w:link w:val="QPPSuperscriptChar"/>
    <w:rsid w:val="00F34EA6"/>
    <w:rPr>
      <w:vertAlign w:val="superscript"/>
    </w:rPr>
  </w:style>
  <w:style w:type="character" w:customStyle="1" w:styleId="QPPSuperscriptChar">
    <w:name w:val="QPP Superscript Char"/>
    <w:link w:val="QPPSuperscript"/>
    <w:rsid w:val="00BD06F7"/>
    <w:rPr>
      <w:rFonts w:ascii="Arial" w:hAnsi="Arial" w:cs="Arial"/>
      <w:color w:val="000000"/>
      <w:vertAlign w:val="superscript"/>
    </w:rPr>
  </w:style>
  <w:style w:type="character" w:styleId="CommentReference">
    <w:name w:val="annotation reference"/>
    <w:semiHidden/>
    <w:locked/>
    <w:rsid w:val="00BD06F7"/>
    <w:rPr>
      <w:sz w:val="16"/>
      <w:szCs w:val="16"/>
    </w:rPr>
  </w:style>
  <w:style w:type="paragraph" w:styleId="CommentText">
    <w:name w:val="annotation text"/>
    <w:basedOn w:val="Normal"/>
    <w:semiHidden/>
    <w:locked/>
    <w:rsid w:val="00BD06F7"/>
    <w:rPr>
      <w:szCs w:val="20"/>
    </w:rPr>
  </w:style>
  <w:style w:type="paragraph" w:styleId="CommentSubject">
    <w:name w:val="annotation subject"/>
    <w:basedOn w:val="CommentText"/>
    <w:next w:val="CommentText"/>
    <w:semiHidden/>
    <w:locked/>
    <w:rsid w:val="00BD06F7"/>
    <w:rPr>
      <w:b/>
      <w:bCs/>
    </w:rPr>
  </w:style>
  <w:style w:type="paragraph" w:customStyle="1" w:styleId="HGTableBullet4">
    <w:name w:val="HG Table Bullet 4"/>
    <w:basedOn w:val="QPPTableTextBody"/>
    <w:rsid w:val="00F34EA6"/>
    <w:pPr>
      <w:numPr>
        <w:numId w:val="9"/>
      </w:numPr>
      <w:tabs>
        <w:tab w:val="left" w:pos="567"/>
      </w:tabs>
    </w:pPr>
  </w:style>
  <w:style w:type="paragraph" w:styleId="ListParagraph">
    <w:name w:val="List Paragraph"/>
    <w:basedOn w:val="Normal"/>
    <w:uiPriority w:val="34"/>
    <w:semiHidden/>
    <w:qFormat/>
    <w:rsid w:val="00F34EA6"/>
    <w:pPr>
      <w:ind w:left="720"/>
    </w:pPr>
    <w:rPr>
      <w:rFonts w:ascii="Calibri" w:eastAsia="Calibri" w:hAnsi="Calibri" w:cs="Calibri"/>
      <w:sz w:val="22"/>
      <w:szCs w:val="22"/>
      <w:lang w:eastAsia="en-US"/>
    </w:rPr>
  </w:style>
  <w:style w:type="character" w:styleId="FollowedHyperlink">
    <w:name w:val="FollowedHyperlink"/>
    <w:semiHidden/>
    <w:locked/>
    <w:rsid w:val="00BD06F7"/>
    <w:rPr>
      <w:color w:val="800080"/>
      <w:u w:val="single"/>
    </w:rPr>
  </w:style>
  <w:style w:type="paragraph" w:styleId="Header">
    <w:name w:val="header"/>
    <w:basedOn w:val="Normal"/>
    <w:semiHidden/>
    <w:locked/>
    <w:rsid w:val="00BD06F7"/>
    <w:pPr>
      <w:tabs>
        <w:tab w:val="center" w:pos="4153"/>
        <w:tab w:val="right" w:pos="8306"/>
      </w:tabs>
    </w:pPr>
  </w:style>
  <w:style w:type="paragraph" w:styleId="Footer">
    <w:name w:val="footer"/>
    <w:basedOn w:val="Normal"/>
    <w:semiHidden/>
    <w:locked/>
    <w:rsid w:val="00BD06F7"/>
    <w:pPr>
      <w:tabs>
        <w:tab w:val="center" w:pos="4153"/>
        <w:tab w:val="right" w:pos="8306"/>
      </w:tabs>
    </w:pPr>
  </w:style>
  <w:style w:type="numbering" w:styleId="111111">
    <w:name w:val="Outline List 2"/>
    <w:basedOn w:val="NoList"/>
    <w:semiHidden/>
    <w:locked/>
    <w:rsid w:val="00BD06F7"/>
  </w:style>
  <w:style w:type="numbering" w:styleId="1ai">
    <w:name w:val="Outline List 1"/>
    <w:basedOn w:val="NoList"/>
    <w:semiHidden/>
    <w:locked/>
    <w:rsid w:val="00BD06F7"/>
  </w:style>
  <w:style w:type="numbering" w:styleId="ArticleSection">
    <w:name w:val="Outline List 3"/>
    <w:basedOn w:val="NoList"/>
    <w:semiHidden/>
    <w:locked/>
    <w:rsid w:val="00BD06F7"/>
  </w:style>
  <w:style w:type="paragraph" w:styleId="Bibliography">
    <w:name w:val="Bibliography"/>
    <w:basedOn w:val="Normal"/>
    <w:next w:val="Normal"/>
    <w:uiPriority w:val="37"/>
    <w:semiHidden/>
    <w:unhideWhenUsed/>
    <w:rsid w:val="00F34EA6"/>
  </w:style>
  <w:style w:type="paragraph" w:styleId="BlockText">
    <w:name w:val="Block Text"/>
    <w:basedOn w:val="Normal"/>
    <w:semiHidden/>
    <w:locked/>
    <w:rsid w:val="00BD06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D06F7"/>
    <w:pPr>
      <w:spacing w:after="120"/>
    </w:pPr>
  </w:style>
  <w:style w:type="character" w:customStyle="1" w:styleId="BodyTextChar">
    <w:name w:val="Body Text Char"/>
    <w:basedOn w:val="DefaultParagraphFont"/>
    <w:link w:val="BodyText"/>
    <w:semiHidden/>
    <w:rsid w:val="00BD06F7"/>
    <w:rPr>
      <w:rFonts w:ascii="Arial" w:hAnsi="Arial"/>
      <w:szCs w:val="24"/>
    </w:rPr>
  </w:style>
  <w:style w:type="paragraph" w:styleId="BodyText2">
    <w:name w:val="Body Text 2"/>
    <w:basedOn w:val="Normal"/>
    <w:link w:val="BodyText2Char"/>
    <w:semiHidden/>
    <w:locked/>
    <w:rsid w:val="00BD06F7"/>
    <w:pPr>
      <w:spacing w:after="120" w:line="480" w:lineRule="auto"/>
    </w:pPr>
  </w:style>
  <w:style w:type="character" w:customStyle="1" w:styleId="BodyText2Char">
    <w:name w:val="Body Text 2 Char"/>
    <w:basedOn w:val="DefaultParagraphFont"/>
    <w:link w:val="BodyText2"/>
    <w:semiHidden/>
    <w:rsid w:val="00BD06F7"/>
    <w:rPr>
      <w:rFonts w:ascii="Arial" w:hAnsi="Arial"/>
      <w:szCs w:val="24"/>
    </w:rPr>
  </w:style>
  <w:style w:type="paragraph" w:styleId="BodyText3">
    <w:name w:val="Body Text 3"/>
    <w:basedOn w:val="Normal"/>
    <w:link w:val="BodyText3Char"/>
    <w:semiHidden/>
    <w:locked/>
    <w:rsid w:val="00BD06F7"/>
    <w:pPr>
      <w:spacing w:after="120"/>
    </w:pPr>
    <w:rPr>
      <w:sz w:val="16"/>
      <w:szCs w:val="16"/>
    </w:rPr>
  </w:style>
  <w:style w:type="character" w:customStyle="1" w:styleId="BodyText3Char">
    <w:name w:val="Body Text 3 Char"/>
    <w:basedOn w:val="DefaultParagraphFont"/>
    <w:link w:val="BodyText3"/>
    <w:semiHidden/>
    <w:rsid w:val="00BD06F7"/>
    <w:rPr>
      <w:rFonts w:ascii="Arial" w:hAnsi="Arial"/>
      <w:sz w:val="16"/>
      <w:szCs w:val="16"/>
    </w:rPr>
  </w:style>
  <w:style w:type="paragraph" w:styleId="BodyTextFirstIndent">
    <w:name w:val="Body Text First Indent"/>
    <w:basedOn w:val="BodyText"/>
    <w:link w:val="BodyTextFirstIndentChar"/>
    <w:semiHidden/>
    <w:locked/>
    <w:rsid w:val="00BD06F7"/>
    <w:pPr>
      <w:spacing w:after="0"/>
      <w:ind w:firstLine="360"/>
    </w:pPr>
  </w:style>
  <w:style w:type="character" w:customStyle="1" w:styleId="BodyTextFirstIndentChar">
    <w:name w:val="Body Text First Indent Char"/>
    <w:basedOn w:val="BodyTextChar"/>
    <w:link w:val="BodyTextFirstIndent"/>
    <w:semiHidden/>
    <w:rsid w:val="00BD06F7"/>
    <w:rPr>
      <w:rFonts w:ascii="Arial" w:hAnsi="Arial"/>
      <w:szCs w:val="24"/>
    </w:rPr>
  </w:style>
  <w:style w:type="paragraph" w:styleId="BodyTextIndent">
    <w:name w:val="Body Text Indent"/>
    <w:basedOn w:val="Normal"/>
    <w:link w:val="BodyTextIndentChar"/>
    <w:semiHidden/>
    <w:locked/>
    <w:rsid w:val="00BD06F7"/>
    <w:pPr>
      <w:spacing w:after="120"/>
      <w:ind w:left="283"/>
    </w:pPr>
  </w:style>
  <w:style w:type="character" w:customStyle="1" w:styleId="BodyTextIndentChar">
    <w:name w:val="Body Text Indent Char"/>
    <w:basedOn w:val="DefaultParagraphFont"/>
    <w:link w:val="BodyTextIndent"/>
    <w:semiHidden/>
    <w:rsid w:val="00BD06F7"/>
    <w:rPr>
      <w:rFonts w:ascii="Arial" w:hAnsi="Arial"/>
      <w:szCs w:val="24"/>
    </w:rPr>
  </w:style>
  <w:style w:type="paragraph" w:styleId="BodyTextFirstIndent2">
    <w:name w:val="Body Text First Indent 2"/>
    <w:basedOn w:val="BodyTextIndent"/>
    <w:link w:val="BodyTextFirstIndent2Char"/>
    <w:semiHidden/>
    <w:locked/>
    <w:rsid w:val="00BD06F7"/>
    <w:pPr>
      <w:spacing w:after="0"/>
      <w:ind w:left="360" w:firstLine="360"/>
    </w:pPr>
  </w:style>
  <w:style w:type="character" w:customStyle="1" w:styleId="BodyTextFirstIndent2Char">
    <w:name w:val="Body Text First Indent 2 Char"/>
    <w:basedOn w:val="BodyTextIndentChar"/>
    <w:link w:val="BodyTextFirstIndent2"/>
    <w:semiHidden/>
    <w:rsid w:val="00BD06F7"/>
    <w:rPr>
      <w:rFonts w:ascii="Arial" w:hAnsi="Arial"/>
      <w:szCs w:val="24"/>
    </w:rPr>
  </w:style>
  <w:style w:type="paragraph" w:styleId="BodyTextIndent2">
    <w:name w:val="Body Text Indent 2"/>
    <w:basedOn w:val="Normal"/>
    <w:link w:val="BodyTextIndent2Char"/>
    <w:semiHidden/>
    <w:locked/>
    <w:rsid w:val="00BD06F7"/>
    <w:pPr>
      <w:spacing w:after="120" w:line="480" w:lineRule="auto"/>
      <w:ind w:left="283"/>
    </w:pPr>
  </w:style>
  <w:style w:type="character" w:customStyle="1" w:styleId="BodyTextIndent2Char">
    <w:name w:val="Body Text Indent 2 Char"/>
    <w:basedOn w:val="DefaultParagraphFont"/>
    <w:link w:val="BodyTextIndent2"/>
    <w:semiHidden/>
    <w:rsid w:val="00BD06F7"/>
    <w:rPr>
      <w:rFonts w:ascii="Arial" w:hAnsi="Arial"/>
      <w:szCs w:val="24"/>
    </w:rPr>
  </w:style>
  <w:style w:type="paragraph" w:styleId="BodyTextIndent3">
    <w:name w:val="Body Text Indent 3"/>
    <w:basedOn w:val="Normal"/>
    <w:link w:val="BodyTextIndent3Char"/>
    <w:semiHidden/>
    <w:locked/>
    <w:rsid w:val="00BD06F7"/>
    <w:pPr>
      <w:spacing w:after="120"/>
      <w:ind w:left="283"/>
    </w:pPr>
    <w:rPr>
      <w:sz w:val="16"/>
      <w:szCs w:val="16"/>
    </w:rPr>
  </w:style>
  <w:style w:type="character" w:customStyle="1" w:styleId="BodyTextIndent3Char">
    <w:name w:val="Body Text Indent 3 Char"/>
    <w:basedOn w:val="DefaultParagraphFont"/>
    <w:link w:val="BodyTextIndent3"/>
    <w:semiHidden/>
    <w:rsid w:val="00BD06F7"/>
    <w:rPr>
      <w:rFonts w:ascii="Arial" w:hAnsi="Arial"/>
      <w:sz w:val="16"/>
      <w:szCs w:val="16"/>
    </w:rPr>
  </w:style>
  <w:style w:type="character" w:styleId="BookTitle">
    <w:name w:val="Book Title"/>
    <w:basedOn w:val="DefaultParagraphFont"/>
    <w:uiPriority w:val="33"/>
    <w:semiHidden/>
    <w:qFormat/>
    <w:rsid w:val="00F34EA6"/>
    <w:rPr>
      <w:b/>
      <w:bCs/>
      <w:smallCaps/>
      <w:spacing w:val="5"/>
    </w:rPr>
  </w:style>
  <w:style w:type="paragraph" w:styleId="Caption">
    <w:name w:val="caption"/>
    <w:basedOn w:val="Normal"/>
    <w:next w:val="Normal"/>
    <w:semiHidden/>
    <w:unhideWhenUsed/>
    <w:qFormat/>
    <w:locked/>
    <w:rsid w:val="00BD06F7"/>
    <w:pPr>
      <w:spacing w:after="200"/>
    </w:pPr>
    <w:rPr>
      <w:b/>
      <w:bCs/>
      <w:color w:val="4F81BD" w:themeColor="accent1"/>
      <w:sz w:val="18"/>
      <w:szCs w:val="18"/>
    </w:rPr>
  </w:style>
  <w:style w:type="paragraph" w:styleId="Closing">
    <w:name w:val="Closing"/>
    <w:basedOn w:val="Normal"/>
    <w:link w:val="ClosingChar"/>
    <w:semiHidden/>
    <w:locked/>
    <w:rsid w:val="00BD06F7"/>
    <w:pPr>
      <w:ind w:left="4252"/>
    </w:pPr>
  </w:style>
  <w:style w:type="character" w:customStyle="1" w:styleId="ClosingChar">
    <w:name w:val="Closing Char"/>
    <w:basedOn w:val="DefaultParagraphFont"/>
    <w:link w:val="Closing"/>
    <w:semiHidden/>
    <w:rsid w:val="00BD06F7"/>
    <w:rPr>
      <w:rFonts w:ascii="Arial" w:hAnsi="Arial"/>
      <w:szCs w:val="24"/>
    </w:rPr>
  </w:style>
  <w:style w:type="table" w:styleId="ColorfulGrid">
    <w:name w:val="Colorful Grid"/>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34E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34E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34E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34E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34E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34E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34E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34E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34E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34E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34E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34E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34E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34E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34E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34E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34E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34E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34E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34E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34E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34E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D06F7"/>
  </w:style>
  <w:style w:type="character" w:customStyle="1" w:styleId="DateChar">
    <w:name w:val="Date Char"/>
    <w:basedOn w:val="DefaultParagraphFont"/>
    <w:link w:val="Date"/>
    <w:semiHidden/>
    <w:rsid w:val="00BD06F7"/>
    <w:rPr>
      <w:rFonts w:ascii="Arial" w:hAnsi="Arial"/>
      <w:szCs w:val="24"/>
    </w:rPr>
  </w:style>
  <w:style w:type="paragraph" w:styleId="DocumentMap">
    <w:name w:val="Document Map"/>
    <w:basedOn w:val="Normal"/>
    <w:link w:val="DocumentMapChar"/>
    <w:semiHidden/>
    <w:locked/>
    <w:rsid w:val="00BD06F7"/>
    <w:rPr>
      <w:rFonts w:ascii="Tahoma" w:hAnsi="Tahoma" w:cs="Tahoma"/>
      <w:sz w:val="16"/>
      <w:szCs w:val="16"/>
    </w:rPr>
  </w:style>
  <w:style w:type="character" w:customStyle="1" w:styleId="DocumentMapChar">
    <w:name w:val="Document Map Char"/>
    <w:basedOn w:val="DefaultParagraphFont"/>
    <w:link w:val="DocumentMap"/>
    <w:semiHidden/>
    <w:rsid w:val="00BD06F7"/>
    <w:rPr>
      <w:rFonts w:ascii="Tahoma" w:hAnsi="Tahoma" w:cs="Tahoma"/>
      <w:sz w:val="16"/>
      <w:szCs w:val="16"/>
    </w:rPr>
  </w:style>
  <w:style w:type="paragraph" w:styleId="E-mailSignature">
    <w:name w:val="E-mail Signature"/>
    <w:basedOn w:val="Normal"/>
    <w:link w:val="E-mailSignatureChar"/>
    <w:semiHidden/>
    <w:locked/>
    <w:rsid w:val="00BD06F7"/>
  </w:style>
  <w:style w:type="character" w:customStyle="1" w:styleId="E-mailSignatureChar">
    <w:name w:val="E-mail Signature Char"/>
    <w:basedOn w:val="DefaultParagraphFont"/>
    <w:link w:val="E-mailSignature"/>
    <w:semiHidden/>
    <w:rsid w:val="00BD06F7"/>
    <w:rPr>
      <w:rFonts w:ascii="Arial" w:hAnsi="Arial"/>
      <w:szCs w:val="24"/>
    </w:rPr>
  </w:style>
  <w:style w:type="character" w:styleId="Emphasis">
    <w:name w:val="Emphasis"/>
    <w:basedOn w:val="DefaultParagraphFont"/>
    <w:semiHidden/>
    <w:qFormat/>
    <w:locked/>
    <w:rsid w:val="00BD06F7"/>
    <w:rPr>
      <w:i/>
      <w:iCs/>
    </w:rPr>
  </w:style>
  <w:style w:type="character" w:styleId="EndnoteReference">
    <w:name w:val="endnote reference"/>
    <w:basedOn w:val="DefaultParagraphFont"/>
    <w:semiHidden/>
    <w:locked/>
    <w:rsid w:val="00BD06F7"/>
    <w:rPr>
      <w:vertAlign w:val="superscript"/>
    </w:rPr>
  </w:style>
  <w:style w:type="paragraph" w:styleId="EndnoteText">
    <w:name w:val="endnote text"/>
    <w:basedOn w:val="Normal"/>
    <w:link w:val="EndnoteTextChar"/>
    <w:semiHidden/>
    <w:locked/>
    <w:rsid w:val="00BD06F7"/>
    <w:rPr>
      <w:szCs w:val="20"/>
    </w:rPr>
  </w:style>
  <w:style w:type="character" w:customStyle="1" w:styleId="EndnoteTextChar">
    <w:name w:val="Endnote Text Char"/>
    <w:basedOn w:val="DefaultParagraphFont"/>
    <w:link w:val="EndnoteText"/>
    <w:semiHidden/>
    <w:rsid w:val="00BD06F7"/>
    <w:rPr>
      <w:rFonts w:ascii="Arial" w:hAnsi="Arial"/>
    </w:rPr>
  </w:style>
  <w:style w:type="paragraph" w:styleId="EnvelopeAddress">
    <w:name w:val="envelope address"/>
    <w:basedOn w:val="Normal"/>
    <w:semiHidden/>
    <w:locked/>
    <w:rsid w:val="00BD06F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D06F7"/>
    <w:rPr>
      <w:rFonts w:asciiTheme="majorHAnsi" w:eastAsiaTheme="majorEastAsia" w:hAnsiTheme="majorHAnsi" w:cstheme="majorBidi"/>
      <w:szCs w:val="20"/>
    </w:rPr>
  </w:style>
  <w:style w:type="character" w:styleId="FootnoteReference">
    <w:name w:val="footnote reference"/>
    <w:basedOn w:val="DefaultParagraphFont"/>
    <w:semiHidden/>
    <w:locked/>
    <w:rsid w:val="00BD06F7"/>
    <w:rPr>
      <w:vertAlign w:val="superscript"/>
    </w:rPr>
  </w:style>
  <w:style w:type="paragraph" w:styleId="FootnoteText">
    <w:name w:val="footnote text"/>
    <w:basedOn w:val="Normal"/>
    <w:link w:val="FootnoteTextChar"/>
    <w:semiHidden/>
    <w:locked/>
    <w:rsid w:val="00BD06F7"/>
    <w:rPr>
      <w:szCs w:val="20"/>
    </w:rPr>
  </w:style>
  <w:style w:type="character" w:customStyle="1" w:styleId="FootnoteTextChar">
    <w:name w:val="Footnote Text Char"/>
    <w:basedOn w:val="DefaultParagraphFont"/>
    <w:link w:val="FootnoteText"/>
    <w:semiHidden/>
    <w:rsid w:val="00BD06F7"/>
    <w:rPr>
      <w:rFonts w:ascii="Arial" w:hAnsi="Arial"/>
    </w:rPr>
  </w:style>
  <w:style w:type="character" w:styleId="HTMLAcronym">
    <w:name w:val="HTML Acronym"/>
    <w:basedOn w:val="DefaultParagraphFont"/>
    <w:semiHidden/>
    <w:locked/>
    <w:rsid w:val="00BD06F7"/>
  </w:style>
  <w:style w:type="paragraph" w:styleId="HTMLAddress">
    <w:name w:val="HTML Address"/>
    <w:basedOn w:val="Normal"/>
    <w:link w:val="HTMLAddressChar"/>
    <w:semiHidden/>
    <w:locked/>
    <w:rsid w:val="00BD06F7"/>
    <w:rPr>
      <w:i/>
      <w:iCs/>
    </w:rPr>
  </w:style>
  <w:style w:type="character" w:customStyle="1" w:styleId="HTMLAddressChar">
    <w:name w:val="HTML Address Char"/>
    <w:basedOn w:val="DefaultParagraphFont"/>
    <w:link w:val="HTMLAddress"/>
    <w:semiHidden/>
    <w:rsid w:val="00BD06F7"/>
    <w:rPr>
      <w:rFonts w:ascii="Arial" w:hAnsi="Arial"/>
      <w:i/>
      <w:iCs/>
      <w:szCs w:val="24"/>
    </w:rPr>
  </w:style>
  <w:style w:type="character" w:styleId="HTMLCite">
    <w:name w:val="HTML Cite"/>
    <w:basedOn w:val="DefaultParagraphFont"/>
    <w:semiHidden/>
    <w:locked/>
    <w:rsid w:val="00BD06F7"/>
    <w:rPr>
      <w:i/>
      <w:iCs/>
    </w:rPr>
  </w:style>
  <w:style w:type="character" w:styleId="HTMLCode">
    <w:name w:val="HTML Code"/>
    <w:basedOn w:val="DefaultParagraphFont"/>
    <w:semiHidden/>
    <w:locked/>
    <w:rsid w:val="00BD06F7"/>
    <w:rPr>
      <w:rFonts w:ascii="Consolas" w:hAnsi="Consolas" w:cs="Consolas"/>
      <w:sz w:val="20"/>
      <w:szCs w:val="20"/>
    </w:rPr>
  </w:style>
  <w:style w:type="character" w:styleId="HTMLDefinition">
    <w:name w:val="HTML Definition"/>
    <w:basedOn w:val="DefaultParagraphFont"/>
    <w:semiHidden/>
    <w:locked/>
    <w:rsid w:val="00BD06F7"/>
    <w:rPr>
      <w:i/>
      <w:iCs/>
    </w:rPr>
  </w:style>
  <w:style w:type="character" w:styleId="HTMLKeyboard">
    <w:name w:val="HTML Keyboard"/>
    <w:basedOn w:val="DefaultParagraphFont"/>
    <w:semiHidden/>
    <w:locked/>
    <w:rsid w:val="00BD06F7"/>
    <w:rPr>
      <w:rFonts w:ascii="Consolas" w:hAnsi="Consolas" w:cs="Consolas"/>
      <w:sz w:val="20"/>
      <w:szCs w:val="20"/>
    </w:rPr>
  </w:style>
  <w:style w:type="paragraph" w:styleId="HTMLPreformatted">
    <w:name w:val="HTML Preformatted"/>
    <w:basedOn w:val="Normal"/>
    <w:link w:val="HTMLPreformattedChar"/>
    <w:semiHidden/>
    <w:locked/>
    <w:rsid w:val="00BD06F7"/>
    <w:rPr>
      <w:rFonts w:ascii="Consolas" w:hAnsi="Consolas" w:cs="Consolas"/>
      <w:szCs w:val="20"/>
    </w:rPr>
  </w:style>
  <w:style w:type="character" w:customStyle="1" w:styleId="HTMLPreformattedChar">
    <w:name w:val="HTML Preformatted Char"/>
    <w:basedOn w:val="DefaultParagraphFont"/>
    <w:link w:val="HTMLPreformatted"/>
    <w:semiHidden/>
    <w:rsid w:val="00BD06F7"/>
    <w:rPr>
      <w:rFonts w:ascii="Consolas" w:hAnsi="Consolas" w:cs="Consolas"/>
    </w:rPr>
  </w:style>
  <w:style w:type="character" w:styleId="HTMLSample">
    <w:name w:val="HTML Sample"/>
    <w:basedOn w:val="DefaultParagraphFont"/>
    <w:semiHidden/>
    <w:locked/>
    <w:rsid w:val="00BD06F7"/>
    <w:rPr>
      <w:rFonts w:ascii="Consolas" w:hAnsi="Consolas" w:cs="Consolas"/>
      <w:sz w:val="24"/>
      <w:szCs w:val="24"/>
    </w:rPr>
  </w:style>
  <w:style w:type="character" w:styleId="HTMLTypewriter">
    <w:name w:val="HTML Typewriter"/>
    <w:basedOn w:val="DefaultParagraphFont"/>
    <w:semiHidden/>
    <w:locked/>
    <w:rsid w:val="00BD06F7"/>
    <w:rPr>
      <w:rFonts w:ascii="Consolas" w:hAnsi="Consolas" w:cs="Consolas"/>
      <w:sz w:val="20"/>
      <w:szCs w:val="20"/>
    </w:rPr>
  </w:style>
  <w:style w:type="character" w:styleId="HTMLVariable">
    <w:name w:val="HTML Variable"/>
    <w:basedOn w:val="DefaultParagraphFont"/>
    <w:semiHidden/>
    <w:locked/>
    <w:rsid w:val="00BD06F7"/>
    <w:rPr>
      <w:i/>
      <w:iCs/>
    </w:rPr>
  </w:style>
  <w:style w:type="paragraph" w:styleId="Index1">
    <w:name w:val="index 1"/>
    <w:basedOn w:val="Normal"/>
    <w:next w:val="Normal"/>
    <w:autoRedefine/>
    <w:semiHidden/>
    <w:locked/>
    <w:rsid w:val="00BD06F7"/>
    <w:pPr>
      <w:ind w:left="200" w:hanging="200"/>
    </w:pPr>
  </w:style>
  <w:style w:type="paragraph" w:styleId="Index2">
    <w:name w:val="index 2"/>
    <w:basedOn w:val="Normal"/>
    <w:next w:val="Normal"/>
    <w:autoRedefine/>
    <w:semiHidden/>
    <w:locked/>
    <w:rsid w:val="00BD06F7"/>
    <w:pPr>
      <w:ind w:left="400" w:hanging="200"/>
    </w:pPr>
  </w:style>
  <w:style w:type="paragraph" w:styleId="Index3">
    <w:name w:val="index 3"/>
    <w:basedOn w:val="Normal"/>
    <w:next w:val="Normal"/>
    <w:autoRedefine/>
    <w:semiHidden/>
    <w:locked/>
    <w:rsid w:val="00BD06F7"/>
    <w:pPr>
      <w:ind w:left="600" w:hanging="200"/>
    </w:pPr>
  </w:style>
  <w:style w:type="paragraph" w:styleId="Index4">
    <w:name w:val="index 4"/>
    <w:basedOn w:val="Normal"/>
    <w:next w:val="Normal"/>
    <w:autoRedefine/>
    <w:semiHidden/>
    <w:locked/>
    <w:rsid w:val="00BD06F7"/>
    <w:pPr>
      <w:ind w:left="800" w:hanging="200"/>
    </w:pPr>
  </w:style>
  <w:style w:type="paragraph" w:styleId="Index5">
    <w:name w:val="index 5"/>
    <w:basedOn w:val="Normal"/>
    <w:next w:val="Normal"/>
    <w:autoRedefine/>
    <w:semiHidden/>
    <w:locked/>
    <w:rsid w:val="00BD06F7"/>
    <w:pPr>
      <w:ind w:left="1000" w:hanging="200"/>
    </w:pPr>
  </w:style>
  <w:style w:type="paragraph" w:styleId="Index6">
    <w:name w:val="index 6"/>
    <w:basedOn w:val="Normal"/>
    <w:next w:val="Normal"/>
    <w:autoRedefine/>
    <w:semiHidden/>
    <w:locked/>
    <w:rsid w:val="00BD06F7"/>
    <w:pPr>
      <w:ind w:left="1200" w:hanging="200"/>
    </w:pPr>
  </w:style>
  <w:style w:type="paragraph" w:styleId="Index7">
    <w:name w:val="index 7"/>
    <w:basedOn w:val="Normal"/>
    <w:next w:val="Normal"/>
    <w:autoRedefine/>
    <w:semiHidden/>
    <w:locked/>
    <w:rsid w:val="00BD06F7"/>
    <w:pPr>
      <w:ind w:left="1400" w:hanging="200"/>
    </w:pPr>
  </w:style>
  <w:style w:type="paragraph" w:styleId="Index8">
    <w:name w:val="index 8"/>
    <w:basedOn w:val="Normal"/>
    <w:next w:val="Normal"/>
    <w:autoRedefine/>
    <w:semiHidden/>
    <w:locked/>
    <w:rsid w:val="00BD06F7"/>
    <w:pPr>
      <w:ind w:left="1600" w:hanging="200"/>
    </w:pPr>
  </w:style>
  <w:style w:type="paragraph" w:styleId="Index9">
    <w:name w:val="index 9"/>
    <w:basedOn w:val="Normal"/>
    <w:next w:val="Normal"/>
    <w:autoRedefine/>
    <w:semiHidden/>
    <w:locked/>
    <w:rsid w:val="00BD06F7"/>
    <w:pPr>
      <w:ind w:left="1800" w:hanging="200"/>
    </w:pPr>
  </w:style>
  <w:style w:type="paragraph" w:styleId="IndexHeading">
    <w:name w:val="index heading"/>
    <w:basedOn w:val="Normal"/>
    <w:next w:val="Index1"/>
    <w:semiHidden/>
    <w:locked/>
    <w:rsid w:val="00BD06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34EA6"/>
    <w:rPr>
      <w:b/>
      <w:bCs/>
      <w:i/>
      <w:iCs/>
      <w:color w:val="4F81BD" w:themeColor="accent1"/>
    </w:rPr>
  </w:style>
  <w:style w:type="paragraph" w:styleId="IntenseQuote">
    <w:name w:val="Intense Quote"/>
    <w:basedOn w:val="Normal"/>
    <w:next w:val="Normal"/>
    <w:link w:val="IntenseQuoteChar"/>
    <w:uiPriority w:val="30"/>
    <w:semiHidden/>
    <w:qFormat/>
    <w:rsid w:val="00F34E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D06F7"/>
    <w:rPr>
      <w:rFonts w:ascii="Arial" w:hAnsi="Arial"/>
      <w:b/>
      <w:bCs/>
      <w:i/>
      <w:iCs/>
      <w:color w:val="4F81BD" w:themeColor="accent1"/>
      <w:szCs w:val="24"/>
    </w:rPr>
  </w:style>
  <w:style w:type="character" w:styleId="IntenseReference">
    <w:name w:val="Intense Reference"/>
    <w:basedOn w:val="DefaultParagraphFont"/>
    <w:uiPriority w:val="32"/>
    <w:semiHidden/>
    <w:qFormat/>
    <w:rsid w:val="00F34EA6"/>
    <w:rPr>
      <w:b/>
      <w:bCs/>
      <w:smallCaps/>
      <w:color w:val="C0504D" w:themeColor="accent2"/>
      <w:spacing w:val="5"/>
      <w:u w:val="single"/>
    </w:rPr>
  </w:style>
  <w:style w:type="table" w:styleId="LightGrid">
    <w:name w:val="Light Grid"/>
    <w:basedOn w:val="TableNormal"/>
    <w:uiPriority w:val="62"/>
    <w:semiHidden/>
    <w:rsid w:val="00F34E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34E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34E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34E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34E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34E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34E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34E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34E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34E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34E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34E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34E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34E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34E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34E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34E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34E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34E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34E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34E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D06F7"/>
  </w:style>
  <w:style w:type="paragraph" w:styleId="List">
    <w:name w:val="List"/>
    <w:basedOn w:val="Normal"/>
    <w:semiHidden/>
    <w:locked/>
    <w:rsid w:val="00BD06F7"/>
    <w:pPr>
      <w:ind w:left="283" w:hanging="283"/>
      <w:contextualSpacing/>
    </w:pPr>
  </w:style>
  <w:style w:type="paragraph" w:styleId="List2">
    <w:name w:val="List 2"/>
    <w:basedOn w:val="Normal"/>
    <w:semiHidden/>
    <w:locked/>
    <w:rsid w:val="00BD06F7"/>
    <w:pPr>
      <w:ind w:left="566" w:hanging="283"/>
      <w:contextualSpacing/>
    </w:pPr>
  </w:style>
  <w:style w:type="paragraph" w:styleId="List3">
    <w:name w:val="List 3"/>
    <w:basedOn w:val="Normal"/>
    <w:semiHidden/>
    <w:locked/>
    <w:rsid w:val="00BD06F7"/>
    <w:pPr>
      <w:ind w:left="849" w:hanging="283"/>
      <w:contextualSpacing/>
    </w:pPr>
  </w:style>
  <w:style w:type="paragraph" w:styleId="List4">
    <w:name w:val="List 4"/>
    <w:basedOn w:val="Normal"/>
    <w:semiHidden/>
    <w:locked/>
    <w:rsid w:val="00BD06F7"/>
    <w:pPr>
      <w:ind w:left="1132" w:hanging="283"/>
      <w:contextualSpacing/>
    </w:pPr>
  </w:style>
  <w:style w:type="paragraph" w:styleId="List5">
    <w:name w:val="List 5"/>
    <w:basedOn w:val="Normal"/>
    <w:semiHidden/>
    <w:locked/>
    <w:rsid w:val="00BD06F7"/>
    <w:pPr>
      <w:ind w:left="1415" w:hanging="283"/>
      <w:contextualSpacing/>
    </w:pPr>
  </w:style>
  <w:style w:type="paragraph" w:styleId="ListBullet">
    <w:name w:val="List Bullet"/>
    <w:basedOn w:val="Normal"/>
    <w:semiHidden/>
    <w:locked/>
    <w:rsid w:val="00BD06F7"/>
    <w:pPr>
      <w:numPr>
        <w:numId w:val="15"/>
      </w:numPr>
      <w:contextualSpacing/>
    </w:pPr>
  </w:style>
  <w:style w:type="paragraph" w:styleId="ListBullet2">
    <w:name w:val="List Bullet 2"/>
    <w:basedOn w:val="Normal"/>
    <w:semiHidden/>
    <w:locked/>
    <w:rsid w:val="00BD06F7"/>
    <w:pPr>
      <w:numPr>
        <w:numId w:val="16"/>
      </w:numPr>
      <w:contextualSpacing/>
    </w:pPr>
  </w:style>
  <w:style w:type="paragraph" w:styleId="ListBullet3">
    <w:name w:val="List Bullet 3"/>
    <w:basedOn w:val="Normal"/>
    <w:semiHidden/>
    <w:locked/>
    <w:rsid w:val="00BD06F7"/>
    <w:pPr>
      <w:numPr>
        <w:numId w:val="17"/>
      </w:numPr>
      <w:contextualSpacing/>
    </w:pPr>
  </w:style>
  <w:style w:type="paragraph" w:styleId="ListBullet4">
    <w:name w:val="List Bullet 4"/>
    <w:basedOn w:val="Normal"/>
    <w:semiHidden/>
    <w:locked/>
    <w:rsid w:val="00BD06F7"/>
    <w:pPr>
      <w:numPr>
        <w:numId w:val="18"/>
      </w:numPr>
      <w:contextualSpacing/>
    </w:pPr>
  </w:style>
  <w:style w:type="paragraph" w:styleId="ListBullet5">
    <w:name w:val="List Bullet 5"/>
    <w:basedOn w:val="Normal"/>
    <w:semiHidden/>
    <w:locked/>
    <w:rsid w:val="00BD06F7"/>
    <w:pPr>
      <w:numPr>
        <w:numId w:val="19"/>
      </w:numPr>
      <w:contextualSpacing/>
    </w:pPr>
  </w:style>
  <w:style w:type="paragraph" w:styleId="ListContinue">
    <w:name w:val="List Continue"/>
    <w:basedOn w:val="Normal"/>
    <w:semiHidden/>
    <w:locked/>
    <w:rsid w:val="00BD06F7"/>
    <w:pPr>
      <w:spacing w:after="120"/>
      <w:ind w:left="283"/>
      <w:contextualSpacing/>
    </w:pPr>
  </w:style>
  <w:style w:type="paragraph" w:styleId="ListContinue2">
    <w:name w:val="List Continue 2"/>
    <w:basedOn w:val="Normal"/>
    <w:semiHidden/>
    <w:locked/>
    <w:rsid w:val="00BD06F7"/>
    <w:pPr>
      <w:spacing w:after="120"/>
      <w:ind w:left="566"/>
      <w:contextualSpacing/>
    </w:pPr>
  </w:style>
  <w:style w:type="paragraph" w:styleId="ListContinue3">
    <w:name w:val="List Continue 3"/>
    <w:basedOn w:val="Normal"/>
    <w:semiHidden/>
    <w:locked/>
    <w:rsid w:val="00BD06F7"/>
    <w:pPr>
      <w:spacing w:after="120"/>
      <w:ind w:left="849"/>
      <w:contextualSpacing/>
    </w:pPr>
  </w:style>
  <w:style w:type="paragraph" w:styleId="ListContinue4">
    <w:name w:val="List Continue 4"/>
    <w:basedOn w:val="Normal"/>
    <w:semiHidden/>
    <w:locked/>
    <w:rsid w:val="00BD06F7"/>
    <w:pPr>
      <w:spacing w:after="120"/>
      <w:ind w:left="1132"/>
      <w:contextualSpacing/>
    </w:pPr>
  </w:style>
  <w:style w:type="paragraph" w:styleId="ListContinue5">
    <w:name w:val="List Continue 5"/>
    <w:basedOn w:val="Normal"/>
    <w:semiHidden/>
    <w:locked/>
    <w:rsid w:val="00BD06F7"/>
    <w:pPr>
      <w:spacing w:after="120"/>
      <w:ind w:left="1415"/>
      <w:contextualSpacing/>
    </w:pPr>
  </w:style>
  <w:style w:type="paragraph" w:styleId="ListNumber">
    <w:name w:val="List Number"/>
    <w:basedOn w:val="Normal"/>
    <w:semiHidden/>
    <w:locked/>
    <w:rsid w:val="00BD06F7"/>
    <w:pPr>
      <w:numPr>
        <w:numId w:val="20"/>
      </w:numPr>
      <w:contextualSpacing/>
    </w:pPr>
  </w:style>
  <w:style w:type="paragraph" w:styleId="ListNumber2">
    <w:name w:val="List Number 2"/>
    <w:basedOn w:val="Normal"/>
    <w:semiHidden/>
    <w:locked/>
    <w:rsid w:val="00BD06F7"/>
    <w:pPr>
      <w:numPr>
        <w:numId w:val="21"/>
      </w:numPr>
      <w:contextualSpacing/>
    </w:pPr>
  </w:style>
  <w:style w:type="paragraph" w:styleId="ListNumber3">
    <w:name w:val="List Number 3"/>
    <w:basedOn w:val="Normal"/>
    <w:semiHidden/>
    <w:locked/>
    <w:rsid w:val="00BD06F7"/>
    <w:pPr>
      <w:numPr>
        <w:numId w:val="22"/>
      </w:numPr>
      <w:contextualSpacing/>
    </w:pPr>
  </w:style>
  <w:style w:type="paragraph" w:styleId="ListNumber4">
    <w:name w:val="List Number 4"/>
    <w:basedOn w:val="Normal"/>
    <w:semiHidden/>
    <w:locked/>
    <w:rsid w:val="00BD06F7"/>
    <w:pPr>
      <w:numPr>
        <w:numId w:val="23"/>
      </w:numPr>
      <w:contextualSpacing/>
    </w:pPr>
  </w:style>
  <w:style w:type="paragraph" w:styleId="ListNumber5">
    <w:name w:val="List Number 5"/>
    <w:basedOn w:val="Normal"/>
    <w:semiHidden/>
    <w:locked/>
    <w:rsid w:val="00BD06F7"/>
    <w:pPr>
      <w:numPr>
        <w:numId w:val="24"/>
      </w:numPr>
      <w:contextualSpacing/>
    </w:pPr>
  </w:style>
  <w:style w:type="paragraph" w:styleId="MacroText">
    <w:name w:val="macro"/>
    <w:link w:val="MacroTextChar"/>
    <w:semiHidden/>
    <w:locked/>
    <w:rsid w:val="00BD06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D06F7"/>
    <w:rPr>
      <w:rFonts w:ascii="Consolas" w:hAnsi="Consolas" w:cs="Consolas"/>
    </w:rPr>
  </w:style>
  <w:style w:type="table" w:styleId="MediumGrid1">
    <w:name w:val="Medium Grid 1"/>
    <w:basedOn w:val="TableNormal"/>
    <w:uiPriority w:val="67"/>
    <w:semiHidden/>
    <w:rsid w:val="00F34E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34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34E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34E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34E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34E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34E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3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34E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34E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34E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34E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34E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34E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34E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34E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34E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34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34E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34E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34E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34E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34E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3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D06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D06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34EA6"/>
    <w:rPr>
      <w:rFonts w:ascii="Arial" w:hAnsi="Arial"/>
      <w:szCs w:val="24"/>
    </w:rPr>
  </w:style>
  <w:style w:type="paragraph" w:styleId="NormalWeb">
    <w:name w:val="Normal (Web)"/>
    <w:basedOn w:val="Normal"/>
    <w:semiHidden/>
    <w:locked/>
    <w:rsid w:val="00BD06F7"/>
    <w:rPr>
      <w:rFonts w:ascii="Times New Roman" w:hAnsi="Times New Roman"/>
      <w:sz w:val="24"/>
    </w:rPr>
  </w:style>
  <w:style w:type="paragraph" w:styleId="NormalIndent">
    <w:name w:val="Normal Indent"/>
    <w:basedOn w:val="Normal"/>
    <w:semiHidden/>
    <w:locked/>
    <w:rsid w:val="00BD06F7"/>
    <w:pPr>
      <w:ind w:left="720"/>
    </w:pPr>
  </w:style>
  <w:style w:type="paragraph" w:styleId="NoteHeading">
    <w:name w:val="Note Heading"/>
    <w:basedOn w:val="Normal"/>
    <w:next w:val="Normal"/>
    <w:link w:val="NoteHeadingChar"/>
    <w:semiHidden/>
    <w:locked/>
    <w:rsid w:val="00BD06F7"/>
  </w:style>
  <w:style w:type="character" w:customStyle="1" w:styleId="NoteHeadingChar">
    <w:name w:val="Note Heading Char"/>
    <w:basedOn w:val="DefaultParagraphFont"/>
    <w:link w:val="NoteHeading"/>
    <w:semiHidden/>
    <w:rsid w:val="00BD06F7"/>
    <w:rPr>
      <w:rFonts w:ascii="Arial" w:hAnsi="Arial"/>
      <w:szCs w:val="24"/>
    </w:rPr>
  </w:style>
  <w:style w:type="character" w:styleId="PageNumber">
    <w:name w:val="page number"/>
    <w:basedOn w:val="DefaultParagraphFont"/>
    <w:semiHidden/>
    <w:locked/>
    <w:rsid w:val="00BD06F7"/>
  </w:style>
  <w:style w:type="character" w:styleId="PlaceholderText">
    <w:name w:val="Placeholder Text"/>
    <w:basedOn w:val="DefaultParagraphFont"/>
    <w:uiPriority w:val="99"/>
    <w:semiHidden/>
    <w:rsid w:val="00F34EA6"/>
    <w:rPr>
      <w:color w:val="808080"/>
    </w:rPr>
  </w:style>
  <w:style w:type="paragraph" w:styleId="PlainText">
    <w:name w:val="Plain Text"/>
    <w:basedOn w:val="Normal"/>
    <w:link w:val="PlainTextChar"/>
    <w:semiHidden/>
    <w:locked/>
    <w:rsid w:val="00BD06F7"/>
    <w:rPr>
      <w:rFonts w:ascii="Consolas" w:hAnsi="Consolas" w:cs="Consolas"/>
      <w:sz w:val="21"/>
      <w:szCs w:val="21"/>
    </w:rPr>
  </w:style>
  <w:style w:type="character" w:customStyle="1" w:styleId="PlainTextChar">
    <w:name w:val="Plain Text Char"/>
    <w:basedOn w:val="DefaultParagraphFont"/>
    <w:link w:val="PlainText"/>
    <w:semiHidden/>
    <w:rsid w:val="00BD06F7"/>
    <w:rPr>
      <w:rFonts w:ascii="Consolas" w:hAnsi="Consolas" w:cs="Consolas"/>
      <w:sz w:val="21"/>
      <w:szCs w:val="21"/>
    </w:rPr>
  </w:style>
  <w:style w:type="paragraph" w:styleId="Quote">
    <w:name w:val="Quote"/>
    <w:basedOn w:val="Normal"/>
    <w:next w:val="Normal"/>
    <w:link w:val="QuoteChar"/>
    <w:uiPriority w:val="29"/>
    <w:semiHidden/>
    <w:qFormat/>
    <w:rsid w:val="00F34EA6"/>
    <w:rPr>
      <w:i/>
      <w:iCs/>
      <w:color w:val="000000" w:themeColor="text1"/>
    </w:rPr>
  </w:style>
  <w:style w:type="character" w:customStyle="1" w:styleId="QuoteChar">
    <w:name w:val="Quote Char"/>
    <w:basedOn w:val="DefaultParagraphFont"/>
    <w:link w:val="Quote"/>
    <w:uiPriority w:val="29"/>
    <w:semiHidden/>
    <w:rsid w:val="00BD06F7"/>
    <w:rPr>
      <w:rFonts w:ascii="Arial" w:hAnsi="Arial"/>
      <w:i/>
      <w:iCs/>
      <w:color w:val="000000" w:themeColor="text1"/>
      <w:szCs w:val="24"/>
    </w:rPr>
  </w:style>
  <w:style w:type="paragraph" w:styleId="Salutation">
    <w:name w:val="Salutation"/>
    <w:basedOn w:val="Normal"/>
    <w:next w:val="Normal"/>
    <w:link w:val="SalutationChar"/>
    <w:semiHidden/>
    <w:locked/>
    <w:rsid w:val="00BD06F7"/>
  </w:style>
  <w:style w:type="character" w:customStyle="1" w:styleId="SalutationChar">
    <w:name w:val="Salutation Char"/>
    <w:basedOn w:val="DefaultParagraphFont"/>
    <w:link w:val="Salutation"/>
    <w:semiHidden/>
    <w:rsid w:val="00BD06F7"/>
    <w:rPr>
      <w:rFonts w:ascii="Arial" w:hAnsi="Arial"/>
      <w:szCs w:val="24"/>
    </w:rPr>
  </w:style>
  <w:style w:type="paragraph" w:styleId="Signature">
    <w:name w:val="Signature"/>
    <w:basedOn w:val="Normal"/>
    <w:link w:val="SignatureChar"/>
    <w:semiHidden/>
    <w:locked/>
    <w:rsid w:val="00BD06F7"/>
    <w:pPr>
      <w:ind w:left="4252"/>
    </w:pPr>
  </w:style>
  <w:style w:type="character" w:customStyle="1" w:styleId="SignatureChar">
    <w:name w:val="Signature Char"/>
    <w:basedOn w:val="DefaultParagraphFont"/>
    <w:link w:val="Signature"/>
    <w:semiHidden/>
    <w:rsid w:val="00BD06F7"/>
    <w:rPr>
      <w:rFonts w:ascii="Arial" w:hAnsi="Arial"/>
      <w:szCs w:val="24"/>
    </w:rPr>
  </w:style>
  <w:style w:type="character" w:styleId="Strong">
    <w:name w:val="Strong"/>
    <w:basedOn w:val="DefaultParagraphFont"/>
    <w:semiHidden/>
    <w:qFormat/>
    <w:locked/>
    <w:rsid w:val="00BD06F7"/>
    <w:rPr>
      <w:b/>
      <w:bCs/>
    </w:rPr>
  </w:style>
  <w:style w:type="paragraph" w:styleId="Subtitle">
    <w:name w:val="Subtitle"/>
    <w:basedOn w:val="Normal"/>
    <w:next w:val="Normal"/>
    <w:link w:val="SubtitleChar"/>
    <w:semiHidden/>
    <w:qFormat/>
    <w:locked/>
    <w:rsid w:val="00BD06F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D06F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34EA6"/>
    <w:rPr>
      <w:i/>
      <w:iCs/>
      <w:color w:val="808080" w:themeColor="text1" w:themeTint="7F"/>
    </w:rPr>
  </w:style>
  <w:style w:type="character" w:styleId="SubtleReference">
    <w:name w:val="Subtle Reference"/>
    <w:basedOn w:val="DefaultParagraphFont"/>
    <w:uiPriority w:val="31"/>
    <w:semiHidden/>
    <w:qFormat/>
    <w:rsid w:val="00F34EA6"/>
    <w:rPr>
      <w:smallCaps/>
      <w:color w:val="C0504D" w:themeColor="accent2"/>
      <w:u w:val="single"/>
    </w:rPr>
  </w:style>
  <w:style w:type="table" w:styleId="Table3Deffects1">
    <w:name w:val="Table 3D effects 1"/>
    <w:basedOn w:val="TableNormal"/>
    <w:semiHidden/>
    <w:locked/>
    <w:rsid w:val="00BD06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D06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D06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D06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D06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D06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D06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D06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D06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D06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D06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D06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D06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D06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D06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D06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D06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D06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D06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D06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D06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D06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D06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D06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D06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D06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D06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D06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D06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D06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D06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D06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D06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D06F7"/>
    <w:pPr>
      <w:ind w:left="200" w:hanging="200"/>
    </w:pPr>
  </w:style>
  <w:style w:type="paragraph" w:styleId="TableofFigures">
    <w:name w:val="table of figures"/>
    <w:basedOn w:val="Normal"/>
    <w:next w:val="Normal"/>
    <w:semiHidden/>
    <w:locked/>
    <w:rsid w:val="00BD06F7"/>
  </w:style>
  <w:style w:type="table" w:styleId="TableProfessional">
    <w:name w:val="Table Professional"/>
    <w:basedOn w:val="TableNormal"/>
    <w:semiHidden/>
    <w:locked/>
    <w:rsid w:val="00BD06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D06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D06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D06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D06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D06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D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D06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D06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D06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D06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D06F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D06F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D06F7"/>
    <w:pPr>
      <w:spacing w:after="100"/>
    </w:pPr>
  </w:style>
  <w:style w:type="paragraph" w:styleId="TOC2">
    <w:name w:val="toc 2"/>
    <w:basedOn w:val="Normal"/>
    <w:next w:val="Normal"/>
    <w:autoRedefine/>
    <w:semiHidden/>
    <w:locked/>
    <w:rsid w:val="00BD06F7"/>
    <w:pPr>
      <w:spacing w:after="100"/>
      <w:ind w:left="200"/>
    </w:pPr>
  </w:style>
  <w:style w:type="paragraph" w:styleId="TOC3">
    <w:name w:val="toc 3"/>
    <w:basedOn w:val="Normal"/>
    <w:next w:val="Normal"/>
    <w:autoRedefine/>
    <w:semiHidden/>
    <w:locked/>
    <w:rsid w:val="00BD06F7"/>
    <w:pPr>
      <w:spacing w:after="100"/>
      <w:ind w:left="400"/>
    </w:pPr>
  </w:style>
  <w:style w:type="paragraph" w:styleId="TOC4">
    <w:name w:val="toc 4"/>
    <w:basedOn w:val="Normal"/>
    <w:next w:val="Normal"/>
    <w:autoRedefine/>
    <w:semiHidden/>
    <w:locked/>
    <w:rsid w:val="00BD06F7"/>
    <w:pPr>
      <w:spacing w:after="100"/>
      <w:ind w:left="600"/>
    </w:pPr>
  </w:style>
  <w:style w:type="paragraph" w:styleId="TOC5">
    <w:name w:val="toc 5"/>
    <w:basedOn w:val="Normal"/>
    <w:next w:val="Normal"/>
    <w:autoRedefine/>
    <w:semiHidden/>
    <w:locked/>
    <w:rsid w:val="00BD06F7"/>
    <w:pPr>
      <w:spacing w:after="100"/>
      <w:ind w:left="800"/>
    </w:pPr>
  </w:style>
  <w:style w:type="paragraph" w:styleId="TOC6">
    <w:name w:val="toc 6"/>
    <w:basedOn w:val="Normal"/>
    <w:next w:val="Normal"/>
    <w:autoRedefine/>
    <w:semiHidden/>
    <w:locked/>
    <w:rsid w:val="00BD06F7"/>
    <w:pPr>
      <w:spacing w:after="100"/>
      <w:ind w:left="1000"/>
    </w:pPr>
  </w:style>
  <w:style w:type="paragraph" w:styleId="TOC7">
    <w:name w:val="toc 7"/>
    <w:basedOn w:val="Normal"/>
    <w:next w:val="Normal"/>
    <w:autoRedefine/>
    <w:semiHidden/>
    <w:locked/>
    <w:rsid w:val="00BD06F7"/>
    <w:pPr>
      <w:spacing w:after="100"/>
      <w:ind w:left="1200"/>
    </w:pPr>
  </w:style>
  <w:style w:type="paragraph" w:styleId="TOC8">
    <w:name w:val="toc 8"/>
    <w:basedOn w:val="Normal"/>
    <w:next w:val="Normal"/>
    <w:autoRedefine/>
    <w:semiHidden/>
    <w:locked/>
    <w:rsid w:val="00BD06F7"/>
    <w:pPr>
      <w:spacing w:after="100"/>
      <w:ind w:left="1400"/>
    </w:pPr>
  </w:style>
  <w:style w:type="paragraph" w:styleId="TOC9">
    <w:name w:val="toc 9"/>
    <w:basedOn w:val="Normal"/>
    <w:next w:val="Normal"/>
    <w:autoRedefine/>
    <w:semiHidden/>
    <w:locked/>
    <w:rsid w:val="00BD06F7"/>
    <w:pPr>
      <w:spacing w:after="100"/>
      <w:ind w:left="1600"/>
    </w:pPr>
  </w:style>
  <w:style w:type="paragraph" w:styleId="TOCHeading">
    <w:name w:val="TOC Heading"/>
    <w:basedOn w:val="Heading1"/>
    <w:next w:val="Normal"/>
    <w:uiPriority w:val="39"/>
    <w:semiHidden/>
    <w:unhideWhenUsed/>
    <w:qFormat/>
    <w:rsid w:val="00F34E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34E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34EA6"/>
    <w:rPr>
      <w:i/>
    </w:rPr>
  </w:style>
  <w:style w:type="character" w:customStyle="1" w:styleId="QPPTableTextITALICChar">
    <w:name w:val="QPP Table Text ITALIC Char"/>
    <w:basedOn w:val="QPPTableTextBodyChar"/>
    <w:link w:val="QPPTableTextITALIC"/>
    <w:rsid w:val="00BD06F7"/>
    <w:rPr>
      <w:rFonts w:ascii="Arial" w:hAnsi="Arial" w:cs="Arial"/>
      <w:i/>
      <w:color w:val="000000"/>
    </w:rPr>
  </w:style>
  <w:style w:type="table" w:customStyle="1" w:styleId="QPPTableGrid">
    <w:name w:val="QPP Table Grid"/>
    <w:basedOn w:val="TableNormal"/>
    <w:uiPriority w:val="99"/>
    <w:rsid w:val="00F34E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942602"/>
    <w:rPr>
      <w:color w:val="808080"/>
      <w:shd w:val="clear" w:color="auto" w:fill="E6E6E6"/>
    </w:rPr>
  </w:style>
  <w:style w:type="character" w:styleId="UnresolvedMention">
    <w:name w:val="Unresolved Mention"/>
    <w:basedOn w:val="DefaultParagraphFont"/>
    <w:uiPriority w:val="99"/>
    <w:semiHidden/>
    <w:unhideWhenUsed/>
    <w:rsid w:val="00DE74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AD3D80-1896-4D2B-AAE6-BC3E0244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223</TotalTime>
  <Pages>6</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22105</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Daniel Pirie</dc:creator>
  <cp:lastModifiedBy>Alisha Pettit</cp:lastModifiedBy>
  <cp:revision>36</cp:revision>
  <cp:lastPrinted>2012-11-28T04:19:00Z</cp:lastPrinted>
  <dcterms:created xsi:type="dcterms:W3CDTF">2018-06-12T06:32:00Z</dcterms:created>
  <dcterms:modified xsi:type="dcterms:W3CDTF">2018-11-16T06:19:00Z</dcterms:modified>
</cp:coreProperties>
</file>