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A77F5" w14:textId="77777777" w:rsidR="00813016" w:rsidRPr="009F3652" w:rsidRDefault="00813016" w:rsidP="00725E70">
      <w:pPr>
        <w:pStyle w:val="QPPHeading4"/>
      </w:pPr>
      <w:bookmarkStart w:id="0" w:name="_GoBack"/>
      <w:bookmarkEnd w:id="0"/>
      <w:r w:rsidRPr="009F3652">
        <w:t>7.2.</w:t>
      </w:r>
      <w:r w:rsidR="00316CBA">
        <w:t>19.5</w:t>
      </w:r>
      <w:r w:rsidRPr="009F3652">
        <w:t xml:space="preserve"> Spring Hill neighbourhood plan</w:t>
      </w:r>
      <w:r w:rsidR="00CB475E" w:rsidRPr="009F3652">
        <w:t xml:space="preserve"> code</w:t>
      </w:r>
    </w:p>
    <w:p w14:paraId="1D08E073" w14:textId="77777777" w:rsidR="00813016" w:rsidRPr="009F3652" w:rsidRDefault="00813016" w:rsidP="00725E70">
      <w:pPr>
        <w:pStyle w:val="QPPHeading4"/>
      </w:pPr>
      <w:r w:rsidRPr="009F3652">
        <w:t>7.2.1</w:t>
      </w:r>
      <w:r w:rsidR="00316CBA">
        <w:t>9.5</w:t>
      </w:r>
      <w:r w:rsidRPr="009F3652">
        <w:t>.1 Application</w:t>
      </w:r>
    </w:p>
    <w:p w14:paraId="78976BB9" w14:textId="4F75FCF1" w:rsidR="00813016" w:rsidRPr="009F3652" w:rsidRDefault="00813016" w:rsidP="00813016">
      <w:pPr>
        <w:pStyle w:val="QPPBulletPoint1"/>
      </w:pPr>
      <w:r w:rsidRPr="009F3652">
        <w:t xml:space="preserve">This code applies to assessing a material change of use, reconfiguring a lot, operational work or building work in the </w:t>
      </w:r>
      <w:r w:rsidRPr="00FA513A">
        <w:t>Spring Hill neighbourhood plan area</w:t>
      </w:r>
      <w:r w:rsidRPr="009F3652">
        <w:t xml:space="preserve"> if:</w:t>
      </w:r>
    </w:p>
    <w:p w14:paraId="640C9124" w14:textId="466BE067" w:rsidR="00813016" w:rsidRPr="009F3652" w:rsidRDefault="00813016" w:rsidP="00567EFF">
      <w:pPr>
        <w:pStyle w:val="QPPBulletpoint2"/>
      </w:pPr>
      <w:r w:rsidRPr="009F3652">
        <w:t xml:space="preserve">assessable development where this code is an applicable code identified in the assessment </w:t>
      </w:r>
      <w:r w:rsidR="0028017D">
        <w:t>benchmarks</w:t>
      </w:r>
      <w:r w:rsidR="0028017D" w:rsidRPr="009F3652">
        <w:t xml:space="preserve"> </w:t>
      </w:r>
      <w:r w:rsidRPr="009F3652">
        <w:t xml:space="preserve">column of a table of assessment for </w:t>
      </w:r>
      <w:r w:rsidR="002972E9">
        <w:t xml:space="preserve">a </w:t>
      </w:r>
      <w:r w:rsidRPr="009F3652">
        <w:t>neighbourhood plan (</w:t>
      </w:r>
      <w:r w:rsidR="003158C3" w:rsidRPr="00FA513A">
        <w:t>section 5.</w:t>
      </w:r>
      <w:r w:rsidR="00E84444" w:rsidRPr="00FA513A">
        <w:t>9</w:t>
      </w:r>
      <w:r w:rsidRPr="009F3652">
        <w:t>);</w:t>
      </w:r>
      <w:r w:rsidR="00A71152">
        <w:t xml:space="preserve"> </w:t>
      </w:r>
      <w:r w:rsidR="006D47C8">
        <w:t>or</w:t>
      </w:r>
    </w:p>
    <w:p w14:paraId="5128F283" w14:textId="77777777" w:rsidR="00813016" w:rsidRPr="009F3652" w:rsidRDefault="003E532A" w:rsidP="00813016">
      <w:pPr>
        <w:pStyle w:val="QPPBulletpoint2"/>
      </w:pPr>
      <w:r>
        <w:t>impact assessable development.</w:t>
      </w:r>
    </w:p>
    <w:p w14:paraId="2AEC5CAA" w14:textId="33EA75CF" w:rsidR="00813016" w:rsidRPr="009F3652" w:rsidRDefault="00813016" w:rsidP="00813016">
      <w:pPr>
        <w:pStyle w:val="QPPBulletPoint1"/>
      </w:pPr>
      <w:r w:rsidRPr="009F3652">
        <w:t xml:space="preserve">Land within the Spring Hill neighbourhood plan area is identified on the </w:t>
      </w:r>
      <w:r w:rsidR="00221E92" w:rsidRPr="00FA513A">
        <w:t>NPM-019.5 Spring Hill neighbourhood plan map</w:t>
      </w:r>
      <w:r w:rsidRPr="009F3652">
        <w:t xml:space="preserve"> and includes the following precincts:</w:t>
      </w:r>
    </w:p>
    <w:p w14:paraId="48ABADC4" w14:textId="20F44F4F" w:rsidR="00813016" w:rsidRPr="009F3652" w:rsidRDefault="004910A7" w:rsidP="00C5003E">
      <w:pPr>
        <w:pStyle w:val="QPPBulletpoint2"/>
        <w:numPr>
          <w:ilvl w:val="0"/>
          <w:numId w:val="38"/>
        </w:numPr>
      </w:pPr>
      <w:r>
        <w:t>City Centre expansion</w:t>
      </w:r>
      <w:r w:rsidR="00813016" w:rsidRPr="009F3652">
        <w:t xml:space="preserve"> precinct (</w:t>
      </w:r>
      <w:r w:rsidR="00813016" w:rsidRPr="00FA513A">
        <w:t>Spring Hill neighbourhood plan</w:t>
      </w:r>
      <w:r w:rsidR="00813016" w:rsidRPr="009F3652">
        <w:t>/NPP-001);</w:t>
      </w:r>
    </w:p>
    <w:p w14:paraId="7D360108" w14:textId="4BDA3CC1" w:rsidR="00813016" w:rsidRPr="009F3652" w:rsidRDefault="004910A7" w:rsidP="00AF5B96">
      <w:pPr>
        <w:pStyle w:val="QPPBulletpoint2"/>
      </w:pPr>
      <w:r>
        <w:t>Spring Hill mixed use</w:t>
      </w:r>
      <w:r w:rsidR="00813016" w:rsidRPr="009F3652">
        <w:t xml:space="preserve"> precinct (</w:t>
      </w:r>
      <w:r w:rsidR="00813016" w:rsidRPr="00FA513A">
        <w:t>Spring Hill neighbourhood plan</w:t>
      </w:r>
      <w:r w:rsidR="00813016" w:rsidRPr="009F3652">
        <w:t>/NPP-002)</w:t>
      </w:r>
      <w:r w:rsidR="008363A9">
        <w:t>:</w:t>
      </w:r>
    </w:p>
    <w:p w14:paraId="1BD27F07" w14:textId="1CD993F8" w:rsidR="00813016" w:rsidRPr="009F3652" w:rsidRDefault="004910A7" w:rsidP="00813016">
      <w:pPr>
        <w:pStyle w:val="QPPBulletpoint3"/>
      </w:pPr>
      <w:r>
        <w:t>Spring Hill mixed use a</w:t>
      </w:r>
      <w:r w:rsidR="00813016" w:rsidRPr="009F3652">
        <w:t xml:space="preserve"> sub-precinct (</w:t>
      </w:r>
      <w:r w:rsidR="00813016" w:rsidRPr="00FA513A">
        <w:t>Spring Hill neighbourhood plan</w:t>
      </w:r>
      <w:r w:rsidR="00813016" w:rsidRPr="009F3652">
        <w:t>/NPP-002a);</w:t>
      </w:r>
    </w:p>
    <w:p w14:paraId="755FF167" w14:textId="5D546E11" w:rsidR="00813016" w:rsidRPr="009F3652" w:rsidRDefault="004910A7" w:rsidP="00813016">
      <w:pPr>
        <w:pStyle w:val="QPPBulletpoint3"/>
      </w:pPr>
      <w:r>
        <w:t>Spring Hill mixed use b</w:t>
      </w:r>
      <w:r w:rsidR="00813016" w:rsidRPr="009F3652">
        <w:t xml:space="preserve"> sub-precinct (</w:t>
      </w:r>
      <w:r w:rsidR="00813016" w:rsidRPr="00FA513A">
        <w:t>Spring Hill neighbourhood plan</w:t>
      </w:r>
      <w:r w:rsidR="00813016" w:rsidRPr="009F3652">
        <w:t>/NPP-002b)</w:t>
      </w:r>
      <w:r w:rsidR="0015059D">
        <w:t>.</w:t>
      </w:r>
    </w:p>
    <w:p w14:paraId="7742E7F4" w14:textId="66EDDB43" w:rsidR="00813016" w:rsidRPr="009F3652" w:rsidRDefault="004910A7" w:rsidP="004910A7">
      <w:pPr>
        <w:pStyle w:val="QPPBulletpoint2"/>
      </w:pPr>
      <w:r>
        <w:t xml:space="preserve">Boundary Street heart </w:t>
      </w:r>
      <w:r w:rsidR="00813016" w:rsidRPr="009F3652">
        <w:t>precinct (</w:t>
      </w:r>
      <w:r w:rsidR="00813016" w:rsidRPr="00FA513A">
        <w:t>Spring Hill neighbourhood plan</w:t>
      </w:r>
      <w:r w:rsidR="00813016" w:rsidRPr="009F3652">
        <w:t>/NPP-003);</w:t>
      </w:r>
    </w:p>
    <w:p w14:paraId="5CC97972" w14:textId="2B1F2131" w:rsidR="00813016" w:rsidRPr="009F3652" w:rsidRDefault="004910A7" w:rsidP="00AF5B96">
      <w:pPr>
        <w:pStyle w:val="QPPBulletpoint2"/>
      </w:pPr>
      <w:r>
        <w:t>Spring Hill east</w:t>
      </w:r>
      <w:r w:rsidR="00813016" w:rsidRPr="009F3652">
        <w:t xml:space="preserve"> precinct (</w:t>
      </w:r>
      <w:r w:rsidR="00813016" w:rsidRPr="00FA513A">
        <w:t>Spring Hill neighbourhood plan</w:t>
      </w:r>
      <w:r w:rsidR="00813016" w:rsidRPr="009F3652">
        <w:t>/NPP-004)</w:t>
      </w:r>
      <w:r>
        <w:t>.</w:t>
      </w:r>
    </w:p>
    <w:p w14:paraId="3ECADAA9" w14:textId="12F3136B" w:rsidR="00813016" w:rsidRPr="009F3652" w:rsidRDefault="00813016" w:rsidP="00813016">
      <w:pPr>
        <w:pStyle w:val="QPPBulletPoint1"/>
      </w:pPr>
      <w:r w:rsidRPr="009F3652">
        <w:t xml:space="preserve">When using this code, reference should be made to </w:t>
      </w:r>
      <w:r w:rsidR="003158C3" w:rsidRPr="00FA513A">
        <w:t>section 1.5</w:t>
      </w:r>
      <w:r w:rsidR="001415BC">
        <w:t xml:space="preserve">, </w:t>
      </w:r>
      <w:r w:rsidR="00DD1E67" w:rsidRPr="00FA513A">
        <w:t>section 5.3.2</w:t>
      </w:r>
      <w:r w:rsidR="00352554">
        <w:t xml:space="preserve"> </w:t>
      </w:r>
      <w:r w:rsidR="003158C3" w:rsidRPr="00093106">
        <w:t xml:space="preserve">and </w:t>
      </w:r>
      <w:r w:rsidR="003158C3" w:rsidRPr="00FA513A">
        <w:t>section 5.3.3</w:t>
      </w:r>
      <w:r w:rsidRPr="009F3652">
        <w:t>.</w:t>
      </w:r>
    </w:p>
    <w:p w14:paraId="073363BC" w14:textId="77777777" w:rsidR="008A5B04" w:rsidRPr="008A5B04" w:rsidRDefault="008A5B04" w:rsidP="008A5B04">
      <w:pPr>
        <w:pStyle w:val="QPPEditorsNoteStyle1"/>
      </w:pPr>
      <w:r w:rsidRPr="008A5B04">
        <w:t>Note—The following purpose, overall outcomes, performance outcomes and acceptable outcomes comprise the assessment benchmarks of this code.</w:t>
      </w:r>
    </w:p>
    <w:p w14:paraId="5985CAB5" w14:textId="40A8B354" w:rsidR="00813016" w:rsidRDefault="00813016" w:rsidP="00813016">
      <w:pPr>
        <w:pStyle w:val="QPPEditorsNoteStyle1"/>
      </w:pPr>
      <w:r w:rsidRPr="009F3652">
        <w:t xml:space="preserve">Note—This neighbourhood plan includes a table of assessment with </w:t>
      </w:r>
      <w:r w:rsidR="00004F14">
        <w:t xml:space="preserve">variations to </w:t>
      </w:r>
      <w:r w:rsidR="0028017D">
        <w:t>categories</w:t>
      </w:r>
      <w:r w:rsidR="0028017D" w:rsidRPr="009F3652">
        <w:t xml:space="preserve"> </w:t>
      </w:r>
      <w:r w:rsidRPr="009F3652">
        <w:t xml:space="preserve">of </w:t>
      </w:r>
      <w:r w:rsidR="0028017D">
        <w:t xml:space="preserve">development and </w:t>
      </w:r>
      <w:r w:rsidRPr="009F3652">
        <w:t>assessment. Refer to</w:t>
      </w:r>
      <w:r w:rsidR="005847C5">
        <w:t xml:space="preserve"> </w:t>
      </w:r>
      <w:r w:rsidR="005847C5" w:rsidRPr="00FA513A">
        <w:t>Table 5.</w:t>
      </w:r>
      <w:r w:rsidR="00E84444" w:rsidRPr="00FA513A">
        <w:t>9</w:t>
      </w:r>
      <w:r w:rsidR="005847C5" w:rsidRPr="00FA513A">
        <w:t>.54.A</w:t>
      </w:r>
      <w:r w:rsidR="005847C5">
        <w:t xml:space="preserve">, </w:t>
      </w:r>
      <w:r w:rsidR="005847C5" w:rsidRPr="00FA513A">
        <w:t>Table 5.</w:t>
      </w:r>
      <w:r w:rsidR="00E84444" w:rsidRPr="00FA513A">
        <w:t>9</w:t>
      </w:r>
      <w:r w:rsidR="005847C5" w:rsidRPr="00FA513A">
        <w:t>.54.B</w:t>
      </w:r>
      <w:r w:rsidR="005847C5">
        <w:t xml:space="preserve">, </w:t>
      </w:r>
      <w:r w:rsidR="005847C5" w:rsidRPr="00FA513A">
        <w:t>Table 5.</w:t>
      </w:r>
      <w:r w:rsidR="00E84444" w:rsidRPr="00FA513A">
        <w:t>9</w:t>
      </w:r>
      <w:r w:rsidR="005847C5" w:rsidRPr="00FA513A">
        <w:t>.54.C</w:t>
      </w:r>
      <w:r w:rsidR="005847C5">
        <w:t xml:space="preserve"> and </w:t>
      </w:r>
      <w:r w:rsidR="005847C5" w:rsidRPr="00FA513A">
        <w:t>Table 5.</w:t>
      </w:r>
      <w:r w:rsidR="00E84444" w:rsidRPr="00FA513A">
        <w:t>9</w:t>
      </w:r>
      <w:r w:rsidR="005847C5" w:rsidRPr="00FA513A">
        <w:t>.54.D</w:t>
      </w:r>
      <w:r w:rsidR="008D4D1E">
        <w:t>.</w:t>
      </w:r>
    </w:p>
    <w:p w14:paraId="7CBE706B" w14:textId="17547294" w:rsidR="004910A7" w:rsidRPr="004910A7" w:rsidRDefault="004910A7" w:rsidP="004910A7">
      <w:pPr>
        <w:pStyle w:val="QPPEditorsNoteStyle1"/>
      </w:pPr>
      <w:r w:rsidRPr="004910A7">
        <w:t xml:space="preserve">Editor’s note—The preparation of an Urban context report in accordance with </w:t>
      </w:r>
      <w:r w:rsidRPr="00FA513A">
        <w:t>Table 7.2.19.5.3.B</w:t>
      </w:r>
      <w:r w:rsidRPr="004910A7">
        <w:t xml:space="preserve"> will assist in demonstrating how the proposal achieves the outcomes of this neighbourhood plan.</w:t>
      </w:r>
    </w:p>
    <w:p w14:paraId="30EBC3F0" w14:textId="77777777" w:rsidR="004910A7" w:rsidRPr="004910A7" w:rsidRDefault="004910A7" w:rsidP="00083050">
      <w:pPr>
        <w:pStyle w:val="QPPEditorsNoteStyle1"/>
      </w:pPr>
      <w:r w:rsidRPr="004910A7">
        <w:t>Note—Council’s Independent Design Advisory Panel may be invited to provide advice on development, to facilitate high quality development, in accordance with the provisions of the Independent design advisory panel planning scheme policy.</w:t>
      </w:r>
    </w:p>
    <w:p w14:paraId="5FC8ACD2" w14:textId="5DA4C3EA" w:rsidR="004910A7" w:rsidRPr="004910A7" w:rsidRDefault="004910A7" w:rsidP="004910A7">
      <w:pPr>
        <w:pStyle w:val="QPPEditorsNoteStyle1"/>
      </w:pPr>
      <w:r w:rsidRPr="004910A7">
        <w:t xml:space="preserve">Editor’s note—The </w:t>
      </w:r>
      <w:r w:rsidRPr="00FA513A">
        <w:rPr>
          <w:i/>
        </w:rPr>
        <w:t>New World City Design Guide</w:t>
      </w:r>
      <w:r w:rsidR="00260E43" w:rsidRPr="00FA513A">
        <w:t xml:space="preserve"> </w:t>
      </w:r>
      <w:r w:rsidRPr="00FA513A">
        <w:rPr>
          <w:i/>
        </w:rPr>
        <w:noBreakHyphen/>
      </w:r>
      <w:r w:rsidR="00260E43" w:rsidRPr="00FA513A">
        <w:t xml:space="preserve"> </w:t>
      </w:r>
      <w:r w:rsidRPr="00FA513A">
        <w:rPr>
          <w:i/>
        </w:rPr>
        <w:t>Buildings that Breathe</w:t>
      </w:r>
      <w:r w:rsidRPr="004910A7">
        <w:t xml:space="preserve"> sets out the vision, design elements and best practice case studies to guide new development. Development is actively encouraged to incorporate these design elements and embrace the city’s subtropical climate.</w:t>
      </w:r>
    </w:p>
    <w:p w14:paraId="309ADDF0" w14:textId="4365884F" w:rsidR="004910A7" w:rsidRPr="004910A7" w:rsidRDefault="004910A7" w:rsidP="00083050">
      <w:pPr>
        <w:pStyle w:val="QPPEditorsNoteStyle1"/>
        <w:rPr>
          <w:lang w:eastAsia="en-US"/>
        </w:rPr>
      </w:pPr>
      <w:r w:rsidRPr="004910A7">
        <w:t xml:space="preserve">Note—The ‘street building’ comprises all levels of a building below which a set back tower commences. Refer to </w:t>
      </w:r>
      <w:r w:rsidRPr="00FA513A">
        <w:t>Figure c</w:t>
      </w:r>
      <w:r w:rsidRPr="004910A7">
        <w:t xml:space="preserve"> for guidance.</w:t>
      </w:r>
    </w:p>
    <w:p w14:paraId="40411E5F" w14:textId="6152BAD6" w:rsidR="004910A7" w:rsidRPr="004910A7" w:rsidRDefault="004910A7" w:rsidP="00613D0D">
      <w:pPr>
        <w:pStyle w:val="QPPEditorsNoteStyle1"/>
      </w:pPr>
      <w:r w:rsidRPr="004910A7">
        <w:t xml:space="preserve">Note—Where located in the </w:t>
      </w:r>
      <w:r w:rsidRPr="00FA513A">
        <w:t>Principal centre zone</w:t>
      </w:r>
      <w:r w:rsidRPr="004910A7">
        <w:t xml:space="preserve">, </w:t>
      </w:r>
      <w:r w:rsidRPr="00FA513A">
        <w:t>District centre zone</w:t>
      </w:r>
      <w:r w:rsidRPr="004910A7">
        <w:t xml:space="preserve">, or </w:t>
      </w:r>
      <w:r w:rsidRPr="00FA513A">
        <w:t>Mixed use zone</w:t>
      </w:r>
      <w:r w:rsidRPr="004910A7">
        <w:t>, the building height transitions provisions as identified in the</w:t>
      </w:r>
      <w:r w:rsidRPr="00FA513A">
        <w:t xml:space="preserve"> Multiple dwelling code</w:t>
      </w:r>
      <w:r w:rsidRPr="004910A7">
        <w:t xml:space="preserve"> and/or the </w:t>
      </w:r>
      <w:r w:rsidRPr="00FA513A">
        <w:t>Ce</w:t>
      </w:r>
      <w:r w:rsidR="002F0BF6" w:rsidRPr="00FA513A">
        <w:t>ntre or m</w:t>
      </w:r>
      <w:r w:rsidRPr="00FA513A">
        <w:t>ixed use code</w:t>
      </w:r>
      <w:r w:rsidRPr="004910A7">
        <w:t xml:space="preserve"> do not apply within this neighbourhood plan area.</w:t>
      </w:r>
    </w:p>
    <w:p w14:paraId="1D3708B7" w14:textId="77777777" w:rsidR="00813016" w:rsidRPr="009F3652" w:rsidRDefault="00813016" w:rsidP="00725E70">
      <w:pPr>
        <w:pStyle w:val="QPPHeading4"/>
      </w:pPr>
      <w:r w:rsidRPr="009F3652">
        <w:t>7.2.1</w:t>
      </w:r>
      <w:r w:rsidR="00316CBA">
        <w:t>9.5</w:t>
      </w:r>
      <w:r w:rsidRPr="009F3652">
        <w:t>.2 Purpose</w:t>
      </w:r>
    </w:p>
    <w:p w14:paraId="63562507" w14:textId="68C7ACDC" w:rsidR="00813016" w:rsidRPr="009F3652" w:rsidRDefault="00813016" w:rsidP="00813016">
      <w:pPr>
        <w:pStyle w:val="QPPBulletPoint1"/>
        <w:numPr>
          <w:ilvl w:val="0"/>
          <w:numId w:val="19"/>
        </w:numPr>
      </w:pPr>
      <w:r w:rsidRPr="009F3652">
        <w:t xml:space="preserve">The purpose of the Spring Hill neighbourhood plan code is to provide finer grained planning at a local level for the </w:t>
      </w:r>
      <w:r w:rsidRPr="00FA513A">
        <w:t>Sprin</w:t>
      </w:r>
      <w:r w:rsidR="003E532A" w:rsidRPr="00FA513A">
        <w:t>g Hill neighbourhood plan area</w:t>
      </w:r>
      <w:r w:rsidR="003E532A">
        <w:t>.</w:t>
      </w:r>
    </w:p>
    <w:p w14:paraId="7AD7617E" w14:textId="77777777" w:rsidR="00813016" w:rsidRDefault="00813016" w:rsidP="00813016">
      <w:pPr>
        <w:pStyle w:val="QPPBulletPoint1"/>
        <w:numPr>
          <w:ilvl w:val="0"/>
          <w:numId w:val="19"/>
        </w:numPr>
      </w:pPr>
      <w:r w:rsidRPr="009F3652">
        <w:t>The purpose of the Spring Hill neighbourhood plan code will be achieved through overall outcomes including overall outcomes for each precinct of the neigh</w:t>
      </w:r>
      <w:r w:rsidR="003E532A">
        <w:t>bourhood plan area.</w:t>
      </w:r>
    </w:p>
    <w:p w14:paraId="33C42AD1" w14:textId="77777777" w:rsidR="00613D0D" w:rsidRPr="00613D0D" w:rsidRDefault="00613D0D" w:rsidP="00613D0D">
      <w:pPr>
        <w:pStyle w:val="QPPBulletPoint1"/>
      </w:pPr>
      <w:r w:rsidRPr="00613D0D">
        <w:t>The overall outcomes for the neighbourhood plan area are:</w:t>
      </w:r>
    </w:p>
    <w:p w14:paraId="07AB5A23" w14:textId="4CC1CA8D" w:rsidR="00613D0D" w:rsidRPr="00613D0D" w:rsidRDefault="00613D0D" w:rsidP="00083050">
      <w:pPr>
        <w:pStyle w:val="QPPBulletpoint2"/>
        <w:numPr>
          <w:ilvl w:val="0"/>
          <w:numId w:val="126"/>
        </w:numPr>
      </w:pPr>
      <w:r w:rsidRPr="00613D0D">
        <w:t xml:space="preserve">Spring Hill is a diverse neighbourhood, with higher density mixed use activities bordering the CBD and along major streets, bounding pockets of small-scale, fine-grain </w:t>
      </w:r>
      <w:r w:rsidRPr="00FA513A">
        <w:t>residential</w:t>
      </w:r>
      <w:r w:rsidRPr="00613D0D">
        <w:t xml:space="preserve"> dwellings.</w:t>
      </w:r>
    </w:p>
    <w:p w14:paraId="53ADABC2" w14:textId="77777777" w:rsidR="00613D0D" w:rsidRPr="00613D0D" w:rsidRDefault="00613D0D" w:rsidP="00083050">
      <w:pPr>
        <w:pStyle w:val="QPPBulletpoint2"/>
        <w:numPr>
          <w:ilvl w:val="0"/>
          <w:numId w:val="126"/>
        </w:numPr>
      </w:pPr>
      <w:r w:rsidRPr="00613D0D">
        <w:t>Spring Hill supports an inclusive community and provides a range of housing options for a diverse mix of people, jobs in a variety of sectors, a range of community services and a choice of meeting and gathering places.</w:t>
      </w:r>
    </w:p>
    <w:p w14:paraId="48A31069" w14:textId="77777777" w:rsidR="00613D0D" w:rsidRPr="00613D0D" w:rsidRDefault="00613D0D" w:rsidP="00083050">
      <w:pPr>
        <w:pStyle w:val="QPPBulletpoint2"/>
        <w:numPr>
          <w:ilvl w:val="0"/>
          <w:numId w:val="126"/>
        </w:numPr>
      </w:pPr>
      <w:r w:rsidRPr="00613D0D">
        <w:lastRenderedPageBreak/>
        <w:t xml:space="preserve">Development in Spring Hill reflects the unique character of the neighbourhood and its importance as one of the earliest suburbs settled in Brisbane. This is characterised by large areas of traditional residential dwellings built before 1885 on small allotments within a network of narrow streets and laneways. These buildings and areas make a significant contribution to Brisbane’s heritage and character and are retained. </w:t>
      </w:r>
    </w:p>
    <w:p w14:paraId="32B96B4E" w14:textId="77777777" w:rsidR="00613D0D" w:rsidRPr="00613D0D" w:rsidRDefault="00613D0D" w:rsidP="00083050">
      <w:pPr>
        <w:pStyle w:val="QPPBulletpoint2"/>
        <w:numPr>
          <w:ilvl w:val="0"/>
          <w:numId w:val="126"/>
        </w:numPr>
      </w:pPr>
      <w:r w:rsidRPr="00613D0D">
        <w:t xml:space="preserve">Development protects and reinforces Spring Hill’s extensive heritage and character through the retention, conservation and re-use of heritage places and character buildings.  </w:t>
      </w:r>
    </w:p>
    <w:p w14:paraId="0E565D0A" w14:textId="0F6B8F8C" w:rsidR="00613D0D" w:rsidRPr="00613D0D" w:rsidRDefault="00613D0D" w:rsidP="00083050">
      <w:pPr>
        <w:pStyle w:val="QPPBulletpoint2"/>
        <w:numPr>
          <w:ilvl w:val="0"/>
          <w:numId w:val="126"/>
        </w:numPr>
      </w:pPr>
      <w:r w:rsidRPr="00613D0D">
        <w:t xml:space="preserve">Development provides a sensitive design response to character dwellings, heritage places, and </w:t>
      </w:r>
      <w:r w:rsidRPr="00FA513A">
        <w:t>commercial character buildings</w:t>
      </w:r>
      <w:r w:rsidRPr="00613D0D">
        <w:t xml:space="preserve"> that respects the visual integrity of these buildings, and the positive contribution that they make to the character and built form of Spring Hill.</w:t>
      </w:r>
    </w:p>
    <w:p w14:paraId="223C09F9" w14:textId="77777777" w:rsidR="00613D0D" w:rsidRPr="00613D0D" w:rsidRDefault="00613D0D" w:rsidP="00083050">
      <w:pPr>
        <w:pStyle w:val="QPPBulletpoint2"/>
        <w:numPr>
          <w:ilvl w:val="0"/>
          <w:numId w:val="126"/>
        </w:numPr>
      </w:pPr>
      <w:r w:rsidRPr="00613D0D">
        <w:t xml:space="preserve">Development reinforces the diverse architecture and urban form that sets Spring Hill apart from other parts of Brisbane and is responsive to each site’s specific shape, size, topography, context and setting. </w:t>
      </w:r>
    </w:p>
    <w:p w14:paraId="745757EA" w14:textId="2AB4977A" w:rsidR="00613D0D" w:rsidRPr="00613D0D" w:rsidRDefault="00613D0D" w:rsidP="00083050">
      <w:pPr>
        <w:pStyle w:val="QPPBulletpoint2"/>
        <w:numPr>
          <w:ilvl w:val="0"/>
          <w:numId w:val="126"/>
        </w:numPr>
      </w:pPr>
      <w:r w:rsidRPr="00613D0D">
        <w:t xml:space="preserve">Development is designed to take advantage of Brisbane’s subtropical climate and delivers high quality, subtropical architecture. Buildings, the </w:t>
      </w:r>
      <w:r w:rsidRPr="00FA513A">
        <w:t>public realm</w:t>
      </w:r>
      <w:r w:rsidRPr="00613D0D">
        <w:t xml:space="preserve"> and landscaped spaces are designed to be open, engaging and green, with shaded spaces and opportunities to interact with the street, and contribute to Brisbane’s identity and lifestyle.</w:t>
      </w:r>
    </w:p>
    <w:p w14:paraId="55D4B0A1" w14:textId="138C1C85" w:rsidR="00613D0D" w:rsidRPr="00613D0D" w:rsidRDefault="00613D0D" w:rsidP="00083050">
      <w:pPr>
        <w:pStyle w:val="QPPBulletpoint2"/>
        <w:numPr>
          <w:ilvl w:val="0"/>
          <w:numId w:val="126"/>
        </w:numPr>
      </w:pPr>
      <w:r w:rsidRPr="00613D0D">
        <w:t xml:space="preserve">Development provides new and enhanced </w:t>
      </w:r>
      <w:r w:rsidRPr="00FA513A">
        <w:t>arcades</w:t>
      </w:r>
      <w:r w:rsidRPr="00613D0D">
        <w:t xml:space="preserve"> and streetscape treatments in accordance with </w:t>
      </w:r>
      <w:r w:rsidRPr="00FA513A">
        <w:t>Figure a</w:t>
      </w:r>
      <w:r w:rsidRPr="00613D0D">
        <w:t xml:space="preserve"> to improve the quality and quantity of public spaces in the neighbourhood plan area and enhance recreational opportunities. Improved footpaths and active frontages enhance street amenity and reinforce pedestrian movement. </w:t>
      </w:r>
    </w:p>
    <w:p w14:paraId="5B88FDCF" w14:textId="4B6EFF2D" w:rsidR="00613D0D" w:rsidRPr="00613D0D" w:rsidRDefault="00613D0D" w:rsidP="00083050">
      <w:pPr>
        <w:pStyle w:val="QPPBulletpoint2"/>
        <w:numPr>
          <w:ilvl w:val="0"/>
          <w:numId w:val="126"/>
        </w:numPr>
      </w:pPr>
      <w:r w:rsidRPr="00613D0D">
        <w:t xml:space="preserve">Development in the </w:t>
      </w:r>
      <w:r w:rsidRPr="00FA513A">
        <w:t>Principal centre zone</w:t>
      </w:r>
      <w:r w:rsidRPr="00613D0D">
        <w:t xml:space="preserve">, </w:t>
      </w:r>
      <w:r w:rsidRPr="00FA513A">
        <w:t>District centre zone</w:t>
      </w:r>
      <w:r w:rsidRPr="00613D0D">
        <w:t xml:space="preserve">, </w:t>
      </w:r>
      <w:r w:rsidRPr="00FA513A">
        <w:t>Mixed use zone</w:t>
      </w:r>
      <w:r w:rsidRPr="00613D0D">
        <w:t xml:space="preserve"> or </w:t>
      </w:r>
      <w:r w:rsidRPr="00FA513A">
        <w:t>Community facilities zone</w:t>
      </w:r>
      <w:r w:rsidRPr="00613D0D">
        <w:t xml:space="preserve"> provides slender towers that are sited and designed to maintain the openness of street vistas with adequate spacing between buildings to allow for light penetration, air circulation, views and vistas, and privacy, particularly for residential towers.</w:t>
      </w:r>
    </w:p>
    <w:p w14:paraId="317DC890" w14:textId="2AC7B520" w:rsidR="00613D0D" w:rsidRPr="00613D0D" w:rsidRDefault="00613D0D" w:rsidP="00083050">
      <w:pPr>
        <w:pStyle w:val="QPPBulletpoint2"/>
        <w:numPr>
          <w:ilvl w:val="0"/>
          <w:numId w:val="126"/>
        </w:numPr>
      </w:pPr>
      <w:r w:rsidRPr="00613D0D">
        <w:t xml:space="preserve">Development in the </w:t>
      </w:r>
      <w:r w:rsidRPr="00FA513A">
        <w:t>District centre zone</w:t>
      </w:r>
      <w:r w:rsidRPr="00613D0D">
        <w:t xml:space="preserve">, </w:t>
      </w:r>
      <w:r w:rsidRPr="00FA513A">
        <w:t>Mixed use zone</w:t>
      </w:r>
      <w:r w:rsidRPr="00613D0D">
        <w:t xml:space="preserve"> or </w:t>
      </w:r>
      <w:r w:rsidRPr="00FA513A">
        <w:t>Community facilities zone</w:t>
      </w:r>
      <w:r w:rsidRPr="00613D0D">
        <w:t xml:space="preserve"> is set back from, and provides a highly landscaped design response to, adjoining sites in the </w:t>
      </w:r>
      <w:r w:rsidRPr="00FA513A">
        <w:t>Character residential zone</w:t>
      </w:r>
      <w:r w:rsidRPr="00613D0D">
        <w:t xml:space="preserve"> or </w:t>
      </w:r>
      <w:r w:rsidRPr="00FA513A">
        <w:t>Low-medium density residential zone</w:t>
      </w:r>
      <w:r w:rsidRPr="00613D0D">
        <w:t xml:space="preserve"> to minimise privacy and amenity impacts on residents.</w:t>
      </w:r>
    </w:p>
    <w:p w14:paraId="41841866" w14:textId="1F996A3E" w:rsidR="00613D0D" w:rsidRPr="00613D0D" w:rsidRDefault="00613D0D" w:rsidP="00083050">
      <w:pPr>
        <w:pStyle w:val="QPPBulletpoint2"/>
        <w:numPr>
          <w:ilvl w:val="0"/>
          <w:numId w:val="126"/>
        </w:numPr>
      </w:pPr>
      <w:r w:rsidRPr="00613D0D">
        <w:t xml:space="preserve">Development in the </w:t>
      </w:r>
      <w:r w:rsidRPr="00FA513A">
        <w:t>Community facilities zone</w:t>
      </w:r>
      <w:r w:rsidRPr="00613D0D">
        <w:t xml:space="preserve"> provides physical and visual connections that contribute to the amenity and legibility of the overall pedestrian network. Development integrates with surrounding uses through an articulated and responsive built form, including a strong interface with the public domain at street frontages and welcoming front entrances. </w:t>
      </w:r>
    </w:p>
    <w:p w14:paraId="03A8E3F7" w14:textId="0C653A58" w:rsidR="00613D0D" w:rsidRPr="00613D0D" w:rsidRDefault="00613D0D" w:rsidP="00083050">
      <w:pPr>
        <w:pStyle w:val="QPPBulletpoint2"/>
        <w:numPr>
          <w:ilvl w:val="0"/>
          <w:numId w:val="126"/>
        </w:numPr>
      </w:pPr>
      <w:r w:rsidRPr="00613D0D">
        <w:t xml:space="preserve">Development in the </w:t>
      </w:r>
      <w:r w:rsidRPr="00FA513A">
        <w:t>Low-medium density residential zone</w:t>
      </w:r>
      <w:r w:rsidRPr="00613D0D">
        <w:t xml:space="preserve"> provides a mix of residential options in close proximity to the city centre (CBD), including </w:t>
      </w:r>
      <w:r w:rsidRPr="00FA513A">
        <w:t>Dual occupancy</w:t>
      </w:r>
      <w:r w:rsidRPr="00613D0D">
        <w:t xml:space="preserve">, </w:t>
      </w:r>
      <w:r w:rsidRPr="00FA513A">
        <w:t>Dwelling house</w:t>
      </w:r>
      <w:r w:rsidRPr="00613D0D">
        <w:t xml:space="preserve">, and </w:t>
      </w:r>
      <w:r w:rsidRPr="00FA513A">
        <w:t>Multiple dwelling</w:t>
      </w:r>
      <w:r w:rsidRPr="00613D0D">
        <w:t xml:space="preserve"> uses.</w:t>
      </w:r>
    </w:p>
    <w:p w14:paraId="013E2538" w14:textId="06985E34" w:rsidR="00613D0D" w:rsidRPr="00613D0D" w:rsidRDefault="00613D0D" w:rsidP="00083050">
      <w:pPr>
        <w:pStyle w:val="QPPBulletpoint2"/>
        <w:numPr>
          <w:ilvl w:val="0"/>
          <w:numId w:val="126"/>
        </w:numPr>
      </w:pPr>
      <w:r w:rsidRPr="00613D0D">
        <w:t xml:space="preserve">Development in the </w:t>
      </w:r>
      <w:r w:rsidRPr="00FA513A">
        <w:t>Character residential zone</w:t>
      </w:r>
      <w:r w:rsidRPr="00613D0D">
        <w:t xml:space="preserve"> protects traditional housing stock.</w:t>
      </w:r>
    </w:p>
    <w:p w14:paraId="48268872" w14:textId="77777777" w:rsidR="00613D0D" w:rsidRPr="00613D0D" w:rsidRDefault="00613D0D" w:rsidP="00613D0D">
      <w:pPr>
        <w:pStyle w:val="QPPBulletPoint1"/>
      </w:pPr>
      <w:r w:rsidRPr="00613D0D">
        <w:t>The City Centre expansion precinct (Spring Hill neighbourhood plan/NPP-001) overall outcomes are:</w:t>
      </w:r>
    </w:p>
    <w:p w14:paraId="094D529D" w14:textId="4B568427" w:rsidR="00613D0D" w:rsidRPr="00613D0D" w:rsidRDefault="00613D0D" w:rsidP="00083050">
      <w:pPr>
        <w:pStyle w:val="QPPBulletpoint2"/>
        <w:numPr>
          <w:ilvl w:val="0"/>
          <w:numId w:val="127"/>
        </w:numPr>
      </w:pPr>
      <w:r w:rsidRPr="00613D0D">
        <w:t xml:space="preserve">The City Centre expansion precinct contains a mix of commercial, retail, </w:t>
      </w:r>
      <w:r w:rsidRPr="00FA513A">
        <w:t>residential</w:t>
      </w:r>
      <w:r w:rsidRPr="00613D0D">
        <w:t>, community and recreational uses, providing a transition in height between the CBD and development in the Boundary Street heart precinct and Spring Hill mixed use precinct.</w:t>
      </w:r>
    </w:p>
    <w:p w14:paraId="7666FDC4" w14:textId="4660FBE8" w:rsidR="00613D0D" w:rsidRPr="00613D0D" w:rsidRDefault="00613D0D" w:rsidP="00083050">
      <w:pPr>
        <w:pStyle w:val="QPPBulletpoint2"/>
        <w:numPr>
          <w:ilvl w:val="0"/>
          <w:numId w:val="127"/>
        </w:numPr>
      </w:pPr>
      <w:r w:rsidRPr="00613D0D">
        <w:t xml:space="preserve">The </w:t>
      </w:r>
      <w:r w:rsidRPr="00FA513A">
        <w:t>Principal centre zone</w:t>
      </w:r>
      <w:r w:rsidRPr="00613D0D">
        <w:t xml:space="preserve"> develops as a strong economic centre for Spring Hill, encouraging investment and employment in the area and leveraging off its proximity to the CBD and existing major health care and education institutions in the neighbourhood plan area. The </w:t>
      </w:r>
      <w:r w:rsidR="000B0627" w:rsidRPr="00FA513A">
        <w:t>Principal centre zone</w:t>
      </w:r>
      <w:r w:rsidR="000B0627">
        <w:t xml:space="preserve"> </w:t>
      </w:r>
      <w:r w:rsidRPr="00613D0D">
        <w:t>accommodates the highest densities and most diverse range of uses at a scale that is subordinate to the CBD.</w:t>
      </w:r>
    </w:p>
    <w:p w14:paraId="682232E6" w14:textId="77777777" w:rsidR="00613D0D" w:rsidRPr="00613D0D" w:rsidRDefault="00613D0D" w:rsidP="00083050">
      <w:pPr>
        <w:pStyle w:val="QPPBulletpoint2"/>
        <w:numPr>
          <w:ilvl w:val="0"/>
          <w:numId w:val="127"/>
        </w:numPr>
      </w:pPr>
      <w:r w:rsidRPr="00613D0D">
        <w:t>Development facilitates improvements to existing, and the creation of additional, pedestrian connections from Wickham Terrace and Leichhardt Street to Astor Terrace to improve permeability throughout Spring Hill. The key wayfinding spines of Little Edward, Upper Edward, Leichhardt and Wharf Streets are enhanced.</w:t>
      </w:r>
    </w:p>
    <w:p w14:paraId="03079493" w14:textId="77777777" w:rsidR="00613D0D" w:rsidRPr="00613D0D" w:rsidRDefault="00613D0D" w:rsidP="00083050">
      <w:pPr>
        <w:pStyle w:val="QPPBulletpoint2"/>
        <w:numPr>
          <w:ilvl w:val="0"/>
          <w:numId w:val="127"/>
        </w:numPr>
      </w:pPr>
      <w:r w:rsidRPr="00613D0D">
        <w:lastRenderedPageBreak/>
        <w:t>Astor Terrace is recognised as a weekday, evening and weekend meeting place. Through development, Astor Terrace becomes a key destination for entertainment activities, comprising live music and entertainment venues, and for small ground level active uses including cafes, restaurants and bars.</w:t>
      </w:r>
    </w:p>
    <w:p w14:paraId="54DB77E9" w14:textId="77777777" w:rsidR="00613D0D" w:rsidRPr="00613D0D" w:rsidRDefault="00613D0D" w:rsidP="00613D0D">
      <w:pPr>
        <w:pStyle w:val="QPPBulletPoint1"/>
      </w:pPr>
      <w:r w:rsidRPr="00613D0D">
        <w:t>The Spring Hill mixed use precinct (Spring Hill neighbourhood plan/NPP-002) overall outcomes are:</w:t>
      </w:r>
    </w:p>
    <w:p w14:paraId="0293FB72" w14:textId="77777777" w:rsidR="00613D0D" w:rsidRPr="00613D0D" w:rsidRDefault="00613D0D" w:rsidP="00083050">
      <w:pPr>
        <w:pStyle w:val="QPPBulletpoint2"/>
        <w:numPr>
          <w:ilvl w:val="0"/>
          <w:numId w:val="128"/>
        </w:numPr>
      </w:pPr>
      <w:r w:rsidRPr="00613D0D">
        <w:t xml:space="preserve">Development is of a height and scale that is subordinate to development in the City Centre expansion precinct. </w:t>
      </w:r>
    </w:p>
    <w:p w14:paraId="0221E7B6" w14:textId="033D9DD1" w:rsidR="00613D0D" w:rsidRPr="00613D0D" w:rsidRDefault="00613D0D" w:rsidP="00083050">
      <w:pPr>
        <w:pStyle w:val="QPPBulletpoint2"/>
        <w:numPr>
          <w:ilvl w:val="0"/>
          <w:numId w:val="128"/>
        </w:numPr>
      </w:pPr>
      <w:r w:rsidRPr="00613D0D">
        <w:t xml:space="preserve">Development in the </w:t>
      </w:r>
      <w:r w:rsidRPr="00FA513A">
        <w:t>Mixed use zone</w:t>
      </w:r>
      <w:r w:rsidRPr="00613D0D">
        <w:t xml:space="preserve"> or </w:t>
      </w:r>
      <w:r w:rsidRPr="00FA513A">
        <w:t>Community facilities zone</w:t>
      </w:r>
      <w:r w:rsidRPr="00613D0D">
        <w:t xml:space="preserve"> is set back from, and provides a highly landscaped design response to adjoining sites in the </w:t>
      </w:r>
      <w:r w:rsidRPr="00FA513A">
        <w:t>Character residential zone</w:t>
      </w:r>
      <w:r w:rsidRPr="00613D0D">
        <w:t xml:space="preserve"> or </w:t>
      </w:r>
      <w:r w:rsidRPr="00FA513A">
        <w:t>Low-medium density residential zone</w:t>
      </w:r>
      <w:r w:rsidRPr="00613D0D">
        <w:t xml:space="preserve"> to minimise privacy and </w:t>
      </w:r>
      <w:r w:rsidRPr="00FA513A">
        <w:t>amenity</w:t>
      </w:r>
      <w:r w:rsidRPr="00613D0D">
        <w:t xml:space="preserve"> impacts on residents. </w:t>
      </w:r>
    </w:p>
    <w:p w14:paraId="69C2D36F" w14:textId="3427A554" w:rsidR="00613D0D" w:rsidRPr="00613D0D" w:rsidRDefault="00613D0D" w:rsidP="00083050">
      <w:pPr>
        <w:pStyle w:val="QPPBulletpoint2"/>
        <w:numPr>
          <w:ilvl w:val="0"/>
          <w:numId w:val="128"/>
        </w:numPr>
      </w:pPr>
      <w:r w:rsidRPr="00613D0D">
        <w:t xml:space="preserve">Development in the </w:t>
      </w:r>
      <w:r w:rsidRPr="00FA513A">
        <w:t>Mixed use zone</w:t>
      </w:r>
      <w:r w:rsidRPr="00613D0D">
        <w:t xml:space="preserve"> provides a range of built form outcomes which include commercial, </w:t>
      </w:r>
      <w:r w:rsidRPr="00FA513A">
        <w:t>residential</w:t>
      </w:r>
      <w:r w:rsidRPr="00613D0D">
        <w:t xml:space="preserve"> and creative uses that support the City Centre expansion precinct. </w:t>
      </w:r>
    </w:p>
    <w:p w14:paraId="72364180" w14:textId="0CFAF0F5" w:rsidR="00613D0D" w:rsidRPr="00613D0D" w:rsidRDefault="00613D0D" w:rsidP="00083050">
      <w:pPr>
        <w:pStyle w:val="QPPBulletpoint2"/>
        <w:numPr>
          <w:ilvl w:val="0"/>
          <w:numId w:val="128"/>
        </w:numPr>
      </w:pPr>
      <w:r w:rsidRPr="00613D0D">
        <w:t xml:space="preserve">Development in the </w:t>
      </w:r>
      <w:r w:rsidRPr="00FA513A">
        <w:t>Character residential zone</w:t>
      </w:r>
      <w:r w:rsidRPr="00613D0D">
        <w:t xml:space="preserve"> maintains the low-rise character of 1 and 2 storey dwellings, while encouraging the reuse of character housing for non-residential activities that maintain the domestic appearance of traditional character houses.</w:t>
      </w:r>
    </w:p>
    <w:p w14:paraId="267BD18C" w14:textId="77777777" w:rsidR="00613D0D" w:rsidRPr="00613D0D" w:rsidRDefault="00613D0D" w:rsidP="00613D0D">
      <w:pPr>
        <w:pStyle w:val="QPPBulletPoint1"/>
      </w:pPr>
      <w:r w:rsidRPr="00613D0D">
        <w:t>The Boundary Street heart precinct (Spring Hill neighbourhood plan/NPP-003) overall outcomes are:</w:t>
      </w:r>
    </w:p>
    <w:p w14:paraId="7722C00C" w14:textId="57FF1B98" w:rsidR="00613D0D" w:rsidRPr="00613D0D" w:rsidRDefault="00613D0D" w:rsidP="00083050">
      <w:pPr>
        <w:pStyle w:val="QPPBulletpoint2"/>
        <w:numPr>
          <w:ilvl w:val="0"/>
          <w:numId w:val="129"/>
        </w:numPr>
      </w:pPr>
      <w:r w:rsidRPr="00613D0D">
        <w:t xml:space="preserve">Development in the </w:t>
      </w:r>
      <w:r w:rsidRPr="00FA513A">
        <w:t>District centre zone</w:t>
      </w:r>
      <w:r w:rsidRPr="00613D0D">
        <w:t xml:space="preserve"> reinforces Boundary Street as the ‘heart’ of Spring Hill through support for a mix of uses and as a location for higher-order services. </w:t>
      </w:r>
    </w:p>
    <w:p w14:paraId="0B2E848C" w14:textId="77777777" w:rsidR="00613D0D" w:rsidRPr="00613D0D" w:rsidRDefault="00613D0D" w:rsidP="00083050">
      <w:pPr>
        <w:pStyle w:val="QPPBulletpoint2"/>
      </w:pPr>
      <w:r w:rsidRPr="00613D0D">
        <w:t>Development is of a height and scale that is subordinate to development in the City Centre expansion precinct.</w:t>
      </w:r>
    </w:p>
    <w:p w14:paraId="129FAFD3" w14:textId="4ADA5E68" w:rsidR="00613D0D" w:rsidRPr="00613D0D" w:rsidRDefault="00613D0D" w:rsidP="00083050">
      <w:pPr>
        <w:pStyle w:val="QPPBulletpoint2"/>
      </w:pPr>
      <w:r w:rsidRPr="00613D0D">
        <w:t xml:space="preserve">Development in the </w:t>
      </w:r>
      <w:r w:rsidRPr="00FA513A">
        <w:t>District centre zone</w:t>
      </w:r>
      <w:r w:rsidRPr="00613D0D">
        <w:t xml:space="preserve"> or </w:t>
      </w:r>
      <w:r w:rsidRPr="00FA513A">
        <w:t>Mixed use zone</w:t>
      </w:r>
      <w:r w:rsidRPr="00613D0D">
        <w:t xml:space="preserve"> is set back from, and provides a highly landscaped design response to adjoining sites in the </w:t>
      </w:r>
      <w:r w:rsidRPr="00FA513A">
        <w:t>Character residential zone</w:t>
      </w:r>
      <w:r w:rsidRPr="00613D0D">
        <w:t xml:space="preserve"> or </w:t>
      </w:r>
      <w:r w:rsidRPr="00FA513A">
        <w:t>Low-medium density residential zone</w:t>
      </w:r>
      <w:r w:rsidRPr="00613D0D">
        <w:t xml:space="preserve"> to minimise privacy and amenity impacts on residents. </w:t>
      </w:r>
    </w:p>
    <w:p w14:paraId="1328F7A3" w14:textId="4B664E87" w:rsidR="00613D0D" w:rsidRPr="00613D0D" w:rsidRDefault="00613D0D" w:rsidP="00083050">
      <w:pPr>
        <w:pStyle w:val="QPPBulletpoint2"/>
      </w:pPr>
      <w:r w:rsidRPr="00613D0D">
        <w:t xml:space="preserve">Development in the </w:t>
      </w:r>
      <w:r w:rsidRPr="00FA513A">
        <w:t>Mixed use zone</w:t>
      </w:r>
      <w:r w:rsidRPr="00613D0D">
        <w:t xml:space="preserve"> supports existing community facilities in the area through the promotion of complementary uses</w:t>
      </w:r>
      <w:r w:rsidR="00B579ED">
        <w:t xml:space="preserve">, including </w:t>
      </w:r>
      <w:r w:rsidR="00B579ED" w:rsidRPr="00FA513A">
        <w:t>Health care service</w:t>
      </w:r>
      <w:r w:rsidRPr="00613D0D">
        <w:t xml:space="preserve"> and </w:t>
      </w:r>
      <w:r w:rsidRPr="00FA513A">
        <w:t>Short-term accommodation</w:t>
      </w:r>
      <w:r w:rsidRPr="00613D0D">
        <w:t>.</w:t>
      </w:r>
    </w:p>
    <w:p w14:paraId="25B0F4B8" w14:textId="77777777" w:rsidR="00613D0D" w:rsidRPr="00613D0D" w:rsidRDefault="00613D0D" w:rsidP="00083050">
      <w:pPr>
        <w:pStyle w:val="QPPBulletpoint2"/>
      </w:pPr>
      <w:r w:rsidRPr="00613D0D">
        <w:t>Development promotes Boundary Street as a pedestrian friendly street through a combination of ground level activation, high quality street building and streetscape design, and welcoming front entrances.</w:t>
      </w:r>
    </w:p>
    <w:p w14:paraId="10A8FBC8" w14:textId="77777777" w:rsidR="00613D0D" w:rsidRPr="00613D0D" w:rsidRDefault="00613D0D" w:rsidP="00613D0D">
      <w:pPr>
        <w:pStyle w:val="QPPBulletPoint1"/>
      </w:pPr>
      <w:r w:rsidRPr="00613D0D">
        <w:t>Spring Hill east precinct (Spring Hill neighbourhood plan/NPP-004) overall outcomes are:</w:t>
      </w:r>
    </w:p>
    <w:p w14:paraId="3DCFDF54" w14:textId="77777777" w:rsidR="00613D0D" w:rsidRPr="00613D0D" w:rsidRDefault="00613D0D" w:rsidP="00083050">
      <w:pPr>
        <w:pStyle w:val="QPPBulletpoint2"/>
        <w:numPr>
          <w:ilvl w:val="0"/>
          <w:numId w:val="130"/>
        </w:numPr>
      </w:pPr>
      <w:r w:rsidRPr="00613D0D">
        <w:t>Development maintains a mix of small-scale residential, higher density mixed use, and community (education) facilities land uses in the precinct.</w:t>
      </w:r>
    </w:p>
    <w:p w14:paraId="6AB771C7" w14:textId="0F99B233" w:rsidR="00613D0D" w:rsidRPr="00613D0D" w:rsidRDefault="00613D0D" w:rsidP="00083050">
      <w:pPr>
        <w:pStyle w:val="QPPBulletpoint2"/>
        <w:numPr>
          <w:ilvl w:val="0"/>
          <w:numId w:val="130"/>
        </w:numPr>
      </w:pPr>
      <w:r w:rsidRPr="00613D0D">
        <w:t>Development in the</w:t>
      </w:r>
      <w:r w:rsidRPr="00FA513A">
        <w:t xml:space="preserve"> Mixed use zone</w:t>
      </w:r>
      <w:r w:rsidRPr="00613D0D">
        <w:t xml:space="preserve"> is set back from, and provides a highly landscaped design response to adjoining sites in the </w:t>
      </w:r>
      <w:r w:rsidRPr="00FA513A">
        <w:t>Character residential zone</w:t>
      </w:r>
      <w:r w:rsidRPr="00613D0D">
        <w:t xml:space="preserve"> or </w:t>
      </w:r>
      <w:r w:rsidRPr="00FA513A">
        <w:t>Low-medium density residential zone</w:t>
      </w:r>
      <w:r w:rsidRPr="00613D0D">
        <w:t xml:space="preserve"> to minimise privacy and amenity impacts on residents. </w:t>
      </w:r>
    </w:p>
    <w:p w14:paraId="1A94DE73" w14:textId="7EF07701" w:rsidR="00613D0D" w:rsidRPr="00613D0D" w:rsidRDefault="00613D0D" w:rsidP="00083050">
      <w:pPr>
        <w:pStyle w:val="QPPBulletpoint2"/>
        <w:numPr>
          <w:ilvl w:val="0"/>
          <w:numId w:val="130"/>
        </w:numPr>
      </w:pPr>
      <w:r w:rsidRPr="00613D0D">
        <w:t xml:space="preserve">The </w:t>
      </w:r>
      <w:r w:rsidRPr="00FA513A">
        <w:t>Neighbourhood centre zoned</w:t>
      </w:r>
      <w:r w:rsidRPr="00613D0D">
        <w:t xml:space="preserve"> land on Water Street maintains a local activity centre function providing a variety of uses and activities that service local residents. No further expansion of commercial activities into residential areas occurs.</w:t>
      </w:r>
    </w:p>
    <w:p w14:paraId="5C269E9E" w14:textId="4A2BFF28" w:rsidR="00613D0D" w:rsidRPr="00613D0D" w:rsidRDefault="00613D0D" w:rsidP="00083050">
      <w:pPr>
        <w:pStyle w:val="QPPBulletpoint2"/>
        <w:numPr>
          <w:ilvl w:val="0"/>
          <w:numId w:val="130"/>
        </w:numPr>
      </w:pPr>
      <w:r w:rsidRPr="00613D0D">
        <w:t xml:space="preserve">Development in the </w:t>
      </w:r>
      <w:r w:rsidRPr="00FA513A">
        <w:t>Mixed use zone</w:t>
      </w:r>
      <w:r w:rsidRPr="00613D0D">
        <w:t xml:space="preserve"> provides a transition between the lower density residential portions of Spring Hill to the higher density city frame areas of Bowen Hills and Fortitude Valley. Development is of a higher intensity along St Pauls Terrace, to provide a height transition to the </w:t>
      </w:r>
      <w:r w:rsidRPr="00FA513A">
        <w:t>Principal centre zoned</w:t>
      </w:r>
      <w:r w:rsidRPr="00613D0D">
        <w:t xml:space="preserve"> land on the opposite side of the road.</w:t>
      </w:r>
    </w:p>
    <w:p w14:paraId="50A0001E" w14:textId="382A8228" w:rsidR="00613D0D" w:rsidRPr="00613D0D" w:rsidRDefault="00613D0D" w:rsidP="00083050">
      <w:pPr>
        <w:pStyle w:val="QPPBulletpoint2"/>
        <w:numPr>
          <w:ilvl w:val="0"/>
          <w:numId w:val="130"/>
        </w:numPr>
      </w:pPr>
      <w:r w:rsidRPr="00613D0D">
        <w:t xml:space="preserve">Development in the </w:t>
      </w:r>
      <w:r w:rsidRPr="00FA513A">
        <w:t>Low-medium density residential zone</w:t>
      </w:r>
      <w:r w:rsidRPr="00613D0D">
        <w:t xml:space="preserve"> along Gregory Terrace forms an urban residential edge to Victoria Park opposite. </w:t>
      </w:r>
    </w:p>
    <w:p w14:paraId="25316E3E" w14:textId="77777777" w:rsidR="00613D0D" w:rsidRPr="009F3652" w:rsidRDefault="00613D0D" w:rsidP="00083050">
      <w:pPr>
        <w:pStyle w:val="QPPBulletpoint2"/>
        <w:numPr>
          <w:ilvl w:val="0"/>
          <w:numId w:val="130"/>
        </w:numPr>
      </w:pPr>
      <w:r w:rsidRPr="00613D0D">
        <w:t>Bedford Playground Park continues to be a central public open space for residents of Spring Hill, offering a range of local and district level informal recreation experiences. Complementary community uses continue to operate from existing community buildings in the park.</w:t>
      </w:r>
    </w:p>
    <w:p w14:paraId="236EAC85" w14:textId="77777777" w:rsidR="00813016" w:rsidRPr="009F3652" w:rsidRDefault="00813016" w:rsidP="00725E70">
      <w:pPr>
        <w:pStyle w:val="QPPHeading4"/>
      </w:pPr>
      <w:r w:rsidRPr="009F3652">
        <w:lastRenderedPageBreak/>
        <w:t>7.2.1</w:t>
      </w:r>
      <w:r w:rsidR="00316CBA">
        <w:t>9.5</w:t>
      </w:r>
      <w:r w:rsidRPr="009F3652">
        <w:t>.3</w:t>
      </w:r>
      <w:r w:rsidR="009F3652">
        <w:t xml:space="preserve"> </w:t>
      </w:r>
      <w:r w:rsidR="0028017D" w:rsidRPr="0028017D">
        <w:t>Performance outcomes and acceptable outcomes</w:t>
      </w:r>
    </w:p>
    <w:p w14:paraId="67DD1F4A" w14:textId="77777777" w:rsidR="00C5003E" w:rsidRPr="009F3652" w:rsidRDefault="00C5003E" w:rsidP="00725E70">
      <w:pPr>
        <w:pStyle w:val="QPPTableHeadingStyle1"/>
      </w:pPr>
      <w:bookmarkStart w:id="1" w:name="table721953a"/>
      <w:r w:rsidRPr="009F3652">
        <w:t>Table 7.2.1</w:t>
      </w:r>
      <w:r w:rsidR="00316CBA">
        <w:t>9.5</w:t>
      </w:r>
      <w:r w:rsidRPr="009F3652">
        <w:t>.3.A—</w:t>
      </w:r>
      <w:r w:rsidR="0028017D" w:rsidRPr="0028017D">
        <w:t>Performance outcomes and acceptable outcomes</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4448"/>
      </w:tblGrid>
      <w:tr w:rsidR="00C5003E" w:rsidRPr="009F3652" w14:paraId="710CAC9E" w14:textId="77777777" w:rsidTr="00725E70">
        <w:tc>
          <w:tcPr>
            <w:tcW w:w="4077" w:type="dxa"/>
            <w:shd w:val="clear" w:color="auto" w:fill="auto"/>
          </w:tcPr>
          <w:bookmarkEnd w:id="1"/>
          <w:p w14:paraId="290643D5" w14:textId="77777777" w:rsidR="00C5003E" w:rsidRPr="00832E1C" w:rsidRDefault="00C5003E" w:rsidP="006C09BB">
            <w:pPr>
              <w:pStyle w:val="QPPTableTextBold"/>
            </w:pPr>
            <w:r w:rsidRPr="00832E1C">
              <w:t>Performance outcomes</w:t>
            </w:r>
          </w:p>
        </w:tc>
        <w:tc>
          <w:tcPr>
            <w:tcW w:w="4448" w:type="dxa"/>
            <w:shd w:val="clear" w:color="auto" w:fill="auto"/>
          </w:tcPr>
          <w:p w14:paraId="70651612" w14:textId="77777777" w:rsidR="00C5003E" w:rsidRPr="00832E1C" w:rsidRDefault="00C5003E" w:rsidP="006C09BB">
            <w:pPr>
              <w:pStyle w:val="QPPTableTextBold"/>
            </w:pPr>
            <w:r w:rsidRPr="00832E1C">
              <w:t>Acceptable outcomes</w:t>
            </w:r>
          </w:p>
        </w:tc>
      </w:tr>
      <w:tr w:rsidR="00C5003E" w:rsidRPr="009F3652" w14:paraId="59E8D824" w14:textId="77777777">
        <w:tc>
          <w:tcPr>
            <w:tcW w:w="8525" w:type="dxa"/>
            <w:gridSpan w:val="2"/>
            <w:shd w:val="clear" w:color="auto" w:fill="auto"/>
          </w:tcPr>
          <w:p w14:paraId="0E4721D0" w14:textId="2EA9E96D" w:rsidR="00C5003E" w:rsidRPr="00832E1C" w:rsidRDefault="00725B6D" w:rsidP="006C09BB">
            <w:pPr>
              <w:pStyle w:val="QPPTableTextBold"/>
            </w:pPr>
            <w:r w:rsidRPr="00832E1C">
              <w:t xml:space="preserve">If in the </w:t>
            </w:r>
            <w:r w:rsidRPr="00FA513A">
              <w:t>Principal centre zone</w:t>
            </w:r>
            <w:r w:rsidRPr="00832E1C">
              <w:t xml:space="preserve">, </w:t>
            </w:r>
            <w:r w:rsidRPr="00FA513A">
              <w:t>District centre zone</w:t>
            </w:r>
            <w:r w:rsidRPr="00832E1C">
              <w:t xml:space="preserve">, </w:t>
            </w:r>
            <w:r w:rsidRPr="00FA513A">
              <w:t>Mixed use zone</w:t>
            </w:r>
            <w:r w:rsidRPr="00832E1C">
              <w:t xml:space="preserve">, or </w:t>
            </w:r>
            <w:r w:rsidRPr="00FA513A">
              <w:t>Community facilities zone</w:t>
            </w:r>
          </w:p>
        </w:tc>
      </w:tr>
      <w:tr w:rsidR="00725B6D" w:rsidRPr="009F3652" w14:paraId="41C0928B" w14:textId="77777777" w:rsidTr="00083050">
        <w:trPr>
          <w:trHeight w:val="290"/>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54B8C407" w14:textId="77777777" w:rsidR="00725B6D" w:rsidRPr="00725B6D" w:rsidRDefault="00725B6D" w:rsidP="00083050">
            <w:pPr>
              <w:pStyle w:val="QPPTableTextBold"/>
            </w:pPr>
            <w:r w:rsidRPr="00725B6D">
              <w:t>PO1</w:t>
            </w:r>
          </w:p>
          <w:p w14:paraId="4F453069" w14:textId="77777777" w:rsidR="00725B6D" w:rsidRPr="00725B6D" w:rsidRDefault="00725B6D" w:rsidP="006C09BB">
            <w:pPr>
              <w:pStyle w:val="QPPTableTextBody"/>
            </w:pPr>
            <w:r w:rsidRPr="00725B6D">
              <w:t>Development is of a height, scale and form that achieves the intended outcome for the precinct, improves the amenity of the neighbourhood plan area, contributes to a cohesive streetscape and built form character and is:</w:t>
            </w:r>
          </w:p>
          <w:p w14:paraId="2C5F0D41" w14:textId="77777777" w:rsidR="00725B6D" w:rsidRPr="00725B6D" w:rsidRDefault="00725B6D" w:rsidP="00083050">
            <w:pPr>
              <w:pStyle w:val="HGTableBullet2"/>
            </w:pPr>
            <w:r w:rsidRPr="00725B6D">
              <w:t>consistent with anticipated density and assumed infrastructure demand;</w:t>
            </w:r>
          </w:p>
          <w:p w14:paraId="558C39AC" w14:textId="77777777" w:rsidR="00725B6D" w:rsidRPr="00725B6D" w:rsidRDefault="00725B6D" w:rsidP="00083050">
            <w:pPr>
              <w:pStyle w:val="HGTableBullet2"/>
            </w:pPr>
            <w:r w:rsidRPr="00725B6D">
              <w:t>aligned to community expectations about the number of storeys to be built;</w:t>
            </w:r>
          </w:p>
          <w:p w14:paraId="7F8D6B20" w14:textId="77777777" w:rsidR="00725B6D" w:rsidRPr="00725B6D" w:rsidRDefault="00725B6D" w:rsidP="00083050">
            <w:pPr>
              <w:pStyle w:val="HGTableBullet2"/>
            </w:pPr>
            <w:r w:rsidRPr="00725B6D">
              <w:t>proportionate and commensurate with the utility of the site area and frontage width;</w:t>
            </w:r>
          </w:p>
          <w:p w14:paraId="6F539D30" w14:textId="77777777" w:rsidR="00725B6D" w:rsidRPr="00725B6D" w:rsidRDefault="00725B6D" w:rsidP="00083050">
            <w:pPr>
              <w:pStyle w:val="HGTableBullet2"/>
            </w:pPr>
            <w:r w:rsidRPr="00725B6D">
              <w:t>designed to avoid significant and undue adverse amenity impact to adjoining development;</w:t>
            </w:r>
          </w:p>
          <w:p w14:paraId="75C2304C" w14:textId="77777777" w:rsidR="00725B6D" w:rsidRPr="00725B6D" w:rsidRDefault="00725B6D" w:rsidP="00083050">
            <w:pPr>
              <w:pStyle w:val="HGTableBullet2"/>
            </w:pPr>
            <w:r w:rsidRPr="00725B6D">
              <w:t>sited to enable existing and future buildings to be well separated from each other and to avoid affecting the potential development of an adjoining site.</w:t>
            </w:r>
          </w:p>
          <w:p w14:paraId="35C3C92C" w14:textId="77777777" w:rsidR="00725B6D" w:rsidRPr="00725B6D" w:rsidRDefault="00725B6D" w:rsidP="00083050">
            <w:pPr>
              <w:pStyle w:val="QPPEditorsNoteStyle1"/>
            </w:pPr>
            <w:r w:rsidRPr="00725B6D">
              <w:t xml:space="preserve">Note—Development that exceeds the intended number of storeys or building height can place disproportionate pressure on the transport network, public space or community facilities in particular. </w:t>
            </w:r>
          </w:p>
          <w:p w14:paraId="330976AD" w14:textId="77777777" w:rsidR="00725B6D" w:rsidRPr="00725B6D" w:rsidRDefault="00725B6D" w:rsidP="004C1592">
            <w:pPr>
              <w:pStyle w:val="QPPEditorsNoteStyle1"/>
            </w:pPr>
            <w:r w:rsidRPr="00725B6D">
              <w:t>Note—Development that is over-scaled for its site can result in an undesirable dominance of vehicle access, parking and manoeuvring areas that significantly reduce streetscape character and amenity.</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0D1A8E96" w14:textId="77777777" w:rsidR="00725B6D" w:rsidRPr="00832E1C" w:rsidRDefault="00725B6D" w:rsidP="006C09BB">
            <w:pPr>
              <w:pStyle w:val="QPPTableTextBold"/>
            </w:pPr>
            <w:r w:rsidRPr="00832E1C">
              <w:t>AO1</w:t>
            </w:r>
          </w:p>
          <w:p w14:paraId="4EDCCBC3" w14:textId="31786864" w:rsidR="00725B6D" w:rsidRPr="00832E1C" w:rsidRDefault="00725B6D" w:rsidP="006C09BB">
            <w:pPr>
              <w:pStyle w:val="QPPTableTextBody"/>
            </w:pPr>
            <w:r w:rsidRPr="00832E1C">
              <w:t xml:space="preserve">Development complies with the number of storeys in </w:t>
            </w:r>
            <w:r w:rsidRPr="00FA513A">
              <w:t>Table 7.2.19.5.3.C</w:t>
            </w:r>
            <w:r w:rsidRPr="00832E1C">
              <w:t>—Maximum building height and maximum tower site cover.</w:t>
            </w:r>
          </w:p>
          <w:p w14:paraId="0781C552" w14:textId="77777777" w:rsidR="00725B6D" w:rsidRPr="00832E1C" w:rsidRDefault="00725B6D" w:rsidP="00083050">
            <w:pPr>
              <w:pStyle w:val="QPPEditorsNoteStyle1"/>
            </w:pPr>
            <w:r w:rsidRPr="00832E1C">
              <w:t xml:space="preserve">Note—Neighbourhood plans will mostly specify the maximum number of storeys where zone outcomes have been varied in relation to building height. Some neighbourhood plans may also specify the height in metres. Development must comply with both parameters where maximum number of storeys and height in metres are specified. </w:t>
            </w:r>
          </w:p>
          <w:p w14:paraId="187B8739" w14:textId="77777777" w:rsidR="00725B6D" w:rsidRPr="00725B6D" w:rsidRDefault="00725B6D" w:rsidP="006C09BB">
            <w:pPr>
              <w:pStyle w:val="QPPTableTextBody"/>
              <w:rPr>
                <w:lang w:eastAsia="en-US"/>
              </w:rPr>
            </w:pPr>
          </w:p>
          <w:p w14:paraId="55FF6488" w14:textId="77777777" w:rsidR="00725B6D" w:rsidRPr="00725B6D" w:rsidRDefault="00725B6D" w:rsidP="006C09BB">
            <w:pPr>
              <w:pStyle w:val="QPPTableTextBold"/>
            </w:pPr>
          </w:p>
        </w:tc>
      </w:tr>
      <w:tr w:rsidR="00725B6D" w:rsidRPr="009F3652" w14:paraId="73385636" w14:textId="77777777" w:rsidTr="00083050">
        <w:trPr>
          <w:trHeight w:val="290"/>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13C2AFDF" w14:textId="77777777" w:rsidR="00725B6D" w:rsidRPr="00725B6D" w:rsidRDefault="00725B6D" w:rsidP="00083050">
            <w:pPr>
              <w:pStyle w:val="QPPTableTextBold"/>
            </w:pPr>
            <w:r w:rsidRPr="00725B6D">
              <w:t>PO2</w:t>
            </w:r>
          </w:p>
          <w:p w14:paraId="2EE1BB87" w14:textId="77777777" w:rsidR="00725B6D" w:rsidRPr="00725B6D" w:rsidRDefault="00725B6D" w:rsidP="006C09BB">
            <w:pPr>
              <w:pStyle w:val="QPPTableTextBody"/>
            </w:pPr>
            <w:r w:rsidRPr="00725B6D">
              <w:t>Development is designed to respond to its site context and setting and exhibits outstanding architectural merit.</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24E408C1" w14:textId="77777777" w:rsidR="00725B6D" w:rsidRPr="00725B6D" w:rsidRDefault="00725B6D" w:rsidP="006C09BB">
            <w:pPr>
              <w:pStyle w:val="QPPTableTextBold"/>
            </w:pPr>
            <w:r w:rsidRPr="00725B6D">
              <w:t>AO2</w:t>
            </w:r>
          </w:p>
          <w:p w14:paraId="5B309E5E" w14:textId="77777777" w:rsidR="00725B6D" w:rsidRPr="00725B6D" w:rsidRDefault="00725B6D" w:rsidP="006C09BB">
            <w:pPr>
              <w:pStyle w:val="QPPTableTextBody"/>
            </w:pPr>
            <w:r w:rsidRPr="00725B6D">
              <w:t>No acceptable outcome is prescribed.</w:t>
            </w:r>
          </w:p>
        </w:tc>
      </w:tr>
      <w:tr w:rsidR="00725B6D" w:rsidRPr="009F3652" w14:paraId="0D39E553" w14:textId="77777777" w:rsidTr="00725B6D">
        <w:trPr>
          <w:trHeight w:val="290"/>
        </w:trPr>
        <w:tc>
          <w:tcPr>
            <w:tcW w:w="4077" w:type="dxa"/>
            <w:vMerge w:val="restart"/>
            <w:shd w:val="clear" w:color="auto" w:fill="auto"/>
          </w:tcPr>
          <w:p w14:paraId="53503C31" w14:textId="77777777" w:rsidR="00725B6D" w:rsidRPr="00725B6D" w:rsidRDefault="00725B6D" w:rsidP="006C09BB">
            <w:pPr>
              <w:pStyle w:val="QPPTableTextBold"/>
            </w:pPr>
            <w:r w:rsidRPr="00725B6D">
              <w:t>PO3</w:t>
            </w:r>
          </w:p>
          <w:p w14:paraId="48221744" w14:textId="77777777" w:rsidR="00725B6D" w:rsidRPr="00725B6D" w:rsidRDefault="00725B6D" w:rsidP="006C09BB">
            <w:pPr>
              <w:pStyle w:val="QPPTableTextBody"/>
            </w:pPr>
            <w:r w:rsidRPr="00725B6D">
              <w:t>Development is of a scale and form that contributes to a cohesive streetscape and built form character, and:</w:t>
            </w:r>
          </w:p>
          <w:p w14:paraId="5EE36205" w14:textId="69B30FE3" w:rsidR="00725B6D" w:rsidRPr="00725B6D" w:rsidRDefault="00725B6D" w:rsidP="006C09BB">
            <w:pPr>
              <w:pStyle w:val="HGTableBullet2"/>
              <w:numPr>
                <w:ilvl w:val="0"/>
                <w:numId w:val="136"/>
              </w:numPr>
            </w:pPr>
            <w:r w:rsidRPr="00725B6D">
              <w:t xml:space="preserve">does not cause significant and undue adverse </w:t>
            </w:r>
            <w:r w:rsidRPr="00FA513A">
              <w:t>amenity</w:t>
            </w:r>
            <w:r w:rsidRPr="00725B6D">
              <w:t xml:space="preserve"> impacts to adjoining properties, or prejudice their development;</w:t>
            </w:r>
          </w:p>
          <w:p w14:paraId="54343D3F" w14:textId="77777777" w:rsidR="00725B6D" w:rsidRPr="00725B6D" w:rsidRDefault="00725B6D" w:rsidP="006C09BB">
            <w:pPr>
              <w:pStyle w:val="HGTableBullet2"/>
            </w:pPr>
            <w:r w:rsidRPr="00725B6D">
              <w:t>is sited and designed to enable existing and future buildings to be well separated from each other to allow for light penetration, air circulation between buildings, and the preservation of views, vistas and resident privacy;</w:t>
            </w:r>
          </w:p>
          <w:p w14:paraId="731E7526" w14:textId="2BD1F2CA" w:rsidR="00725B6D" w:rsidRPr="00725B6D" w:rsidRDefault="00725B6D" w:rsidP="006C09BB">
            <w:pPr>
              <w:pStyle w:val="HGTableBullet2"/>
            </w:pPr>
            <w:r w:rsidRPr="00725B6D">
              <w:t xml:space="preserve">protects the amenity of properties located in the </w:t>
            </w:r>
            <w:r w:rsidRPr="00FA513A">
              <w:t>Character residential zone</w:t>
            </w:r>
            <w:r w:rsidRPr="00725B6D">
              <w:t xml:space="preserve"> or </w:t>
            </w:r>
            <w:r w:rsidRPr="00FA513A">
              <w:t>Low medium density residential zone</w:t>
            </w:r>
            <w:r w:rsidRPr="00725B6D">
              <w:t>;</w:t>
            </w:r>
          </w:p>
          <w:p w14:paraId="728115C8" w14:textId="459709DC" w:rsidR="00725B6D" w:rsidRPr="00725B6D" w:rsidRDefault="00725B6D" w:rsidP="006C09BB">
            <w:pPr>
              <w:pStyle w:val="HGTableBullet2"/>
            </w:pPr>
            <w:r w:rsidRPr="00725B6D">
              <w:t xml:space="preserve">respects the existing built form of properties identified in the </w:t>
            </w:r>
            <w:r w:rsidRPr="00FA513A">
              <w:t>Heritage overlay</w:t>
            </w:r>
            <w:r w:rsidRPr="00725B6D">
              <w:t xml:space="preserve">, </w:t>
            </w:r>
            <w:r w:rsidRPr="00FA513A">
              <w:t>Pre-1911 building overlay</w:t>
            </w:r>
            <w:r w:rsidRPr="00725B6D">
              <w:t xml:space="preserve">, and the </w:t>
            </w:r>
            <w:r w:rsidRPr="00FA513A">
              <w:t>Commercial character building overlay</w:t>
            </w:r>
            <w:r w:rsidRPr="00725B6D">
              <w:t>.</w:t>
            </w:r>
          </w:p>
        </w:tc>
        <w:tc>
          <w:tcPr>
            <w:tcW w:w="4448" w:type="dxa"/>
            <w:tcBorders>
              <w:top w:val="single" w:sz="4" w:space="0" w:color="000000"/>
              <w:left w:val="single" w:sz="4" w:space="0" w:color="000000"/>
              <w:bottom w:val="single" w:sz="4" w:space="0" w:color="auto"/>
              <w:right w:val="single" w:sz="4" w:space="0" w:color="000000"/>
            </w:tcBorders>
          </w:tcPr>
          <w:p w14:paraId="5D2D97E9" w14:textId="77777777" w:rsidR="00725B6D" w:rsidRPr="00725B6D" w:rsidRDefault="00725B6D" w:rsidP="006C09BB">
            <w:pPr>
              <w:pStyle w:val="QPPTableTextBold"/>
            </w:pPr>
            <w:r w:rsidRPr="00725B6D">
              <w:t>AO3.1</w:t>
            </w:r>
          </w:p>
          <w:p w14:paraId="3929A208" w14:textId="255D7983" w:rsidR="00725B6D" w:rsidRPr="00725B6D" w:rsidRDefault="00725B6D" w:rsidP="006C09BB">
            <w:pPr>
              <w:pStyle w:val="QPPTableTextBody"/>
            </w:pPr>
            <w:r w:rsidRPr="00725B6D">
              <w:t xml:space="preserve">Development ensures setbacks are in accordance with </w:t>
            </w:r>
            <w:r w:rsidRPr="00FA513A">
              <w:t>Table 7.2.19.5.3.D</w:t>
            </w:r>
            <w:r w:rsidRPr="00725B6D">
              <w:t xml:space="preserve">—Boundary setback requirements. </w:t>
            </w:r>
          </w:p>
        </w:tc>
      </w:tr>
      <w:tr w:rsidR="00725B6D" w:rsidRPr="009F3652" w14:paraId="59E0991F" w14:textId="77777777" w:rsidTr="00725B6D">
        <w:trPr>
          <w:trHeight w:val="290"/>
        </w:trPr>
        <w:tc>
          <w:tcPr>
            <w:tcW w:w="4077" w:type="dxa"/>
            <w:vMerge/>
            <w:shd w:val="clear" w:color="auto" w:fill="auto"/>
          </w:tcPr>
          <w:p w14:paraId="011F6185" w14:textId="77777777" w:rsidR="00725B6D" w:rsidRPr="00725B6D" w:rsidRDefault="00725B6D" w:rsidP="006C09BB">
            <w:pPr>
              <w:pStyle w:val="QPPTableTextBody"/>
            </w:pPr>
          </w:p>
        </w:tc>
        <w:tc>
          <w:tcPr>
            <w:tcW w:w="4448" w:type="dxa"/>
            <w:tcBorders>
              <w:top w:val="single" w:sz="4" w:space="0" w:color="auto"/>
              <w:left w:val="single" w:sz="4" w:space="0" w:color="000000"/>
              <w:bottom w:val="single" w:sz="4" w:space="0" w:color="000000"/>
              <w:right w:val="single" w:sz="4" w:space="0" w:color="000000"/>
            </w:tcBorders>
          </w:tcPr>
          <w:p w14:paraId="2BECDFEB" w14:textId="77777777" w:rsidR="00725B6D" w:rsidRPr="00725B6D" w:rsidRDefault="00725B6D" w:rsidP="006C09BB">
            <w:pPr>
              <w:pStyle w:val="QPPTableTextBold"/>
            </w:pPr>
            <w:r w:rsidRPr="00725B6D">
              <w:t>AO3.2</w:t>
            </w:r>
          </w:p>
          <w:p w14:paraId="3957017B" w14:textId="652D5CED" w:rsidR="00725B6D" w:rsidRPr="00725B6D" w:rsidRDefault="00725B6D" w:rsidP="006C09BB">
            <w:pPr>
              <w:pStyle w:val="QPPTableTextBody"/>
            </w:pPr>
            <w:r w:rsidRPr="00725B6D">
              <w:t xml:space="preserve">Development has a maximum tower site cover in accordance with </w:t>
            </w:r>
            <w:r w:rsidRPr="00FA513A">
              <w:t>Table 7.2.19.5.3.C</w:t>
            </w:r>
            <w:r w:rsidRPr="00725B6D">
              <w:t xml:space="preserve">—Maximum building height and maximum tower site cover. </w:t>
            </w:r>
          </w:p>
        </w:tc>
      </w:tr>
      <w:tr w:rsidR="00725B6D" w:rsidRPr="009F3652" w14:paraId="5ED5700B" w14:textId="77777777" w:rsidTr="00725E70">
        <w:trPr>
          <w:trHeight w:val="290"/>
        </w:trPr>
        <w:tc>
          <w:tcPr>
            <w:tcW w:w="4077" w:type="dxa"/>
            <w:vMerge w:val="restart"/>
            <w:shd w:val="clear" w:color="auto" w:fill="auto"/>
          </w:tcPr>
          <w:p w14:paraId="185F1CB8" w14:textId="77777777" w:rsidR="00725B6D" w:rsidRPr="00725B6D" w:rsidRDefault="00725B6D" w:rsidP="006C09BB">
            <w:pPr>
              <w:pStyle w:val="QPPTableTextBold"/>
            </w:pPr>
            <w:r w:rsidRPr="00725B6D">
              <w:t>PO4</w:t>
            </w:r>
          </w:p>
          <w:p w14:paraId="13DD8C3F" w14:textId="68C0F80A" w:rsidR="00725B6D" w:rsidRPr="00725B6D" w:rsidRDefault="00725B6D" w:rsidP="006C09BB">
            <w:pPr>
              <w:pStyle w:val="QPPTableTextBody"/>
            </w:pPr>
            <w:r w:rsidRPr="00725B6D">
              <w:t xml:space="preserve">Development in the </w:t>
            </w:r>
            <w:r w:rsidRPr="00FA513A">
              <w:t>Principal centre zone</w:t>
            </w:r>
            <w:r w:rsidRPr="00725B6D">
              <w:t xml:space="preserve">, or </w:t>
            </w:r>
            <w:r w:rsidRPr="00FA513A">
              <w:t>District centre zone</w:t>
            </w:r>
            <w:r w:rsidRPr="00725B6D">
              <w:t xml:space="preserve">, or </w:t>
            </w:r>
            <w:r w:rsidRPr="00FA513A">
              <w:t>Mixed use zone</w:t>
            </w:r>
            <w:r w:rsidRPr="00725B6D">
              <w:t xml:space="preserve"> incorporates a street building with a façade treatment that is designed to:</w:t>
            </w:r>
          </w:p>
          <w:p w14:paraId="355A18B7" w14:textId="77777777" w:rsidR="00725B6D" w:rsidRPr="00725B6D" w:rsidRDefault="00725B6D" w:rsidP="006C09BB">
            <w:pPr>
              <w:pStyle w:val="HGTableBullet2"/>
              <w:numPr>
                <w:ilvl w:val="0"/>
                <w:numId w:val="137"/>
              </w:numPr>
            </w:pPr>
            <w:r w:rsidRPr="00725B6D">
              <w:t>address and activate the street and any adjacent publicly accessible space with a high level of permeability, landscaping, shade and shelter;</w:t>
            </w:r>
          </w:p>
          <w:p w14:paraId="5C72F76D" w14:textId="77777777" w:rsidR="00725B6D" w:rsidRPr="00725B6D" w:rsidRDefault="00725B6D" w:rsidP="006C09BB">
            <w:pPr>
              <w:pStyle w:val="HGTableBullet2"/>
            </w:pPr>
            <w:r w:rsidRPr="00725B6D">
              <w:t>contribute to an attractive streetscape;</w:t>
            </w:r>
          </w:p>
          <w:p w14:paraId="418AED5C" w14:textId="77777777" w:rsidR="00725B6D" w:rsidRPr="00725B6D" w:rsidRDefault="00725B6D" w:rsidP="006C09BB">
            <w:pPr>
              <w:pStyle w:val="HGTableBullet2"/>
            </w:pPr>
            <w:r w:rsidRPr="00725B6D">
              <w:t>create a smooth transition from indoors to outdoors;</w:t>
            </w:r>
          </w:p>
          <w:p w14:paraId="09C0B752" w14:textId="77777777" w:rsidR="00725B6D" w:rsidRPr="009F3652" w:rsidRDefault="00725B6D" w:rsidP="006C09BB">
            <w:pPr>
              <w:pStyle w:val="HGTableBullet2"/>
            </w:pPr>
            <w:r w:rsidRPr="00725B6D">
              <w:t>respond to the subtropical climate by opening up to the elements while providing shade and comfort.</w:t>
            </w:r>
          </w:p>
        </w:tc>
        <w:tc>
          <w:tcPr>
            <w:tcW w:w="4448" w:type="dxa"/>
            <w:shd w:val="clear" w:color="auto" w:fill="auto"/>
          </w:tcPr>
          <w:p w14:paraId="4145708C" w14:textId="77777777" w:rsidR="00725B6D" w:rsidRPr="00725B6D" w:rsidRDefault="00725B6D" w:rsidP="006C09BB">
            <w:pPr>
              <w:pStyle w:val="QPPTableTextBold"/>
            </w:pPr>
            <w:r w:rsidRPr="00725B6D">
              <w:t>AO4.1</w:t>
            </w:r>
          </w:p>
          <w:p w14:paraId="1FFB87B3" w14:textId="72C85A5B" w:rsidR="00725B6D" w:rsidRPr="00725B6D" w:rsidRDefault="00725B6D" w:rsidP="006C09BB">
            <w:pPr>
              <w:pStyle w:val="QPPTableTextBody"/>
            </w:pPr>
            <w:r w:rsidRPr="00725B6D">
              <w:t xml:space="preserve">Development in the </w:t>
            </w:r>
            <w:r w:rsidR="00A9386A" w:rsidRPr="00FA513A">
              <w:t>Principal centre zone</w:t>
            </w:r>
            <w:r w:rsidRPr="00725B6D">
              <w:t xml:space="preserve">, or </w:t>
            </w:r>
            <w:r w:rsidR="00A9386A" w:rsidRPr="00FA513A">
              <w:t>District centre zone</w:t>
            </w:r>
            <w:r w:rsidRPr="00725B6D">
              <w:t xml:space="preserve">, or </w:t>
            </w:r>
            <w:r w:rsidR="00A9386A" w:rsidRPr="00FA513A">
              <w:t>Mixed use zone</w:t>
            </w:r>
            <w:r w:rsidRPr="00725B6D">
              <w:t xml:space="preserve"> includes a building form that incorporates a street building.</w:t>
            </w:r>
          </w:p>
          <w:p w14:paraId="0F919388" w14:textId="18495692" w:rsidR="00725B6D" w:rsidRDefault="00725B6D" w:rsidP="006C09BB">
            <w:pPr>
              <w:pStyle w:val="QPPTableTextBody"/>
            </w:pPr>
            <w:r w:rsidRPr="00725B6D">
              <w:t xml:space="preserve">Refer to </w:t>
            </w:r>
            <w:r w:rsidRPr="00FA513A">
              <w:t>Figure c</w:t>
            </w:r>
            <w:r w:rsidRPr="00725B6D">
              <w:t xml:space="preserve"> for guidance.</w:t>
            </w:r>
          </w:p>
        </w:tc>
      </w:tr>
      <w:tr w:rsidR="00725B6D" w:rsidRPr="009F3652" w14:paraId="60EF28E9" w14:textId="77777777" w:rsidTr="00725E70">
        <w:trPr>
          <w:trHeight w:val="290"/>
        </w:trPr>
        <w:tc>
          <w:tcPr>
            <w:tcW w:w="4077" w:type="dxa"/>
            <w:vMerge/>
            <w:shd w:val="clear" w:color="auto" w:fill="auto"/>
          </w:tcPr>
          <w:p w14:paraId="3D383335" w14:textId="77777777" w:rsidR="00725B6D" w:rsidRPr="009F3652" w:rsidRDefault="00725B6D" w:rsidP="006C09BB">
            <w:pPr>
              <w:pStyle w:val="QPPTableTextBody"/>
            </w:pPr>
          </w:p>
        </w:tc>
        <w:tc>
          <w:tcPr>
            <w:tcW w:w="4448" w:type="dxa"/>
            <w:shd w:val="clear" w:color="auto" w:fill="auto"/>
          </w:tcPr>
          <w:p w14:paraId="30115098" w14:textId="77777777" w:rsidR="00725B6D" w:rsidRPr="00725B6D" w:rsidRDefault="00725B6D" w:rsidP="006C09BB">
            <w:pPr>
              <w:pStyle w:val="QPPTableTextBold"/>
            </w:pPr>
            <w:bookmarkStart w:id="2" w:name="AO42"/>
            <w:r w:rsidRPr="00725B6D">
              <w:t>AO4.2</w:t>
            </w:r>
          </w:p>
          <w:bookmarkEnd w:id="2"/>
          <w:p w14:paraId="234DB6FB" w14:textId="77777777" w:rsidR="00725B6D" w:rsidRPr="00725B6D" w:rsidRDefault="00725B6D" w:rsidP="006C09BB">
            <w:pPr>
              <w:pStyle w:val="QPPTableTextBody"/>
            </w:pPr>
            <w:r w:rsidRPr="00725B6D">
              <w:t>Development has a maximum street building height in accordance with the following:</w:t>
            </w:r>
          </w:p>
          <w:p w14:paraId="777173E7" w14:textId="78000C07" w:rsidR="00725B6D" w:rsidRPr="00725B6D" w:rsidRDefault="00725B6D" w:rsidP="006C09BB">
            <w:pPr>
              <w:pStyle w:val="HGTableBullet2"/>
              <w:numPr>
                <w:ilvl w:val="0"/>
                <w:numId w:val="138"/>
              </w:numPr>
            </w:pPr>
            <w:r w:rsidRPr="00725B6D">
              <w:t xml:space="preserve">if in the </w:t>
            </w:r>
            <w:r w:rsidR="00A9386A" w:rsidRPr="00FA513A">
              <w:t>Principal centre zone</w:t>
            </w:r>
            <w:r w:rsidRPr="00725B6D">
              <w:t>, no greater than 3 storeys; or</w:t>
            </w:r>
          </w:p>
          <w:p w14:paraId="56785203" w14:textId="183ACC4B" w:rsidR="00725B6D" w:rsidRDefault="00725B6D" w:rsidP="006C09BB">
            <w:pPr>
              <w:pStyle w:val="HGTableBullet2"/>
            </w:pPr>
            <w:r w:rsidRPr="00725B6D">
              <w:t xml:space="preserve">if in the </w:t>
            </w:r>
            <w:r w:rsidR="00A9386A" w:rsidRPr="00FA513A">
              <w:t>District centre zone</w:t>
            </w:r>
            <w:r w:rsidRPr="00725B6D">
              <w:t xml:space="preserve"> or </w:t>
            </w:r>
            <w:r w:rsidR="00A9386A" w:rsidRPr="00FA513A">
              <w:t>Mixed use zone</w:t>
            </w:r>
            <w:r w:rsidRPr="00725B6D">
              <w:t>, no greater than 2 storeys.</w:t>
            </w:r>
          </w:p>
        </w:tc>
      </w:tr>
      <w:tr w:rsidR="00725B6D" w:rsidRPr="009F3652" w14:paraId="41966F95" w14:textId="77777777" w:rsidTr="00725E70">
        <w:trPr>
          <w:trHeight w:val="290"/>
        </w:trPr>
        <w:tc>
          <w:tcPr>
            <w:tcW w:w="4077" w:type="dxa"/>
            <w:vMerge/>
            <w:shd w:val="clear" w:color="auto" w:fill="auto"/>
          </w:tcPr>
          <w:p w14:paraId="52015B18" w14:textId="77777777" w:rsidR="00725B6D" w:rsidRPr="009F3652" w:rsidRDefault="00725B6D" w:rsidP="006C09BB">
            <w:pPr>
              <w:pStyle w:val="QPPTableTextBody"/>
            </w:pPr>
          </w:p>
        </w:tc>
        <w:tc>
          <w:tcPr>
            <w:tcW w:w="4448" w:type="dxa"/>
            <w:shd w:val="clear" w:color="auto" w:fill="auto"/>
          </w:tcPr>
          <w:p w14:paraId="19108981" w14:textId="77777777" w:rsidR="00725B6D" w:rsidRPr="00725B6D" w:rsidRDefault="00725B6D" w:rsidP="006C09BB">
            <w:pPr>
              <w:pStyle w:val="QPPTableTextBold"/>
            </w:pPr>
            <w:r w:rsidRPr="00725B6D">
              <w:t>AO4.3</w:t>
            </w:r>
          </w:p>
          <w:p w14:paraId="2A77CEEA" w14:textId="77777777" w:rsidR="00725B6D" w:rsidRPr="00725B6D" w:rsidRDefault="00725B6D" w:rsidP="006C09BB">
            <w:pPr>
              <w:pStyle w:val="QPPTableTextBody"/>
            </w:pPr>
            <w:r w:rsidRPr="00725B6D">
              <w:t>Development of a street building incorporates:</w:t>
            </w:r>
          </w:p>
          <w:p w14:paraId="5149B190" w14:textId="77777777" w:rsidR="00725B6D" w:rsidRPr="00725B6D" w:rsidRDefault="00725B6D" w:rsidP="006C09BB">
            <w:pPr>
              <w:pStyle w:val="HGTableBullet2"/>
              <w:numPr>
                <w:ilvl w:val="0"/>
                <w:numId w:val="139"/>
              </w:numPr>
            </w:pPr>
            <w:r w:rsidRPr="00725B6D">
              <w:t>balconies, openings and louvres to create a high degree of permeability that allow building occupants to overlook the street and any adjacent publicly accessible space;</w:t>
            </w:r>
          </w:p>
          <w:p w14:paraId="132DB0E4" w14:textId="77777777" w:rsidR="00725B6D" w:rsidRPr="00725B6D" w:rsidRDefault="00725B6D" w:rsidP="006C09BB">
            <w:pPr>
              <w:pStyle w:val="HGTableBullet2"/>
            </w:pPr>
            <w:r w:rsidRPr="00725B6D">
              <w:t>outdoor spaces that allow building occupants to access open air;</w:t>
            </w:r>
          </w:p>
          <w:p w14:paraId="5AE7CA8E" w14:textId="77777777" w:rsidR="00725B6D" w:rsidRPr="00725B6D" w:rsidRDefault="00725B6D" w:rsidP="006C09BB">
            <w:pPr>
              <w:pStyle w:val="HGTableBullet2"/>
            </w:pPr>
            <w:r w:rsidRPr="00725B6D">
              <w:t>vertical landscaping, shade structures, and articulation that provide shade and shelter for pedestrians on the street and the building.</w:t>
            </w:r>
          </w:p>
          <w:p w14:paraId="09529E7A" w14:textId="234F53E4" w:rsidR="00725B6D" w:rsidRPr="00462571" w:rsidRDefault="00725B6D" w:rsidP="00462571">
            <w:pPr>
              <w:pStyle w:val="QPPTableTextBody"/>
            </w:pPr>
            <w:r w:rsidRPr="00462571">
              <w:t xml:space="preserve">Refer to </w:t>
            </w:r>
            <w:r w:rsidRPr="00FA513A">
              <w:t>Figure c</w:t>
            </w:r>
            <w:r w:rsidRPr="00462571">
              <w:t xml:space="preserve"> for guidance.</w:t>
            </w:r>
          </w:p>
        </w:tc>
      </w:tr>
      <w:tr w:rsidR="00725B6D" w:rsidRPr="009F3652" w14:paraId="3D5C2CC3" w14:textId="77777777" w:rsidTr="00725E70">
        <w:trPr>
          <w:trHeight w:val="290"/>
        </w:trPr>
        <w:tc>
          <w:tcPr>
            <w:tcW w:w="4077" w:type="dxa"/>
            <w:shd w:val="clear" w:color="auto" w:fill="auto"/>
          </w:tcPr>
          <w:p w14:paraId="434388FC" w14:textId="77777777" w:rsidR="00725B6D" w:rsidRPr="00725B6D" w:rsidRDefault="00725B6D" w:rsidP="00083050">
            <w:pPr>
              <w:pStyle w:val="QPPTableTextBold"/>
            </w:pPr>
            <w:r w:rsidRPr="00725B6D">
              <w:t>PO5</w:t>
            </w:r>
          </w:p>
          <w:p w14:paraId="10EB0DEE" w14:textId="77777777" w:rsidR="00725B6D" w:rsidRPr="00725B6D" w:rsidRDefault="00725B6D" w:rsidP="006C09BB">
            <w:pPr>
              <w:pStyle w:val="QPPTableTextBody"/>
            </w:pPr>
            <w:r w:rsidRPr="00725B6D">
              <w:t>Development exhibits best practice subtropical design and presents a highly landscaped environment, including:</w:t>
            </w:r>
          </w:p>
          <w:p w14:paraId="248229E5" w14:textId="77777777" w:rsidR="00725B6D" w:rsidRPr="00725B6D" w:rsidRDefault="00725B6D" w:rsidP="00083050">
            <w:pPr>
              <w:pStyle w:val="HGTableBullet2"/>
              <w:numPr>
                <w:ilvl w:val="0"/>
                <w:numId w:val="140"/>
              </w:numPr>
            </w:pPr>
            <w:r w:rsidRPr="00725B6D">
              <w:t>landscaping and outdoor spaces that make the most of Brisbane’s subtropical climate, while mitigating heat;</w:t>
            </w:r>
          </w:p>
          <w:p w14:paraId="308E0624" w14:textId="77777777" w:rsidR="00725B6D" w:rsidRPr="00725B6D" w:rsidRDefault="00725B6D" w:rsidP="006C09BB">
            <w:pPr>
              <w:pStyle w:val="HGTableBullet2"/>
              <w:numPr>
                <w:ilvl w:val="0"/>
                <w:numId w:val="140"/>
              </w:numPr>
            </w:pPr>
            <w:r w:rsidRPr="006C09BB">
              <w:rPr>
                <w:rFonts w:eastAsia="Calibri"/>
              </w:rPr>
              <w:t>landscaped subtropical spaces and water features on ground levels, roofs, balconies, terraces, and edges of buildings.</w:t>
            </w:r>
          </w:p>
        </w:tc>
        <w:tc>
          <w:tcPr>
            <w:tcW w:w="4448" w:type="dxa"/>
            <w:shd w:val="clear" w:color="auto" w:fill="auto"/>
          </w:tcPr>
          <w:p w14:paraId="538E65A6" w14:textId="77777777" w:rsidR="00725B6D" w:rsidRPr="00725B6D" w:rsidRDefault="00725B6D" w:rsidP="006C09BB">
            <w:pPr>
              <w:pStyle w:val="QPPTableTextBold"/>
              <w:rPr>
                <w:rFonts w:eastAsia="Calibri"/>
              </w:rPr>
            </w:pPr>
            <w:r w:rsidRPr="00725B6D">
              <w:t>AO5</w:t>
            </w:r>
          </w:p>
          <w:p w14:paraId="18DE7197" w14:textId="77777777" w:rsidR="00725B6D" w:rsidRPr="00725B6D" w:rsidRDefault="00725B6D" w:rsidP="006C09BB">
            <w:pPr>
              <w:pStyle w:val="QPPTableTextBody"/>
            </w:pPr>
            <w:r w:rsidRPr="00725B6D">
              <w:t xml:space="preserve">Development provides landscaped outdoor spaces equivalent to </w:t>
            </w:r>
            <w:r w:rsidR="00884F36">
              <w:t>a minimum 30% of the site area.</w:t>
            </w:r>
          </w:p>
          <w:p w14:paraId="28B870FE" w14:textId="77777777" w:rsidR="00725B6D" w:rsidRPr="00725B6D" w:rsidRDefault="00725B6D" w:rsidP="004C1592">
            <w:pPr>
              <w:pStyle w:val="QPPEditorsNoteStyle1"/>
            </w:pPr>
            <w:r w:rsidRPr="00725B6D">
              <w:t>Note—Outdoor space does not include spaces where more than 70% of the perimeter is enclosed, or balconies that are less than 12m</w:t>
            </w:r>
            <w:r w:rsidRPr="005C5EB3">
              <w:rPr>
                <w:vertAlign w:val="superscript"/>
              </w:rPr>
              <w:t>2</w:t>
            </w:r>
            <w:r w:rsidRPr="00725B6D">
              <w:t>.</w:t>
            </w:r>
          </w:p>
          <w:p w14:paraId="46D39086" w14:textId="77777777" w:rsidR="00725B6D" w:rsidRPr="00725B6D" w:rsidRDefault="00725B6D" w:rsidP="006C09BB">
            <w:pPr>
              <w:pStyle w:val="QPPTableTextBody"/>
            </w:pPr>
          </w:p>
        </w:tc>
      </w:tr>
      <w:tr w:rsidR="00725B6D" w:rsidRPr="009F3652" w14:paraId="2665914F" w14:textId="77777777" w:rsidTr="00083050">
        <w:trPr>
          <w:trHeight w:val="290"/>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142E04A4" w14:textId="77777777" w:rsidR="00725B6D" w:rsidRPr="00725B6D" w:rsidRDefault="00725B6D" w:rsidP="00083050">
            <w:pPr>
              <w:pStyle w:val="QPPTableTextBold"/>
            </w:pPr>
            <w:r w:rsidRPr="00725B6D">
              <w:t>PO6</w:t>
            </w:r>
          </w:p>
          <w:p w14:paraId="4474CC36" w14:textId="77777777" w:rsidR="00725B6D" w:rsidRPr="00725B6D" w:rsidRDefault="00725B6D" w:rsidP="006C09BB">
            <w:pPr>
              <w:pStyle w:val="QPPTableTextBody"/>
            </w:pPr>
            <w:r w:rsidRPr="00725B6D">
              <w:rPr>
                <w:rFonts w:eastAsia="Calibri"/>
              </w:rPr>
              <w:t>Development exhibits best-practice climate responsive design, including orientation, to mitigate heat and reduce the need for mechanical heating, cooling and lighting.</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4FCB1C24" w14:textId="77777777" w:rsidR="00725B6D" w:rsidRPr="00725B6D" w:rsidRDefault="00725B6D" w:rsidP="006C09BB">
            <w:pPr>
              <w:pStyle w:val="QPPTableTextBold"/>
              <w:rPr>
                <w:rFonts w:eastAsia="Calibri"/>
              </w:rPr>
            </w:pPr>
            <w:r w:rsidRPr="00725B6D">
              <w:t>AO6</w:t>
            </w:r>
          </w:p>
          <w:p w14:paraId="3E0379D4" w14:textId="77777777" w:rsidR="00725B6D" w:rsidRPr="00725B6D" w:rsidRDefault="00725B6D" w:rsidP="006C09BB">
            <w:pPr>
              <w:pStyle w:val="QPPTableTextBody"/>
            </w:pPr>
            <w:r w:rsidRPr="00725B6D">
              <w:t>No acceptable outcome is prescribed.</w:t>
            </w:r>
          </w:p>
        </w:tc>
      </w:tr>
      <w:tr w:rsidR="00725B6D" w:rsidRPr="009F3652" w14:paraId="147DA795" w14:textId="77777777" w:rsidTr="00083050">
        <w:trPr>
          <w:trHeight w:val="290"/>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21844EA1" w14:textId="77777777" w:rsidR="00725B6D" w:rsidRPr="00725B6D" w:rsidRDefault="00725B6D" w:rsidP="00083050">
            <w:pPr>
              <w:pStyle w:val="QPPTableTextBold"/>
            </w:pPr>
            <w:r w:rsidRPr="00725B6D">
              <w:t>PO7</w:t>
            </w:r>
          </w:p>
          <w:p w14:paraId="6BC9428A" w14:textId="2862BED6" w:rsidR="00725B6D" w:rsidRPr="00725B6D" w:rsidRDefault="00725B6D" w:rsidP="00083050">
            <w:pPr>
              <w:pStyle w:val="QPPTableTextBody"/>
            </w:pPr>
            <w:r w:rsidRPr="00725B6D">
              <w:t xml:space="preserve">Development provides a landscape buffer within the setback area of a special boundary identified on </w:t>
            </w:r>
            <w:r w:rsidRPr="00FA513A">
              <w:t>Figure b</w:t>
            </w:r>
            <w:r w:rsidRPr="00725B6D">
              <w:t xml:space="preserve"> to facilitate:</w:t>
            </w:r>
          </w:p>
          <w:p w14:paraId="230A8FFC" w14:textId="77777777" w:rsidR="00725B6D" w:rsidRPr="00725B6D" w:rsidRDefault="00725B6D" w:rsidP="00083050">
            <w:pPr>
              <w:pStyle w:val="HGTableBullet2"/>
              <w:numPr>
                <w:ilvl w:val="0"/>
                <w:numId w:val="141"/>
              </w:numPr>
            </w:pPr>
            <w:r w:rsidRPr="00725B6D">
              <w:t>visual privacy to and between sites;</w:t>
            </w:r>
          </w:p>
          <w:p w14:paraId="67428718" w14:textId="77777777" w:rsidR="00725B6D" w:rsidRPr="00725B6D" w:rsidRDefault="00725B6D" w:rsidP="00083050">
            <w:pPr>
              <w:pStyle w:val="HGTableBullet2"/>
            </w:pPr>
            <w:r w:rsidRPr="00725B6D">
              <w:t>visual amenity;</w:t>
            </w:r>
          </w:p>
          <w:p w14:paraId="7E4587AB" w14:textId="77777777" w:rsidR="00725B6D" w:rsidRPr="00725B6D" w:rsidRDefault="00725B6D" w:rsidP="00083050">
            <w:pPr>
              <w:pStyle w:val="HGTableBullet2"/>
            </w:pPr>
            <w:r w:rsidRPr="00725B6D">
              <w:t>shading and occupant amenity;</w:t>
            </w:r>
          </w:p>
          <w:p w14:paraId="4C72B729" w14:textId="77777777" w:rsidR="00725B6D" w:rsidRPr="00725B6D" w:rsidRDefault="00725B6D" w:rsidP="006C09BB">
            <w:pPr>
              <w:pStyle w:val="HGTableBullet2"/>
            </w:pPr>
            <w:r w:rsidRPr="00725B6D">
              <w:t>appropriate transition to adjoining character housing.</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67E98C77" w14:textId="77777777" w:rsidR="00725B6D" w:rsidRPr="00725B6D" w:rsidRDefault="00725B6D" w:rsidP="006C09BB">
            <w:pPr>
              <w:pStyle w:val="QPPTableTextBold"/>
            </w:pPr>
            <w:r w:rsidRPr="00725B6D">
              <w:t>AO7</w:t>
            </w:r>
          </w:p>
          <w:p w14:paraId="05BE92A4" w14:textId="77777777" w:rsidR="00725B6D" w:rsidRPr="00725B6D" w:rsidRDefault="00725B6D" w:rsidP="006C09BB">
            <w:pPr>
              <w:pStyle w:val="QPPTableTextBody"/>
            </w:pPr>
            <w:r w:rsidRPr="00725B6D">
              <w:t>No acceptable outcome is prescribed.</w:t>
            </w:r>
          </w:p>
          <w:p w14:paraId="7B0C5625" w14:textId="77777777" w:rsidR="00725B6D" w:rsidRPr="00725B6D" w:rsidRDefault="00725B6D" w:rsidP="006C09BB">
            <w:pPr>
              <w:pStyle w:val="QPPTableTextBody"/>
            </w:pPr>
          </w:p>
          <w:p w14:paraId="2351CEF7" w14:textId="77777777" w:rsidR="00725B6D" w:rsidRPr="00725B6D" w:rsidRDefault="00725B6D" w:rsidP="006C09BB">
            <w:pPr>
              <w:pStyle w:val="QPPTableTextBody"/>
            </w:pPr>
          </w:p>
        </w:tc>
      </w:tr>
      <w:tr w:rsidR="00725B6D" w:rsidRPr="009F3652" w14:paraId="22052601" w14:textId="77777777" w:rsidTr="00725B6D">
        <w:trPr>
          <w:trHeight w:val="290"/>
        </w:trPr>
        <w:tc>
          <w:tcPr>
            <w:tcW w:w="8525" w:type="dxa"/>
            <w:gridSpan w:val="2"/>
            <w:shd w:val="clear" w:color="auto" w:fill="auto"/>
          </w:tcPr>
          <w:p w14:paraId="3392CE67" w14:textId="7EB725C0" w:rsidR="00725B6D" w:rsidRDefault="00725B6D" w:rsidP="006C09BB">
            <w:pPr>
              <w:pStyle w:val="QPPTableTextBold"/>
            </w:pPr>
            <w:r w:rsidRPr="00725B6D">
              <w:br w:type="page"/>
              <w:t xml:space="preserve">Additional criteria if in the Major health care zone precinct of the </w:t>
            </w:r>
            <w:r w:rsidRPr="00FA513A">
              <w:t>Community facilities zone</w:t>
            </w:r>
          </w:p>
        </w:tc>
      </w:tr>
      <w:tr w:rsidR="00725B6D" w:rsidRPr="009F3652" w14:paraId="4F83E6E6" w14:textId="77777777" w:rsidTr="00725E70">
        <w:trPr>
          <w:trHeight w:val="290"/>
        </w:trPr>
        <w:tc>
          <w:tcPr>
            <w:tcW w:w="4077" w:type="dxa"/>
            <w:shd w:val="clear" w:color="auto" w:fill="auto"/>
          </w:tcPr>
          <w:p w14:paraId="3A8FAD02" w14:textId="77777777" w:rsidR="00725B6D" w:rsidRPr="00725B6D" w:rsidRDefault="00725B6D" w:rsidP="00083050">
            <w:pPr>
              <w:pStyle w:val="QPPTableTextBold"/>
            </w:pPr>
            <w:r w:rsidRPr="00725B6D">
              <w:t>PO8</w:t>
            </w:r>
          </w:p>
          <w:p w14:paraId="34ED0BDB" w14:textId="77777777" w:rsidR="00725B6D" w:rsidRPr="00725B6D" w:rsidRDefault="00725B6D" w:rsidP="006C09BB">
            <w:pPr>
              <w:pStyle w:val="QPPTableTextBody"/>
            </w:pPr>
            <w:r w:rsidRPr="00725B6D">
              <w:t>Development of the lower 2 storeys of the building:</w:t>
            </w:r>
          </w:p>
          <w:p w14:paraId="04EC9A24" w14:textId="77777777" w:rsidR="00725B6D" w:rsidRPr="00725B6D" w:rsidRDefault="00725B6D" w:rsidP="00083050">
            <w:pPr>
              <w:pStyle w:val="HGTableBullet2"/>
              <w:numPr>
                <w:ilvl w:val="0"/>
                <w:numId w:val="142"/>
              </w:numPr>
            </w:pPr>
            <w:r w:rsidRPr="00725B6D">
              <w:t>exhibits a human-scale, having regard to the characteristics of surrounding development;</w:t>
            </w:r>
          </w:p>
          <w:p w14:paraId="03E218CB" w14:textId="77777777" w:rsidR="00725B6D" w:rsidRPr="00725B6D" w:rsidRDefault="00725B6D" w:rsidP="006C09BB">
            <w:pPr>
              <w:pStyle w:val="HGTableBullet2"/>
            </w:pPr>
            <w:r w:rsidRPr="00725B6D">
              <w:rPr>
                <w:rFonts w:eastAsia="Calibri"/>
              </w:rPr>
              <w:t>supports a comfortable and attractive pedestrian environment.</w:t>
            </w:r>
          </w:p>
        </w:tc>
        <w:tc>
          <w:tcPr>
            <w:tcW w:w="4448" w:type="dxa"/>
            <w:shd w:val="clear" w:color="auto" w:fill="auto"/>
          </w:tcPr>
          <w:p w14:paraId="13DDE2B0" w14:textId="77777777" w:rsidR="00725B6D" w:rsidRPr="00725B6D" w:rsidRDefault="00725B6D" w:rsidP="006C09BB">
            <w:pPr>
              <w:pStyle w:val="QPPTableTextBold"/>
              <w:rPr>
                <w:rFonts w:eastAsia="Calibri"/>
              </w:rPr>
            </w:pPr>
            <w:r w:rsidRPr="00725B6D">
              <w:t>AO8</w:t>
            </w:r>
          </w:p>
          <w:p w14:paraId="424E4398" w14:textId="77777777" w:rsidR="00725B6D" w:rsidRPr="00725B6D" w:rsidRDefault="00725B6D" w:rsidP="006C09BB">
            <w:pPr>
              <w:pStyle w:val="QPPTableTextBody"/>
            </w:pPr>
            <w:r w:rsidRPr="00725B6D">
              <w:t>No acceptable outcome is prescribed.</w:t>
            </w:r>
          </w:p>
        </w:tc>
      </w:tr>
      <w:tr w:rsidR="00832E1C" w:rsidRPr="009F3652" w14:paraId="370F4E62" w14:textId="77777777" w:rsidTr="00725E70">
        <w:trPr>
          <w:trHeight w:val="290"/>
        </w:trPr>
        <w:tc>
          <w:tcPr>
            <w:tcW w:w="4077" w:type="dxa"/>
            <w:shd w:val="clear" w:color="auto" w:fill="auto"/>
          </w:tcPr>
          <w:p w14:paraId="123DE6BD" w14:textId="77777777" w:rsidR="00832E1C" w:rsidRPr="00832E1C" w:rsidRDefault="00832E1C" w:rsidP="00083050">
            <w:pPr>
              <w:pStyle w:val="QPPTableTextBold"/>
            </w:pPr>
            <w:r w:rsidRPr="00832E1C">
              <w:t>PO9</w:t>
            </w:r>
          </w:p>
          <w:p w14:paraId="6BC9AAB0" w14:textId="7D84EBB1" w:rsidR="00832E1C" w:rsidRPr="00832E1C" w:rsidRDefault="00832E1C" w:rsidP="006C09BB">
            <w:pPr>
              <w:pStyle w:val="QPPTableTextBody"/>
            </w:pPr>
            <w:r w:rsidRPr="00832E1C">
              <w:t xml:space="preserve">Development provides </w:t>
            </w:r>
            <w:r w:rsidRPr="00FA513A">
              <w:t>arcades</w:t>
            </w:r>
            <w:r w:rsidRPr="00832E1C">
              <w:t xml:space="preserve"> to create an integrated and continuous pedestrian network that facilitates movement within and through large sites and along key thoroughfares.</w:t>
            </w:r>
          </w:p>
        </w:tc>
        <w:tc>
          <w:tcPr>
            <w:tcW w:w="4448" w:type="dxa"/>
            <w:shd w:val="clear" w:color="auto" w:fill="auto"/>
          </w:tcPr>
          <w:p w14:paraId="32A60D76" w14:textId="77777777" w:rsidR="00832E1C" w:rsidRPr="00832E1C" w:rsidRDefault="00832E1C" w:rsidP="006C09BB">
            <w:pPr>
              <w:pStyle w:val="QPPTableTextBold"/>
            </w:pPr>
            <w:r w:rsidRPr="00832E1C">
              <w:t>AO9</w:t>
            </w:r>
          </w:p>
          <w:p w14:paraId="275F3485" w14:textId="3A4C60F3" w:rsidR="00832E1C" w:rsidRPr="00832E1C" w:rsidRDefault="00832E1C" w:rsidP="006C09BB">
            <w:pPr>
              <w:pStyle w:val="QPPTableTextBody"/>
            </w:pPr>
            <w:r w:rsidRPr="00832E1C">
              <w:t xml:space="preserve">Development provides </w:t>
            </w:r>
            <w:r w:rsidR="00B214ED" w:rsidRPr="00FA513A">
              <w:t>arcades</w:t>
            </w:r>
            <w:r w:rsidR="00B214ED">
              <w:t xml:space="preserve"> </w:t>
            </w:r>
            <w:r w:rsidRPr="00832E1C">
              <w:t xml:space="preserve">running from street to street within the locations indicated in </w:t>
            </w:r>
            <w:r w:rsidRPr="00FA513A">
              <w:t>Figure a</w:t>
            </w:r>
            <w:r w:rsidRPr="00832E1C">
              <w:t xml:space="preserve"> that:</w:t>
            </w:r>
          </w:p>
          <w:p w14:paraId="0A6EA531" w14:textId="77777777" w:rsidR="00832E1C" w:rsidRPr="00832E1C" w:rsidRDefault="00832E1C" w:rsidP="006C09BB">
            <w:pPr>
              <w:pStyle w:val="HGTableBullet2"/>
              <w:numPr>
                <w:ilvl w:val="0"/>
                <w:numId w:val="143"/>
              </w:numPr>
            </w:pPr>
            <w:r w:rsidRPr="00832E1C">
              <w:t>provides pedestrian access during hours of operation of the use;</w:t>
            </w:r>
          </w:p>
          <w:p w14:paraId="51C3F83B" w14:textId="77777777" w:rsidR="00832E1C" w:rsidRPr="00832E1C" w:rsidRDefault="00832E1C" w:rsidP="006C09BB">
            <w:pPr>
              <w:pStyle w:val="HGTableBullet2"/>
              <w:numPr>
                <w:ilvl w:val="0"/>
                <w:numId w:val="143"/>
              </w:numPr>
            </w:pPr>
            <w:r w:rsidRPr="00832E1C">
              <w:t>integrates with adjoining buildings;</w:t>
            </w:r>
          </w:p>
          <w:p w14:paraId="6616C872" w14:textId="77777777" w:rsidR="00832E1C" w:rsidRPr="00832E1C" w:rsidRDefault="00832E1C" w:rsidP="006C09BB">
            <w:pPr>
              <w:pStyle w:val="HGTableBullet2"/>
              <w:numPr>
                <w:ilvl w:val="0"/>
                <w:numId w:val="143"/>
              </w:numPr>
            </w:pPr>
            <w:r w:rsidRPr="00832E1C">
              <w:t>links established pedestrian networks, parking and public transport facilities;</w:t>
            </w:r>
          </w:p>
          <w:p w14:paraId="1314B587" w14:textId="77777777" w:rsidR="00832E1C" w:rsidRPr="00832E1C" w:rsidRDefault="00832E1C" w:rsidP="006C09BB">
            <w:pPr>
              <w:pStyle w:val="HGTableBullet2"/>
              <w:numPr>
                <w:ilvl w:val="0"/>
                <w:numId w:val="143"/>
              </w:numPr>
            </w:pPr>
            <w:r w:rsidRPr="00832E1C">
              <w:t>is finished with high quality materials considering public safety;</w:t>
            </w:r>
          </w:p>
          <w:p w14:paraId="1C84B60A" w14:textId="77777777" w:rsidR="00832E1C" w:rsidRPr="00832E1C" w:rsidRDefault="00832E1C" w:rsidP="006C09BB">
            <w:pPr>
              <w:pStyle w:val="HGTableBullet2"/>
              <w:numPr>
                <w:ilvl w:val="0"/>
                <w:numId w:val="143"/>
              </w:numPr>
            </w:pPr>
            <w:r w:rsidRPr="00832E1C">
              <w:t>is provided at-grade with an adjoining public area and connects safely without any lip or step;</w:t>
            </w:r>
          </w:p>
          <w:p w14:paraId="2A4867BD" w14:textId="77777777" w:rsidR="00832E1C" w:rsidRPr="00832E1C" w:rsidRDefault="00832E1C" w:rsidP="006C09BB">
            <w:pPr>
              <w:pStyle w:val="HGTableBullet2"/>
              <w:numPr>
                <w:ilvl w:val="0"/>
                <w:numId w:val="143"/>
              </w:numPr>
            </w:pPr>
            <w:r w:rsidRPr="00832E1C">
              <w:t>incorporates crime prevention through environmental design principles to maximise safety;</w:t>
            </w:r>
          </w:p>
          <w:p w14:paraId="36C089CA" w14:textId="77777777" w:rsidR="00832E1C" w:rsidRPr="00832E1C" w:rsidRDefault="00832E1C" w:rsidP="006C09BB">
            <w:pPr>
              <w:pStyle w:val="HGTableBullet2"/>
              <w:numPr>
                <w:ilvl w:val="0"/>
                <w:numId w:val="143"/>
              </w:numPr>
            </w:pPr>
            <w:r w:rsidRPr="00832E1C">
              <w:t>has signage at each end identifying the connection provided.</w:t>
            </w:r>
          </w:p>
          <w:p w14:paraId="1372D2D7" w14:textId="1148CE37" w:rsidR="00832E1C" w:rsidRPr="00832E1C" w:rsidRDefault="00832E1C" w:rsidP="004C1592">
            <w:pPr>
              <w:pStyle w:val="QPPEditorsNoteStyle1"/>
            </w:pPr>
            <w:r w:rsidRPr="00832E1C">
              <w:t xml:space="preserve">Note—Crime prevention principles can be found in the </w:t>
            </w:r>
            <w:r w:rsidRPr="00FA513A">
              <w:t>Crime prevention through environmental design planning scheme policy</w:t>
            </w:r>
            <w:r w:rsidRPr="00832E1C">
              <w:t>.</w:t>
            </w:r>
          </w:p>
        </w:tc>
      </w:tr>
    </w:tbl>
    <w:p w14:paraId="0A2994A3" w14:textId="77777777" w:rsidR="00884F36" w:rsidRDefault="00C5003E" w:rsidP="00725E70">
      <w:pPr>
        <w:pStyle w:val="QPPTableHeadingStyle1"/>
      </w:pPr>
      <w:bookmarkStart w:id="3" w:name="table721953b"/>
      <w:r w:rsidRPr="009F3652">
        <w:t>Table 7.2.</w:t>
      </w:r>
      <w:r w:rsidR="00316CBA">
        <w:t>19.5</w:t>
      </w:r>
      <w:r w:rsidRPr="009F3652">
        <w:t>.3.B</w:t>
      </w:r>
      <w:r w:rsidR="00CB0C6B" w:rsidRPr="009F3652">
        <w:t>—</w:t>
      </w:r>
      <w:r w:rsidR="00884F36">
        <w:t>Urban context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2"/>
        <w:gridCol w:w="7000"/>
      </w:tblGrid>
      <w:tr w:rsidR="00884F36" w14:paraId="76E44A10" w14:textId="77777777" w:rsidTr="00884F36">
        <w:trPr>
          <w:cantSplit/>
        </w:trPr>
        <w:tc>
          <w:tcPr>
            <w:tcW w:w="1526" w:type="dxa"/>
            <w:tcBorders>
              <w:top w:val="single" w:sz="4" w:space="0" w:color="auto"/>
              <w:left w:val="single" w:sz="4" w:space="0" w:color="auto"/>
              <w:bottom w:val="single" w:sz="4" w:space="0" w:color="auto"/>
              <w:right w:val="single" w:sz="4" w:space="0" w:color="auto"/>
            </w:tcBorders>
            <w:hideMark/>
          </w:tcPr>
          <w:bookmarkEnd w:id="3"/>
          <w:p w14:paraId="7837EAC2" w14:textId="77777777" w:rsidR="00884F36" w:rsidRPr="00884F36" w:rsidRDefault="00884F36" w:rsidP="00083050">
            <w:pPr>
              <w:pStyle w:val="QPPTableTextBold"/>
            </w:pPr>
            <w:r w:rsidRPr="00884F36">
              <w:t>Content</w:t>
            </w:r>
          </w:p>
        </w:tc>
        <w:tc>
          <w:tcPr>
            <w:tcW w:w="7723" w:type="dxa"/>
            <w:tcBorders>
              <w:top w:val="single" w:sz="4" w:space="0" w:color="auto"/>
              <w:left w:val="single" w:sz="4" w:space="0" w:color="auto"/>
              <w:bottom w:val="single" w:sz="4" w:space="0" w:color="auto"/>
              <w:right w:val="single" w:sz="4" w:space="0" w:color="auto"/>
            </w:tcBorders>
            <w:hideMark/>
          </w:tcPr>
          <w:p w14:paraId="14360180" w14:textId="77777777" w:rsidR="00884F36" w:rsidRPr="00884F36" w:rsidRDefault="00884F36" w:rsidP="00083050">
            <w:pPr>
              <w:pStyle w:val="QPPTableTextBold"/>
            </w:pPr>
            <w:r w:rsidRPr="00884F36">
              <w:t>Scope (and format)</w:t>
            </w:r>
          </w:p>
        </w:tc>
      </w:tr>
      <w:tr w:rsidR="00884F36" w14:paraId="0207E43D" w14:textId="77777777" w:rsidTr="00884F36">
        <w:trPr>
          <w:cantSplit/>
        </w:trPr>
        <w:tc>
          <w:tcPr>
            <w:tcW w:w="1526" w:type="dxa"/>
            <w:tcBorders>
              <w:top w:val="single" w:sz="4" w:space="0" w:color="auto"/>
              <w:left w:val="single" w:sz="4" w:space="0" w:color="auto"/>
              <w:bottom w:val="single" w:sz="4" w:space="0" w:color="auto"/>
              <w:right w:val="single" w:sz="4" w:space="0" w:color="auto"/>
            </w:tcBorders>
            <w:hideMark/>
          </w:tcPr>
          <w:p w14:paraId="2EFA3B5A" w14:textId="77777777" w:rsidR="00884F36" w:rsidRPr="00884F36" w:rsidRDefault="00884F36" w:rsidP="00083050">
            <w:pPr>
              <w:pStyle w:val="QPPTableTextBody"/>
            </w:pPr>
            <w:r w:rsidRPr="00884F36">
              <w:t>Site characteristics</w:t>
            </w:r>
          </w:p>
        </w:tc>
        <w:tc>
          <w:tcPr>
            <w:tcW w:w="7723" w:type="dxa"/>
            <w:tcBorders>
              <w:top w:val="single" w:sz="4" w:space="0" w:color="auto"/>
              <w:left w:val="single" w:sz="4" w:space="0" w:color="auto"/>
              <w:bottom w:val="single" w:sz="4" w:space="0" w:color="auto"/>
              <w:right w:val="single" w:sz="4" w:space="0" w:color="auto"/>
            </w:tcBorders>
            <w:hideMark/>
          </w:tcPr>
          <w:p w14:paraId="50C3C921" w14:textId="77777777" w:rsidR="00884F36" w:rsidRPr="00884F36" w:rsidRDefault="00884F36" w:rsidP="00083050">
            <w:pPr>
              <w:pStyle w:val="QPPTableTextBody"/>
            </w:pPr>
            <w:r w:rsidRPr="00884F36">
              <w:t>Demonstrate how the site’s constraints and attributes have been considered in the design of the development.</w:t>
            </w:r>
          </w:p>
        </w:tc>
      </w:tr>
      <w:tr w:rsidR="00884F36" w14:paraId="5DB33B2A" w14:textId="77777777" w:rsidTr="00884F36">
        <w:trPr>
          <w:cantSplit/>
        </w:trPr>
        <w:tc>
          <w:tcPr>
            <w:tcW w:w="1526" w:type="dxa"/>
            <w:tcBorders>
              <w:top w:val="single" w:sz="4" w:space="0" w:color="auto"/>
              <w:left w:val="single" w:sz="4" w:space="0" w:color="auto"/>
              <w:bottom w:val="single" w:sz="4" w:space="0" w:color="auto"/>
              <w:right w:val="single" w:sz="4" w:space="0" w:color="auto"/>
            </w:tcBorders>
            <w:hideMark/>
          </w:tcPr>
          <w:p w14:paraId="03CBA532" w14:textId="77777777" w:rsidR="00884F36" w:rsidRPr="00884F36" w:rsidRDefault="00884F36" w:rsidP="00083050">
            <w:pPr>
              <w:pStyle w:val="QPPTableTextBody"/>
            </w:pPr>
            <w:r w:rsidRPr="00884F36">
              <w:t>Cityscape and built form</w:t>
            </w:r>
          </w:p>
        </w:tc>
        <w:tc>
          <w:tcPr>
            <w:tcW w:w="7723" w:type="dxa"/>
            <w:tcBorders>
              <w:top w:val="single" w:sz="4" w:space="0" w:color="auto"/>
              <w:left w:val="single" w:sz="4" w:space="0" w:color="auto"/>
              <w:bottom w:val="single" w:sz="4" w:space="0" w:color="auto"/>
              <w:right w:val="single" w:sz="4" w:space="0" w:color="auto"/>
            </w:tcBorders>
            <w:hideMark/>
          </w:tcPr>
          <w:p w14:paraId="368D2903" w14:textId="77777777" w:rsidR="00884F36" w:rsidRPr="00884F36" w:rsidRDefault="00884F36" w:rsidP="00083050">
            <w:pPr>
              <w:pStyle w:val="QPPTableTextBody"/>
            </w:pPr>
            <w:r w:rsidRPr="00884F36">
              <w:t>Demonstrate how the development:</w:t>
            </w:r>
          </w:p>
          <w:p w14:paraId="606B2B40" w14:textId="77777777" w:rsidR="00884F36" w:rsidRPr="00884F36" w:rsidRDefault="00884F36" w:rsidP="00083050">
            <w:pPr>
              <w:pStyle w:val="HGTableBullet2"/>
              <w:numPr>
                <w:ilvl w:val="0"/>
                <w:numId w:val="149"/>
              </w:numPr>
            </w:pPr>
            <w:r w:rsidRPr="00884F36">
              <w:t>provides a site-responsive built form taking into account site characteristics and form of surrounding development, including relationship with other buildings in terms of setbacks, privacy, light and air;</w:t>
            </w:r>
          </w:p>
          <w:p w14:paraId="0A6718A2" w14:textId="77777777" w:rsidR="00884F36" w:rsidRPr="00884F36" w:rsidRDefault="00884F36" w:rsidP="00083050">
            <w:pPr>
              <w:pStyle w:val="HGTableBullet2"/>
              <w:numPr>
                <w:ilvl w:val="0"/>
                <w:numId w:val="149"/>
              </w:numPr>
            </w:pPr>
            <w:r w:rsidRPr="00884F36">
              <w:t>provides a contextually responsive built form taking into account site location within Spring Hill;</w:t>
            </w:r>
          </w:p>
          <w:p w14:paraId="3028C549" w14:textId="77777777" w:rsidR="00884F36" w:rsidRPr="00884F36" w:rsidRDefault="00884F36" w:rsidP="00083050">
            <w:pPr>
              <w:pStyle w:val="HGTableBullet2"/>
              <w:numPr>
                <w:ilvl w:val="0"/>
                <w:numId w:val="149"/>
              </w:numPr>
            </w:pPr>
            <w:r w:rsidRPr="00884F36">
              <w:t>impacts on broader views across the cityscape and of the city skyline;</w:t>
            </w:r>
          </w:p>
          <w:p w14:paraId="27255178" w14:textId="77777777" w:rsidR="00884F36" w:rsidRPr="00884F36" w:rsidRDefault="00884F36" w:rsidP="00083050">
            <w:pPr>
              <w:pStyle w:val="HGTableBullet2"/>
              <w:numPr>
                <w:ilvl w:val="0"/>
                <w:numId w:val="149"/>
              </w:numPr>
            </w:pPr>
            <w:r w:rsidRPr="00884F36">
              <w:t>exhibits outstanding architectural merit.</w:t>
            </w:r>
          </w:p>
        </w:tc>
      </w:tr>
      <w:tr w:rsidR="00884F36" w14:paraId="45412FC0" w14:textId="77777777" w:rsidTr="00884F36">
        <w:trPr>
          <w:cantSplit/>
        </w:trPr>
        <w:tc>
          <w:tcPr>
            <w:tcW w:w="1526" w:type="dxa"/>
            <w:tcBorders>
              <w:top w:val="single" w:sz="4" w:space="0" w:color="auto"/>
              <w:left w:val="single" w:sz="4" w:space="0" w:color="auto"/>
              <w:bottom w:val="single" w:sz="4" w:space="0" w:color="auto"/>
              <w:right w:val="single" w:sz="4" w:space="0" w:color="auto"/>
            </w:tcBorders>
            <w:hideMark/>
          </w:tcPr>
          <w:p w14:paraId="3FF19A8A" w14:textId="77777777" w:rsidR="00884F36" w:rsidRPr="00884F36" w:rsidRDefault="00884F36" w:rsidP="00083050">
            <w:pPr>
              <w:pStyle w:val="QPPTableTextBody"/>
            </w:pPr>
            <w:r w:rsidRPr="00884F36">
              <w:t>Streetscape</w:t>
            </w:r>
          </w:p>
        </w:tc>
        <w:tc>
          <w:tcPr>
            <w:tcW w:w="7723" w:type="dxa"/>
            <w:tcBorders>
              <w:top w:val="single" w:sz="4" w:space="0" w:color="auto"/>
              <w:left w:val="single" w:sz="4" w:space="0" w:color="auto"/>
              <w:bottom w:val="single" w:sz="4" w:space="0" w:color="auto"/>
              <w:right w:val="single" w:sz="4" w:space="0" w:color="auto"/>
            </w:tcBorders>
            <w:hideMark/>
          </w:tcPr>
          <w:p w14:paraId="32C289A2" w14:textId="77777777" w:rsidR="00884F36" w:rsidRPr="00884F36" w:rsidRDefault="00884F36" w:rsidP="00083050">
            <w:pPr>
              <w:pStyle w:val="QPPTableTextBody"/>
            </w:pPr>
            <w:r w:rsidRPr="00884F36">
              <w:t>Demonstrate how the development impacts on and contributes to the streetscape and street functioning, in terms of:</w:t>
            </w:r>
          </w:p>
          <w:p w14:paraId="6C26DC19" w14:textId="15127EE6" w:rsidR="00884F36" w:rsidRPr="00884F36" w:rsidRDefault="00884F36" w:rsidP="006C09BB">
            <w:pPr>
              <w:pStyle w:val="HGTableBullet2"/>
              <w:numPr>
                <w:ilvl w:val="0"/>
                <w:numId w:val="150"/>
              </w:numPr>
            </w:pPr>
            <w:r w:rsidRPr="00884F36">
              <w:t xml:space="preserve">street building height, </w:t>
            </w:r>
            <w:r w:rsidRPr="00FA513A">
              <w:t>setbacks</w:t>
            </w:r>
            <w:r w:rsidRPr="00884F36">
              <w:t xml:space="preserve"> and design;</w:t>
            </w:r>
          </w:p>
          <w:p w14:paraId="29D69987" w14:textId="77777777" w:rsidR="00884F36" w:rsidRPr="00884F36" w:rsidRDefault="00884F36" w:rsidP="006C09BB">
            <w:pPr>
              <w:pStyle w:val="HGTableBullet2"/>
              <w:numPr>
                <w:ilvl w:val="0"/>
                <w:numId w:val="150"/>
              </w:numPr>
            </w:pPr>
            <w:r w:rsidRPr="00884F36">
              <w:t>ground level activation, including proportion of glazing and openings;</w:t>
            </w:r>
          </w:p>
          <w:p w14:paraId="28CC9FFE" w14:textId="77777777" w:rsidR="00884F36" w:rsidRPr="00884F36" w:rsidRDefault="00884F36" w:rsidP="006C09BB">
            <w:pPr>
              <w:pStyle w:val="HGTableBullet2"/>
              <w:numPr>
                <w:ilvl w:val="0"/>
                <w:numId w:val="150"/>
              </w:numPr>
            </w:pPr>
            <w:r w:rsidRPr="00884F36">
              <w:t>awning heights and continuity;</w:t>
            </w:r>
          </w:p>
          <w:p w14:paraId="4D22A5D8" w14:textId="77777777" w:rsidR="00884F36" w:rsidRPr="00884F36" w:rsidRDefault="00884F36" w:rsidP="006C09BB">
            <w:pPr>
              <w:pStyle w:val="HGTableBullet2"/>
              <w:numPr>
                <w:ilvl w:val="0"/>
                <w:numId w:val="150"/>
              </w:numPr>
            </w:pPr>
            <w:r w:rsidRPr="00884F36">
              <w:t>footpath width, continuity and design.</w:t>
            </w:r>
          </w:p>
        </w:tc>
      </w:tr>
      <w:tr w:rsidR="00884F36" w14:paraId="38581B23" w14:textId="77777777" w:rsidTr="00884F36">
        <w:trPr>
          <w:cantSplit/>
        </w:trPr>
        <w:tc>
          <w:tcPr>
            <w:tcW w:w="1526" w:type="dxa"/>
            <w:tcBorders>
              <w:top w:val="single" w:sz="4" w:space="0" w:color="auto"/>
              <w:left w:val="single" w:sz="4" w:space="0" w:color="auto"/>
              <w:bottom w:val="single" w:sz="4" w:space="0" w:color="auto"/>
              <w:right w:val="single" w:sz="4" w:space="0" w:color="auto"/>
            </w:tcBorders>
            <w:hideMark/>
          </w:tcPr>
          <w:p w14:paraId="70D1C23F" w14:textId="77777777" w:rsidR="00884F36" w:rsidRPr="00884F36" w:rsidRDefault="00884F36" w:rsidP="00083050">
            <w:pPr>
              <w:pStyle w:val="QPPTableTextBody"/>
            </w:pPr>
            <w:r w:rsidRPr="00884F36">
              <w:t>Heritage, landmarks, natural assets, views and vistas</w:t>
            </w:r>
          </w:p>
        </w:tc>
        <w:tc>
          <w:tcPr>
            <w:tcW w:w="7723" w:type="dxa"/>
            <w:tcBorders>
              <w:top w:val="single" w:sz="4" w:space="0" w:color="auto"/>
              <w:left w:val="single" w:sz="4" w:space="0" w:color="auto"/>
              <w:bottom w:val="single" w:sz="4" w:space="0" w:color="auto"/>
              <w:right w:val="single" w:sz="4" w:space="0" w:color="auto"/>
            </w:tcBorders>
            <w:hideMark/>
          </w:tcPr>
          <w:p w14:paraId="3A15E180" w14:textId="77777777" w:rsidR="00884F36" w:rsidRPr="00884F36" w:rsidRDefault="00884F36" w:rsidP="00083050">
            <w:pPr>
              <w:pStyle w:val="QPPTableTextBody"/>
            </w:pPr>
            <w:r w:rsidRPr="00884F36">
              <w:t>Demonstrate how the development:</w:t>
            </w:r>
          </w:p>
          <w:p w14:paraId="7478B3A7" w14:textId="313744E8" w:rsidR="00884F36" w:rsidRPr="00884F36" w:rsidRDefault="00884F36" w:rsidP="00083050">
            <w:pPr>
              <w:pStyle w:val="HGTableBullet2"/>
              <w:numPr>
                <w:ilvl w:val="0"/>
                <w:numId w:val="151"/>
              </w:numPr>
            </w:pPr>
            <w:r w:rsidRPr="00884F36">
              <w:t xml:space="preserve">respects the streetscape and </w:t>
            </w:r>
            <w:r w:rsidRPr="00FA513A">
              <w:t>public realm</w:t>
            </w:r>
            <w:r w:rsidRPr="00884F36">
              <w:t xml:space="preserve"> context and setting of nearby heritage buildings and places, landmarks and natural assets;</w:t>
            </w:r>
          </w:p>
          <w:p w14:paraId="55910ACC" w14:textId="3750F021" w:rsidR="00884F36" w:rsidRPr="00884F36" w:rsidRDefault="00884F36" w:rsidP="00083050">
            <w:pPr>
              <w:pStyle w:val="HGTableBullet2"/>
              <w:numPr>
                <w:ilvl w:val="0"/>
                <w:numId w:val="151"/>
              </w:numPr>
            </w:pPr>
            <w:r w:rsidRPr="00884F36">
              <w:t xml:space="preserve">maintains or creates views and vistas from public vantage points to heritage places, landmarks and natural assets, and across </w:t>
            </w:r>
            <w:r w:rsidRPr="00FA513A">
              <w:t>public realm</w:t>
            </w:r>
            <w:r w:rsidRPr="00884F36">
              <w:t>.</w:t>
            </w:r>
          </w:p>
        </w:tc>
      </w:tr>
      <w:tr w:rsidR="00884F36" w14:paraId="25975281" w14:textId="77777777" w:rsidTr="00884F36">
        <w:trPr>
          <w:cantSplit/>
        </w:trPr>
        <w:tc>
          <w:tcPr>
            <w:tcW w:w="1526" w:type="dxa"/>
            <w:tcBorders>
              <w:top w:val="single" w:sz="4" w:space="0" w:color="auto"/>
              <w:left w:val="single" w:sz="4" w:space="0" w:color="auto"/>
              <w:bottom w:val="single" w:sz="4" w:space="0" w:color="auto"/>
              <w:right w:val="single" w:sz="4" w:space="0" w:color="auto"/>
            </w:tcBorders>
            <w:hideMark/>
          </w:tcPr>
          <w:p w14:paraId="2715DE31" w14:textId="549D147F" w:rsidR="00884F36" w:rsidRPr="00884F36" w:rsidRDefault="006C09BB" w:rsidP="00083050">
            <w:pPr>
              <w:pStyle w:val="QPPTableTextBody"/>
            </w:pPr>
            <w:r w:rsidRPr="00FA513A">
              <w:t>P</w:t>
            </w:r>
            <w:r w:rsidR="00884F36" w:rsidRPr="00FA513A">
              <w:t>ublic realm</w:t>
            </w:r>
            <w:r w:rsidR="00884F36" w:rsidRPr="00884F36">
              <w:t>, connections, attractors and movement network</w:t>
            </w:r>
          </w:p>
        </w:tc>
        <w:tc>
          <w:tcPr>
            <w:tcW w:w="7723" w:type="dxa"/>
            <w:tcBorders>
              <w:top w:val="single" w:sz="4" w:space="0" w:color="auto"/>
              <w:left w:val="single" w:sz="4" w:space="0" w:color="auto"/>
              <w:bottom w:val="single" w:sz="4" w:space="0" w:color="auto"/>
              <w:right w:val="single" w:sz="4" w:space="0" w:color="auto"/>
            </w:tcBorders>
            <w:hideMark/>
          </w:tcPr>
          <w:p w14:paraId="0CF9B46D" w14:textId="77777777" w:rsidR="00884F36" w:rsidRPr="00884F36" w:rsidRDefault="00884F36" w:rsidP="00083050">
            <w:pPr>
              <w:pStyle w:val="QPPTableTextBody"/>
            </w:pPr>
            <w:r w:rsidRPr="00884F36">
              <w:t>Demonstrate how the development:</w:t>
            </w:r>
          </w:p>
          <w:p w14:paraId="628B7D08" w14:textId="049BF59E" w:rsidR="00884F36" w:rsidRPr="00884F36" w:rsidRDefault="00884F36" w:rsidP="006C09BB">
            <w:pPr>
              <w:pStyle w:val="HGTableBullet2"/>
              <w:numPr>
                <w:ilvl w:val="0"/>
                <w:numId w:val="152"/>
              </w:numPr>
            </w:pPr>
            <w:r w:rsidRPr="00884F36">
              <w:t xml:space="preserve">respects, enhances, expands and/or connects to adjoining and nearby </w:t>
            </w:r>
            <w:r w:rsidRPr="00FA513A">
              <w:t>public realm</w:t>
            </w:r>
            <w:r w:rsidRPr="00884F36">
              <w:t>;</w:t>
            </w:r>
          </w:p>
          <w:p w14:paraId="1C488808" w14:textId="77777777" w:rsidR="00884F36" w:rsidRPr="00884F36" w:rsidRDefault="00884F36" w:rsidP="006C09BB">
            <w:pPr>
              <w:pStyle w:val="HGTableBullet2"/>
              <w:numPr>
                <w:ilvl w:val="0"/>
                <w:numId w:val="152"/>
              </w:numPr>
            </w:pPr>
            <w:r w:rsidRPr="00884F36">
              <w:t>maintains and enhances pedestrian permeability, including major attractors and the wider movement network.</w:t>
            </w:r>
          </w:p>
        </w:tc>
      </w:tr>
      <w:tr w:rsidR="00884F36" w14:paraId="2F898EAB" w14:textId="77777777" w:rsidTr="00884F36">
        <w:trPr>
          <w:cantSplit/>
        </w:trPr>
        <w:tc>
          <w:tcPr>
            <w:tcW w:w="1526" w:type="dxa"/>
            <w:tcBorders>
              <w:top w:val="single" w:sz="4" w:space="0" w:color="auto"/>
              <w:left w:val="single" w:sz="4" w:space="0" w:color="auto"/>
              <w:bottom w:val="single" w:sz="4" w:space="0" w:color="auto"/>
              <w:right w:val="single" w:sz="4" w:space="0" w:color="auto"/>
            </w:tcBorders>
            <w:hideMark/>
          </w:tcPr>
          <w:p w14:paraId="3944F029" w14:textId="77777777" w:rsidR="00884F36" w:rsidRPr="00884F36" w:rsidRDefault="00884F36" w:rsidP="00083050">
            <w:pPr>
              <w:pStyle w:val="QPPTableTextBody"/>
            </w:pPr>
            <w:r w:rsidRPr="00884F36">
              <w:t>Subtropical climate</w:t>
            </w:r>
          </w:p>
        </w:tc>
        <w:tc>
          <w:tcPr>
            <w:tcW w:w="7723" w:type="dxa"/>
            <w:tcBorders>
              <w:top w:val="single" w:sz="4" w:space="0" w:color="auto"/>
              <w:left w:val="single" w:sz="4" w:space="0" w:color="auto"/>
              <w:bottom w:val="single" w:sz="4" w:space="0" w:color="auto"/>
              <w:right w:val="single" w:sz="4" w:space="0" w:color="auto"/>
            </w:tcBorders>
            <w:hideMark/>
          </w:tcPr>
          <w:p w14:paraId="24BE31CF" w14:textId="77777777" w:rsidR="00884F36" w:rsidRPr="00884F36" w:rsidRDefault="00884F36" w:rsidP="00083050">
            <w:pPr>
              <w:pStyle w:val="QPPTableTextBody"/>
            </w:pPr>
            <w:r w:rsidRPr="00884F36">
              <w:t>Demonstrate how the development design incorporates orientation, shading, outdoor spaces, natural ventilation, landscaping and articulation to reduce heat loading, protect from weather, optimise natural light and support outdoor lifestyles.</w:t>
            </w:r>
          </w:p>
        </w:tc>
      </w:tr>
    </w:tbl>
    <w:p w14:paraId="4B330000" w14:textId="77777777" w:rsidR="00884F36" w:rsidRPr="00884F36" w:rsidRDefault="00884F36" w:rsidP="00083050">
      <w:pPr>
        <w:pStyle w:val="QPPEditorsNoteStyle1"/>
        <w:rPr>
          <w:lang w:eastAsia="en-US"/>
        </w:rPr>
      </w:pPr>
      <w:r w:rsidRPr="00884F36">
        <w:t xml:space="preserve">Editor’s note—The Urban context report provides a formal means for developers, architects and designers to clearly articulate how the development successfully responds to the site, its context and climate. This report should comprise plans, diagrams, perspectives, 3D modelling (including use of the Virtual Brisbane 3D model to test development options) and supporting design rationales to demonstrate how the proposal achieves the outcomes of this neighbourhood plan. </w:t>
      </w:r>
    </w:p>
    <w:p w14:paraId="7E93DD95" w14:textId="69A0AF90" w:rsidR="00884F36" w:rsidRPr="00884F36" w:rsidRDefault="00884F36" w:rsidP="00083050">
      <w:pPr>
        <w:pStyle w:val="QPPEditorsNoteStyle1"/>
      </w:pPr>
      <w:r w:rsidRPr="00884F36">
        <w:t xml:space="preserve">Editor’s note—The </w:t>
      </w:r>
      <w:r w:rsidRPr="00FA513A">
        <w:rPr>
          <w:i/>
        </w:rPr>
        <w:t>New World City Design Guide </w:t>
      </w:r>
      <w:r w:rsidRPr="00FA513A">
        <w:rPr>
          <w:i/>
        </w:rPr>
        <w:noBreakHyphen/>
        <w:t> Buildings that Breathe</w:t>
      </w:r>
      <w:r w:rsidRPr="00884F36">
        <w:t xml:space="preserve"> sets out the vision, design elements and best practice case studies to guide new development. Development is actively encouraged to incorporate these design elements and embrace the city’s subtropical climate.</w:t>
      </w:r>
    </w:p>
    <w:p w14:paraId="09A89851" w14:textId="77777777" w:rsidR="00884F36" w:rsidRDefault="0085075C" w:rsidP="00725E70">
      <w:pPr>
        <w:pStyle w:val="QPPTableHeadingStyle1"/>
      </w:pPr>
      <w:bookmarkStart w:id="4" w:name="table721953c"/>
      <w:r>
        <w:t>Table 7.2.19.5.3.C</w:t>
      </w:r>
      <w:r w:rsidRPr="0085075C">
        <w:t>—</w:t>
      </w:r>
      <w:r>
        <w:t>Maximum building height and maximum tower site cover</w:t>
      </w:r>
    </w:p>
    <w:bookmarkEnd w:id="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30"/>
        <w:gridCol w:w="1630"/>
        <w:gridCol w:w="1630"/>
        <w:gridCol w:w="1631"/>
      </w:tblGrid>
      <w:tr w:rsidR="0085075C" w14:paraId="5158B451" w14:textId="77777777" w:rsidTr="000B63FE">
        <w:trPr>
          <w:trHeight w:val="58"/>
          <w:tblHeader/>
        </w:trPr>
        <w:tc>
          <w:tcPr>
            <w:tcW w:w="1951" w:type="dxa"/>
            <w:tcBorders>
              <w:top w:val="single" w:sz="4" w:space="0" w:color="auto"/>
              <w:left w:val="single" w:sz="4" w:space="0" w:color="auto"/>
              <w:bottom w:val="single" w:sz="4" w:space="0" w:color="auto"/>
              <w:right w:val="single" w:sz="4" w:space="0" w:color="auto"/>
            </w:tcBorders>
          </w:tcPr>
          <w:p w14:paraId="0D78B8AE" w14:textId="77777777" w:rsidR="0085075C" w:rsidRPr="0085075C" w:rsidRDefault="0085075C" w:rsidP="00083050">
            <w:pPr>
              <w:pStyle w:val="QPPTableTextBold"/>
            </w:pPr>
          </w:p>
        </w:tc>
        <w:tc>
          <w:tcPr>
            <w:tcW w:w="1630" w:type="dxa"/>
            <w:tcBorders>
              <w:top w:val="single" w:sz="4" w:space="0" w:color="auto"/>
              <w:left w:val="single" w:sz="4" w:space="0" w:color="auto"/>
              <w:bottom w:val="single" w:sz="4" w:space="0" w:color="auto"/>
              <w:right w:val="single" w:sz="4" w:space="0" w:color="auto"/>
            </w:tcBorders>
            <w:hideMark/>
          </w:tcPr>
          <w:p w14:paraId="6B51965E" w14:textId="77777777" w:rsidR="0085075C" w:rsidRPr="0085075C" w:rsidRDefault="0085075C" w:rsidP="00083050">
            <w:pPr>
              <w:pStyle w:val="QPPTableTextBold"/>
            </w:pPr>
            <w:r w:rsidRPr="0085075C">
              <w:t>Development of a site less than 800m</w:t>
            </w:r>
            <w:r w:rsidRPr="00473C63">
              <w:rPr>
                <w:vertAlign w:val="superscript"/>
              </w:rPr>
              <w:t>2</w:t>
            </w:r>
            <w:r w:rsidRPr="0085075C">
              <w:t xml:space="preserve"> or with a site frontage of less than 20m</w:t>
            </w:r>
          </w:p>
        </w:tc>
        <w:tc>
          <w:tcPr>
            <w:tcW w:w="1630" w:type="dxa"/>
            <w:tcBorders>
              <w:top w:val="single" w:sz="4" w:space="0" w:color="auto"/>
              <w:left w:val="single" w:sz="4" w:space="0" w:color="auto"/>
              <w:bottom w:val="single" w:sz="4" w:space="0" w:color="auto"/>
              <w:right w:val="single" w:sz="4" w:space="0" w:color="auto"/>
            </w:tcBorders>
            <w:hideMark/>
          </w:tcPr>
          <w:p w14:paraId="340285F7" w14:textId="77777777" w:rsidR="0085075C" w:rsidRPr="0085075C" w:rsidRDefault="0085075C" w:rsidP="00083050">
            <w:pPr>
              <w:pStyle w:val="QPPTableTextBold"/>
            </w:pPr>
            <w:r w:rsidRPr="0085075C">
              <w:t>Development of a site 800m</w:t>
            </w:r>
            <w:r w:rsidRPr="00473C63">
              <w:rPr>
                <w:vertAlign w:val="superscript"/>
              </w:rPr>
              <w:t>2</w:t>
            </w:r>
            <w:r w:rsidRPr="0085075C">
              <w:t xml:space="preserve"> or greater but less than 1,000m</w:t>
            </w:r>
            <w:r w:rsidRPr="00473C63">
              <w:rPr>
                <w:vertAlign w:val="superscript"/>
              </w:rPr>
              <w:t>2</w:t>
            </w:r>
            <w:r w:rsidRPr="0085075C">
              <w:t xml:space="preserve"> </w:t>
            </w:r>
          </w:p>
        </w:tc>
        <w:tc>
          <w:tcPr>
            <w:tcW w:w="1630" w:type="dxa"/>
            <w:tcBorders>
              <w:top w:val="single" w:sz="4" w:space="0" w:color="auto"/>
              <w:left w:val="single" w:sz="4" w:space="0" w:color="auto"/>
              <w:bottom w:val="single" w:sz="4" w:space="0" w:color="auto"/>
              <w:right w:val="single" w:sz="4" w:space="0" w:color="auto"/>
            </w:tcBorders>
            <w:hideMark/>
          </w:tcPr>
          <w:p w14:paraId="5FDA2B45" w14:textId="77777777" w:rsidR="0085075C" w:rsidRPr="0085075C" w:rsidRDefault="0085075C" w:rsidP="00083050">
            <w:pPr>
              <w:pStyle w:val="QPPTableTextBold"/>
            </w:pPr>
            <w:r w:rsidRPr="0085075C">
              <w:t>Development of a site 1,000m</w:t>
            </w:r>
            <w:r w:rsidRPr="00473C63">
              <w:rPr>
                <w:vertAlign w:val="superscript"/>
              </w:rPr>
              <w:t>2</w:t>
            </w:r>
            <w:r w:rsidRPr="0085075C">
              <w:t xml:space="preserve"> or greater but less than 1,800m</w:t>
            </w:r>
            <w:r w:rsidRPr="00473C63">
              <w:rPr>
                <w:vertAlign w:val="superscript"/>
              </w:rPr>
              <w:t>2</w:t>
            </w:r>
            <w:r w:rsidRPr="0085075C">
              <w:t xml:space="preserve"> </w:t>
            </w:r>
          </w:p>
        </w:tc>
        <w:tc>
          <w:tcPr>
            <w:tcW w:w="1631" w:type="dxa"/>
            <w:tcBorders>
              <w:top w:val="single" w:sz="4" w:space="0" w:color="auto"/>
              <w:left w:val="single" w:sz="4" w:space="0" w:color="auto"/>
              <w:bottom w:val="single" w:sz="4" w:space="0" w:color="auto"/>
              <w:right w:val="single" w:sz="4" w:space="0" w:color="auto"/>
            </w:tcBorders>
            <w:hideMark/>
          </w:tcPr>
          <w:p w14:paraId="4FBAEE67" w14:textId="77777777" w:rsidR="0085075C" w:rsidRPr="0085075C" w:rsidRDefault="0085075C" w:rsidP="00083050">
            <w:pPr>
              <w:pStyle w:val="QPPTableTextBold"/>
            </w:pPr>
            <w:r w:rsidRPr="0085075C">
              <w:t>Development of a site 1,800m</w:t>
            </w:r>
            <w:r w:rsidRPr="00473C63">
              <w:rPr>
                <w:vertAlign w:val="superscript"/>
              </w:rPr>
              <w:t>2</w:t>
            </w:r>
            <w:r w:rsidRPr="0085075C">
              <w:t xml:space="preserve"> or greater</w:t>
            </w:r>
          </w:p>
        </w:tc>
      </w:tr>
      <w:tr w:rsidR="0085075C" w14:paraId="51CC0DA8" w14:textId="77777777" w:rsidTr="007764F6">
        <w:trPr>
          <w:trHeight w:val="58"/>
        </w:trPr>
        <w:tc>
          <w:tcPr>
            <w:tcW w:w="8472" w:type="dxa"/>
            <w:gridSpan w:val="5"/>
            <w:tcBorders>
              <w:top w:val="single" w:sz="4" w:space="0" w:color="auto"/>
              <w:left w:val="single" w:sz="4" w:space="0" w:color="auto"/>
              <w:bottom w:val="single" w:sz="4" w:space="0" w:color="auto"/>
              <w:right w:val="single" w:sz="4" w:space="0" w:color="auto"/>
            </w:tcBorders>
            <w:hideMark/>
          </w:tcPr>
          <w:p w14:paraId="530A6B87" w14:textId="39584C63" w:rsidR="0085075C" w:rsidRPr="0085075C" w:rsidRDefault="0085075C" w:rsidP="00083050">
            <w:pPr>
              <w:pStyle w:val="QPPTableTextBold"/>
            </w:pPr>
            <w:r w:rsidRPr="0085075C">
              <w:t>Maximum building height (</w:t>
            </w:r>
            <w:r w:rsidRPr="00FA513A">
              <w:t>storeys</w:t>
            </w:r>
            <w:r w:rsidRPr="0085075C">
              <w:t>)</w:t>
            </w:r>
          </w:p>
        </w:tc>
      </w:tr>
      <w:tr w:rsidR="0085075C" w14:paraId="30412DB5" w14:textId="77777777" w:rsidTr="007764F6">
        <w:trPr>
          <w:trHeight w:val="58"/>
        </w:trPr>
        <w:tc>
          <w:tcPr>
            <w:tcW w:w="8472" w:type="dxa"/>
            <w:gridSpan w:val="5"/>
            <w:tcBorders>
              <w:top w:val="single" w:sz="4" w:space="0" w:color="auto"/>
              <w:left w:val="single" w:sz="4" w:space="0" w:color="auto"/>
              <w:bottom w:val="single" w:sz="4" w:space="0" w:color="auto"/>
              <w:right w:val="single" w:sz="4" w:space="0" w:color="auto"/>
            </w:tcBorders>
            <w:hideMark/>
          </w:tcPr>
          <w:p w14:paraId="1C34CA4A" w14:textId="77777777" w:rsidR="0085075C" w:rsidRPr="0085075C" w:rsidRDefault="0085075C" w:rsidP="00083050">
            <w:pPr>
              <w:pStyle w:val="QPPTableTextBold"/>
            </w:pPr>
            <w:r w:rsidRPr="0085075C">
              <w:t>If in the City Centre expansion precinct (Spring Hill neighbourhood plan/NPP-001)</w:t>
            </w:r>
          </w:p>
        </w:tc>
      </w:tr>
      <w:tr w:rsidR="0085075C" w14:paraId="360973CB" w14:textId="77777777" w:rsidTr="000B63FE">
        <w:trPr>
          <w:trHeight w:val="58"/>
        </w:trPr>
        <w:tc>
          <w:tcPr>
            <w:tcW w:w="1951" w:type="dxa"/>
            <w:tcBorders>
              <w:top w:val="single" w:sz="4" w:space="0" w:color="auto"/>
              <w:left w:val="single" w:sz="4" w:space="0" w:color="auto"/>
              <w:bottom w:val="single" w:sz="4" w:space="0" w:color="auto"/>
              <w:right w:val="single" w:sz="4" w:space="0" w:color="auto"/>
            </w:tcBorders>
            <w:hideMark/>
          </w:tcPr>
          <w:p w14:paraId="4F8354C4" w14:textId="77777777" w:rsidR="0085075C" w:rsidRPr="0085075C" w:rsidRDefault="0085075C" w:rsidP="00083050">
            <w:pPr>
              <w:pStyle w:val="QPPTableTextBody"/>
            </w:pPr>
            <w:r w:rsidRPr="0085075C">
              <w:t xml:space="preserve">Where in the Principal centre zone </w:t>
            </w:r>
          </w:p>
        </w:tc>
        <w:tc>
          <w:tcPr>
            <w:tcW w:w="1630" w:type="dxa"/>
            <w:tcBorders>
              <w:top w:val="single" w:sz="4" w:space="0" w:color="auto"/>
              <w:left w:val="single" w:sz="4" w:space="0" w:color="auto"/>
              <w:bottom w:val="single" w:sz="4" w:space="0" w:color="auto"/>
              <w:right w:val="single" w:sz="4" w:space="0" w:color="auto"/>
            </w:tcBorders>
            <w:hideMark/>
          </w:tcPr>
          <w:p w14:paraId="7C57BF23" w14:textId="77777777" w:rsidR="0085075C" w:rsidRPr="0085075C" w:rsidRDefault="0085075C" w:rsidP="00083050">
            <w:pPr>
              <w:pStyle w:val="QPPTableTextBody"/>
            </w:pPr>
            <w:r w:rsidRPr="0085075C">
              <w:t>3</w:t>
            </w:r>
          </w:p>
        </w:tc>
        <w:tc>
          <w:tcPr>
            <w:tcW w:w="1630" w:type="dxa"/>
            <w:tcBorders>
              <w:top w:val="single" w:sz="4" w:space="0" w:color="auto"/>
              <w:left w:val="single" w:sz="4" w:space="0" w:color="auto"/>
              <w:bottom w:val="single" w:sz="4" w:space="0" w:color="auto"/>
              <w:right w:val="single" w:sz="4" w:space="0" w:color="auto"/>
            </w:tcBorders>
            <w:hideMark/>
          </w:tcPr>
          <w:p w14:paraId="4D4C9D0C" w14:textId="77777777" w:rsidR="0085075C" w:rsidRPr="0085075C" w:rsidRDefault="0085075C" w:rsidP="00083050">
            <w:pPr>
              <w:pStyle w:val="QPPTableTextBody"/>
            </w:pPr>
            <w:r w:rsidRPr="0085075C">
              <w:t>15</w:t>
            </w:r>
          </w:p>
        </w:tc>
        <w:tc>
          <w:tcPr>
            <w:tcW w:w="1630" w:type="dxa"/>
            <w:tcBorders>
              <w:top w:val="single" w:sz="4" w:space="0" w:color="auto"/>
              <w:left w:val="single" w:sz="4" w:space="0" w:color="auto"/>
              <w:bottom w:val="single" w:sz="4" w:space="0" w:color="auto"/>
              <w:right w:val="single" w:sz="4" w:space="0" w:color="auto"/>
            </w:tcBorders>
            <w:hideMark/>
          </w:tcPr>
          <w:p w14:paraId="0F31AE9A" w14:textId="77777777" w:rsidR="0085075C" w:rsidRPr="0085075C" w:rsidRDefault="0085075C" w:rsidP="00083050">
            <w:pPr>
              <w:pStyle w:val="QPPTableTextBody"/>
            </w:pPr>
            <w:r w:rsidRPr="0085075C">
              <w:t>25</w:t>
            </w:r>
          </w:p>
        </w:tc>
        <w:tc>
          <w:tcPr>
            <w:tcW w:w="1631" w:type="dxa"/>
            <w:tcBorders>
              <w:top w:val="single" w:sz="4" w:space="0" w:color="auto"/>
              <w:left w:val="single" w:sz="4" w:space="0" w:color="auto"/>
              <w:bottom w:val="single" w:sz="4" w:space="0" w:color="auto"/>
              <w:right w:val="single" w:sz="4" w:space="0" w:color="auto"/>
            </w:tcBorders>
            <w:hideMark/>
          </w:tcPr>
          <w:p w14:paraId="00040A3D" w14:textId="77777777" w:rsidR="0085075C" w:rsidRPr="0085075C" w:rsidRDefault="0085075C" w:rsidP="00083050">
            <w:pPr>
              <w:pStyle w:val="QPPTableTextBody"/>
            </w:pPr>
            <w:r w:rsidRPr="0085075C">
              <w:t>30</w:t>
            </w:r>
          </w:p>
        </w:tc>
      </w:tr>
      <w:tr w:rsidR="0085075C" w14:paraId="183B2F3F" w14:textId="77777777" w:rsidTr="007764F6">
        <w:trPr>
          <w:trHeight w:val="58"/>
        </w:trPr>
        <w:tc>
          <w:tcPr>
            <w:tcW w:w="8472" w:type="dxa"/>
            <w:gridSpan w:val="5"/>
            <w:tcBorders>
              <w:top w:val="single" w:sz="4" w:space="0" w:color="auto"/>
              <w:left w:val="single" w:sz="4" w:space="0" w:color="auto"/>
              <w:bottom w:val="single" w:sz="4" w:space="0" w:color="auto"/>
              <w:right w:val="single" w:sz="4" w:space="0" w:color="auto"/>
            </w:tcBorders>
            <w:hideMark/>
          </w:tcPr>
          <w:p w14:paraId="23ABFDFA" w14:textId="77777777" w:rsidR="0085075C" w:rsidRPr="0085075C" w:rsidRDefault="0085075C" w:rsidP="00083050">
            <w:pPr>
              <w:pStyle w:val="QPPTableTextBold"/>
            </w:pPr>
            <w:r w:rsidRPr="0085075C">
              <w:t>If in the Spring Hill mixed use precinct (Spring Hill neighbourhood plan/NPP-002)</w:t>
            </w:r>
          </w:p>
        </w:tc>
      </w:tr>
      <w:tr w:rsidR="0085075C" w14:paraId="74FDA447" w14:textId="77777777" w:rsidTr="000B63FE">
        <w:trPr>
          <w:trHeight w:val="368"/>
        </w:trPr>
        <w:tc>
          <w:tcPr>
            <w:tcW w:w="1951" w:type="dxa"/>
            <w:tcBorders>
              <w:top w:val="single" w:sz="4" w:space="0" w:color="auto"/>
              <w:left w:val="single" w:sz="4" w:space="0" w:color="auto"/>
              <w:bottom w:val="single" w:sz="4" w:space="0" w:color="auto"/>
              <w:right w:val="single" w:sz="4" w:space="0" w:color="auto"/>
            </w:tcBorders>
            <w:hideMark/>
          </w:tcPr>
          <w:p w14:paraId="31904C0B" w14:textId="77777777" w:rsidR="0085075C" w:rsidRPr="0085075C" w:rsidRDefault="0085075C" w:rsidP="00083050">
            <w:pPr>
              <w:pStyle w:val="QPPTableTextBody"/>
            </w:pPr>
            <w:r w:rsidRPr="0085075C">
              <w:t>Where in the Mixed use zone and in sub-precinct a</w:t>
            </w:r>
          </w:p>
        </w:tc>
        <w:tc>
          <w:tcPr>
            <w:tcW w:w="1630" w:type="dxa"/>
            <w:tcBorders>
              <w:top w:val="single" w:sz="4" w:space="0" w:color="auto"/>
              <w:left w:val="single" w:sz="4" w:space="0" w:color="auto"/>
              <w:bottom w:val="single" w:sz="4" w:space="0" w:color="auto"/>
              <w:right w:val="single" w:sz="4" w:space="0" w:color="auto"/>
            </w:tcBorders>
            <w:hideMark/>
          </w:tcPr>
          <w:p w14:paraId="07C218C4" w14:textId="77777777" w:rsidR="0085075C" w:rsidRPr="0085075C" w:rsidRDefault="0085075C" w:rsidP="00083050">
            <w:pPr>
              <w:pStyle w:val="QPPTableTextBody"/>
            </w:pPr>
            <w:r w:rsidRPr="0085075C">
              <w:t>3</w:t>
            </w:r>
          </w:p>
        </w:tc>
        <w:tc>
          <w:tcPr>
            <w:tcW w:w="1630" w:type="dxa"/>
            <w:tcBorders>
              <w:top w:val="single" w:sz="4" w:space="0" w:color="auto"/>
              <w:left w:val="single" w:sz="4" w:space="0" w:color="auto"/>
              <w:bottom w:val="single" w:sz="4" w:space="0" w:color="auto"/>
              <w:right w:val="single" w:sz="4" w:space="0" w:color="auto"/>
            </w:tcBorders>
            <w:hideMark/>
          </w:tcPr>
          <w:p w14:paraId="3C3CD7B8" w14:textId="77777777" w:rsidR="0085075C" w:rsidRPr="0085075C" w:rsidRDefault="0085075C" w:rsidP="00083050">
            <w:pPr>
              <w:pStyle w:val="QPPTableTextBody"/>
            </w:pPr>
            <w:r w:rsidRPr="0085075C">
              <w:t>8</w:t>
            </w:r>
          </w:p>
        </w:tc>
        <w:tc>
          <w:tcPr>
            <w:tcW w:w="1630" w:type="dxa"/>
            <w:tcBorders>
              <w:top w:val="single" w:sz="4" w:space="0" w:color="auto"/>
              <w:left w:val="single" w:sz="4" w:space="0" w:color="auto"/>
              <w:bottom w:val="single" w:sz="4" w:space="0" w:color="auto"/>
              <w:right w:val="single" w:sz="4" w:space="0" w:color="auto"/>
            </w:tcBorders>
            <w:hideMark/>
          </w:tcPr>
          <w:p w14:paraId="052C7062" w14:textId="77777777" w:rsidR="0085075C" w:rsidRPr="0085075C" w:rsidRDefault="0085075C" w:rsidP="00083050">
            <w:pPr>
              <w:pStyle w:val="QPPTableTextBody"/>
            </w:pPr>
            <w:r w:rsidRPr="0085075C">
              <w:t>15</w:t>
            </w:r>
          </w:p>
        </w:tc>
        <w:tc>
          <w:tcPr>
            <w:tcW w:w="1631" w:type="dxa"/>
            <w:tcBorders>
              <w:top w:val="single" w:sz="4" w:space="0" w:color="auto"/>
              <w:left w:val="single" w:sz="4" w:space="0" w:color="auto"/>
              <w:bottom w:val="single" w:sz="4" w:space="0" w:color="auto"/>
              <w:right w:val="single" w:sz="4" w:space="0" w:color="auto"/>
            </w:tcBorders>
            <w:hideMark/>
          </w:tcPr>
          <w:p w14:paraId="14E01E78" w14:textId="77777777" w:rsidR="0085075C" w:rsidRPr="0085075C" w:rsidRDefault="0085075C" w:rsidP="00083050">
            <w:pPr>
              <w:pStyle w:val="QPPTableTextBody"/>
            </w:pPr>
            <w:r w:rsidRPr="0085075C">
              <w:t>20</w:t>
            </w:r>
          </w:p>
        </w:tc>
      </w:tr>
      <w:tr w:rsidR="0085075C" w14:paraId="0C246DBB" w14:textId="77777777" w:rsidTr="000B63FE">
        <w:trPr>
          <w:trHeight w:val="368"/>
        </w:trPr>
        <w:tc>
          <w:tcPr>
            <w:tcW w:w="1951" w:type="dxa"/>
            <w:tcBorders>
              <w:top w:val="single" w:sz="4" w:space="0" w:color="auto"/>
              <w:left w:val="single" w:sz="4" w:space="0" w:color="auto"/>
              <w:bottom w:val="single" w:sz="4" w:space="0" w:color="auto"/>
              <w:right w:val="single" w:sz="4" w:space="0" w:color="auto"/>
            </w:tcBorders>
            <w:hideMark/>
          </w:tcPr>
          <w:p w14:paraId="41942AF5" w14:textId="77777777" w:rsidR="0085075C" w:rsidRPr="0085075C" w:rsidRDefault="0085075C" w:rsidP="00083050">
            <w:pPr>
              <w:pStyle w:val="QPPTableTextBody"/>
            </w:pPr>
            <w:r w:rsidRPr="0085075C">
              <w:t>Where in the Mixed use zone and in sub-precinct b</w:t>
            </w:r>
          </w:p>
        </w:tc>
        <w:tc>
          <w:tcPr>
            <w:tcW w:w="1630" w:type="dxa"/>
            <w:tcBorders>
              <w:top w:val="single" w:sz="4" w:space="0" w:color="auto"/>
              <w:left w:val="single" w:sz="4" w:space="0" w:color="auto"/>
              <w:bottom w:val="single" w:sz="4" w:space="0" w:color="auto"/>
              <w:right w:val="single" w:sz="4" w:space="0" w:color="auto"/>
            </w:tcBorders>
            <w:hideMark/>
          </w:tcPr>
          <w:p w14:paraId="6C40D9E2" w14:textId="77777777" w:rsidR="0085075C" w:rsidRPr="0085075C" w:rsidRDefault="0085075C" w:rsidP="00083050">
            <w:pPr>
              <w:pStyle w:val="QPPTableTextBody"/>
            </w:pPr>
            <w:r w:rsidRPr="0085075C">
              <w:t>3</w:t>
            </w:r>
          </w:p>
        </w:tc>
        <w:tc>
          <w:tcPr>
            <w:tcW w:w="1630" w:type="dxa"/>
            <w:tcBorders>
              <w:top w:val="single" w:sz="4" w:space="0" w:color="auto"/>
              <w:left w:val="single" w:sz="4" w:space="0" w:color="auto"/>
              <w:bottom w:val="single" w:sz="4" w:space="0" w:color="auto"/>
              <w:right w:val="single" w:sz="4" w:space="0" w:color="auto"/>
            </w:tcBorders>
            <w:hideMark/>
          </w:tcPr>
          <w:p w14:paraId="0EF3ADFD" w14:textId="77777777" w:rsidR="0085075C" w:rsidRPr="0085075C" w:rsidRDefault="0085075C" w:rsidP="00083050">
            <w:pPr>
              <w:pStyle w:val="QPPTableTextBody"/>
            </w:pPr>
            <w:r w:rsidRPr="0085075C">
              <w:t>8</w:t>
            </w:r>
          </w:p>
        </w:tc>
        <w:tc>
          <w:tcPr>
            <w:tcW w:w="1630" w:type="dxa"/>
            <w:tcBorders>
              <w:top w:val="single" w:sz="4" w:space="0" w:color="auto"/>
              <w:left w:val="single" w:sz="4" w:space="0" w:color="auto"/>
              <w:bottom w:val="single" w:sz="4" w:space="0" w:color="auto"/>
              <w:right w:val="single" w:sz="4" w:space="0" w:color="auto"/>
            </w:tcBorders>
            <w:hideMark/>
          </w:tcPr>
          <w:p w14:paraId="35667231" w14:textId="77777777" w:rsidR="0085075C" w:rsidRPr="0085075C" w:rsidRDefault="0085075C" w:rsidP="00083050">
            <w:pPr>
              <w:pStyle w:val="QPPTableTextBody"/>
            </w:pPr>
            <w:r w:rsidRPr="0085075C">
              <w:t>10</w:t>
            </w:r>
          </w:p>
        </w:tc>
        <w:tc>
          <w:tcPr>
            <w:tcW w:w="1631" w:type="dxa"/>
            <w:tcBorders>
              <w:top w:val="single" w:sz="4" w:space="0" w:color="auto"/>
              <w:left w:val="single" w:sz="4" w:space="0" w:color="auto"/>
              <w:bottom w:val="single" w:sz="4" w:space="0" w:color="auto"/>
              <w:right w:val="single" w:sz="4" w:space="0" w:color="auto"/>
            </w:tcBorders>
            <w:hideMark/>
          </w:tcPr>
          <w:p w14:paraId="36378CE1" w14:textId="77777777" w:rsidR="0085075C" w:rsidRPr="0085075C" w:rsidRDefault="0085075C" w:rsidP="00083050">
            <w:pPr>
              <w:pStyle w:val="QPPTableTextBody"/>
            </w:pPr>
            <w:r w:rsidRPr="0085075C">
              <w:t>15</w:t>
            </w:r>
          </w:p>
        </w:tc>
      </w:tr>
      <w:tr w:rsidR="0085075C" w14:paraId="50139FF8" w14:textId="77777777" w:rsidTr="007764F6">
        <w:trPr>
          <w:trHeight w:val="368"/>
        </w:trPr>
        <w:tc>
          <w:tcPr>
            <w:tcW w:w="1951" w:type="dxa"/>
            <w:tcBorders>
              <w:top w:val="single" w:sz="4" w:space="0" w:color="auto"/>
              <w:left w:val="single" w:sz="4" w:space="0" w:color="auto"/>
              <w:bottom w:val="single" w:sz="4" w:space="0" w:color="auto"/>
              <w:right w:val="single" w:sz="4" w:space="0" w:color="auto"/>
            </w:tcBorders>
            <w:hideMark/>
          </w:tcPr>
          <w:p w14:paraId="6C92582D" w14:textId="77625502" w:rsidR="0085075C" w:rsidRPr="0085075C" w:rsidRDefault="0085075C" w:rsidP="00083050">
            <w:pPr>
              <w:pStyle w:val="QPPTableTextBody"/>
            </w:pPr>
            <w:r w:rsidRPr="0085075C">
              <w:t xml:space="preserve">Where in the </w:t>
            </w:r>
            <w:r w:rsidRPr="00FA513A">
              <w:t>Community facilities zone</w:t>
            </w:r>
            <w:r w:rsidRPr="0085075C">
              <w:t xml:space="preserve"> (Major health care zone precinct)</w:t>
            </w:r>
          </w:p>
        </w:tc>
        <w:tc>
          <w:tcPr>
            <w:tcW w:w="6521" w:type="dxa"/>
            <w:gridSpan w:val="4"/>
            <w:tcBorders>
              <w:top w:val="single" w:sz="4" w:space="0" w:color="auto"/>
              <w:left w:val="single" w:sz="4" w:space="0" w:color="auto"/>
              <w:bottom w:val="single" w:sz="4" w:space="0" w:color="auto"/>
              <w:right w:val="single" w:sz="4" w:space="0" w:color="auto"/>
            </w:tcBorders>
            <w:hideMark/>
          </w:tcPr>
          <w:p w14:paraId="454DADDC" w14:textId="77777777" w:rsidR="0085075C" w:rsidRPr="0085075C" w:rsidRDefault="0085075C" w:rsidP="00083050">
            <w:pPr>
              <w:pStyle w:val="QPPTableTextBody"/>
            </w:pPr>
            <w:r w:rsidRPr="0085075C">
              <w:t>20</w:t>
            </w:r>
          </w:p>
        </w:tc>
      </w:tr>
      <w:tr w:rsidR="0085075C" w14:paraId="4BC3CC36" w14:textId="77777777" w:rsidTr="007764F6">
        <w:trPr>
          <w:trHeight w:val="364"/>
        </w:trPr>
        <w:tc>
          <w:tcPr>
            <w:tcW w:w="1951" w:type="dxa"/>
            <w:tcBorders>
              <w:top w:val="single" w:sz="4" w:space="0" w:color="auto"/>
              <w:left w:val="single" w:sz="4" w:space="0" w:color="auto"/>
              <w:bottom w:val="single" w:sz="4" w:space="0" w:color="auto"/>
              <w:right w:val="single" w:sz="4" w:space="0" w:color="auto"/>
            </w:tcBorders>
            <w:hideMark/>
          </w:tcPr>
          <w:p w14:paraId="1BECDF23" w14:textId="2911CBE6" w:rsidR="0085075C" w:rsidRPr="0085075C" w:rsidRDefault="0085075C" w:rsidP="00083050">
            <w:pPr>
              <w:pStyle w:val="QPPTableTextBody"/>
            </w:pPr>
            <w:r w:rsidRPr="0085075C">
              <w:t xml:space="preserve">Where in the </w:t>
            </w:r>
            <w:r w:rsidRPr="00FA513A">
              <w:t>Community facilities zone</w:t>
            </w:r>
            <w:r w:rsidRPr="0085075C">
              <w:t xml:space="preserve"> (Education purposes zone precinct)</w:t>
            </w:r>
          </w:p>
        </w:tc>
        <w:tc>
          <w:tcPr>
            <w:tcW w:w="6521" w:type="dxa"/>
            <w:gridSpan w:val="4"/>
            <w:tcBorders>
              <w:top w:val="single" w:sz="4" w:space="0" w:color="auto"/>
              <w:left w:val="single" w:sz="4" w:space="0" w:color="auto"/>
              <w:bottom w:val="single" w:sz="4" w:space="0" w:color="auto"/>
              <w:right w:val="single" w:sz="4" w:space="0" w:color="auto"/>
            </w:tcBorders>
            <w:hideMark/>
          </w:tcPr>
          <w:p w14:paraId="693906B9" w14:textId="77777777" w:rsidR="0085075C" w:rsidRPr="0085075C" w:rsidRDefault="0085075C" w:rsidP="00083050">
            <w:pPr>
              <w:pStyle w:val="QPPTableTextBody"/>
            </w:pPr>
            <w:r w:rsidRPr="0085075C">
              <w:t>10</w:t>
            </w:r>
          </w:p>
        </w:tc>
      </w:tr>
      <w:tr w:rsidR="0085075C" w14:paraId="4AFC9D01" w14:textId="77777777" w:rsidTr="007764F6">
        <w:trPr>
          <w:trHeight w:val="157"/>
        </w:trPr>
        <w:tc>
          <w:tcPr>
            <w:tcW w:w="8472" w:type="dxa"/>
            <w:gridSpan w:val="5"/>
            <w:tcBorders>
              <w:top w:val="single" w:sz="4" w:space="0" w:color="auto"/>
              <w:left w:val="single" w:sz="4" w:space="0" w:color="auto"/>
              <w:bottom w:val="single" w:sz="4" w:space="0" w:color="auto"/>
              <w:right w:val="single" w:sz="4" w:space="0" w:color="auto"/>
            </w:tcBorders>
            <w:hideMark/>
          </w:tcPr>
          <w:p w14:paraId="317E07C3" w14:textId="77777777" w:rsidR="0085075C" w:rsidRPr="0085075C" w:rsidRDefault="0085075C" w:rsidP="00083050">
            <w:pPr>
              <w:pStyle w:val="QPPTableTextBold"/>
            </w:pPr>
            <w:r w:rsidRPr="0085075C">
              <w:t>If in the Boundary Street heart precinct (Spring Hill neighbourhood plan/NPP-003)</w:t>
            </w:r>
          </w:p>
        </w:tc>
      </w:tr>
      <w:tr w:rsidR="0085075C" w14:paraId="7E470CD8" w14:textId="77777777" w:rsidTr="000B63FE">
        <w:trPr>
          <w:trHeight w:val="368"/>
        </w:trPr>
        <w:tc>
          <w:tcPr>
            <w:tcW w:w="1951" w:type="dxa"/>
            <w:tcBorders>
              <w:top w:val="single" w:sz="4" w:space="0" w:color="auto"/>
              <w:left w:val="single" w:sz="4" w:space="0" w:color="auto"/>
              <w:bottom w:val="single" w:sz="4" w:space="0" w:color="auto"/>
              <w:right w:val="single" w:sz="4" w:space="0" w:color="auto"/>
            </w:tcBorders>
            <w:hideMark/>
          </w:tcPr>
          <w:p w14:paraId="58200F0C" w14:textId="77777777" w:rsidR="0085075C" w:rsidRPr="0085075C" w:rsidRDefault="0085075C" w:rsidP="00083050">
            <w:pPr>
              <w:pStyle w:val="QPPTableTextBody"/>
            </w:pPr>
            <w:r w:rsidRPr="0085075C">
              <w:t>Where in the District centre zone or the Mixed use zone</w:t>
            </w:r>
          </w:p>
        </w:tc>
        <w:tc>
          <w:tcPr>
            <w:tcW w:w="1630" w:type="dxa"/>
            <w:tcBorders>
              <w:top w:val="single" w:sz="4" w:space="0" w:color="auto"/>
              <w:left w:val="single" w:sz="4" w:space="0" w:color="auto"/>
              <w:bottom w:val="single" w:sz="4" w:space="0" w:color="auto"/>
              <w:right w:val="single" w:sz="4" w:space="0" w:color="auto"/>
            </w:tcBorders>
            <w:hideMark/>
          </w:tcPr>
          <w:p w14:paraId="60EE1779" w14:textId="77777777" w:rsidR="0085075C" w:rsidRPr="0085075C" w:rsidRDefault="0085075C" w:rsidP="00083050">
            <w:pPr>
              <w:pStyle w:val="QPPTableTextBody"/>
            </w:pPr>
            <w:r w:rsidRPr="0085075C">
              <w:t>3</w:t>
            </w:r>
          </w:p>
        </w:tc>
        <w:tc>
          <w:tcPr>
            <w:tcW w:w="1630" w:type="dxa"/>
            <w:tcBorders>
              <w:top w:val="single" w:sz="4" w:space="0" w:color="auto"/>
              <w:left w:val="single" w:sz="4" w:space="0" w:color="auto"/>
              <w:bottom w:val="single" w:sz="4" w:space="0" w:color="auto"/>
              <w:right w:val="single" w:sz="4" w:space="0" w:color="auto"/>
            </w:tcBorders>
            <w:hideMark/>
          </w:tcPr>
          <w:p w14:paraId="29076E2D" w14:textId="77777777" w:rsidR="0085075C" w:rsidRPr="0085075C" w:rsidRDefault="0085075C" w:rsidP="00083050">
            <w:pPr>
              <w:pStyle w:val="QPPTableTextBody"/>
            </w:pPr>
            <w:r w:rsidRPr="0085075C">
              <w:t>5</w:t>
            </w:r>
          </w:p>
        </w:tc>
        <w:tc>
          <w:tcPr>
            <w:tcW w:w="1630" w:type="dxa"/>
            <w:tcBorders>
              <w:top w:val="single" w:sz="4" w:space="0" w:color="auto"/>
              <w:left w:val="single" w:sz="4" w:space="0" w:color="auto"/>
              <w:bottom w:val="single" w:sz="4" w:space="0" w:color="auto"/>
              <w:right w:val="single" w:sz="4" w:space="0" w:color="auto"/>
            </w:tcBorders>
            <w:hideMark/>
          </w:tcPr>
          <w:p w14:paraId="1D1A796F" w14:textId="77777777" w:rsidR="0085075C" w:rsidRPr="0085075C" w:rsidRDefault="0085075C" w:rsidP="00083050">
            <w:pPr>
              <w:pStyle w:val="QPPTableTextBody"/>
            </w:pPr>
            <w:r w:rsidRPr="0085075C">
              <w:t>10</w:t>
            </w:r>
          </w:p>
        </w:tc>
        <w:tc>
          <w:tcPr>
            <w:tcW w:w="1631" w:type="dxa"/>
            <w:tcBorders>
              <w:top w:val="single" w:sz="4" w:space="0" w:color="auto"/>
              <w:left w:val="single" w:sz="4" w:space="0" w:color="auto"/>
              <w:bottom w:val="single" w:sz="4" w:space="0" w:color="auto"/>
              <w:right w:val="single" w:sz="4" w:space="0" w:color="auto"/>
            </w:tcBorders>
            <w:hideMark/>
          </w:tcPr>
          <w:p w14:paraId="1BB15CEF" w14:textId="77777777" w:rsidR="0085075C" w:rsidRPr="0085075C" w:rsidRDefault="0085075C" w:rsidP="00083050">
            <w:pPr>
              <w:pStyle w:val="QPPTableTextBody"/>
            </w:pPr>
            <w:r w:rsidRPr="0085075C">
              <w:t>15</w:t>
            </w:r>
          </w:p>
        </w:tc>
      </w:tr>
      <w:tr w:rsidR="0085075C" w14:paraId="4D59523A" w14:textId="77777777" w:rsidTr="007764F6">
        <w:trPr>
          <w:trHeight w:val="364"/>
        </w:trPr>
        <w:tc>
          <w:tcPr>
            <w:tcW w:w="1951" w:type="dxa"/>
            <w:tcBorders>
              <w:top w:val="single" w:sz="4" w:space="0" w:color="auto"/>
              <w:left w:val="single" w:sz="4" w:space="0" w:color="auto"/>
              <w:bottom w:val="single" w:sz="4" w:space="0" w:color="auto"/>
              <w:right w:val="single" w:sz="4" w:space="0" w:color="auto"/>
            </w:tcBorders>
            <w:hideMark/>
          </w:tcPr>
          <w:p w14:paraId="06C4BA60" w14:textId="54EB09BD" w:rsidR="0085075C" w:rsidRPr="0085075C" w:rsidRDefault="0085075C" w:rsidP="00083050">
            <w:pPr>
              <w:pStyle w:val="QPPTableTextBody"/>
            </w:pPr>
            <w:r w:rsidRPr="0085075C">
              <w:t xml:space="preserve">Where in the </w:t>
            </w:r>
            <w:r w:rsidRPr="00FA513A">
              <w:t>Community facilities zone</w:t>
            </w:r>
            <w:r w:rsidRPr="0085075C">
              <w:t xml:space="preserve"> (Major health care zone precinct)</w:t>
            </w:r>
          </w:p>
        </w:tc>
        <w:tc>
          <w:tcPr>
            <w:tcW w:w="6521" w:type="dxa"/>
            <w:gridSpan w:val="4"/>
            <w:tcBorders>
              <w:top w:val="single" w:sz="4" w:space="0" w:color="auto"/>
              <w:left w:val="single" w:sz="4" w:space="0" w:color="auto"/>
              <w:bottom w:val="single" w:sz="4" w:space="0" w:color="auto"/>
              <w:right w:val="single" w:sz="4" w:space="0" w:color="auto"/>
            </w:tcBorders>
            <w:hideMark/>
          </w:tcPr>
          <w:p w14:paraId="442EAAC0" w14:textId="77777777" w:rsidR="0085075C" w:rsidRPr="0085075C" w:rsidRDefault="0085075C" w:rsidP="00083050">
            <w:pPr>
              <w:pStyle w:val="QPPTableTextBody"/>
            </w:pPr>
            <w:r w:rsidRPr="0085075C">
              <w:t>15</w:t>
            </w:r>
          </w:p>
        </w:tc>
      </w:tr>
      <w:tr w:rsidR="0085075C" w14:paraId="0C82E1FC" w14:textId="77777777" w:rsidTr="007764F6">
        <w:trPr>
          <w:trHeight w:val="368"/>
        </w:trPr>
        <w:tc>
          <w:tcPr>
            <w:tcW w:w="1951" w:type="dxa"/>
            <w:tcBorders>
              <w:top w:val="single" w:sz="4" w:space="0" w:color="auto"/>
              <w:left w:val="single" w:sz="4" w:space="0" w:color="auto"/>
              <w:bottom w:val="single" w:sz="4" w:space="0" w:color="auto"/>
              <w:right w:val="single" w:sz="4" w:space="0" w:color="auto"/>
            </w:tcBorders>
            <w:hideMark/>
          </w:tcPr>
          <w:p w14:paraId="76B46A09" w14:textId="7EFCEAF8" w:rsidR="0085075C" w:rsidRPr="0085075C" w:rsidRDefault="0085075C" w:rsidP="00083050">
            <w:pPr>
              <w:pStyle w:val="QPPTableTextBody"/>
            </w:pPr>
            <w:r w:rsidRPr="0085075C">
              <w:t xml:space="preserve">Where in the </w:t>
            </w:r>
            <w:r w:rsidRPr="00FA513A">
              <w:t>Community facilities zone</w:t>
            </w:r>
            <w:r w:rsidRPr="0085075C">
              <w:t xml:space="preserve"> (Education purposes zone precinct)</w:t>
            </w:r>
          </w:p>
        </w:tc>
        <w:tc>
          <w:tcPr>
            <w:tcW w:w="6521" w:type="dxa"/>
            <w:gridSpan w:val="4"/>
            <w:tcBorders>
              <w:top w:val="single" w:sz="4" w:space="0" w:color="auto"/>
              <w:left w:val="single" w:sz="4" w:space="0" w:color="auto"/>
              <w:bottom w:val="single" w:sz="4" w:space="0" w:color="auto"/>
              <w:right w:val="single" w:sz="4" w:space="0" w:color="auto"/>
            </w:tcBorders>
            <w:hideMark/>
          </w:tcPr>
          <w:p w14:paraId="0254DBDA" w14:textId="77777777" w:rsidR="0085075C" w:rsidRPr="0085075C" w:rsidRDefault="0085075C" w:rsidP="00083050">
            <w:pPr>
              <w:pStyle w:val="QPPTableTextBody"/>
            </w:pPr>
            <w:r w:rsidRPr="0085075C">
              <w:t>10</w:t>
            </w:r>
          </w:p>
        </w:tc>
      </w:tr>
      <w:tr w:rsidR="0085075C" w14:paraId="4E84B4F8" w14:textId="77777777" w:rsidTr="007764F6">
        <w:trPr>
          <w:trHeight w:val="157"/>
        </w:trPr>
        <w:tc>
          <w:tcPr>
            <w:tcW w:w="8472" w:type="dxa"/>
            <w:gridSpan w:val="5"/>
            <w:tcBorders>
              <w:top w:val="single" w:sz="4" w:space="0" w:color="auto"/>
              <w:left w:val="single" w:sz="4" w:space="0" w:color="auto"/>
              <w:bottom w:val="single" w:sz="4" w:space="0" w:color="auto"/>
              <w:right w:val="single" w:sz="4" w:space="0" w:color="auto"/>
            </w:tcBorders>
            <w:hideMark/>
          </w:tcPr>
          <w:p w14:paraId="14244556" w14:textId="77777777" w:rsidR="0085075C" w:rsidRPr="0085075C" w:rsidRDefault="0085075C" w:rsidP="00083050">
            <w:pPr>
              <w:pStyle w:val="QPPTableTextBold"/>
            </w:pPr>
            <w:r w:rsidRPr="0085075C">
              <w:t>If in the Spring Hill east precinct (Spring Hill neighbourhood plan/NPP-004)</w:t>
            </w:r>
          </w:p>
        </w:tc>
      </w:tr>
      <w:tr w:rsidR="0085075C" w14:paraId="51578949" w14:textId="77777777" w:rsidTr="000B63FE">
        <w:trPr>
          <w:trHeight w:val="474"/>
        </w:trPr>
        <w:tc>
          <w:tcPr>
            <w:tcW w:w="1951" w:type="dxa"/>
            <w:tcBorders>
              <w:top w:val="single" w:sz="4" w:space="0" w:color="auto"/>
              <w:left w:val="single" w:sz="4" w:space="0" w:color="auto"/>
              <w:bottom w:val="single" w:sz="4" w:space="0" w:color="auto"/>
              <w:right w:val="single" w:sz="4" w:space="0" w:color="auto"/>
            </w:tcBorders>
            <w:hideMark/>
          </w:tcPr>
          <w:p w14:paraId="541F7CA6" w14:textId="77777777" w:rsidR="0085075C" w:rsidRPr="004C1592" w:rsidRDefault="0085075C" w:rsidP="00083050">
            <w:pPr>
              <w:pStyle w:val="QPPTableTextBody"/>
            </w:pPr>
            <w:r w:rsidRPr="004C1592">
              <w:t>Where in the Mixed use zone and with a primary frontage to Saint Pauls Terrace</w:t>
            </w:r>
          </w:p>
        </w:tc>
        <w:tc>
          <w:tcPr>
            <w:tcW w:w="1630" w:type="dxa"/>
            <w:tcBorders>
              <w:top w:val="single" w:sz="4" w:space="0" w:color="auto"/>
              <w:left w:val="single" w:sz="4" w:space="0" w:color="auto"/>
              <w:bottom w:val="single" w:sz="4" w:space="0" w:color="auto"/>
              <w:right w:val="single" w:sz="4" w:space="0" w:color="auto"/>
            </w:tcBorders>
            <w:hideMark/>
          </w:tcPr>
          <w:p w14:paraId="56FDD9B3" w14:textId="77777777" w:rsidR="0085075C" w:rsidRPr="004C1592" w:rsidRDefault="0085075C" w:rsidP="00083050">
            <w:pPr>
              <w:pStyle w:val="QPPTableTextBody"/>
            </w:pPr>
            <w:r w:rsidRPr="004C1592">
              <w:t>3</w:t>
            </w:r>
          </w:p>
        </w:tc>
        <w:tc>
          <w:tcPr>
            <w:tcW w:w="1630" w:type="dxa"/>
            <w:tcBorders>
              <w:top w:val="single" w:sz="4" w:space="0" w:color="auto"/>
              <w:left w:val="single" w:sz="4" w:space="0" w:color="auto"/>
              <w:bottom w:val="single" w:sz="4" w:space="0" w:color="auto"/>
              <w:right w:val="single" w:sz="4" w:space="0" w:color="auto"/>
            </w:tcBorders>
            <w:hideMark/>
          </w:tcPr>
          <w:p w14:paraId="6395895B" w14:textId="77777777" w:rsidR="0085075C" w:rsidRPr="0085075C" w:rsidRDefault="0085075C" w:rsidP="00083050">
            <w:pPr>
              <w:pStyle w:val="QPPTableTextBody"/>
            </w:pPr>
            <w:r w:rsidRPr="0085075C">
              <w:t>8</w:t>
            </w:r>
          </w:p>
        </w:tc>
        <w:tc>
          <w:tcPr>
            <w:tcW w:w="1630" w:type="dxa"/>
            <w:tcBorders>
              <w:top w:val="single" w:sz="4" w:space="0" w:color="auto"/>
              <w:left w:val="single" w:sz="4" w:space="0" w:color="auto"/>
              <w:bottom w:val="single" w:sz="4" w:space="0" w:color="auto"/>
              <w:right w:val="single" w:sz="4" w:space="0" w:color="auto"/>
            </w:tcBorders>
            <w:hideMark/>
          </w:tcPr>
          <w:p w14:paraId="7AC36662" w14:textId="77777777" w:rsidR="0085075C" w:rsidRPr="0085075C" w:rsidRDefault="0085075C" w:rsidP="00083050">
            <w:pPr>
              <w:pStyle w:val="QPPTableTextBody"/>
            </w:pPr>
            <w:r w:rsidRPr="0085075C">
              <w:t>15</w:t>
            </w:r>
          </w:p>
        </w:tc>
        <w:tc>
          <w:tcPr>
            <w:tcW w:w="1631" w:type="dxa"/>
            <w:tcBorders>
              <w:top w:val="single" w:sz="4" w:space="0" w:color="auto"/>
              <w:left w:val="single" w:sz="4" w:space="0" w:color="auto"/>
              <w:bottom w:val="single" w:sz="4" w:space="0" w:color="auto"/>
              <w:right w:val="single" w:sz="4" w:space="0" w:color="auto"/>
            </w:tcBorders>
            <w:hideMark/>
          </w:tcPr>
          <w:p w14:paraId="353BC73F" w14:textId="77777777" w:rsidR="0085075C" w:rsidRPr="0085075C" w:rsidRDefault="0085075C" w:rsidP="00083050">
            <w:pPr>
              <w:pStyle w:val="QPPTableTextBody"/>
            </w:pPr>
            <w:r w:rsidRPr="0085075C">
              <w:t>20</w:t>
            </w:r>
          </w:p>
        </w:tc>
      </w:tr>
      <w:tr w:rsidR="0085075C" w14:paraId="79352DC4" w14:textId="77777777" w:rsidTr="000B63FE">
        <w:trPr>
          <w:trHeight w:val="258"/>
        </w:trPr>
        <w:tc>
          <w:tcPr>
            <w:tcW w:w="1951" w:type="dxa"/>
            <w:tcBorders>
              <w:top w:val="single" w:sz="4" w:space="0" w:color="auto"/>
              <w:left w:val="single" w:sz="4" w:space="0" w:color="auto"/>
              <w:bottom w:val="single" w:sz="4" w:space="0" w:color="auto"/>
              <w:right w:val="single" w:sz="4" w:space="0" w:color="auto"/>
            </w:tcBorders>
            <w:hideMark/>
          </w:tcPr>
          <w:p w14:paraId="263AA7B6" w14:textId="72D1C6B2" w:rsidR="0085075C" w:rsidRPr="004C1592" w:rsidRDefault="0085075C" w:rsidP="00083050">
            <w:pPr>
              <w:pStyle w:val="QPPTableTextBody"/>
            </w:pPr>
            <w:r w:rsidRPr="004C1592">
              <w:t xml:space="preserve">Where in the </w:t>
            </w:r>
            <w:r w:rsidRPr="00FA513A">
              <w:t>Mixed use zone</w:t>
            </w:r>
            <w:r w:rsidRPr="004C1592">
              <w:t xml:space="preserve"> otherwise</w:t>
            </w:r>
          </w:p>
        </w:tc>
        <w:tc>
          <w:tcPr>
            <w:tcW w:w="1630" w:type="dxa"/>
            <w:tcBorders>
              <w:top w:val="single" w:sz="4" w:space="0" w:color="auto"/>
              <w:left w:val="single" w:sz="4" w:space="0" w:color="auto"/>
              <w:bottom w:val="single" w:sz="4" w:space="0" w:color="auto"/>
              <w:right w:val="single" w:sz="4" w:space="0" w:color="auto"/>
            </w:tcBorders>
            <w:hideMark/>
          </w:tcPr>
          <w:p w14:paraId="3340C410" w14:textId="77777777" w:rsidR="0085075C" w:rsidRPr="004C1592" w:rsidRDefault="0085075C" w:rsidP="00083050">
            <w:pPr>
              <w:pStyle w:val="QPPTableTextBody"/>
            </w:pPr>
            <w:r w:rsidRPr="004C1592">
              <w:t>3</w:t>
            </w:r>
          </w:p>
        </w:tc>
        <w:tc>
          <w:tcPr>
            <w:tcW w:w="1630" w:type="dxa"/>
            <w:tcBorders>
              <w:top w:val="single" w:sz="4" w:space="0" w:color="auto"/>
              <w:left w:val="single" w:sz="4" w:space="0" w:color="auto"/>
              <w:bottom w:val="single" w:sz="4" w:space="0" w:color="auto"/>
              <w:right w:val="single" w:sz="4" w:space="0" w:color="auto"/>
            </w:tcBorders>
            <w:hideMark/>
          </w:tcPr>
          <w:p w14:paraId="56AE7693" w14:textId="77777777" w:rsidR="0085075C" w:rsidRPr="0085075C" w:rsidRDefault="0085075C" w:rsidP="00083050">
            <w:pPr>
              <w:pStyle w:val="QPPTableTextBody"/>
            </w:pPr>
            <w:r w:rsidRPr="0085075C">
              <w:t>8</w:t>
            </w:r>
          </w:p>
        </w:tc>
        <w:tc>
          <w:tcPr>
            <w:tcW w:w="1630" w:type="dxa"/>
            <w:tcBorders>
              <w:top w:val="single" w:sz="4" w:space="0" w:color="auto"/>
              <w:left w:val="single" w:sz="4" w:space="0" w:color="auto"/>
              <w:bottom w:val="single" w:sz="4" w:space="0" w:color="auto"/>
              <w:right w:val="single" w:sz="4" w:space="0" w:color="auto"/>
            </w:tcBorders>
            <w:hideMark/>
          </w:tcPr>
          <w:p w14:paraId="7E07BA4B" w14:textId="77777777" w:rsidR="0085075C" w:rsidRPr="0085075C" w:rsidRDefault="0085075C" w:rsidP="00083050">
            <w:pPr>
              <w:pStyle w:val="QPPTableTextBody"/>
            </w:pPr>
            <w:r w:rsidRPr="0085075C">
              <w:t>10</w:t>
            </w:r>
          </w:p>
        </w:tc>
        <w:tc>
          <w:tcPr>
            <w:tcW w:w="1631" w:type="dxa"/>
            <w:tcBorders>
              <w:top w:val="single" w:sz="4" w:space="0" w:color="auto"/>
              <w:left w:val="single" w:sz="4" w:space="0" w:color="auto"/>
              <w:bottom w:val="single" w:sz="4" w:space="0" w:color="auto"/>
              <w:right w:val="single" w:sz="4" w:space="0" w:color="auto"/>
            </w:tcBorders>
            <w:hideMark/>
          </w:tcPr>
          <w:p w14:paraId="0982C7BC" w14:textId="77777777" w:rsidR="0085075C" w:rsidRPr="0085075C" w:rsidRDefault="0085075C" w:rsidP="00083050">
            <w:pPr>
              <w:pStyle w:val="QPPTableTextBody"/>
            </w:pPr>
            <w:r w:rsidRPr="0085075C">
              <w:t>15</w:t>
            </w:r>
          </w:p>
        </w:tc>
      </w:tr>
      <w:tr w:rsidR="0085075C" w14:paraId="4AC60952" w14:textId="77777777" w:rsidTr="007764F6">
        <w:trPr>
          <w:trHeight w:val="368"/>
        </w:trPr>
        <w:tc>
          <w:tcPr>
            <w:tcW w:w="1951" w:type="dxa"/>
            <w:tcBorders>
              <w:top w:val="single" w:sz="4" w:space="0" w:color="auto"/>
              <w:left w:val="single" w:sz="4" w:space="0" w:color="auto"/>
              <w:bottom w:val="single" w:sz="4" w:space="0" w:color="auto"/>
              <w:right w:val="single" w:sz="4" w:space="0" w:color="auto"/>
            </w:tcBorders>
            <w:hideMark/>
          </w:tcPr>
          <w:p w14:paraId="0829BA6F" w14:textId="18C34DD9" w:rsidR="0085075C" w:rsidRPr="004C1592" w:rsidRDefault="0085075C" w:rsidP="00083050">
            <w:pPr>
              <w:pStyle w:val="QPPTableTextBody"/>
            </w:pPr>
            <w:r w:rsidRPr="004C1592">
              <w:t xml:space="preserve">Where in the </w:t>
            </w:r>
            <w:r w:rsidRPr="00FA513A">
              <w:t>Community facilities zone</w:t>
            </w:r>
            <w:r w:rsidRPr="004C1592">
              <w:t xml:space="preserve"> (Education purposes zone precinct)</w:t>
            </w:r>
          </w:p>
        </w:tc>
        <w:tc>
          <w:tcPr>
            <w:tcW w:w="6521" w:type="dxa"/>
            <w:gridSpan w:val="4"/>
            <w:tcBorders>
              <w:top w:val="single" w:sz="4" w:space="0" w:color="auto"/>
              <w:left w:val="single" w:sz="4" w:space="0" w:color="auto"/>
              <w:bottom w:val="single" w:sz="4" w:space="0" w:color="auto"/>
              <w:right w:val="single" w:sz="4" w:space="0" w:color="auto"/>
            </w:tcBorders>
            <w:hideMark/>
          </w:tcPr>
          <w:p w14:paraId="43E1DC1C" w14:textId="77777777" w:rsidR="0085075C" w:rsidRPr="004C1592" w:rsidRDefault="0085075C" w:rsidP="00083050">
            <w:pPr>
              <w:pStyle w:val="QPPTableTextBody"/>
            </w:pPr>
            <w:r w:rsidRPr="004C1592">
              <w:t>5</w:t>
            </w:r>
          </w:p>
        </w:tc>
      </w:tr>
      <w:tr w:rsidR="0085075C" w14:paraId="4E250AF9" w14:textId="77777777" w:rsidTr="007764F6">
        <w:trPr>
          <w:trHeight w:val="167"/>
        </w:trPr>
        <w:tc>
          <w:tcPr>
            <w:tcW w:w="8472" w:type="dxa"/>
            <w:gridSpan w:val="5"/>
            <w:tcBorders>
              <w:top w:val="single" w:sz="4" w:space="0" w:color="auto"/>
              <w:left w:val="single" w:sz="4" w:space="0" w:color="auto"/>
              <w:bottom w:val="single" w:sz="4" w:space="0" w:color="auto"/>
              <w:right w:val="single" w:sz="4" w:space="0" w:color="auto"/>
            </w:tcBorders>
            <w:hideMark/>
          </w:tcPr>
          <w:p w14:paraId="2A605EE4" w14:textId="77777777" w:rsidR="0085075C" w:rsidRPr="0085075C" w:rsidRDefault="0085075C" w:rsidP="00083050">
            <w:pPr>
              <w:pStyle w:val="QPPTableTextBold"/>
            </w:pPr>
            <w:r w:rsidRPr="0085075C">
              <w:t>Maximum tower site cover (%)</w:t>
            </w:r>
          </w:p>
        </w:tc>
      </w:tr>
      <w:tr w:rsidR="0085075C" w14:paraId="16454205" w14:textId="77777777" w:rsidTr="000B63FE">
        <w:trPr>
          <w:trHeight w:val="581"/>
        </w:trPr>
        <w:tc>
          <w:tcPr>
            <w:tcW w:w="1951" w:type="dxa"/>
            <w:tcBorders>
              <w:top w:val="single" w:sz="4" w:space="0" w:color="auto"/>
              <w:left w:val="single" w:sz="4" w:space="0" w:color="auto"/>
              <w:bottom w:val="single" w:sz="4" w:space="0" w:color="auto"/>
              <w:right w:val="single" w:sz="4" w:space="0" w:color="auto"/>
            </w:tcBorders>
            <w:hideMark/>
          </w:tcPr>
          <w:p w14:paraId="7E22CA7F" w14:textId="77777777" w:rsidR="0085075C" w:rsidRPr="004C1592" w:rsidRDefault="0085075C" w:rsidP="00083050">
            <w:pPr>
              <w:pStyle w:val="QPPTableTextBody"/>
            </w:pPr>
            <w:r w:rsidRPr="004C1592">
              <w:t>If in the Principal centre zone, or the District centre zone, or the Mixed use zone</w:t>
            </w:r>
          </w:p>
        </w:tc>
        <w:tc>
          <w:tcPr>
            <w:tcW w:w="1630" w:type="dxa"/>
            <w:tcBorders>
              <w:top w:val="single" w:sz="4" w:space="0" w:color="auto"/>
              <w:left w:val="single" w:sz="4" w:space="0" w:color="auto"/>
              <w:bottom w:val="single" w:sz="4" w:space="0" w:color="auto"/>
              <w:right w:val="single" w:sz="4" w:space="0" w:color="auto"/>
            </w:tcBorders>
            <w:hideMark/>
          </w:tcPr>
          <w:p w14:paraId="17BF5463" w14:textId="77777777" w:rsidR="0085075C" w:rsidRPr="004C1592" w:rsidRDefault="0085075C" w:rsidP="00083050">
            <w:pPr>
              <w:pStyle w:val="QPPTableTextBody"/>
            </w:pPr>
            <w:r w:rsidRPr="004C1592">
              <w:t>Not applicable</w:t>
            </w:r>
          </w:p>
        </w:tc>
        <w:tc>
          <w:tcPr>
            <w:tcW w:w="1630" w:type="dxa"/>
            <w:tcBorders>
              <w:top w:val="single" w:sz="4" w:space="0" w:color="auto"/>
              <w:left w:val="single" w:sz="4" w:space="0" w:color="auto"/>
              <w:bottom w:val="single" w:sz="4" w:space="0" w:color="auto"/>
              <w:right w:val="single" w:sz="4" w:space="0" w:color="auto"/>
            </w:tcBorders>
            <w:hideMark/>
          </w:tcPr>
          <w:p w14:paraId="22152352" w14:textId="77777777" w:rsidR="0085075C" w:rsidRPr="004C1592" w:rsidRDefault="0085075C" w:rsidP="00083050">
            <w:pPr>
              <w:pStyle w:val="QPPTableTextBody"/>
            </w:pPr>
            <w:r w:rsidRPr="004C1592">
              <w:t>Not applicable</w:t>
            </w:r>
          </w:p>
        </w:tc>
        <w:tc>
          <w:tcPr>
            <w:tcW w:w="1630" w:type="dxa"/>
            <w:tcBorders>
              <w:top w:val="single" w:sz="4" w:space="0" w:color="auto"/>
              <w:left w:val="single" w:sz="4" w:space="0" w:color="auto"/>
              <w:bottom w:val="single" w:sz="4" w:space="0" w:color="auto"/>
              <w:right w:val="single" w:sz="4" w:space="0" w:color="auto"/>
            </w:tcBorders>
            <w:hideMark/>
          </w:tcPr>
          <w:p w14:paraId="1FF8D3F6" w14:textId="77777777" w:rsidR="0085075C" w:rsidRPr="004C1592" w:rsidRDefault="0085075C" w:rsidP="00083050">
            <w:pPr>
              <w:pStyle w:val="QPPTableTextBody"/>
            </w:pPr>
            <w:r w:rsidRPr="004C1592">
              <w:t>Not applicable</w:t>
            </w:r>
          </w:p>
        </w:tc>
        <w:tc>
          <w:tcPr>
            <w:tcW w:w="1631" w:type="dxa"/>
            <w:tcBorders>
              <w:top w:val="single" w:sz="4" w:space="0" w:color="auto"/>
              <w:left w:val="single" w:sz="4" w:space="0" w:color="auto"/>
              <w:bottom w:val="single" w:sz="4" w:space="0" w:color="auto"/>
              <w:right w:val="single" w:sz="4" w:space="0" w:color="auto"/>
            </w:tcBorders>
            <w:hideMark/>
          </w:tcPr>
          <w:p w14:paraId="27E84FAC" w14:textId="77777777" w:rsidR="0085075C" w:rsidRPr="004C1592" w:rsidRDefault="0085075C" w:rsidP="00083050">
            <w:pPr>
              <w:pStyle w:val="QPPTableTextBody"/>
            </w:pPr>
            <w:r w:rsidRPr="004C1592">
              <w:t>60%</w:t>
            </w:r>
          </w:p>
        </w:tc>
      </w:tr>
    </w:tbl>
    <w:p w14:paraId="7A0266B2" w14:textId="77777777" w:rsidR="0085075C" w:rsidRPr="0085075C" w:rsidRDefault="0085075C" w:rsidP="00083050">
      <w:pPr>
        <w:pStyle w:val="QPPEditorsNoteStyle1"/>
        <w:rPr>
          <w:lang w:eastAsia="en-US"/>
        </w:rPr>
      </w:pPr>
      <w:r w:rsidRPr="0085075C">
        <w:t>Note—Maximum building height includes the ground storey and all street building and tower storeys above ground level.</w:t>
      </w:r>
    </w:p>
    <w:p w14:paraId="492AB34C" w14:textId="77777777" w:rsidR="0085075C" w:rsidRPr="0085075C" w:rsidRDefault="0085075C" w:rsidP="00083050">
      <w:pPr>
        <w:pStyle w:val="QPPEditorsNoteStyle1"/>
      </w:pPr>
      <w:r w:rsidRPr="0085075C">
        <w:t>Note—Tower site cover (TSC) is:</w:t>
      </w:r>
    </w:p>
    <w:p w14:paraId="143723F7" w14:textId="4750DAFD" w:rsidR="0085075C" w:rsidRPr="0085075C" w:rsidRDefault="0085075C" w:rsidP="00083050">
      <w:pPr>
        <w:pStyle w:val="QPPEditorsnotebulletpoint1"/>
      </w:pPr>
      <w:r w:rsidRPr="0085075C">
        <w:t xml:space="preserve">the combined average area of the </w:t>
      </w:r>
      <w:r w:rsidR="00700501">
        <w:t>5</w:t>
      </w:r>
      <w:r w:rsidRPr="0085075C">
        <w:t xml:space="preserve"> largest storeys of each building (being the full area of any storey located wholly or partially above the maximum street building height identified in </w:t>
      </w:r>
      <w:r w:rsidRPr="00FA513A">
        <w:t>AO4.2</w:t>
      </w:r>
      <w:r w:rsidRPr="0085075C">
        <w:t>) as a portion of the original site area;</w:t>
      </w:r>
    </w:p>
    <w:p w14:paraId="226B813D" w14:textId="77777777" w:rsidR="0085075C" w:rsidRPr="0085075C" w:rsidRDefault="0085075C" w:rsidP="00083050">
      <w:pPr>
        <w:pStyle w:val="QPPEditorsnotebulletpoint1"/>
      </w:pPr>
      <w:r w:rsidRPr="0085075C">
        <w:t>calculated as the area bounded by the outside of the external wall, including balconies but excluding projections.</w:t>
      </w:r>
    </w:p>
    <w:p w14:paraId="1149D815" w14:textId="77777777" w:rsidR="0085075C" w:rsidRPr="00707AEB" w:rsidRDefault="0085075C" w:rsidP="00707AEB">
      <w:pPr>
        <w:pStyle w:val="QPPTableHeadingStyle1"/>
      </w:pPr>
      <w:bookmarkStart w:id="5" w:name="table721953d"/>
      <w:r w:rsidRPr="00707AEB">
        <w:t>Table 7.2.19.5.3.D—Boundary setback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3"/>
        <w:gridCol w:w="1985"/>
        <w:gridCol w:w="1881"/>
        <w:gridCol w:w="1843"/>
      </w:tblGrid>
      <w:tr w:rsidR="0085075C" w14:paraId="60164AB1" w14:textId="77777777" w:rsidTr="000C708E">
        <w:trPr>
          <w:trHeight w:val="334"/>
        </w:trPr>
        <w:tc>
          <w:tcPr>
            <w:tcW w:w="2763" w:type="dxa"/>
            <w:vMerge w:val="restart"/>
            <w:tcBorders>
              <w:top w:val="single" w:sz="4" w:space="0" w:color="auto"/>
              <w:left w:val="single" w:sz="4" w:space="0" w:color="auto"/>
              <w:bottom w:val="single" w:sz="4" w:space="0" w:color="auto"/>
              <w:right w:val="single" w:sz="4" w:space="0" w:color="auto"/>
            </w:tcBorders>
            <w:hideMark/>
          </w:tcPr>
          <w:bookmarkEnd w:id="5"/>
          <w:p w14:paraId="58F345B7" w14:textId="77777777" w:rsidR="0085075C" w:rsidRPr="0085075C" w:rsidRDefault="0085075C" w:rsidP="00083050">
            <w:pPr>
              <w:pStyle w:val="QPPTableTextBold"/>
            </w:pPr>
            <w:r w:rsidRPr="0085075C">
              <w:t>Element</w:t>
            </w:r>
          </w:p>
        </w:tc>
        <w:tc>
          <w:tcPr>
            <w:tcW w:w="5709" w:type="dxa"/>
            <w:gridSpan w:val="3"/>
            <w:tcBorders>
              <w:top w:val="single" w:sz="4" w:space="0" w:color="auto"/>
              <w:left w:val="single" w:sz="4" w:space="0" w:color="auto"/>
              <w:bottom w:val="single" w:sz="4" w:space="0" w:color="auto"/>
              <w:right w:val="single" w:sz="4" w:space="0" w:color="auto"/>
            </w:tcBorders>
            <w:hideMark/>
          </w:tcPr>
          <w:p w14:paraId="07C65E24" w14:textId="77777777" w:rsidR="0085075C" w:rsidRPr="0085075C" w:rsidRDefault="0085075C" w:rsidP="00083050">
            <w:pPr>
              <w:pStyle w:val="QPPTableTextBold"/>
            </w:pPr>
            <w:r w:rsidRPr="0085075C">
              <w:t>Minimum boundary setback (metres)</w:t>
            </w:r>
          </w:p>
        </w:tc>
      </w:tr>
      <w:tr w:rsidR="0085075C" w14:paraId="0B243D0E" w14:textId="77777777" w:rsidTr="000C708E">
        <w:trPr>
          <w:trHeight w:val="145"/>
        </w:trPr>
        <w:tc>
          <w:tcPr>
            <w:tcW w:w="2763" w:type="dxa"/>
            <w:vMerge/>
            <w:tcBorders>
              <w:top w:val="single" w:sz="4" w:space="0" w:color="auto"/>
              <w:left w:val="single" w:sz="4" w:space="0" w:color="auto"/>
              <w:bottom w:val="single" w:sz="4" w:space="0" w:color="auto"/>
              <w:right w:val="single" w:sz="4" w:space="0" w:color="auto"/>
            </w:tcBorders>
            <w:vAlign w:val="center"/>
            <w:hideMark/>
          </w:tcPr>
          <w:p w14:paraId="523C4A4E" w14:textId="77777777" w:rsidR="0085075C" w:rsidRPr="0085075C" w:rsidRDefault="0085075C" w:rsidP="00083050">
            <w:pPr>
              <w:pStyle w:val="QPPTableTextBold"/>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6DFB82A7" w14:textId="77777777" w:rsidR="0085075C" w:rsidRPr="0085075C" w:rsidRDefault="0085075C" w:rsidP="00083050">
            <w:pPr>
              <w:pStyle w:val="QPPTableTextBold"/>
            </w:pPr>
            <w:r w:rsidRPr="0085075C">
              <w:t>Front</w:t>
            </w:r>
          </w:p>
        </w:tc>
        <w:tc>
          <w:tcPr>
            <w:tcW w:w="1881" w:type="dxa"/>
            <w:tcBorders>
              <w:top w:val="single" w:sz="4" w:space="0" w:color="auto"/>
              <w:left w:val="single" w:sz="4" w:space="0" w:color="auto"/>
              <w:bottom w:val="single" w:sz="4" w:space="0" w:color="auto"/>
              <w:right w:val="single" w:sz="4" w:space="0" w:color="auto"/>
            </w:tcBorders>
            <w:hideMark/>
          </w:tcPr>
          <w:p w14:paraId="64D02538" w14:textId="77777777" w:rsidR="0085075C" w:rsidRPr="0085075C" w:rsidRDefault="0085075C" w:rsidP="00083050">
            <w:pPr>
              <w:pStyle w:val="QPPTableTextBold"/>
            </w:pPr>
            <w:r w:rsidRPr="0085075C">
              <w:t>Side and rear</w:t>
            </w:r>
          </w:p>
        </w:tc>
        <w:tc>
          <w:tcPr>
            <w:tcW w:w="1843" w:type="dxa"/>
            <w:tcBorders>
              <w:top w:val="single" w:sz="4" w:space="0" w:color="auto"/>
              <w:left w:val="single" w:sz="4" w:space="0" w:color="auto"/>
              <w:bottom w:val="single" w:sz="4" w:space="0" w:color="auto"/>
              <w:right w:val="single" w:sz="4" w:space="0" w:color="auto"/>
            </w:tcBorders>
            <w:hideMark/>
          </w:tcPr>
          <w:p w14:paraId="2030CC8F" w14:textId="5B66D382" w:rsidR="0085075C" w:rsidRPr="0085075C" w:rsidRDefault="0085075C" w:rsidP="00083050">
            <w:pPr>
              <w:pStyle w:val="QPPTableTextBold"/>
            </w:pPr>
            <w:r w:rsidRPr="0085075C">
              <w:t xml:space="preserve">Where identified as a special boundary on </w:t>
            </w:r>
            <w:r w:rsidRPr="00FA513A">
              <w:t>Figure b</w:t>
            </w:r>
          </w:p>
        </w:tc>
      </w:tr>
      <w:tr w:rsidR="0085075C" w14:paraId="4E1B9062" w14:textId="77777777" w:rsidTr="000C708E">
        <w:trPr>
          <w:trHeight w:val="70"/>
        </w:trPr>
        <w:tc>
          <w:tcPr>
            <w:tcW w:w="2763" w:type="dxa"/>
            <w:tcBorders>
              <w:top w:val="single" w:sz="4" w:space="0" w:color="auto"/>
              <w:left w:val="single" w:sz="4" w:space="0" w:color="auto"/>
              <w:bottom w:val="single" w:sz="4" w:space="0" w:color="auto"/>
              <w:right w:val="single" w:sz="4" w:space="0" w:color="auto"/>
            </w:tcBorders>
            <w:hideMark/>
          </w:tcPr>
          <w:p w14:paraId="0846F0EB" w14:textId="77777777" w:rsidR="0085075C" w:rsidRPr="004C1592" w:rsidRDefault="0085075C" w:rsidP="00083050">
            <w:pPr>
              <w:pStyle w:val="QPPTableTextBody"/>
            </w:pPr>
            <w:r w:rsidRPr="004C1592">
              <w:t>Street building</w:t>
            </w:r>
          </w:p>
        </w:tc>
        <w:tc>
          <w:tcPr>
            <w:tcW w:w="1985" w:type="dxa"/>
            <w:tcBorders>
              <w:top w:val="single" w:sz="4" w:space="0" w:color="auto"/>
              <w:left w:val="single" w:sz="4" w:space="0" w:color="auto"/>
              <w:bottom w:val="single" w:sz="4" w:space="0" w:color="auto"/>
              <w:right w:val="single" w:sz="4" w:space="0" w:color="auto"/>
            </w:tcBorders>
            <w:hideMark/>
          </w:tcPr>
          <w:p w14:paraId="24952F01" w14:textId="77777777" w:rsidR="0085075C" w:rsidRPr="004C1592" w:rsidRDefault="0085075C" w:rsidP="00083050">
            <w:pPr>
              <w:pStyle w:val="QPPTableTextBody"/>
            </w:pPr>
            <w:r w:rsidRPr="004C1592">
              <w:t>0</w:t>
            </w:r>
          </w:p>
        </w:tc>
        <w:tc>
          <w:tcPr>
            <w:tcW w:w="1881" w:type="dxa"/>
            <w:tcBorders>
              <w:top w:val="single" w:sz="4" w:space="0" w:color="auto"/>
              <w:left w:val="single" w:sz="4" w:space="0" w:color="auto"/>
              <w:bottom w:val="single" w:sz="4" w:space="0" w:color="auto"/>
              <w:right w:val="single" w:sz="4" w:space="0" w:color="auto"/>
            </w:tcBorders>
            <w:hideMark/>
          </w:tcPr>
          <w:p w14:paraId="0A3905B8" w14:textId="77777777" w:rsidR="0085075C" w:rsidRPr="004C1592" w:rsidRDefault="0085075C" w:rsidP="00083050">
            <w:pPr>
              <w:pStyle w:val="QPPTableTextBody"/>
            </w:pPr>
            <w:r w:rsidRPr="004C1592">
              <w:t>0</w:t>
            </w:r>
          </w:p>
        </w:tc>
        <w:tc>
          <w:tcPr>
            <w:tcW w:w="1843" w:type="dxa"/>
            <w:tcBorders>
              <w:top w:val="single" w:sz="4" w:space="0" w:color="auto"/>
              <w:left w:val="single" w:sz="4" w:space="0" w:color="auto"/>
              <w:bottom w:val="single" w:sz="4" w:space="0" w:color="auto"/>
              <w:right w:val="single" w:sz="4" w:space="0" w:color="auto"/>
            </w:tcBorders>
            <w:hideMark/>
          </w:tcPr>
          <w:p w14:paraId="489D1AD7" w14:textId="77777777" w:rsidR="0085075C" w:rsidRPr="004C1592" w:rsidRDefault="0085075C" w:rsidP="00083050">
            <w:pPr>
              <w:pStyle w:val="QPPTableTextBody"/>
            </w:pPr>
            <w:r w:rsidRPr="004C1592">
              <w:t>3</w:t>
            </w:r>
          </w:p>
        </w:tc>
      </w:tr>
      <w:tr w:rsidR="004C1592" w14:paraId="1409A3C2" w14:textId="77777777" w:rsidTr="000C708E">
        <w:trPr>
          <w:trHeight w:val="70"/>
        </w:trPr>
        <w:tc>
          <w:tcPr>
            <w:tcW w:w="2763" w:type="dxa"/>
            <w:tcBorders>
              <w:top w:val="single" w:sz="4" w:space="0" w:color="auto"/>
              <w:left w:val="single" w:sz="4" w:space="0" w:color="auto"/>
              <w:bottom w:val="single" w:sz="4" w:space="0" w:color="auto"/>
              <w:right w:val="single" w:sz="4" w:space="0" w:color="auto"/>
            </w:tcBorders>
          </w:tcPr>
          <w:p w14:paraId="4E4A81E5" w14:textId="77AA901D" w:rsidR="004C1592" w:rsidRPr="004C1592" w:rsidRDefault="004C1592" w:rsidP="006C09BB">
            <w:pPr>
              <w:pStyle w:val="QPPTableTextBody"/>
            </w:pPr>
            <w:r w:rsidRPr="004C1592">
              <w:t>Tower</w:t>
            </w:r>
          </w:p>
        </w:tc>
        <w:tc>
          <w:tcPr>
            <w:tcW w:w="1985" w:type="dxa"/>
            <w:tcBorders>
              <w:top w:val="single" w:sz="4" w:space="0" w:color="auto"/>
              <w:left w:val="single" w:sz="4" w:space="0" w:color="auto"/>
              <w:bottom w:val="single" w:sz="4" w:space="0" w:color="auto"/>
              <w:right w:val="single" w:sz="4" w:space="0" w:color="auto"/>
            </w:tcBorders>
          </w:tcPr>
          <w:p w14:paraId="3C8E738C" w14:textId="77777777" w:rsidR="004C1592" w:rsidRPr="004C1592" w:rsidRDefault="004C1592" w:rsidP="006C09BB">
            <w:pPr>
              <w:pStyle w:val="QPPTableTextBody"/>
            </w:pPr>
            <w:r w:rsidRPr="004C1592">
              <w:t>3 to balcony</w:t>
            </w:r>
          </w:p>
          <w:p w14:paraId="1B660808" w14:textId="14E1F7D4" w:rsidR="004C1592" w:rsidRPr="004C1592" w:rsidRDefault="004C1592" w:rsidP="006C09BB">
            <w:pPr>
              <w:pStyle w:val="QPPTableTextBody"/>
            </w:pPr>
            <w:r w:rsidRPr="004C1592">
              <w:t>6 to wall</w:t>
            </w:r>
          </w:p>
        </w:tc>
        <w:tc>
          <w:tcPr>
            <w:tcW w:w="1881" w:type="dxa"/>
            <w:tcBorders>
              <w:top w:val="single" w:sz="4" w:space="0" w:color="auto"/>
              <w:left w:val="single" w:sz="4" w:space="0" w:color="auto"/>
              <w:bottom w:val="single" w:sz="4" w:space="0" w:color="auto"/>
              <w:right w:val="single" w:sz="4" w:space="0" w:color="auto"/>
            </w:tcBorders>
          </w:tcPr>
          <w:p w14:paraId="344EEC94" w14:textId="4F9D50D3" w:rsidR="004C1592" w:rsidRPr="004C1592" w:rsidRDefault="004C1592" w:rsidP="006C09BB">
            <w:pPr>
              <w:pStyle w:val="QPPTableTextBody"/>
            </w:pPr>
            <w:r w:rsidRPr="004C1592">
              <w:t>6</w:t>
            </w:r>
          </w:p>
        </w:tc>
        <w:tc>
          <w:tcPr>
            <w:tcW w:w="1843" w:type="dxa"/>
            <w:tcBorders>
              <w:top w:val="single" w:sz="4" w:space="0" w:color="auto"/>
              <w:left w:val="single" w:sz="4" w:space="0" w:color="auto"/>
              <w:bottom w:val="single" w:sz="4" w:space="0" w:color="auto"/>
              <w:right w:val="single" w:sz="4" w:space="0" w:color="auto"/>
            </w:tcBorders>
          </w:tcPr>
          <w:p w14:paraId="52D6C327" w14:textId="22CE3204" w:rsidR="004C1592" w:rsidRPr="004C1592" w:rsidRDefault="004C1592" w:rsidP="006C09BB">
            <w:pPr>
              <w:pStyle w:val="QPPTableTextBody"/>
            </w:pPr>
            <w:r w:rsidRPr="004C1592">
              <w:t>9</w:t>
            </w:r>
          </w:p>
        </w:tc>
      </w:tr>
    </w:tbl>
    <w:p w14:paraId="5820FE1D" w14:textId="77777777" w:rsidR="000B63FE" w:rsidRDefault="009C41D5" w:rsidP="000B63FE">
      <w:pPr>
        <w:pStyle w:val="QPPBodytext"/>
      </w:pPr>
      <w:bookmarkStart w:id="6" w:name="Figurea"/>
      <w:r>
        <w:rPr>
          <w:noProof/>
        </w:rPr>
        <w:drawing>
          <wp:inline distT="0" distB="0" distL="0" distR="0" wp14:anchorId="4957545B" wp14:editId="69C4C9D8">
            <wp:extent cx="5277600" cy="8046000"/>
            <wp:effectExtent l="0" t="0" r="0" b="0"/>
            <wp:docPr id="5" name="Picture 5" descr="G:\CPS\CPED\CPBranch\C_PConf\NP&amp;UR_Sandbox\2018_Q2_Spring_Hill_NP\20-04-2018 Mapping &amp; Figures\PNG\Spring_Hill_figure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P&amp;UR_Sandbox\2018_Q2_Spring_Hill_NP\20-04-2018 Mapping &amp; Figures\PNG\Spring_Hill_figure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7600" cy="8046000"/>
                    </a:xfrm>
                    <a:prstGeom prst="rect">
                      <a:avLst/>
                    </a:prstGeom>
                    <a:noFill/>
                    <a:ln>
                      <a:noFill/>
                    </a:ln>
                  </pic:spPr>
                </pic:pic>
              </a:graphicData>
            </a:graphic>
          </wp:inline>
        </w:drawing>
      </w:r>
      <w:bookmarkEnd w:id="6"/>
    </w:p>
    <w:p w14:paraId="0C7BD4D4" w14:textId="77777777" w:rsidR="000B63FE" w:rsidRDefault="000B63FE" w:rsidP="000B63FE">
      <w:pPr>
        <w:pStyle w:val="QPPBodytext"/>
      </w:pPr>
    </w:p>
    <w:p w14:paraId="738B90B0" w14:textId="5C64F00E" w:rsidR="00083050" w:rsidRPr="004403DE" w:rsidRDefault="00083050" w:rsidP="000B63FE">
      <w:pPr>
        <w:pStyle w:val="QPPBodytext"/>
      </w:pPr>
      <w:r w:rsidRPr="004403DE">
        <w:t xml:space="preserve">View the high resolution of </w:t>
      </w:r>
      <w:r w:rsidRPr="00FA513A">
        <w:t>Figure a–</w:t>
      </w:r>
      <w:r w:rsidR="001535CE" w:rsidRPr="00FA513A">
        <w:t>Spring Hill neighbourhood plan</w:t>
      </w:r>
      <w:r w:rsidRPr="004403DE">
        <w:t xml:space="preserve"> (PDF file size is </w:t>
      </w:r>
      <w:r w:rsidR="001535CE">
        <w:t>476</w:t>
      </w:r>
      <w:r w:rsidRPr="004403DE">
        <w:t>Kb)</w:t>
      </w:r>
    </w:p>
    <w:p w14:paraId="3E8383FE" w14:textId="77777777" w:rsidR="001A718E" w:rsidRDefault="009C41D5" w:rsidP="004403DE">
      <w:pPr>
        <w:pStyle w:val="QPPBodytext"/>
      </w:pPr>
      <w:bookmarkStart w:id="7" w:name="Figureb"/>
      <w:r>
        <w:rPr>
          <w:noProof/>
        </w:rPr>
        <w:drawing>
          <wp:inline distT="0" distB="0" distL="0" distR="0" wp14:anchorId="44AB0C77" wp14:editId="17F47068">
            <wp:extent cx="5277600" cy="8046000"/>
            <wp:effectExtent l="0" t="0" r="0" b="0"/>
            <wp:docPr id="6" name="Picture 6" descr="G:\CPS\CPED\CPBranch\C_PConf\NP&amp;UR_Sandbox\2018_Q2_Spring_Hill_NP\20-04-2018 Mapping &amp; Figures\PNG\Spring_Hill_figure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P&amp;UR_Sandbox\2018_Q2_Spring_Hill_NP\20-04-2018 Mapping &amp; Figures\PNG\Spring_Hill_figure_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7600" cy="8046000"/>
                    </a:xfrm>
                    <a:prstGeom prst="rect">
                      <a:avLst/>
                    </a:prstGeom>
                    <a:noFill/>
                    <a:ln>
                      <a:noFill/>
                    </a:ln>
                  </pic:spPr>
                </pic:pic>
              </a:graphicData>
            </a:graphic>
          </wp:inline>
        </w:drawing>
      </w:r>
      <w:bookmarkEnd w:id="7"/>
    </w:p>
    <w:p w14:paraId="73341F00" w14:textId="77777777" w:rsidR="001A718E" w:rsidRDefault="001A718E" w:rsidP="004403DE">
      <w:pPr>
        <w:pStyle w:val="QPPBodytext"/>
      </w:pPr>
    </w:p>
    <w:p w14:paraId="1601225C" w14:textId="48CF6633" w:rsidR="00083050" w:rsidRDefault="00083050" w:rsidP="004403DE">
      <w:pPr>
        <w:pStyle w:val="QPPBodytext"/>
      </w:pPr>
      <w:r w:rsidRPr="004403DE">
        <w:t xml:space="preserve">View the high resolution of </w:t>
      </w:r>
      <w:r w:rsidRPr="00FA513A">
        <w:t>Figure b–Special boundaries</w:t>
      </w:r>
      <w:r w:rsidRPr="004403DE">
        <w:t xml:space="preserve"> (PDF file size is </w:t>
      </w:r>
      <w:r w:rsidR="001535CE">
        <w:t>471</w:t>
      </w:r>
      <w:r w:rsidRPr="004403DE">
        <w:t>Kb)</w:t>
      </w:r>
    </w:p>
    <w:p w14:paraId="587F5F27" w14:textId="32F6D6B4" w:rsidR="00C5003E" w:rsidRDefault="00442EAF" w:rsidP="00121D10">
      <w:bookmarkStart w:id="8" w:name="FigureC"/>
      <w:r>
        <w:rPr>
          <w:noProof/>
        </w:rPr>
        <w:drawing>
          <wp:inline distT="0" distB="0" distL="0" distR="0" wp14:anchorId="6A39B7EA" wp14:editId="7F198139">
            <wp:extent cx="6058800" cy="72720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ing_Hill_NP_Figure 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8800" cy="7272000"/>
                    </a:xfrm>
                    <a:prstGeom prst="rect">
                      <a:avLst/>
                    </a:prstGeom>
                  </pic:spPr>
                </pic:pic>
              </a:graphicData>
            </a:graphic>
          </wp:inline>
        </w:drawing>
      </w:r>
      <w:bookmarkEnd w:id="8"/>
    </w:p>
    <w:p w14:paraId="429797F9" w14:textId="77777777" w:rsidR="00121D10" w:rsidRPr="00121D10" w:rsidRDefault="00121D10" w:rsidP="00121D10">
      <w:pPr>
        <w:pStyle w:val="QPPBodytext"/>
      </w:pPr>
    </w:p>
    <w:sectPr w:rsidR="00121D10" w:rsidRPr="00121D10">
      <w:headerReference w:type="even" r:id="rId11"/>
      <w:footerReference w:type="default" r:id="rId12"/>
      <w:headerReference w:type="firs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740D2" w14:textId="77777777" w:rsidR="00AF20A5" w:rsidRDefault="00AF20A5">
      <w:r>
        <w:separator/>
      </w:r>
    </w:p>
  </w:endnote>
  <w:endnote w:type="continuationSeparator" w:id="0">
    <w:p w14:paraId="462D7DF0" w14:textId="77777777" w:rsidR="00AF20A5" w:rsidRDefault="00AF2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DEA09" w14:textId="714150CB" w:rsidR="00AF20A5" w:rsidRDefault="00AF20A5" w:rsidP="00E05D75">
    <w:pPr>
      <w:pStyle w:val="QPPFooter"/>
    </w:pPr>
    <w:r w:rsidRPr="00C146FD">
      <w:t>Part 7 – Neighbourhood plans (Spring Hill)</w:t>
    </w:r>
    <w:r w:rsidRPr="00C146FD">
      <w:tab/>
    </w:r>
    <w:r>
      <w:ptab w:relativeTo="margin" w:alignment="center" w:leader="none"/>
    </w:r>
    <w:r>
      <w:ptab w:relativeTo="margin" w:alignment="right" w:leader="none"/>
    </w:r>
    <w:r w:rsidRPr="00C146FD">
      <w:t xml:space="preserve">Effective </w:t>
    </w:r>
    <w:r>
      <w:t>14 September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1BDC8" w14:textId="77777777" w:rsidR="00AF20A5" w:rsidRDefault="00AF20A5">
      <w:r>
        <w:separator/>
      </w:r>
    </w:p>
  </w:footnote>
  <w:footnote w:type="continuationSeparator" w:id="0">
    <w:p w14:paraId="07F3B367" w14:textId="77777777" w:rsidR="00AF20A5" w:rsidRDefault="00AF2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27911" w14:textId="77777777" w:rsidR="00AF20A5" w:rsidRDefault="00FA513A">
    <w:pPr>
      <w:pStyle w:val="Header"/>
    </w:pPr>
    <w:r>
      <w:rPr>
        <w:noProof/>
      </w:rPr>
      <w:pict w14:anchorId="2AEDD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851555"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99BE" w14:textId="77777777" w:rsidR="00AF20A5" w:rsidRDefault="00FA513A">
    <w:pPr>
      <w:pStyle w:val="Header"/>
    </w:pPr>
    <w:r>
      <w:rPr>
        <w:noProof/>
      </w:rPr>
      <w:pict w14:anchorId="019CC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851554"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9B44496"/>
    <w:multiLevelType w:val="hybridMultilevel"/>
    <w:tmpl w:val="8FB215B4"/>
    <w:lvl w:ilvl="0" w:tplc="E9DE88F2">
      <w:start w:val="1"/>
      <w:numFmt w:val="lowerLetter"/>
      <w:lvlText w:val="(%1)"/>
      <w:lvlJc w:val="left"/>
      <w:pPr>
        <w:tabs>
          <w:tab w:val="num" w:pos="360"/>
        </w:tabs>
        <w:ind w:left="36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291B02"/>
    <w:multiLevelType w:val="hybridMultilevel"/>
    <w:tmpl w:val="DE9455FE"/>
    <w:lvl w:ilvl="0" w:tplc="8DDE0234">
      <w:start w:val="1"/>
      <w:numFmt w:val="lowerLetter"/>
      <w:lvlText w:val="(%1)"/>
      <w:lvlJc w:val="left"/>
      <w:pPr>
        <w:ind w:left="720" w:hanging="360"/>
      </w:pPr>
      <w:rPr>
        <w:rFonts w:cs="Times New Roman"/>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0"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4862CC"/>
    <w:multiLevelType w:val="hybridMultilevel"/>
    <w:tmpl w:val="03A8BF80"/>
    <w:lvl w:ilvl="0" w:tplc="405A255C">
      <w:start w:val="1"/>
      <w:numFmt w:val="lowerLetter"/>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F4056CA"/>
    <w:multiLevelType w:val="hybridMultilevel"/>
    <w:tmpl w:val="83E66F2A"/>
    <w:lvl w:ilvl="0" w:tplc="348E7E26">
      <w:start w:val="1"/>
      <w:numFmt w:val="lowerLetter"/>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5FFD4337"/>
    <w:multiLevelType w:val="hybridMultilevel"/>
    <w:tmpl w:val="1102CADE"/>
    <w:lvl w:ilvl="0" w:tplc="D9AC3E44">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62092FEA"/>
    <w:multiLevelType w:val="hybridMultilevel"/>
    <w:tmpl w:val="A51EEC5A"/>
    <w:lvl w:ilvl="0" w:tplc="13308CC0">
      <w:start w:val="1"/>
      <w:numFmt w:val="lowerLetter"/>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38" w15:restartNumberingAfterBreak="0">
    <w:nsid w:val="621925CE"/>
    <w:multiLevelType w:val="hybridMultilevel"/>
    <w:tmpl w:val="308E18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40"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7EA1496"/>
    <w:multiLevelType w:val="hybridMultilevel"/>
    <w:tmpl w:val="38DCBE40"/>
    <w:lvl w:ilvl="0" w:tplc="4ECA1C1C">
      <w:start w:val="1"/>
      <w:numFmt w:val="lowerLetter"/>
      <w:lvlText w:val="(%1)"/>
      <w:lvlJc w:val="left"/>
      <w:pPr>
        <w:tabs>
          <w:tab w:val="num" w:pos="360"/>
        </w:tabs>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7A735CD9"/>
    <w:multiLevelType w:val="hybridMultilevel"/>
    <w:tmpl w:val="34283BCE"/>
    <w:lvl w:ilvl="0" w:tplc="0E30C1B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0"/>
  </w:num>
  <w:num w:numId="2">
    <w:abstractNumId w:val="26"/>
  </w:num>
  <w:num w:numId="3">
    <w:abstractNumId w:val="17"/>
  </w:num>
  <w:num w:numId="4">
    <w:abstractNumId w:val="10"/>
  </w:num>
  <w:num w:numId="5">
    <w:abstractNumId w:val="32"/>
  </w:num>
  <w:num w:numId="6">
    <w:abstractNumId w:val="39"/>
  </w:num>
  <w:num w:numId="7">
    <w:abstractNumId w:val="27"/>
  </w:num>
  <w:num w:numId="8">
    <w:abstractNumId w:val="12"/>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7"/>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6"/>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3"/>
    <w:lvlOverride w:ilvl="0">
      <w:startOverride w:val="1"/>
    </w:lvlOverride>
  </w:num>
  <w:num w:numId="69">
    <w:abstractNumId w:val="23"/>
    <w:lvlOverride w:ilvl="0">
      <w:startOverride w:val="1"/>
    </w:lvlOverride>
  </w:num>
  <w:num w:numId="70">
    <w:abstractNumId w:val="27"/>
    <w:lvlOverride w:ilvl="0">
      <w:startOverride w:val="1"/>
    </w:lvlOverride>
  </w:num>
  <w:num w:numId="71">
    <w:abstractNumId w:val="23"/>
    <w:lvlOverride w:ilvl="0">
      <w:startOverride w:val="1"/>
    </w:lvlOverride>
  </w:num>
  <w:num w:numId="72">
    <w:abstractNumId w:val="23"/>
    <w:lvlOverride w:ilvl="0">
      <w:startOverride w:val="1"/>
    </w:lvlOverride>
  </w:num>
  <w:num w:numId="73">
    <w:abstractNumId w:val="23"/>
    <w:lvlOverride w:ilvl="0">
      <w:startOverride w:val="1"/>
    </w:lvlOverride>
  </w:num>
  <w:num w:numId="74">
    <w:abstractNumId w:val="23"/>
    <w:lvlOverride w:ilvl="0">
      <w:startOverride w:val="1"/>
    </w:lvlOverride>
  </w:num>
  <w:num w:numId="75">
    <w:abstractNumId w:val="23"/>
    <w:lvlOverride w:ilvl="0">
      <w:startOverride w:val="1"/>
    </w:lvlOverride>
  </w:num>
  <w:num w:numId="76">
    <w:abstractNumId w:val="23"/>
  </w:num>
  <w:num w:numId="77">
    <w:abstractNumId w:val="23"/>
    <w:lvlOverride w:ilvl="0">
      <w:startOverride w:val="1"/>
    </w:lvlOverride>
  </w:num>
  <w:num w:numId="78">
    <w:abstractNumId w:val="23"/>
    <w:lvlOverride w:ilvl="0">
      <w:startOverride w:val="1"/>
    </w:lvlOverride>
  </w:num>
  <w:num w:numId="79">
    <w:abstractNumId w:val="23"/>
    <w:lvlOverride w:ilvl="0">
      <w:startOverride w:val="1"/>
    </w:lvlOverride>
  </w:num>
  <w:num w:numId="80">
    <w:abstractNumId w:val="23"/>
    <w:lvlOverride w:ilvl="0">
      <w:startOverride w:val="1"/>
    </w:lvlOverride>
  </w:num>
  <w:num w:numId="81">
    <w:abstractNumId w:val="23"/>
    <w:lvlOverride w:ilvl="0">
      <w:startOverride w:val="1"/>
    </w:lvlOverride>
  </w:num>
  <w:num w:numId="82">
    <w:abstractNumId w:val="23"/>
    <w:lvlOverride w:ilvl="0">
      <w:startOverride w:val="1"/>
    </w:lvlOverride>
  </w:num>
  <w:num w:numId="83">
    <w:abstractNumId w:val="23"/>
    <w:lvlOverride w:ilvl="0">
      <w:startOverride w:val="1"/>
    </w:lvlOverride>
  </w:num>
  <w:num w:numId="84">
    <w:abstractNumId w:val="23"/>
    <w:lvlOverride w:ilvl="0">
      <w:startOverride w:val="1"/>
    </w:lvlOverride>
  </w:num>
  <w:num w:numId="85">
    <w:abstractNumId w:val="23"/>
    <w:lvlOverride w:ilvl="0">
      <w:startOverride w:val="1"/>
    </w:lvlOverride>
  </w:num>
  <w:num w:numId="86">
    <w:abstractNumId w:val="23"/>
    <w:lvlOverride w:ilvl="0">
      <w:startOverride w:val="1"/>
    </w:lvlOverride>
  </w:num>
  <w:num w:numId="87">
    <w:abstractNumId w:val="23"/>
    <w:lvlOverride w:ilvl="0">
      <w:startOverride w:val="1"/>
    </w:lvlOverride>
  </w:num>
  <w:num w:numId="88">
    <w:abstractNumId w:val="23"/>
    <w:lvlOverride w:ilvl="0">
      <w:startOverride w:val="1"/>
    </w:lvlOverride>
  </w:num>
  <w:num w:numId="89">
    <w:abstractNumId w:val="10"/>
    <w:lvlOverride w:ilvl="0">
      <w:startOverride w:val="1"/>
    </w:lvlOverride>
  </w:num>
  <w:num w:numId="90">
    <w:abstractNumId w:val="23"/>
    <w:lvlOverride w:ilvl="0">
      <w:startOverride w:val="1"/>
    </w:lvlOverride>
  </w:num>
  <w:num w:numId="91">
    <w:abstractNumId w:val="16"/>
    <w:lvlOverride w:ilvl="0">
      <w:startOverride w:val="1"/>
    </w:lvlOverride>
  </w:num>
  <w:num w:numId="92">
    <w:abstractNumId w:val="23"/>
    <w:lvlOverride w:ilvl="0">
      <w:startOverride w:val="1"/>
    </w:lvlOverride>
  </w:num>
  <w:num w:numId="93">
    <w:abstractNumId w:val="27"/>
    <w:lvlOverride w:ilvl="0">
      <w:startOverride w:val="1"/>
    </w:lvlOverride>
  </w:num>
  <w:num w:numId="94">
    <w:abstractNumId w:val="27"/>
    <w:lvlOverride w:ilvl="0">
      <w:startOverride w:val="1"/>
    </w:lvlOverride>
  </w:num>
  <w:num w:numId="95">
    <w:abstractNumId w:val="19"/>
  </w:num>
  <w:num w:numId="96">
    <w:abstractNumId w:val="20"/>
  </w:num>
  <w:num w:numId="97">
    <w:abstractNumId w:val="11"/>
  </w:num>
  <w:num w:numId="98">
    <w:abstractNumId w:val="40"/>
  </w:num>
  <w:num w:numId="99">
    <w:abstractNumId w:val="9"/>
  </w:num>
  <w:num w:numId="100">
    <w:abstractNumId w:val="7"/>
  </w:num>
  <w:num w:numId="101">
    <w:abstractNumId w:val="6"/>
  </w:num>
  <w:num w:numId="102">
    <w:abstractNumId w:val="5"/>
  </w:num>
  <w:num w:numId="103">
    <w:abstractNumId w:val="4"/>
  </w:num>
  <w:num w:numId="104">
    <w:abstractNumId w:val="8"/>
  </w:num>
  <w:num w:numId="105">
    <w:abstractNumId w:val="3"/>
  </w:num>
  <w:num w:numId="106">
    <w:abstractNumId w:val="2"/>
  </w:num>
  <w:num w:numId="107">
    <w:abstractNumId w:val="1"/>
  </w:num>
  <w:num w:numId="108">
    <w:abstractNumId w:val="0"/>
  </w:num>
  <w:num w:numId="109">
    <w:abstractNumId w:val="43"/>
  </w:num>
  <w:num w:numId="110">
    <w:abstractNumId w:val="21"/>
  </w:num>
  <w:num w:numId="111">
    <w:abstractNumId w:val="18"/>
  </w:num>
  <w:num w:numId="112">
    <w:abstractNumId w:val="41"/>
  </w:num>
  <w:num w:numId="113">
    <w:abstractNumId w:val="15"/>
  </w:num>
  <w:num w:numId="114">
    <w:abstractNumId w:val="45"/>
  </w:num>
  <w:num w:numId="115">
    <w:abstractNumId w:val="14"/>
  </w:num>
  <w:num w:numId="116">
    <w:abstractNumId w:val="28"/>
  </w:num>
  <w:num w:numId="117">
    <w:abstractNumId w:val="22"/>
  </w:num>
  <w:num w:numId="118">
    <w:abstractNumId w:val="24"/>
  </w:num>
  <w:num w:numId="119">
    <w:abstractNumId w:val="29"/>
  </w:num>
  <w:num w:numId="120">
    <w:abstractNumId w:val="29"/>
    <w:lvlOverride w:ilvl="0">
      <w:startOverride w:val="1"/>
    </w:lvlOverride>
  </w:num>
  <w:num w:numId="121">
    <w:abstractNumId w:val="34"/>
  </w:num>
  <w:num w:numId="122">
    <w:abstractNumId w:val="33"/>
  </w:num>
  <w:num w:numId="123">
    <w:abstractNumId w:val="23"/>
  </w:num>
  <w:num w:numId="124">
    <w:abstractNumId w:val="23"/>
    <w:lvlOverride w:ilvl="0">
      <w:startOverride w:val="1"/>
    </w:lvlOverride>
  </w:num>
  <w:num w:numId="125">
    <w:abstractNumId w:val="10"/>
    <w:lvlOverride w:ilvl="0">
      <w:startOverride w:val="1"/>
    </w:lvlOverride>
  </w:num>
  <w:num w:numId="126">
    <w:abstractNumId w:val="16"/>
    <w:lvlOverride w:ilvl="0">
      <w:startOverride w:val="1"/>
    </w:lvlOverride>
  </w:num>
  <w:num w:numId="127">
    <w:abstractNumId w:val="16"/>
    <w:lvlOverride w:ilvl="0">
      <w:startOverride w:val="1"/>
    </w:lvlOverride>
  </w:num>
  <w:num w:numId="128">
    <w:abstractNumId w:val="16"/>
    <w:lvlOverride w:ilvl="0">
      <w:startOverride w:val="1"/>
    </w:lvlOverride>
  </w:num>
  <w:num w:numId="129">
    <w:abstractNumId w:val="16"/>
    <w:lvlOverride w:ilvl="0">
      <w:startOverride w:val="1"/>
    </w:lvlOverride>
  </w:num>
  <w:num w:numId="130">
    <w:abstractNumId w:val="16"/>
    <w:lvlOverride w:ilvl="0">
      <w:startOverride w:val="1"/>
    </w:lvlOverride>
  </w:num>
  <w:num w:numId="1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3"/>
    <w:lvlOverride w:ilvl="0">
      <w:startOverride w:val="1"/>
    </w:lvlOverride>
  </w:num>
  <w:num w:numId="137">
    <w:abstractNumId w:val="23"/>
    <w:lvlOverride w:ilvl="0">
      <w:startOverride w:val="1"/>
    </w:lvlOverride>
  </w:num>
  <w:num w:numId="138">
    <w:abstractNumId w:val="23"/>
    <w:lvlOverride w:ilvl="0">
      <w:startOverride w:val="1"/>
    </w:lvlOverride>
  </w:num>
  <w:num w:numId="139">
    <w:abstractNumId w:val="23"/>
    <w:lvlOverride w:ilvl="0">
      <w:startOverride w:val="1"/>
    </w:lvlOverride>
  </w:num>
  <w:num w:numId="140">
    <w:abstractNumId w:val="23"/>
    <w:lvlOverride w:ilvl="0">
      <w:startOverride w:val="1"/>
    </w:lvlOverride>
  </w:num>
  <w:num w:numId="141">
    <w:abstractNumId w:val="23"/>
    <w:lvlOverride w:ilvl="0">
      <w:startOverride w:val="1"/>
    </w:lvlOverride>
  </w:num>
  <w:num w:numId="142">
    <w:abstractNumId w:val="23"/>
    <w:lvlOverride w:ilvl="0">
      <w:startOverride w:val="1"/>
    </w:lvlOverride>
  </w:num>
  <w:num w:numId="143">
    <w:abstractNumId w:val="23"/>
    <w:lvlOverride w:ilvl="0">
      <w:startOverride w:val="1"/>
    </w:lvlOverride>
  </w:num>
  <w:num w:numId="1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3"/>
    <w:lvlOverride w:ilvl="0">
      <w:startOverride w:val="1"/>
    </w:lvlOverride>
  </w:num>
  <w:num w:numId="150">
    <w:abstractNumId w:val="23"/>
    <w:lvlOverride w:ilvl="0">
      <w:startOverride w:val="1"/>
    </w:lvlOverride>
  </w:num>
  <w:num w:numId="151">
    <w:abstractNumId w:val="23"/>
    <w:lvlOverride w:ilvl="0">
      <w:startOverride w:val="1"/>
    </w:lvlOverride>
  </w:num>
  <w:num w:numId="152">
    <w:abstractNumId w:val="23"/>
    <w:lvlOverride w:ilvl="0">
      <w:startOverride w:val="1"/>
    </w:lvlOverride>
  </w:num>
  <w:num w:numId="153">
    <w:abstractNumId w:val="38"/>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cumentProtection w:formatting="1" w:enforcement="1" w:cryptProviderType="rsaAES" w:cryptAlgorithmClass="hash" w:cryptAlgorithmType="typeAny" w:cryptAlgorithmSid="14" w:cryptSpinCount="100000" w:hash="K71gGTjwTa06WDYJSVflri5I/UbKdOTT81qkH+9HEy01A/XGtm0MTXr+ek6XwdRxkbqrtdISd3Dh9dvNIZG/ng==" w:salt="H99yFmMWe77DOShv5jks+w=="/>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3016"/>
    <w:rsid w:val="00004F14"/>
    <w:rsid w:val="00006F5B"/>
    <w:rsid w:val="00007320"/>
    <w:rsid w:val="00011881"/>
    <w:rsid w:val="00012447"/>
    <w:rsid w:val="000154A4"/>
    <w:rsid w:val="00023341"/>
    <w:rsid w:val="00032172"/>
    <w:rsid w:val="00033FB3"/>
    <w:rsid w:val="000350D4"/>
    <w:rsid w:val="000449C8"/>
    <w:rsid w:val="00052964"/>
    <w:rsid w:val="00056CEA"/>
    <w:rsid w:val="00065376"/>
    <w:rsid w:val="000660F2"/>
    <w:rsid w:val="000673ED"/>
    <w:rsid w:val="000675AD"/>
    <w:rsid w:val="00067955"/>
    <w:rsid w:val="00072A9D"/>
    <w:rsid w:val="000819DA"/>
    <w:rsid w:val="00083050"/>
    <w:rsid w:val="000918AE"/>
    <w:rsid w:val="000A1302"/>
    <w:rsid w:val="000A181F"/>
    <w:rsid w:val="000A36E9"/>
    <w:rsid w:val="000A5F4E"/>
    <w:rsid w:val="000A60D3"/>
    <w:rsid w:val="000A6236"/>
    <w:rsid w:val="000A75BB"/>
    <w:rsid w:val="000B0627"/>
    <w:rsid w:val="000B5B8A"/>
    <w:rsid w:val="000B5B9F"/>
    <w:rsid w:val="000B63FE"/>
    <w:rsid w:val="000B6BAC"/>
    <w:rsid w:val="000B7F0B"/>
    <w:rsid w:val="000C041B"/>
    <w:rsid w:val="000C21CD"/>
    <w:rsid w:val="000C4298"/>
    <w:rsid w:val="000C5C8E"/>
    <w:rsid w:val="000C708E"/>
    <w:rsid w:val="000D1C8D"/>
    <w:rsid w:val="000D2BDE"/>
    <w:rsid w:val="000E0281"/>
    <w:rsid w:val="000E15DC"/>
    <w:rsid w:val="000E7574"/>
    <w:rsid w:val="000F695A"/>
    <w:rsid w:val="00100BA7"/>
    <w:rsid w:val="00106BAC"/>
    <w:rsid w:val="00116675"/>
    <w:rsid w:val="001167CA"/>
    <w:rsid w:val="00117A5C"/>
    <w:rsid w:val="00121D10"/>
    <w:rsid w:val="001258DA"/>
    <w:rsid w:val="00130C15"/>
    <w:rsid w:val="00133312"/>
    <w:rsid w:val="00137B5D"/>
    <w:rsid w:val="00137FEF"/>
    <w:rsid w:val="0014084F"/>
    <w:rsid w:val="001409B0"/>
    <w:rsid w:val="001415BC"/>
    <w:rsid w:val="00142225"/>
    <w:rsid w:val="00145039"/>
    <w:rsid w:val="0014569C"/>
    <w:rsid w:val="0015059D"/>
    <w:rsid w:val="0015168E"/>
    <w:rsid w:val="001535CE"/>
    <w:rsid w:val="001579BE"/>
    <w:rsid w:val="00160318"/>
    <w:rsid w:val="00160CFA"/>
    <w:rsid w:val="001634B4"/>
    <w:rsid w:val="00164875"/>
    <w:rsid w:val="00167487"/>
    <w:rsid w:val="00174387"/>
    <w:rsid w:val="001770E8"/>
    <w:rsid w:val="001777A5"/>
    <w:rsid w:val="00184D96"/>
    <w:rsid w:val="00186F0A"/>
    <w:rsid w:val="00190495"/>
    <w:rsid w:val="001A34A7"/>
    <w:rsid w:val="001A718E"/>
    <w:rsid w:val="001B3B5A"/>
    <w:rsid w:val="001C75C9"/>
    <w:rsid w:val="001D0455"/>
    <w:rsid w:val="001D2FB5"/>
    <w:rsid w:val="001D3F79"/>
    <w:rsid w:val="001E0A21"/>
    <w:rsid w:val="001E2973"/>
    <w:rsid w:val="001E2F5A"/>
    <w:rsid w:val="001E4D47"/>
    <w:rsid w:val="001F00D9"/>
    <w:rsid w:val="001F206D"/>
    <w:rsid w:val="001F4BB6"/>
    <w:rsid w:val="00205D05"/>
    <w:rsid w:val="0021092F"/>
    <w:rsid w:val="00213FA1"/>
    <w:rsid w:val="00221091"/>
    <w:rsid w:val="002212F8"/>
    <w:rsid w:val="00221E92"/>
    <w:rsid w:val="00224380"/>
    <w:rsid w:val="00230978"/>
    <w:rsid w:val="00231119"/>
    <w:rsid w:val="00241266"/>
    <w:rsid w:val="002415F9"/>
    <w:rsid w:val="00243309"/>
    <w:rsid w:val="0024582E"/>
    <w:rsid w:val="00245FBC"/>
    <w:rsid w:val="00246C6D"/>
    <w:rsid w:val="002510B4"/>
    <w:rsid w:val="00255113"/>
    <w:rsid w:val="00257AE6"/>
    <w:rsid w:val="00260D15"/>
    <w:rsid w:val="00260E43"/>
    <w:rsid w:val="00261E75"/>
    <w:rsid w:val="0026538C"/>
    <w:rsid w:val="0028017D"/>
    <w:rsid w:val="00282E79"/>
    <w:rsid w:val="002873E6"/>
    <w:rsid w:val="002926C4"/>
    <w:rsid w:val="002951F1"/>
    <w:rsid w:val="002972E9"/>
    <w:rsid w:val="002A2B50"/>
    <w:rsid w:val="002A2CA6"/>
    <w:rsid w:val="002A5544"/>
    <w:rsid w:val="002A668D"/>
    <w:rsid w:val="002C65C1"/>
    <w:rsid w:val="002C756A"/>
    <w:rsid w:val="002D08D1"/>
    <w:rsid w:val="002D4D7E"/>
    <w:rsid w:val="002E3D42"/>
    <w:rsid w:val="002E7A71"/>
    <w:rsid w:val="002E7FCA"/>
    <w:rsid w:val="002F0BF6"/>
    <w:rsid w:val="002F0E22"/>
    <w:rsid w:val="002F5FC4"/>
    <w:rsid w:val="00304005"/>
    <w:rsid w:val="00305E18"/>
    <w:rsid w:val="003147F4"/>
    <w:rsid w:val="003158C3"/>
    <w:rsid w:val="00315BAE"/>
    <w:rsid w:val="00316CBA"/>
    <w:rsid w:val="00317861"/>
    <w:rsid w:val="003223F0"/>
    <w:rsid w:val="0032592A"/>
    <w:rsid w:val="00332631"/>
    <w:rsid w:val="00337268"/>
    <w:rsid w:val="003439A5"/>
    <w:rsid w:val="00343FBD"/>
    <w:rsid w:val="00344F84"/>
    <w:rsid w:val="0034690D"/>
    <w:rsid w:val="00347B27"/>
    <w:rsid w:val="00350AA4"/>
    <w:rsid w:val="00352554"/>
    <w:rsid w:val="00360837"/>
    <w:rsid w:val="003608ED"/>
    <w:rsid w:val="003728D2"/>
    <w:rsid w:val="0037379A"/>
    <w:rsid w:val="00373E7E"/>
    <w:rsid w:val="00374FBB"/>
    <w:rsid w:val="0037720F"/>
    <w:rsid w:val="00377B26"/>
    <w:rsid w:val="00380E58"/>
    <w:rsid w:val="00381209"/>
    <w:rsid w:val="003814EC"/>
    <w:rsid w:val="00382FA4"/>
    <w:rsid w:val="0038373B"/>
    <w:rsid w:val="003855C9"/>
    <w:rsid w:val="003859F0"/>
    <w:rsid w:val="00390463"/>
    <w:rsid w:val="0039319F"/>
    <w:rsid w:val="003962C6"/>
    <w:rsid w:val="00397A07"/>
    <w:rsid w:val="003A06BE"/>
    <w:rsid w:val="003A2A1B"/>
    <w:rsid w:val="003A5480"/>
    <w:rsid w:val="003B0A46"/>
    <w:rsid w:val="003B2384"/>
    <w:rsid w:val="003B502B"/>
    <w:rsid w:val="003B69DA"/>
    <w:rsid w:val="003B7455"/>
    <w:rsid w:val="003C3F43"/>
    <w:rsid w:val="003C72DF"/>
    <w:rsid w:val="003D0450"/>
    <w:rsid w:val="003D1111"/>
    <w:rsid w:val="003E2407"/>
    <w:rsid w:val="003E532A"/>
    <w:rsid w:val="003E6AB1"/>
    <w:rsid w:val="003F7A99"/>
    <w:rsid w:val="004062D8"/>
    <w:rsid w:val="00416247"/>
    <w:rsid w:val="004202AB"/>
    <w:rsid w:val="004403DE"/>
    <w:rsid w:val="0044284D"/>
    <w:rsid w:val="00442EAF"/>
    <w:rsid w:val="00451621"/>
    <w:rsid w:val="00452B49"/>
    <w:rsid w:val="004537E0"/>
    <w:rsid w:val="004564B7"/>
    <w:rsid w:val="00460750"/>
    <w:rsid w:val="00461337"/>
    <w:rsid w:val="00461631"/>
    <w:rsid w:val="00462571"/>
    <w:rsid w:val="00462711"/>
    <w:rsid w:val="004654D0"/>
    <w:rsid w:val="00473C63"/>
    <w:rsid w:val="00473C80"/>
    <w:rsid w:val="004745F4"/>
    <w:rsid w:val="00477C5E"/>
    <w:rsid w:val="004807B9"/>
    <w:rsid w:val="0048652E"/>
    <w:rsid w:val="00490054"/>
    <w:rsid w:val="004910A7"/>
    <w:rsid w:val="004A0B5B"/>
    <w:rsid w:val="004A2808"/>
    <w:rsid w:val="004A438C"/>
    <w:rsid w:val="004B6A70"/>
    <w:rsid w:val="004C122F"/>
    <w:rsid w:val="004C1592"/>
    <w:rsid w:val="004C1C8B"/>
    <w:rsid w:val="004C3A25"/>
    <w:rsid w:val="004C5356"/>
    <w:rsid w:val="004C63CE"/>
    <w:rsid w:val="004C7980"/>
    <w:rsid w:val="004D0243"/>
    <w:rsid w:val="004D17D4"/>
    <w:rsid w:val="004D3246"/>
    <w:rsid w:val="004D3B08"/>
    <w:rsid w:val="004D622B"/>
    <w:rsid w:val="004D6821"/>
    <w:rsid w:val="004E345C"/>
    <w:rsid w:val="004F08CB"/>
    <w:rsid w:val="004F6F8A"/>
    <w:rsid w:val="005007FB"/>
    <w:rsid w:val="005011D5"/>
    <w:rsid w:val="00502C50"/>
    <w:rsid w:val="00506688"/>
    <w:rsid w:val="00515C88"/>
    <w:rsid w:val="00523419"/>
    <w:rsid w:val="005314B1"/>
    <w:rsid w:val="00532AFF"/>
    <w:rsid w:val="00532C9E"/>
    <w:rsid w:val="00540B36"/>
    <w:rsid w:val="00554E79"/>
    <w:rsid w:val="00556C9F"/>
    <w:rsid w:val="00561D37"/>
    <w:rsid w:val="00562056"/>
    <w:rsid w:val="00562580"/>
    <w:rsid w:val="00562D18"/>
    <w:rsid w:val="005643E8"/>
    <w:rsid w:val="0056596E"/>
    <w:rsid w:val="00565D21"/>
    <w:rsid w:val="00567093"/>
    <w:rsid w:val="005676ED"/>
    <w:rsid w:val="00567EFF"/>
    <w:rsid w:val="00572E0F"/>
    <w:rsid w:val="00575951"/>
    <w:rsid w:val="0058026F"/>
    <w:rsid w:val="005847C5"/>
    <w:rsid w:val="00585B7F"/>
    <w:rsid w:val="00591D80"/>
    <w:rsid w:val="00592471"/>
    <w:rsid w:val="0059274F"/>
    <w:rsid w:val="00592F3A"/>
    <w:rsid w:val="005A11B8"/>
    <w:rsid w:val="005A13B4"/>
    <w:rsid w:val="005A302A"/>
    <w:rsid w:val="005B0904"/>
    <w:rsid w:val="005B22AC"/>
    <w:rsid w:val="005B5C01"/>
    <w:rsid w:val="005C02C9"/>
    <w:rsid w:val="005C5EB3"/>
    <w:rsid w:val="005C66DE"/>
    <w:rsid w:val="005E0F6E"/>
    <w:rsid w:val="005E63A5"/>
    <w:rsid w:val="005F1A5D"/>
    <w:rsid w:val="005F4DB1"/>
    <w:rsid w:val="005F599C"/>
    <w:rsid w:val="005F5C51"/>
    <w:rsid w:val="005F7BBE"/>
    <w:rsid w:val="00600B3E"/>
    <w:rsid w:val="00603D46"/>
    <w:rsid w:val="0060491E"/>
    <w:rsid w:val="00606186"/>
    <w:rsid w:val="006062BD"/>
    <w:rsid w:val="00610FE7"/>
    <w:rsid w:val="00613D0D"/>
    <w:rsid w:val="00616AFA"/>
    <w:rsid w:val="00616F79"/>
    <w:rsid w:val="00623AA2"/>
    <w:rsid w:val="0062401F"/>
    <w:rsid w:val="006251D2"/>
    <w:rsid w:val="00626731"/>
    <w:rsid w:val="0063123C"/>
    <w:rsid w:val="006316B1"/>
    <w:rsid w:val="0064304C"/>
    <w:rsid w:val="00643813"/>
    <w:rsid w:val="00643E68"/>
    <w:rsid w:val="0064436D"/>
    <w:rsid w:val="00650409"/>
    <w:rsid w:val="00651D8C"/>
    <w:rsid w:val="006542E8"/>
    <w:rsid w:val="006563AA"/>
    <w:rsid w:val="00656ED8"/>
    <w:rsid w:val="00660717"/>
    <w:rsid w:val="00662606"/>
    <w:rsid w:val="00662FD3"/>
    <w:rsid w:val="00664A48"/>
    <w:rsid w:val="006676B7"/>
    <w:rsid w:val="00671A77"/>
    <w:rsid w:val="00672642"/>
    <w:rsid w:val="00685529"/>
    <w:rsid w:val="0069265D"/>
    <w:rsid w:val="006A24CD"/>
    <w:rsid w:val="006A566A"/>
    <w:rsid w:val="006A691A"/>
    <w:rsid w:val="006B4F1B"/>
    <w:rsid w:val="006B4F63"/>
    <w:rsid w:val="006C09BB"/>
    <w:rsid w:val="006C0D29"/>
    <w:rsid w:val="006D47C8"/>
    <w:rsid w:val="006D4B4A"/>
    <w:rsid w:val="006F0232"/>
    <w:rsid w:val="006F0C2B"/>
    <w:rsid w:val="006F1568"/>
    <w:rsid w:val="006F3F80"/>
    <w:rsid w:val="006F4D6E"/>
    <w:rsid w:val="006F6E25"/>
    <w:rsid w:val="00700501"/>
    <w:rsid w:val="00700A05"/>
    <w:rsid w:val="0070457B"/>
    <w:rsid w:val="0070486B"/>
    <w:rsid w:val="00707AEB"/>
    <w:rsid w:val="007107AC"/>
    <w:rsid w:val="00714DB7"/>
    <w:rsid w:val="007153A4"/>
    <w:rsid w:val="00721145"/>
    <w:rsid w:val="00725357"/>
    <w:rsid w:val="00725B6D"/>
    <w:rsid w:val="00725E70"/>
    <w:rsid w:val="0073014F"/>
    <w:rsid w:val="00731E62"/>
    <w:rsid w:val="00732ADD"/>
    <w:rsid w:val="00735AC5"/>
    <w:rsid w:val="007467FA"/>
    <w:rsid w:val="007561E1"/>
    <w:rsid w:val="00763FDF"/>
    <w:rsid w:val="00764C7C"/>
    <w:rsid w:val="00766F0E"/>
    <w:rsid w:val="00772791"/>
    <w:rsid w:val="007764F6"/>
    <w:rsid w:val="0077782A"/>
    <w:rsid w:val="00781D1A"/>
    <w:rsid w:val="007825C2"/>
    <w:rsid w:val="00784277"/>
    <w:rsid w:val="007853D4"/>
    <w:rsid w:val="00786F47"/>
    <w:rsid w:val="00787405"/>
    <w:rsid w:val="00787E36"/>
    <w:rsid w:val="0079443E"/>
    <w:rsid w:val="007B1448"/>
    <w:rsid w:val="007B208B"/>
    <w:rsid w:val="007B3DF2"/>
    <w:rsid w:val="007B41B8"/>
    <w:rsid w:val="007C1B31"/>
    <w:rsid w:val="007C5520"/>
    <w:rsid w:val="007C68D8"/>
    <w:rsid w:val="007C706C"/>
    <w:rsid w:val="007C78C0"/>
    <w:rsid w:val="007D7A4D"/>
    <w:rsid w:val="007E35E4"/>
    <w:rsid w:val="007E57C3"/>
    <w:rsid w:val="007E5B29"/>
    <w:rsid w:val="007E65D7"/>
    <w:rsid w:val="007F6793"/>
    <w:rsid w:val="007F6D50"/>
    <w:rsid w:val="00807739"/>
    <w:rsid w:val="0081159C"/>
    <w:rsid w:val="00813016"/>
    <w:rsid w:val="008157A3"/>
    <w:rsid w:val="00822903"/>
    <w:rsid w:val="008238DC"/>
    <w:rsid w:val="00824B75"/>
    <w:rsid w:val="00826EC8"/>
    <w:rsid w:val="008278F1"/>
    <w:rsid w:val="00832E1C"/>
    <w:rsid w:val="0083363B"/>
    <w:rsid w:val="00833D0F"/>
    <w:rsid w:val="008353AF"/>
    <w:rsid w:val="008363A9"/>
    <w:rsid w:val="00843C1A"/>
    <w:rsid w:val="00845A47"/>
    <w:rsid w:val="00847293"/>
    <w:rsid w:val="0085075C"/>
    <w:rsid w:val="0085087F"/>
    <w:rsid w:val="0085577E"/>
    <w:rsid w:val="00861A1D"/>
    <w:rsid w:val="0086430F"/>
    <w:rsid w:val="00873D3D"/>
    <w:rsid w:val="00875C83"/>
    <w:rsid w:val="00877BFD"/>
    <w:rsid w:val="00880EA3"/>
    <w:rsid w:val="00884F36"/>
    <w:rsid w:val="008869F7"/>
    <w:rsid w:val="00891B73"/>
    <w:rsid w:val="0089323B"/>
    <w:rsid w:val="0089496E"/>
    <w:rsid w:val="008A5B04"/>
    <w:rsid w:val="008B7ECE"/>
    <w:rsid w:val="008C3FDD"/>
    <w:rsid w:val="008C5D9A"/>
    <w:rsid w:val="008C64D3"/>
    <w:rsid w:val="008D0B03"/>
    <w:rsid w:val="008D4B4B"/>
    <w:rsid w:val="008D4D1E"/>
    <w:rsid w:val="008E0240"/>
    <w:rsid w:val="008E7ADB"/>
    <w:rsid w:val="008F0DE3"/>
    <w:rsid w:val="008F1B7B"/>
    <w:rsid w:val="008F413D"/>
    <w:rsid w:val="008F6C63"/>
    <w:rsid w:val="00903D8D"/>
    <w:rsid w:val="00912BD7"/>
    <w:rsid w:val="009135D6"/>
    <w:rsid w:val="00920646"/>
    <w:rsid w:val="00924CC1"/>
    <w:rsid w:val="00925B44"/>
    <w:rsid w:val="00930F67"/>
    <w:rsid w:val="0093320C"/>
    <w:rsid w:val="0093552F"/>
    <w:rsid w:val="00935E15"/>
    <w:rsid w:val="0094496A"/>
    <w:rsid w:val="00950D64"/>
    <w:rsid w:val="00952831"/>
    <w:rsid w:val="00952843"/>
    <w:rsid w:val="00956EDB"/>
    <w:rsid w:val="00957D0B"/>
    <w:rsid w:val="00961D98"/>
    <w:rsid w:val="0096695C"/>
    <w:rsid w:val="009720F6"/>
    <w:rsid w:val="009722DA"/>
    <w:rsid w:val="00972E48"/>
    <w:rsid w:val="00972FDD"/>
    <w:rsid w:val="009807F4"/>
    <w:rsid w:val="00982415"/>
    <w:rsid w:val="009952D3"/>
    <w:rsid w:val="0099584A"/>
    <w:rsid w:val="00997D43"/>
    <w:rsid w:val="00997F29"/>
    <w:rsid w:val="009A2583"/>
    <w:rsid w:val="009A76FF"/>
    <w:rsid w:val="009A7710"/>
    <w:rsid w:val="009B2604"/>
    <w:rsid w:val="009B543F"/>
    <w:rsid w:val="009C3605"/>
    <w:rsid w:val="009C41D5"/>
    <w:rsid w:val="009C648E"/>
    <w:rsid w:val="009D1B91"/>
    <w:rsid w:val="009D27DD"/>
    <w:rsid w:val="009F3652"/>
    <w:rsid w:val="009F3C14"/>
    <w:rsid w:val="009F5E8D"/>
    <w:rsid w:val="009F69D3"/>
    <w:rsid w:val="009F7594"/>
    <w:rsid w:val="00A00457"/>
    <w:rsid w:val="00A02454"/>
    <w:rsid w:val="00A038C7"/>
    <w:rsid w:val="00A05841"/>
    <w:rsid w:val="00A15E10"/>
    <w:rsid w:val="00A17EF0"/>
    <w:rsid w:val="00A204A9"/>
    <w:rsid w:val="00A273BA"/>
    <w:rsid w:val="00A32BBE"/>
    <w:rsid w:val="00A362E6"/>
    <w:rsid w:val="00A36770"/>
    <w:rsid w:val="00A4455E"/>
    <w:rsid w:val="00A5712B"/>
    <w:rsid w:val="00A61573"/>
    <w:rsid w:val="00A66170"/>
    <w:rsid w:val="00A668E9"/>
    <w:rsid w:val="00A67259"/>
    <w:rsid w:val="00A71152"/>
    <w:rsid w:val="00A7127A"/>
    <w:rsid w:val="00A72371"/>
    <w:rsid w:val="00A73C15"/>
    <w:rsid w:val="00A8104E"/>
    <w:rsid w:val="00A82848"/>
    <w:rsid w:val="00A836F4"/>
    <w:rsid w:val="00A85017"/>
    <w:rsid w:val="00A90F48"/>
    <w:rsid w:val="00A9386A"/>
    <w:rsid w:val="00AA075E"/>
    <w:rsid w:val="00AA2625"/>
    <w:rsid w:val="00AA5F5E"/>
    <w:rsid w:val="00AA66BE"/>
    <w:rsid w:val="00AC5314"/>
    <w:rsid w:val="00AC7D33"/>
    <w:rsid w:val="00AD2B4E"/>
    <w:rsid w:val="00AD43AA"/>
    <w:rsid w:val="00AD7A46"/>
    <w:rsid w:val="00AE2C52"/>
    <w:rsid w:val="00AE6335"/>
    <w:rsid w:val="00AE70E1"/>
    <w:rsid w:val="00AF20A5"/>
    <w:rsid w:val="00AF5B96"/>
    <w:rsid w:val="00B0229A"/>
    <w:rsid w:val="00B03375"/>
    <w:rsid w:val="00B0466C"/>
    <w:rsid w:val="00B05A52"/>
    <w:rsid w:val="00B12787"/>
    <w:rsid w:val="00B214ED"/>
    <w:rsid w:val="00B2151D"/>
    <w:rsid w:val="00B225DD"/>
    <w:rsid w:val="00B275C7"/>
    <w:rsid w:val="00B337F3"/>
    <w:rsid w:val="00B42E70"/>
    <w:rsid w:val="00B45E63"/>
    <w:rsid w:val="00B46C78"/>
    <w:rsid w:val="00B46E08"/>
    <w:rsid w:val="00B46FA7"/>
    <w:rsid w:val="00B47815"/>
    <w:rsid w:val="00B56E4B"/>
    <w:rsid w:val="00B579ED"/>
    <w:rsid w:val="00B6391C"/>
    <w:rsid w:val="00B66762"/>
    <w:rsid w:val="00B71D68"/>
    <w:rsid w:val="00B77351"/>
    <w:rsid w:val="00B800AD"/>
    <w:rsid w:val="00B87B34"/>
    <w:rsid w:val="00BA2E5C"/>
    <w:rsid w:val="00BA463F"/>
    <w:rsid w:val="00BA64E5"/>
    <w:rsid w:val="00BB5DD7"/>
    <w:rsid w:val="00BC0DCD"/>
    <w:rsid w:val="00BD1A7E"/>
    <w:rsid w:val="00BD228E"/>
    <w:rsid w:val="00BD5C33"/>
    <w:rsid w:val="00BD71F4"/>
    <w:rsid w:val="00BD7E99"/>
    <w:rsid w:val="00BE19F2"/>
    <w:rsid w:val="00BE3659"/>
    <w:rsid w:val="00BE7436"/>
    <w:rsid w:val="00BF55A9"/>
    <w:rsid w:val="00BF6A6C"/>
    <w:rsid w:val="00C01019"/>
    <w:rsid w:val="00C0116B"/>
    <w:rsid w:val="00C01D04"/>
    <w:rsid w:val="00C03442"/>
    <w:rsid w:val="00C1381F"/>
    <w:rsid w:val="00C146A3"/>
    <w:rsid w:val="00C146FD"/>
    <w:rsid w:val="00C17579"/>
    <w:rsid w:val="00C20C8A"/>
    <w:rsid w:val="00C237E6"/>
    <w:rsid w:val="00C238BB"/>
    <w:rsid w:val="00C23BE0"/>
    <w:rsid w:val="00C4018A"/>
    <w:rsid w:val="00C4052D"/>
    <w:rsid w:val="00C41274"/>
    <w:rsid w:val="00C43093"/>
    <w:rsid w:val="00C44B54"/>
    <w:rsid w:val="00C45FBB"/>
    <w:rsid w:val="00C46A14"/>
    <w:rsid w:val="00C46F20"/>
    <w:rsid w:val="00C5003E"/>
    <w:rsid w:val="00C50CCA"/>
    <w:rsid w:val="00C50DD5"/>
    <w:rsid w:val="00C53737"/>
    <w:rsid w:val="00C53EB2"/>
    <w:rsid w:val="00C5675B"/>
    <w:rsid w:val="00C63D4B"/>
    <w:rsid w:val="00C644A3"/>
    <w:rsid w:val="00C74C66"/>
    <w:rsid w:val="00C775B7"/>
    <w:rsid w:val="00C804E1"/>
    <w:rsid w:val="00C90AA7"/>
    <w:rsid w:val="00C92863"/>
    <w:rsid w:val="00C93802"/>
    <w:rsid w:val="00CA0F24"/>
    <w:rsid w:val="00CA5599"/>
    <w:rsid w:val="00CB0C6B"/>
    <w:rsid w:val="00CB475E"/>
    <w:rsid w:val="00CC1A8F"/>
    <w:rsid w:val="00CC28A5"/>
    <w:rsid w:val="00CC38D1"/>
    <w:rsid w:val="00CC5A8D"/>
    <w:rsid w:val="00CD03E0"/>
    <w:rsid w:val="00CD7AF5"/>
    <w:rsid w:val="00CD7CC3"/>
    <w:rsid w:val="00CE71C0"/>
    <w:rsid w:val="00CF7F0A"/>
    <w:rsid w:val="00D1134D"/>
    <w:rsid w:val="00D22CD0"/>
    <w:rsid w:val="00D23DF0"/>
    <w:rsid w:val="00D2678F"/>
    <w:rsid w:val="00D36263"/>
    <w:rsid w:val="00D4027F"/>
    <w:rsid w:val="00D417C5"/>
    <w:rsid w:val="00D4362F"/>
    <w:rsid w:val="00D458CC"/>
    <w:rsid w:val="00D52995"/>
    <w:rsid w:val="00D5319A"/>
    <w:rsid w:val="00D532D8"/>
    <w:rsid w:val="00D5404C"/>
    <w:rsid w:val="00D55E13"/>
    <w:rsid w:val="00D56B3D"/>
    <w:rsid w:val="00D57560"/>
    <w:rsid w:val="00D61A3F"/>
    <w:rsid w:val="00D62546"/>
    <w:rsid w:val="00D67D5E"/>
    <w:rsid w:val="00D72580"/>
    <w:rsid w:val="00D76459"/>
    <w:rsid w:val="00D76F7E"/>
    <w:rsid w:val="00D82AC6"/>
    <w:rsid w:val="00D8468B"/>
    <w:rsid w:val="00D86904"/>
    <w:rsid w:val="00D902A5"/>
    <w:rsid w:val="00DA2672"/>
    <w:rsid w:val="00DA2AAE"/>
    <w:rsid w:val="00DA3D5C"/>
    <w:rsid w:val="00DA51B3"/>
    <w:rsid w:val="00DB1037"/>
    <w:rsid w:val="00DB42E9"/>
    <w:rsid w:val="00DB4C61"/>
    <w:rsid w:val="00DC11C3"/>
    <w:rsid w:val="00DD0273"/>
    <w:rsid w:val="00DD1E67"/>
    <w:rsid w:val="00DD1F50"/>
    <w:rsid w:val="00DD2CD5"/>
    <w:rsid w:val="00DD44D4"/>
    <w:rsid w:val="00DD5B80"/>
    <w:rsid w:val="00DE0C15"/>
    <w:rsid w:val="00DE2AF8"/>
    <w:rsid w:val="00DE5C8A"/>
    <w:rsid w:val="00DE7B1F"/>
    <w:rsid w:val="00DF2A45"/>
    <w:rsid w:val="00DF2CF4"/>
    <w:rsid w:val="00DF707E"/>
    <w:rsid w:val="00E0128C"/>
    <w:rsid w:val="00E029CD"/>
    <w:rsid w:val="00E05D75"/>
    <w:rsid w:val="00E13964"/>
    <w:rsid w:val="00E13E29"/>
    <w:rsid w:val="00E240D5"/>
    <w:rsid w:val="00E31B04"/>
    <w:rsid w:val="00E31DD5"/>
    <w:rsid w:val="00E31DE1"/>
    <w:rsid w:val="00E325FB"/>
    <w:rsid w:val="00E33B8F"/>
    <w:rsid w:val="00E35F4D"/>
    <w:rsid w:val="00E37BD0"/>
    <w:rsid w:val="00E446E6"/>
    <w:rsid w:val="00E45C84"/>
    <w:rsid w:val="00E46EC9"/>
    <w:rsid w:val="00E50643"/>
    <w:rsid w:val="00E653F2"/>
    <w:rsid w:val="00E654EF"/>
    <w:rsid w:val="00E6578A"/>
    <w:rsid w:val="00E677BF"/>
    <w:rsid w:val="00E70362"/>
    <w:rsid w:val="00E715E6"/>
    <w:rsid w:val="00E71842"/>
    <w:rsid w:val="00E743B8"/>
    <w:rsid w:val="00E75079"/>
    <w:rsid w:val="00E7716F"/>
    <w:rsid w:val="00E84444"/>
    <w:rsid w:val="00EA2D2C"/>
    <w:rsid w:val="00EA4909"/>
    <w:rsid w:val="00EB13A1"/>
    <w:rsid w:val="00EB3992"/>
    <w:rsid w:val="00EB3DA2"/>
    <w:rsid w:val="00EB6B1D"/>
    <w:rsid w:val="00EC1FEB"/>
    <w:rsid w:val="00EC48E7"/>
    <w:rsid w:val="00EC576E"/>
    <w:rsid w:val="00EC5C20"/>
    <w:rsid w:val="00ED2E58"/>
    <w:rsid w:val="00EE529A"/>
    <w:rsid w:val="00EF3E65"/>
    <w:rsid w:val="00EF7AA3"/>
    <w:rsid w:val="00EF7BB4"/>
    <w:rsid w:val="00F01BF2"/>
    <w:rsid w:val="00F01C18"/>
    <w:rsid w:val="00F028A5"/>
    <w:rsid w:val="00F04E72"/>
    <w:rsid w:val="00F10EAF"/>
    <w:rsid w:val="00F23DEC"/>
    <w:rsid w:val="00F26A47"/>
    <w:rsid w:val="00F37320"/>
    <w:rsid w:val="00F3790C"/>
    <w:rsid w:val="00F50A3A"/>
    <w:rsid w:val="00F55B34"/>
    <w:rsid w:val="00F560ED"/>
    <w:rsid w:val="00F63E10"/>
    <w:rsid w:val="00F75C67"/>
    <w:rsid w:val="00F80F7D"/>
    <w:rsid w:val="00F8111C"/>
    <w:rsid w:val="00F840A0"/>
    <w:rsid w:val="00F842C0"/>
    <w:rsid w:val="00F92452"/>
    <w:rsid w:val="00FA05C5"/>
    <w:rsid w:val="00FA1F22"/>
    <w:rsid w:val="00FA4DF7"/>
    <w:rsid w:val="00FA513A"/>
    <w:rsid w:val="00FC1590"/>
    <w:rsid w:val="00FC4613"/>
    <w:rsid w:val="00FC5602"/>
    <w:rsid w:val="00FD1E10"/>
    <w:rsid w:val="00FD1EDC"/>
    <w:rsid w:val="00FE29BB"/>
    <w:rsid w:val="00FE37C8"/>
    <w:rsid w:val="00FE53A8"/>
    <w:rsid w:val="00FE55B8"/>
    <w:rsid w:val="00FF071F"/>
    <w:rsid w:val="00FF0C97"/>
    <w:rsid w:val="00FF26B9"/>
    <w:rsid w:val="00FF2DF5"/>
    <w:rsid w:val="00FF399C"/>
    <w:rsid w:val="00FF43CD"/>
    <w:rsid w:val="00FF63A8"/>
    <w:rsid w:val="00FF7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6A670BB"/>
  <w15:docId w15:val="{3486BDD0-C6BA-4577-89A7-230D3A3A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FA513A"/>
    <w:rPr>
      <w:rFonts w:ascii="Arial" w:hAnsi="Arial"/>
      <w:szCs w:val="24"/>
    </w:rPr>
  </w:style>
  <w:style w:type="paragraph" w:styleId="Heading1">
    <w:name w:val="heading 1"/>
    <w:basedOn w:val="Normal"/>
    <w:next w:val="Normal"/>
    <w:semiHidden/>
    <w:qFormat/>
    <w:locked/>
    <w:rsid w:val="00E70362"/>
    <w:pPr>
      <w:keepNext/>
      <w:spacing w:before="240" w:after="60"/>
      <w:outlineLvl w:val="0"/>
    </w:pPr>
    <w:rPr>
      <w:rFonts w:cs="Arial"/>
      <w:b/>
      <w:bCs/>
      <w:kern w:val="32"/>
      <w:sz w:val="32"/>
      <w:szCs w:val="32"/>
    </w:rPr>
  </w:style>
  <w:style w:type="paragraph" w:styleId="Heading2">
    <w:name w:val="heading 2"/>
    <w:basedOn w:val="Normal"/>
    <w:next w:val="Normal"/>
    <w:semiHidden/>
    <w:qFormat/>
    <w:locked/>
    <w:rsid w:val="00E70362"/>
    <w:pPr>
      <w:keepNext/>
      <w:spacing w:before="240" w:after="60"/>
      <w:outlineLvl w:val="1"/>
    </w:pPr>
    <w:rPr>
      <w:rFonts w:cs="Arial"/>
      <w:b/>
      <w:bCs/>
      <w:i/>
      <w:iCs/>
      <w:sz w:val="28"/>
      <w:szCs w:val="28"/>
    </w:rPr>
  </w:style>
  <w:style w:type="paragraph" w:styleId="Heading3">
    <w:name w:val="heading 3"/>
    <w:basedOn w:val="Normal"/>
    <w:next w:val="Normal"/>
    <w:semiHidden/>
    <w:qFormat/>
    <w:locked/>
    <w:rsid w:val="00E70362"/>
    <w:pPr>
      <w:keepNext/>
      <w:spacing w:before="240" w:after="60"/>
      <w:outlineLvl w:val="2"/>
    </w:pPr>
    <w:rPr>
      <w:rFonts w:cs="Arial"/>
      <w:b/>
      <w:bCs/>
      <w:sz w:val="26"/>
      <w:szCs w:val="26"/>
    </w:rPr>
  </w:style>
  <w:style w:type="paragraph" w:styleId="Heading4">
    <w:name w:val="heading 4"/>
    <w:basedOn w:val="Normal"/>
    <w:next w:val="Normal"/>
    <w:semiHidden/>
    <w:qFormat/>
    <w:locked/>
    <w:rsid w:val="00E70362"/>
    <w:pPr>
      <w:keepNext/>
      <w:spacing w:before="240" w:after="60"/>
      <w:outlineLvl w:val="3"/>
    </w:pPr>
    <w:rPr>
      <w:b/>
      <w:bCs/>
      <w:sz w:val="28"/>
      <w:szCs w:val="28"/>
    </w:rPr>
  </w:style>
  <w:style w:type="paragraph" w:styleId="Heading5">
    <w:name w:val="heading 5"/>
    <w:basedOn w:val="Normal"/>
    <w:next w:val="Normal"/>
    <w:semiHidden/>
    <w:qFormat/>
    <w:locked/>
    <w:rsid w:val="00E70362"/>
    <w:pPr>
      <w:spacing w:before="240" w:after="60"/>
      <w:outlineLvl w:val="4"/>
    </w:pPr>
    <w:rPr>
      <w:b/>
      <w:bCs/>
      <w:i/>
      <w:iCs/>
      <w:sz w:val="26"/>
      <w:szCs w:val="26"/>
    </w:rPr>
  </w:style>
  <w:style w:type="paragraph" w:styleId="Heading6">
    <w:name w:val="heading 6"/>
    <w:basedOn w:val="Normal"/>
    <w:next w:val="Normal"/>
    <w:semiHidden/>
    <w:qFormat/>
    <w:locked/>
    <w:rsid w:val="00E70362"/>
    <w:pPr>
      <w:spacing w:before="240" w:after="60"/>
      <w:outlineLvl w:val="5"/>
    </w:pPr>
    <w:rPr>
      <w:b/>
      <w:bCs/>
      <w:sz w:val="22"/>
      <w:szCs w:val="22"/>
    </w:rPr>
  </w:style>
  <w:style w:type="paragraph" w:styleId="Heading7">
    <w:name w:val="heading 7"/>
    <w:basedOn w:val="Normal"/>
    <w:next w:val="Normal"/>
    <w:semiHidden/>
    <w:qFormat/>
    <w:locked/>
    <w:rsid w:val="00E70362"/>
    <w:pPr>
      <w:spacing w:before="240" w:after="60"/>
      <w:outlineLvl w:val="6"/>
    </w:pPr>
  </w:style>
  <w:style w:type="paragraph" w:styleId="Heading8">
    <w:name w:val="heading 8"/>
    <w:basedOn w:val="Normal"/>
    <w:next w:val="Normal"/>
    <w:semiHidden/>
    <w:qFormat/>
    <w:locked/>
    <w:rsid w:val="00E70362"/>
    <w:pPr>
      <w:spacing w:before="240" w:after="60"/>
      <w:outlineLvl w:val="7"/>
    </w:pPr>
    <w:rPr>
      <w:i/>
      <w:iCs/>
    </w:rPr>
  </w:style>
  <w:style w:type="paragraph" w:styleId="Heading9">
    <w:name w:val="heading 9"/>
    <w:basedOn w:val="Normal"/>
    <w:next w:val="Normal"/>
    <w:semiHidden/>
    <w:qFormat/>
    <w:locked/>
    <w:rsid w:val="00E70362"/>
    <w:pPr>
      <w:spacing w:before="240" w:after="60"/>
      <w:outlineLvl w:val="8"/>
    </w:pPr>
    <w:rPr>
      <w:rFonts w:cs="Arial"/>
      <w:sz w:val="22"/>
      <w:szCs w:val="22"/>
    </w:rPr>
  </w:style>
  <w:style w:type="character" w:default="1" w:styleId="DefaultParagraphFont">
    <w:name w:val="Default Paragraph Font"/>
    <w:uiPriority w:val="1"/>
    <w:semiHidden/>
    <w:unhideWhenUsed/>
    <w:rsid w:val="00FA513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A513A"/>
  </w:style>
  <w:style w:type="paragraph" w:customStyle="1" w:styleId="QPPBodytext">
    <w:name w:val="QPP Body text"/>
    <w:basedOn w:val="Normal"/>
    <w:link w:val="QPPBodytextChar"/>
    <w:rsid w:val="00FA513A"/>
    <w:pPr>
      <w:autoSpaceDE w:val="0"/>
      <w:autoSpaceDN w:val="0"/>
      <w:adjustRightInd w:val="0"/>
    </w:pPr>
    <w:rPr>
      <w:rFonts w:cs="Arial"/>
      <w:color w:val="000000"/>
      <w:szCs w:val="20"/>
    </w:rPr>
  </w:style>
  <w:style w:type="character" w:customStyle="1" w:styleId="QPPBodytextChar">
    <w:name w:val="QPP Body text Char"/>
    <w:link w:val="QPPBodytext"/>
    <w:rsid w:val="00E70362"/>
    <w:rPr>
      <w:rFonts w:ascii="Arial" w:hAnsi="Arial" w:cs="Arial"/>
      <w:color w:val="000000"/>
    </w:rPr>
  </w:style>
  <w:style w:type="table" w:styleId="TableGrid">
    <w:name w:val="Table Grid"/>
    <w:basedOn w:val="TableNormal"/>
    <w:semiHidden/>
    <w:rsid w:val="00FA513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FA513A"/>
    <w:pPr>
      <w:numPr>
        <w:numId w:val="5"/>
      </w:numPr>
    </w:pPr>
    <w:rPr>
      <w:rFonts w:cs="Arial"/>
      <w:szCs w:val="20"/>
      <w:lang w:eastAsia="en-US"/>
    </w:rPr>
  </w:style>
  <w:style w:type="paragraph" w:customStyle="1" w:styleId="QPPHeading1">
    <w:name w:val="QPP Heading 1"/>
    <w:basedOn w:val="Heading1"/>
    <w:autoRedefine/>
    <w:rsid w:val="00FA513A"/>
    <w:pPr>
      <w:spacing w:before="100" w:after="200"/>
      <w:ind w:left="851" w:hanging="851"/>
    </w:pPr>
  </w:style>
  <w:style w:type="paragraph" w:customStyle="1" w:styleId="QPPBulletpoint3">
    <w:name w:val="QPP Bullet point 3"/>
    <w:basedOn w:val="Normal"/>
    <w:rsid w:val="00FA513A"/>
    <w:pPr>
      <w:numPr>
        <w:numId w:val="4"/>
      </w:numPr>
      <w:tabs>
        <w:tab w:val="left" w:pos="1701"/>
      </w:tabs>
    </w:pPr>
    <w:rPr>
      <w:rFonts w:cs="Arial"/>
      <w:szCs w:val="20"/>
      <w:lang w:eastAsia="en-US"/>
    </w:rPr>
  </w:style>
  <w:style w:type="paragraph" w:customStyle="1" w:styleId="QPPTableTextBold">
    <w:name w:val="QPP Table Text Bold"/>
    <w:basedOn w:val="QPPTableTextBody"/>
    <w:link w:val="QPPTableTextBoldChar"/>
    <w:rsid w:val="00FA513A"/>
    <w:rPr>
      <w:b/>
    </w:rPr>
  </w:style>
  <w:style w:type="paragraph" w:customStyle="1" w:styleId="QPPTableTextBody">
    <w:name w:val="QPP Table Text Body"/>
    <w:basedOn w:val="QPPBodytext"/>
    <w:link w:val="QPPTableTextBodyChar"/>
    <w:autoRedefine/>
    <w:rsid w:val="00FA513A"/>
    <w:pPr>
      <w:spacing w:before="60" w:after="60"/>
    </w:pPr>
  </w:style>
  <w:style w:type="character" w:customStyle="1" w:styleId="QPPTableTextBodyChar">
    <w:name w:val="QPP Table Text Body Char"/>
    <w:basedOn w:val="QPPBodytextChar"/>
    <w:link w:val="QPPTableTextBody"/>
    <w:rsid w:val="00462571"/>
    <w:rPr>
      <w:rFonts w:ascii="Arial" w:hAnsi="Arial" w:cs="Arial"/>
      <w:color w:val="000000"/>
    </w:rPr>
  </w:style>
  <w:style w:type="character" w:customStyle="1" w:styleId="QPPTableTextBoldChar">
    <w:name w:val="QPP Table Text Bold Char"/>
    <w:link w:val="QPPTableTextBold"/>
    <w:rsid w:val="00C5003E"/>
    <w:rPr>
      <w:rFonts w:ascii="Arial" w:hAnsi="Arial" w:cs="Arial"/>
      <w:b/>
      <w:color w:val="000000"/>
    </w:rPr>
  </w:style>
  <w:style w:type="paragraph" w:customStyle="1" w:styleId="QPPBulletpoint2">
    <w:name w:val="QPP Bullet point 2"/>
    <w:basedOn w:val="Normal"/>
    <w:rsid w:val="00FA513A"/>
    <w:pPr>
      <w:numPr>
        <w:numId w:val="30"/>
      </w:numPr>
    </w:pPr>
    <w:rPr>
      <w:rFonts w:cs="Arial"/>
      <w:szCs w:val="20"/>
      <w:lang w:eastAsia="en-US"/>
    </w:rPr>
  </w:style>
  <w:style w:type="paragraph" w:customStyle="1" w:styleId="QPPTableHeadingStyle1">
    <w:name w:val="QPP Table Heading Style 1"/>
    <w:basedOn w:val="QPPHeading4"/>
    <w:rsid w:val="00FA513A"/>
    <w:pPr>
      <w:spacing w:after="0"/>
      <w:ind w:left="0" w:firstLine="0"/>
    </w:pPr>
  </w:style>
  <w:style w:type="paragraph" w:customStyle="1" w:styleId="QPPHeading4">
    <w:name w:val="QPP Heading 4"/>
    <w:basedOn w:val="Normal"/>
    <w:link w:val="QPPHeading4Char"/>
    <w:autoRedefine/>
    <w:rsid w:val="00FA513A"/>
    <w:pPr>
      <w:keepNext/>
      <w:spacing w:before="100" w:after="200"/>
      <w:ind w:left="851" w:hanging="851"/>
      <w:outlineLvl w:val="2"/>
    </w:pPr>
    <w:rPr>
      <w:rFonts w:cs="Arial"/>
      <w:b/>
      <w:bCs/>
      <w:szCs w:val="26"/>
    </w:rPr>
  </w:style>
  <w:style w:type="paragraph" w:customStyle="1" w:styleId="QPPHeading2">
    <w:name w:val="QPP Heading 2"/>
    <w:basedOn w:val="Normal"/>
    <w:autoRedefine/>
    <w:rsid w:val="00FA513A"/>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FA513A"/>
    <w:rPr>
      <w:i/>
      <w:iCs/>
    </w:rPr>
  </w:style>
  <w:style w:type="paragraph" w:customStyle="1" w:styleId="QPPEditorsNoteStyle1">
    <w:name w:val="QPP Editor's Note Style 1"/>
    <w:basedOn w:val="Normal"/>
    <w:next w:val="QPPBodytext"/>
    <w:link w:val="QPPEditorsNoteStyle1Char"/>
    <w:rsid w:val="00FA513A"/>
    <w:pPr>
      <w:spacing w:before="100" w:beforeAutospacing="1" w:after="100" w:afterAutospacing="1"/>
    </w:pPr>
    <w:rPr>
      <w:sz w:val="16"/>
      <w:szCs w:val="16"/>
    </w:rPr>
  </w:style>
  <w:style w:type="character" w:customStyle="1" w:styleId="QPPEditorsNoteStyle1Char">
    <w:name w:val="QPP Editor's Note Style 1 Char"/>
    <w:link w:val="QPPEditorsNoteStyle1"/>
    <w:rsid w:val="00E70362"/>
    <w:rPr>
      <w:rFonts w:ascii="Arial" w:hAnsi="Arial"/>
      <w:sz w:val="16"/>
      <w:szCs w:val="16"/>
    </w:rPr>
  </w:style>
  <w:style w:type="paragraph" w:customStyle="1" w:styleId="QPPFooter">
    <w:name w:val="QPP Footer"/>
    <w:basedOn w:val="Normal"/>
    <w:rsid w:val="00FA513A"/>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FA513A"/>
    <w:pPr>
      <w:spacing w:before="100" w:after="100"/>
      <w:ind w:left="567"/>
    </w:pPr>
    <w:rPr>
      <w:sz w:val="16"/>
      <w:szCs w:val="16"/>
    </w:rPr>
  </w:style>
  <w:style w:type="paragraph" w:customStyle="1" w:styleId="QPPEditorsnotebulletpoint1">
    <w:name w:val="QPP Editor's note bullet point 1"/>
    <w:basedOn w:val="Normal"/>
    <w:rsid w:val="00FA513A"/>
    <w:pPr>
      <w:numPr>
        <w:numId w:val="1"/>
      </w:numPr>
      <w:tabs>
        <w:tab w:val="left" w:pos="426"/>
      </w:tabs>
    </w:pPr>
    <w:rPr>
      <w:sz w:val="16"/>
      <w:szCs w:val="16"/>
    </w:rPr>
  </w:style>
  <w:style w:type="paragraph" w:customStyle="1" w:styleId="QPPBullet">
    <w:name w:val="QPP Bullet"/>
    <w:basedOn w:val="Normal"/>
    <w:autoRedefine/>
    <w:rsid w:val="00FA513A"/>
    <w:pPr>
      <w:numPr>
        <w:numId w:val="2"/>
      </w:numPr>
      <w:spacing w:before="60" w:after="40"/>
    </w:pPr>
    <w:rPr>
      <w:rFonts w:eastAsia="MS Mincho"/>
      <w:lang w:eastAsia="en-US"/>
    </w:rPr>
  </w:style>
  <w:style w:type="paragraph" w:customStyle="1" w:styleId="QPPHeading3">
    <w:name w:val="QPP Heading 3"/>
    <w:basedOn w:val="Normal"/>
    <w:autoRedefine/>
    <w:rsid w:val="00FA513A"/>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FA513A"/>
    <w:pPr>
      <w:numPr>
        <w:numId w:val="3"/>
      </w:numPr>
    </w:pPr>
  </w:style>
  <w:style w:type="paragraph" w:customStyle="1" w:styleId="QPPSubscript">
    <w:name w:val="QPP Subscript"/>
    <w:basedOn w:val="QPPBodytext"/>
    <w:next w:val="QPPBodytext"/>
    <w:link w:val="QPPSubscriptChar"/>
    <w:rsid w:val="00FA513A"/>
    <w:rPr>
      <w:vertAlign w:val="subscript"/>
    </w:rPr>
  </w:style>
  <w:style w:type="paragraph" w:customStyle="1" w:styleId="QPPBulletPoint5DOT">
    <w:name w:val="QPP Bullet Point 5 DOT"/>
    <w:basedOn w:val="QPPBodytext"/>
    <w:autoRedefine/>
    <w:rsid w:val="00FA513A"/>
    <w:pPr>
      <w:numPr>
        <w:numId w:val="6"/>
      </w:numPr>
    </w:pPr>
  </w:style>
  <w:style w:type="paragraph" w:customStyle="1" w:styleId="QPPBodyTextITALIC">
    <w:name w:val="QPP Body Text ITALIC"/>
    <w:basedOn w:val="QPPBodytext"/>
    <w:link w:val="QPPBodyTextITALICChar"/>
    <w:autoRedefine/>
    <w:rsid w:val="00FA513A"/>
    <w:rPr>
      <w:i/>
    </w:rPr>
  </w:style>
  <w:style w:type="character" w:customStyle="1" w:styleId="QPPBodyTextITALICChar">
    <w:name w:val="QPP Body Text ITALIC Char"/>
    <w:link w:val="QPPBodyTextITALIC"/>
    <w:rsid w:val="00C5003E"/>
    <w:rPr>
      <w:rFonts w:ascii="Arial" w:hAnsi="Arial" w:cs="Arial"/>
      <w:i/>
      <w:color w:val="000000"/>
    </w:rPr>
  </w:style>
  <w:style w:type="paragraph" w:customStyle="1" w:styleId="QPPSuperscript">
    <w:name w:val="QPP Superscript"/>
    <w:basedOn w:val="QPPBodytext"/>
    <w:next w:val="QPPBodytext"/>
    <w:link w:val="QPPSuperscriptChar"/>
    <w:rsid w:val="00FA513A"/>
    <w:rPr>
      <w:vertAlign w:val="superscript"/>
    </w:rPr>
  </w:style>
  <w:style w:type="character" w:customStyle="1" w:styleId="QPPSuperscriptChar">
    <w:name w:val="QPP Superscript Char"/>
    <w:link w:val="QPPSuperscript"/>
    <w:rsid w:val="00E70362"/>
    <w:rPr>
      <w:rFonts w:ascii="Arial" w:hAnsi="Arial" w:cs="Arial"/>
      <w:color w:val="000000"/>
      <w:vertAlign w:val="superscript"/>
    </w:rPr>
  </w:style>
  <w:style w:type="paragraph" w:customStyle="1" w:styleId="HGTableBullet2">
    <w:name w:val="HG Table Bullet 2"/>
    <w:basedOn w:val="QPPTableTextBody"/>
    <w:rsid w:val="00FA513A"/>
    <w:pPr>
      <w:numPr>
        <w:numId w:val="76"/>
      </w:numPr>
      <w:tabs>
        <w:tab w:val="left" w:pos="567"/>
      </w:tabs>
    </w:pPr>
  </w:style>
  <w:style w:type="paragraph" w:customStyle="1" w:styleId="HGTableBullet3">
    <w:name w:val="HG Table Bullet 3"/>
    <w:basedOn w:val="QPPTableTextBody"/>
    <w:rsid w:val="00FA513A"/>
    <w:pPr>
      <w:numPr>
        <w:numId w:val="7"/>
      </w:numPr>
    </w:pPr>
  </w:style>
  <w:style w:type="paragraph" w:customStyle="1" w:styleId="HGTableBullet4">
    <w:name w:val="HG Table Bullet 4"/>
    <w:basedOn w:val="QPPTableTextBody"/>
    <w:rsid w:val="00FA513A"/>
    <w:pPr>
      <w:numPr>
        <w:numId w:val="8"/>
      </w:numPr>
      <w:tabs>
        <w:tab w:val="left" w:pos="567"/>
      </w:tabs>
    </w:pPr>
  </w:style>
  <w:style w:type="paragraph" w:styleId="BalloonText">
    <w:name w:val="Balloon Text"/>
    <w:basedOn w:val="Normal"/>
    <w:link w:val="BalloonTextChar"/>
    <w:semiHidden/>
    <w:locked/>
    <w:rsid w:val="00E70362"/>
    <w:rPr>
      <w:rFonts w:ascii="Tahoma" w:hAnsi="Tahoma" w:cs="Tahoma"/>
      <w:sz w:val="16"/>
      <w:szCs w:val="16"/>
    </w:rPr>
  </w:style>
  <w:style w:type="character" w:customStyle="1" w:styleId="BalloonTextChar">
    <w:name w:val="Balloon Text Char"/>
    <w:link w:val="BalloonText"/>
    <w:semiHidden/>
    <w:locked/>
    <w:rsid w:val="00C5003E"/>
    <w:rPr>
      <w:rFonts w:ascii="Tahoma" w:hAnsi="Tahoma" w:cs="Tahoma"/>
      <w:sz w:val="16"/>
      <w:szCs w:val="16"/>
    </w:rPr>
  </w:style>
  <w:style w:type="paragraph" w:customStyle="1" w:styleId="QPPTableBullet">
    <w:name w:val="QPP Table Bullet"/>
    <w:basedOn w:val="Normal"/>
    <w:rsid w:val="00FA513A"/>
    <w:pPr>
      <w:tabs>
        <w:tab w:val="num" w:pos="360"/>
      </w:tabs>
      <w:spacing w:before="60" w:after="40"/>
      <w:ind w:left="360" w:hanging="360"/>
    </w:pPr>
    <w:rPr>
      <w:rFonts w:eastAsia="MS Mincho"/>
      <w:lang w:eastAsia="en-US"/>
    </w:rPr>
  </w:style>
  <w:style w:type="paragraph" w:styleId="CommentText">
    <w:name w:val="annotation text"/>
    <w:basedOn w:val="Normal"/>
    <w:semiHidden/>
    <w:locked/>
    <w:rsid w:val="00E70362"/>
    <w:rPr>
      <w:szCs w:val="20"/>
    </w:rPr>
  </w:style>
  <w:style w:type="paragraph" w:styleId="CommentSubject">
    <w:name w:val="annotation subject"/>
    <w:basedOn w:val="CommentText"/>
    <w:next w:val="CommentText"/>
    <w:semiHidden/>
    <w:locked/>
    <w:rsid w:val="00E70362"/>
    <w:rPr>
      <w:b/>
      <w:bCs/>
    </w:rPr>
  </w:style>
  <w:style w:type="paragraph" w:styleId="Header">
    <w:name w:val="header"/>
    <w:basedOn w:val="Normal"/>
    <w:link w:val="HeaderChar"/>
    <w:semiHidden/>
    <w:locked/>
    <w:rsid w:val="00E70362"/>
    <w:pPr>
      <w:tabs>
        <w:tab w:val="center" w:pos="4153"/>
        <w:tab w:val="right" w:pos="8306"/>
      </w:tabs>
    </w:pPr>
  </w:style>
  <w:style w:type="character" w:customStyle="1" w:styleId="HeaderChar">
    <w:name w:val="Header Char"/>
    <w:link w:val="Header"/>
    <w:semiHidden/>
    <w:rsid w:val="00567EFF"/>
    <w:rPr>
      <w:rFonts w:ascii="Arial" w:hAnsi="Arial"/>
      <w:szCs w:val="24"/>
    </w:rPr>
  </w:style>
  <w:style w:type="paragraph" w:styleId="Footer">
    <w:name w:val="footer"/>
    <w:basedOn w:val="Normal"/>
    <w:link w:val="FooterChar"/>
    <w:semiHidden/>
    <w:locked/>
    <w:rsid w:val="00E70362"/>
    <w:pPr>
      <w:tabs>
        <w:tab w:val="center" w:pos="4153"/>
        <w:tab w:val="right" w:pos="8306"/>
      </w:tabs>
    </w:pPr>
  </w:style>
  <w:style w:type="character" w:customStyle="1" w:styleId="FooterChar">
    <w:name w:val="Footer Char"/>
    <w:link w:val="Footer"/>
    <w:semiHidden/>
    <w:rsid w:val="00567EFF"/>
    <w:rPr>
      <w:rFonts w:ascii="Arial" w:hAnsi="Arial"/>
      <w:szCs w:val="24"/>
    </w:rPr>
  </w:style>
  <w:style w:type="character" w:styleId="FollowedHyperlink">
    <w:name w:val="FollowedHyperlink"/>
    <w:semiHidden/>
    <w:locked/>
    <w:rsid w:val="00E70362"/>
    <w:rPr>
      <w:color w:val="800080"/>
      <w:u w:val="single"/>
    </w:rPr>
  </w:style>
  <w:style w:type="character" w:styleId="CommentReference">
    <w:name w:val="annotation reference"/>
    <w:semiHidden/>
    <w:locked/>
    <w:rsid w:val="00E70362"/>
    <w:rPr>
      <w:sz w:val="16"/>
      <w:szCs w:val="16"/>
    </w:rPr>
  </w:style>
  <w:style w:type="character" w:customStyle="1" w:styleId="QPPHeading4Char">
    <w:name w:val="QPP Heading 4 Char"/>
    <w:link w:val="QPPHeading4"/>
    <w:rsid w:val="00E70362"/>
    <w:rPr>
      <w:rFonts w:ascii="Arial" w:hAnsi="Arial" w:cs="Arial"/>
      <w:b/>
      <w:bCs/>
      <w:szCs w:val="26"/>
    </w:rPr>
  </w:style>
  <w:style w:type="paragraph" w:customStyle="1" w:styleId="QPPDotBulletPoint">
    <w:name w:val="QPP Dot Bullet Point"/>
    <w:basedOn w:val="Normal"/>
    <w:semiHidden/>
    <w:locked/>
    <w:rsid w:val="00E70362"/>
    <w:pPr>
      <w:numPr>
        <w:numId w:val="95"/>
      </w:numPr>
    </w:pPr>
  </w:style>
  <w:style w:type="character" w:customStyle="1" w:styleId="QPPSubscriptChar">
    <w:name w:val="QPP Subscript Char"/>
    <w:link w:val="QPPSubscript"/>
    <w:rsid w:val="00E70362"/>
    <w:rPr>
      <w:rFonts w:ascii="Arial" w:hAnsi="Arial" w:cs="Arial"/>
      <w:color w:val="000000"/>
      <w:vertAlign w:val="subscript"/>
    </w:rPr>
  </w:style>
  <w:style w:type="paragraph" w:styleId="ListParagraph">
    <w:name w:val="List Paragraph"/>
    <w:basedOn w:val="Normal"/>
    <w:uiPriority w:val="34"/>
    <w:qFormat/>
    <w:rsid w:val="00FA513A"/>
    <w:pPr>
      <w:ind w:left="720"/>
    </w:pPr>
    <w:rPr>
      <w:rFonts w:ascii="Calibri" w:eastAsia="Calibri" w:hAnsi="Calibri" w:cs="Calibri"/>
      <w:sz w:val="22"/>
      <w:szCs w:val="22"/>
      <w:lang w:eastAsia="en-US"/>
    </w:rPr>
  </w:style>
  <w:style w:type="numbering" w:styleId="111111">
    <w:name w:val="Outline List 2"/>
    <w:basedOn w:val="NoList"/>
    <w:semiHidden/>
    <w:locked/>
    <w:rsid w:val="00E70362"/>
  </w:style>
  <w:style w:type="numbering" w:styleId="1ai">
    <w:name w:val="Outline List 1"/>
    <w:basedOn w:val="NoList"/>
    <w:semiHidden/>
    <w:locked/>
    <w:rsid w:val="00E70362"/>
  </w:style>
  <w:style w:type="numbering" w:styleId="ArticleSection">
    <w:name w:val="Outline List 3"/>
    <w:basedOn w:val="NoList"/>
    <w:semiHidden/>
    <w:locked/>
    <w:rsid w:val="00E70362"/>
  </w:style>
  <w:style w:type="paragraph" w:styleId="Bibliography">
    <w:name w:val="Bibliography"/>
    <w:basedOn w:val="Normal"/>
    <w:next w:val="Normal"/>
    <w:uiPriority w:val="37"/>
    <w:semiHidden/>
    <w:unhideWhenUsed/>
    <w:rsid w:val="00FA513A"/>
  </w:style>
  <w:style w:type="paragraph" w:styleId="BlockText">
    <w:name w:val="Block Text"/>
    <w:basedOn w:val="Normal"/>
    <w:semiHidden/>
    <w:locked/>
    <w:rsid w:val="00E7036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E70362"/>
    <w:pPr>
      <w:spacing w:after="120"/>
    </w:pPr>
  </w:style>
  <w:style w:type="character" w:customStyle="1" w:styleId="BodyTextChar">
    <w:name w:val="Body Text Char"/>
    <w:basedOn w:val="DefaultParagraphFont"/>
    <w:link w:val="BodyText"/>
    <w:semiHidden/>
    <w:rsid w:val="00E70362"/>
    <w:rPr>
      <w:rFonts w:ascii="Arial" w:hAnsi="Arial"/>
      <w:szCs w:val="24"/>
    </w:rPr>
  </w:style>
  <w:style w:type="paragraph" w:styleId="BodyText2">
    <w:name w:val="Body Text 2"/>
    <w:basedOn w:val="Normal"/>
    <w:link w:val="BodyText2Char"/>
    <w:semiHidden/>
    <w:locked/>
    <w:rsid w:val="00E70362"/>
    <w:pPr>
      <w:spacing w:after="120" w:line="480" w:lineRule="auto"/>
    </w:pPr>
  </w:style>
  <w:style w:type="character" w:customStyle="1" w:styleId="BodyText2Char">
    <w:name w:val="Body Text 2 Char"/>
    <w:basedOn w:val="DefaultParagraphFont"/>
    <w:link w:val="BodyText2"/>
    <w:semiHidden/>
    <w:rsid w:val="00E70362"/>
    <w:rPr>
      <w:rFonts w:ascii="Arial" w:hAnsi="Arial"/>
      <w:szCs w:val="24"/>
    </w:rPr>
  </w:style>
  <w:style w:type="paragraph" w:styleId="BodyText3">
    <w:name w:val="Body Text 3"/>
    <w:basedOn w:val="Normal"/>
    <w:link w:val="BodyText3Char"/>
    <w:semiHidden/>
    <w:locked/>
    <w:rsid w:val="00E70362"/>
    <w:pPr>
      <w:spacing w:after="120"/>
    </w:pPr>
    <w:rPr>
      <w:sz w:val="16"/>
      <w:szCs w:val="16"/>
    </w:rPr>
  </w:style>
  <w:style w:type="character" w:customStyle="1" w:styleId="BodyText3Char">
    <w:name w:val="Body Text 3 Char"/>
    <w:basedOn w:val="DefaultParagraphFont"/>
    <w:link w:val="BodyText3"/>
    <w:semiHidden/>
    <w:rsid w:val="00E70362"/>
    <w:rPr>
      <w:rFonts w:ascii="Arial" w:hAnsi="Arial"/>
      <w:sz w:val="16"/>
      <w:szCs w:val="16"/>
    </w:rPr>
  </w:style>
  <w:style w:type="paragraph" w:styleId="BodyTextFirstIndent">
    <w:name w:val="Body Text First Indent"/>
    <w:basedOn w:val="BodyText"/>
    <w:link w:val="BodyTextFirstIndentChar"/>
    <w:semiHidden/>
    <w:locked/>
    <w:rsid w:val="00E70362"/>
    <w:pPr>
      <w:spacing w:after="0"/>
      <w:ind w:firstLine="360"/>
    </w:pPr>
  </w:style>
  <w:style w:type="character" w:customStyle="1" w:styleId="BodyTextFirstIndentChar">
    <w:name w:val="Body Text First Indent Char"/>
    <w:basedOn w:val="BodyTextChar"/>
    <w:link w:val="BodyTextFirstIndent"/>
    <w:semiHidden/>
    <w:rsid w:val="00E70362"/>
    <w:rPr>
      <w:rFonts w:ascii="Arial" w:hAnsi="Arial"/>
      <w:szCs w:val="24"/>
    </w:rPr>
  </w:style>
  <w:style w:type="paragraph" w:styleId="BodyTextIndent">
    <w:name w:val="Body Text Indent"/>
    <w:basedOn w:val="Normal"/>
    <w:link w:val="BodyTextIndentChar"/>
    <w:semiHidden/>
    <w:locked/>
    <w:rsid w:val="00E70362"/>
    <w:pPr>
      <w:spacing w:after="120"/>
      <w:ind w:left="283"/>
    </w:pPr>
  </w:style>
  <w:style w:type="character" w:customStyle="1" w:styleId="BodyTextIndentChar">
    <w:name w:val="Body Text Indent Char"/>
    <w:basedOn w:val="DefaultParagraphFont"/>
    <w:link w:val="BodyTextIndent"/>
    <w:semiHidden/>
    <w:rsid w:val="00E70362"/>
    <w:rPr>
      <w:rFonts w:ascii="Arial" w:hAnsi="Arial"/>
      <w:szCs w:val="24"/>
    </w:rPr>
  </w:style>
  <w:style w:type="paragraph" w:styleId="BodyTextFirstIndent2">
    <w:name w:val="Body Text First Indent 2"/>
    <w:basedOn w:val="BodyTextIndent"/>
    <w:link w:val="BodyTextFirstIndent2Char"/>
    <w:semiHidden/>
    <w:locked/>
    <w:rsid w:val="00E70362"/>
    <w:pPr>
      <w:spacing w:after="0"/>
      <w:ind w:left="360" w:firstLine="360"/>
    </w:pPr>
  </w:style>
  <w:style w:type="character" w:customStyle="1" w:styleId="BodyTextFirstIndent2Char">
    <w:name w:val="Body Text First Indent 2 Char"/>
    <w:basedOn w:val="BodyTextIndentChar"/>
    <w:link w:val="BodyTextFirstIndent2"/>
    <w:semiHidden/>
    <w:rsid w:val="00E70362"/>
    <w:rPr>
      <w:rFonts w:ascii="Arial" w:hAnsi="Arial"/>
      <w:szCs w:val="24"/>
    </w:rPr>
  </w:style>
  <w:style w:type="paragraph" w:styleId="BodyTextIndent2">
    <w:name w:val="Body Text Indent 2"/>
    <w:basedOn w:val="Normal"/>
    <w:link w:val="BodyTextIndent2Char"/>
    <w:semiHidden/>
    <w:locked/>
    <w:rsid w:val="00E70362"/>
    <w:pPr>
      <w:spacing w:after="120" w:line="480" w:lineRule="auto"/>
      <w:ind w:left="283"/>
    </w:pPr>
  </w:style>
  <w:style w:type="character" w:customStyle="1" w:styleId="BodyTextIndent2Char">
    <w:name w:val="Body Text Indent 2 Char"/>
    <w:basedOn w:val="DefaultParagraphFont"/>
    <w:link w:val="BodyTextIndent2"/>
    <w:semiHidden/>
    <w:rsid w:val="00E70362"/>
    <w:rPr>
      <w:rFonts w:ascii="Arial" w:hAnsi="Arial"/>
      <w:szCs w:val="24"/>
    </w:rPr>
  </w:style>
  <w:style w:type="paragraph" w:styleId="BodyTextIndent3">
    <w:name w:val="Body Text Indent 3"/>
    <w:basedOn w:val="Normal"/>
    <w:link w:val="BodyTextIndent3Char"/>
    <w:semiHidden/>
    <w:locked/>
    <w:rsid w:val="00E70362"/>
    <w:pPr>
      <w:spacing w:after="120"/>
      <w:ind w:left="283"/>
    </w:pPr>
    <w:rPr>
      <w:sz w:val="16"/>
      <w:szCs w:val="16"/>
    </w:rPr>
  </w:style>
  <w:style w:type="character" w:customStyle="1" w:styleId="BodyTextIndent3Char">
    <w:name w:val="Body Text Indent 3 Char"/>
    <w:basedOn w:val="DefaultParagraphFont"/>
    <w:link w:val="BodyTextIndent3"/>
    <w:semiHidden/>
    <w:rsid w:val="00E70362"/>
    <w:rPr>
      <w:rFonts w:ascii="Arial" w:hAnsi="Arial"/>
      <w:sz w:val="16"/>
      <w:szCs w:val="16"/>
    </w:rPr>
  </w:style>
  <w:style w:type="character" w:styleId="BookTitle">
    <w:name w:val="Book Title"/>
    <w:basedOn w:val="DefaultParagraphFont"/>
    <w:uiPriority w:val="33"/>
    <w:semiHidden/>
    <w:qFormat/>
    <w:rsid w:val="00FA513A"/>
    <w:rPr>
      <w:b/>
      <w:bCs/>
      <w:smallCaps/>
      <w:spacing w:val="5"/>
    </w:rPr>
  </w:style>
  <w:style w:type="paragraph" w:styleId="Caption">
    <w:name w:val="caption"/>
    <w:basedOn w:val="Normal"/>
    <w:next w:val="Normal"/>
    <w:semiHidden/>
    <w:unhideWhenUsed/>
    <w:qFormat/>
    <w:locked/>
    <w:rsid w:val="00E70362"/>
    <w:pPr>
      <w:spacing w:after="200"/>
    </w:pPr>
    <w:rPr>
      <w:b/>
      <w:bCs/>
      <w:color w:val="4F81BD" w:themeColor="accent1"/>
      <w:sz w:val="18"/>
      <w:szCs w:val="18"/>
    </w:rPr>
  </w:style>
  <w:style w:type="paragraph" w:styleId="Closing">
    <w:name w:val="Closing"/>
    <w:basedOn w:val="Normal"/>
    <w:link w:val="ClosingChar"/>
    <w:semiHidden/>
    <w:locked/>
    <w:rsid w:val="00E70362"/>
    <w:pPr>
      <w:ind w:left="4252"/>
    </w:pPr>
  </w:style>
  <w:style w:type="character" w:customStyle="1" w:styleId="ClosingChar">
    <w:name w:val="Closing Char"/>
    <w:basedOn w:val="DefaultParagraphFont"/>
    <w:link w:val="Closing"/>
    <w:semiHidden/>
    <w:rsid w:val="00E70362"/>
    <w:rPr>
      <w:rFonts w:ascii="Arial" w:hAnsi="Arial"/>
      <w:szCs w:val="24"/>
    </w:rPr>
  </w:style>
  <w:style w:type="table" w:styleId="ColorfulGrid">
    <w:name w:val="Colorful Grid"/>
    <w:basedOn w:val="TableNormal"/>
    <w:uiPriority w:val="73"/>
    <w:semiHidden/>
    <w:rsid w:val="00FA513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FA513A"/>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FA513A"/>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FA513A"/>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FA513A"/>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FA513A"/>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FA513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FA513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FA513A"/>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FA513A"/>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FA513A"/>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FA513A"/>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FA513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FA513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FA513A"/>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FA513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FA513A"/>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FA513A"/>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FA513A"/>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FA513A"/>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FA513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FA513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FA513A"/>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FA513A"/>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FA513A"/>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FA513A"/>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FA513A"/>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FA513A"/>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E70362"/>
  </w:style>
  <w:style w:type="character" w:customStyle="1" w:styleId="DateChar">
    <w:name w:val="Date Char"/>
    <w:basedOn w:val="DefaultParagraphFont"/>
    <w:link w:val="Date"/>
    <w:semiHidden/>
    <w:rsid w:val="00E70362"/>
    <w:rPr>
      <w:rFonts w:ascii="Arial" w:hAnsi="Arial"/>
      <w:szCs w:val="24"/>
    </w:rPr>
  </w:style>
  <w:style w:type="paragraph" w:styleId="DocumentMap">
    <w:name w:val="Document Map"/>
    <w:basedOn w:val="Normal"/>
    <w:link w:val="DocumentMapChar"/>
    <w:semiHidden/>
    <w:locked/>
    <w:rsid w:val="00E70362"/>
    <w:rPr>
      <w:rFonts w:ascii="Tahoma" w:hAnsi="Tahoma" w:cs="Tahoma"/>
      <w:sz w:val="16"/>
      <w:szCs w:val="16"/>
    </w:rPr>
  </w:style>
  <w:style w:type="character" w:customStyle="1" w:styleId="DocumentMapChar">
    <w:name w:val="Document Map Char"/>
    <w:basedOn w:val="DefaultParagraphFont"/>
    <w:link w:val="DocumentMap"/>
    <w:semiHidden/>
    <w:rsid w:val="00E70362"/>
    <w:rPr>
      <w:rFonts w:ascii="Tahoma" w:hAnsi="Tahoma" w:cs="Tahoma"/>
      <w:sz w:val="16"/>
      <w:szCs w:val="16"/>
    </w:rPr>
  </w:style>
  <w:style w:type="paragraph" w:styleId="E-mailSignature">
    <w:name w:val="E-mail Signature"/>
    <w:basedOn w:val="Normal"/>
    <w:link w:val="E-mailSignatureChar"/>
    <w:semiHidden/>
    <w:locked/>
    <w:rsid w:val="00E70362"/>
  </w:style>
  <w:style w:type="character" w:customStyle="1" w:styleId="E-mailSignatureChar">
    <w:name w:val="E-mail Signature Char"/>
    <w:basedOn w:val="DefaultParagraphFont"/>
    <w:link w:val="E-mailSignature"/>
    <w:semiHidden/>
    <w:rsid w:val="00E70362"/>
    <w:rPr>
      <w:rFonts w:ascii="Arial" w:hAnsi="Arial"/>
      <w:szCs w:val="24"/>
    </w:rPr>
  </w:style>
  <w:style w:type="character" w:styleId="Emphasis">
    <w:name w:val="Emphasis"/>
    <w:basedOn w:val="DefaultParagraphFont"/>
    <w:semiHidden/>
    <w:qFormat/>
    <w:locked/>
    <w:rsid w:val="00E70362"/>
    <w:rPr>
      <w:i/>
      <w:iCs/>
    </w:rPr>
  </w:style>
  <w:style w:type="character" w:styleId="EndnoteReference">
    <w:name w:val="endnote reference"/>
    <w:basedOn w:val="DefaultParagraphFont"/>
    <w:semiHidden/>
    <w:locked/>
    <w:rsid w:val="00E70362"/>
    <w:rPr>
      <w:vertAlign w:val="superscript"/>
    </w:rPr>
  </w:style>
  <w:style w:type="paragraph" w:styleId="EndnoteText">
    <w:name w:val="endnote text"/>
    <w:basedOn w:val="Normal"/>
    <w:link w:val="EndnoteTextChar"/>
    <w:semiHidden/>
    <w:locked/>
    <w:rsid w:val="00E70362"/>
    <w:rPr>
      <w:szCs w:val="20"/>
    </w:rPr>
  </w:style>
  <w:style w:type="character" w:customStyle="1" w:styleId="EndnoteTextChar">
    <w:name w:val="Endnote Text Char"/>
    <w:basedOn w:val="DefaultParagraphFont"/>
    <w:link w:val="EndnoteText"/>
    <w:semiHidden/>
    <w:rsid w:val="00E70362"/>
    <w:rPr>
      <w:rFonts w:ascii="Arial" w:hAnsi="Arial"/>
    </w:rPr>
  </w:style>
  <w:style w:type="paragraph" w:styleId="EnvelopeAddress">
    <w:name w:val="envelope address"/>
    <w:basedOn w:val="Normal"/>
    <w:semiHidden/>
    <w:locked/>
    <w:rsid w:val="00E7036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E70362"/>
    <w:rPr>
      <w:rFonts w:asciiTheme="majorHAnsi" w:eastAsiaTheme="majorEastAsia" w:hAnsiTheme="majorHAnsi" w:cstheme="majorBidi"/>
      <w:szCs w:val="20"/>
    </w:rPr>
  </w:style>
  <w:style w:type="character" w:styleId="FootnoteReference">
    <w:name w:val="footnote reference"/>
    <w:basedOn w:val="DefaultParagraphFont"/>
    <w:semiHidden/>
    <w:locked/>
    <w:rsid w:val="00E70362"/>
    <w:rPr>
      <w:vertAlign w:val="superscript"/>
    </w:rPr>
  </w:style>
  <w:style w:type="paragraph" w:styleId="FootnoteText">
    <w:name w:val="footnote text"/>
    <w:basedOn w:val="Normal"/>
    <w:link w:val="FootnoteTextChar"/>
    <w:semiHidden/>
    <w:locked/>
    <w:rsid w:val="00E70362"/>
    <w:rPr>
      <w:szCs w:val="20"/>
    </w:rPr>
  </w:style>
  <w:style w:type="character" w:customStyle="1" w:styleId="FootnoteTextChar">
    <w:name w:val="Footnote Text Char"/>
    <w:basedOn w:val="DefaultParagraphFont"/>
    <w:link w:val="FootnoteText"/>
    <w:semiHidden/>
    <w:rsid w:val="00E70362"/>
    <w:rPr>
      <w:rFonts w:ascii="Arial" w:hAnsi="Arial"/>
    </w:rPr>
  </w:style>
  <w:style w:type="character" w:styleId="HTMLAcronym">
    <w:name w:val="HTML Acronym"/>
    <w:basedOn w:val="DefaultParagraphFont"/>
    <w:semiHidden/>
    <w:locked/>
    <w:rsid w:val="00E70362"/>
  </w:style>
  <w:style w:type="paragraph" w:styleId="HTMLAddress">
    <w:name w:val="HTML Address"/>
    <w:basedOn w:val="Normal"/>
    <w:link w:val="HTMLAddressChar"/>
    <w:semiHidden/>
    <w:locked/>
    <w:rsid w:val="00E70362"/>
    <w:rPr>
      <w:i/>
      <w:iCs/>
    </w:rPr>
  </w:style>
  <w:style w:type="character" w:customStyle="1" w:styleId="HTMLAddressChar">
    <w:name w:val="HTML Address Char"/>
    <w:basedOn w:val="DefaultParagraphFont"/>
    <w:link w:val="HTMLAddress"/>
    <w:semiHidden/>
    <w:rsid w:val="00E70362"/>
    <w:rPr>
      <w:rFonts w:ascii="Arial" w:hAnsi="Arial"/>
      <w:i/>
      <w:iCs/>
      <w:szCs w:val="24"/>
    </w:rPr>
  </w:style>
  <w:style w:type="character" w:styleId="HTMLCite">
    <w:name w:val="HTML Cite"/>
    <w:basedOn w:val="DefaultParagraphFont"/>
    <w:semiHidden/>
    <w:locked/>
    <w:rsid w:val="00E70362"/>
    <w:rPr>
      <w:i/>
      <w:iCs/>
    </w:rPr>
  </w:style>
  <w:style w:type="character" w:styleId="HTMLCode">
    <w:name w:val="HTML Code"/>
    <w:basedOn w:val="DefaultParagraphFont"/>
    <w:semiHidden/>
    <w:locked/>
    <w:rsid w:val="00E70362"/>
    <w:rPr>
      <w:rFonts w:ascii="Consolas" w:hAnsi="Consolas" w:cs="Consolas"/>
      <w:sz w:val="20"/>
      <w:szCs w:val="20"/>
    </w:rPr>
  </w:style>
  <w:style w:type="character" w:styleId="HTMLDefinition">
    <w:name w:val="HTML Definition"/>
    <w:basedOn w:val="DefaultParagraphFont"/>
    <w:semiHidden/>
    <w:locked/>
    <w:rsid w:val="00E70362"/>
    <w:rPr>
      <w:i/>
      <w:iCs/>
    </w:rPr>
  </w:style>
  <w:style w:type="character" w:styleId="HTMLKeyboard">
    <w:name w:val="HTML Keyboard"/>
    <w:basedOn w:val="DefaultParagraphFont"/>
    <w:semiHidden/>
    <w:locked/>
    <w:rsid w:val="00E70362"/>
    <w:rPr>
      <w:rFonts w:ascii="Consolas" w:hAnsi="Consolas" w:cs="Consolas"/>
      <w:sz w:val="20"/>
      <w:szCs w:val="20"/>
    </w:rPr>
  </w:style>
  <w:style w:type="paragraph" w:styleId="HTMLPreformatted">
    <w:name w:val="HTML Preformatted"/>
    <w:basedOn w:val="Normal"/>
    <w:link w:val="HTMLPreformattedChar"/>
    <w:semiHidden/>
    <w:locked/>
    <w:rsid w:val="00E70362"/>
    <w:rPr>
      <w:rFonts w:ascii="Consolas" w:hAnsi="Consolas" w:cs="Consolas"/>
      <w:szCs w:val="20"/>
    </w:rPr>
  </w:style>
  <w:style w:type="character" w:customStyle="1" w:styleId="HTMLPreformattedChar">
    <w:name w:val="HTML Preformatted Char"/>
    <w:basedOn w:val="DefaultParagraphFont"/>
    <w:link w:val="HTMLPreformatted"/>
    <w:semiHidden/>
    <w:rsid w:val="00E70362"/>
    <w:rPr>
      <w:rFonts w:ascii="Consolas" w:hAnsi="Consolas" w:cs="Consolas"/>
    </w:rPr>
  </w:style>
  <w:style w:type="character" w:styleId="HTMLSample">
    <w:name w:val="HTML Sample"/>
    <w:basedOn w:val="DefaultParagraphFont"/>
    <w:semiHidden/>
    <w:locked/>
    <w:rsid w:val="00E70362"/>
    <w:rPr>
      <w:rFonts w:ascii="Consolas" w:hAnsi="Consolas" w:cs="Consolas"/>
      <w:sz w:val="24"/>
      <w:szCs w:val="24"/>
    </w:rPr>
  </w:style>
  <w:style w:type="character" w:styleId="HTMLTypewriter">
    <w:name w:val="HTML Typewriter"/>
    <w:basedOn w:val="DefaultParagraphFont"/>
    <w:semiHidden/>
    <w:locked/>
    <w:rsid w:val="00E70362"/>
    <w:rPr>
      <w:rFonts w:ascii="Consolas" w:hAnsi="Consolas" w:cs="Consolas"/>
      <w:sz w:val="20"/>
      <w:szCs w:val="20"/>
    </w:rPr>
  </w:style>
  <w:style w:type="character" w:styleId="HTMLVariable">
    <w:name w:val="HTML Variable"/>
    <w:basedOn w:val="DefaultParagraphFont"/>
    <w:semiHidden/>
    <w:locked/>
    <w:rsid w:val="00E70362"/>
    <w:rPr>
      <w:i/>
      <w:iCs/>
    </w:rPr>
  </w:style>
  <w:style w:type="paragraph" w:styleId="Index1">
    <w:name w:val="index 1"/>
    <w:basedOn w:val="Normal"/>
    <w:next w:val="Normal"/>
    <w:autoRedefine/>
    <w:semiHidden/>
    <w:locked/>
    <w:rsid w:val="00E70362"/>
    <w:pPr>
      <w:ind w:left="200" w:hanging="200"/>
    </w:pPr>
  </w:style>
  <w:style w:type="paragraph" w:styleId="Index2">
    <w:name w:val="index 2"/>
    <w:basedOn w:val="Normal"/>
    <w:next w:val="Normal"/>
    <w:autoRedefine/>
    <w:semiHidden/>
    <w:locked/>
    <w:rsid w:val="00E70362"/>
    <w:pPr>
      <w:ind w:left="400" w:hanging="200"/>
    </w:pPr>
  </w:style>
  <w:style w:type="paragraph" w:styleId="Index3">
    <w:name w:val="index 3"/>
    <w:basedOn w:val="Normal"/>
    <w:next w:val="Normal"/>
    <w:autoRedefine/>
    <w:semiHidden/>
    <w:locked/>
    <w:rsid w:val="00E70362"/>
    <w:pPr>
      <w:ind w:left="600" w:hanging="200"/>
    </w:pPr>
  </w:style>
  <w:style w:type="paragraph" w:styleId="Index4">
    <w:name w:val="index 4"/>
    <w:basedOn w:val="Normal"/>
    <w:next w:val="Normal"/>
    <w:autoRedefine/>
    <w:semiHidden/>
    <w:locked/>
    <w:rsid w:val="00E70362"/>
    <w:pPr>
      <w:ind w:left="800" w:hanging="200"/>
    </w:pPr>
  </w:style>
  <w:style w:type="paragraph" w:styleId="Index5">
    <w:name w:val="index 5"/>
    <w:basedOn w:val="Normal"/>
    <w:next w:val="Normal"/>
    <w:autoRedefine/>
    <w:semiHidden/>
    <w:locked/>
    <w:rsid w:val="00E70362"/>
    <w:pPr>
      <w:ind w:left="1000" w:hanging="200"/>
    </w:pPr>
  </w:style>
  <w:style w:type="paragraph" w:styleId="Index6">
    <w:name w:val="index 6"/>
    <w:basedOn w:val="Normal"/>
    <w:next w:val="Normal"/>
    <w:autoRedefine/>
    <w:semiHidden/>
    <w:locked/>
    <w:rsid w:val="00E70362"/>
    <w:pPr>
      <w:ind w:left="1200" w:hanging="200"/>
    </w:pPr>
  </w:style>
  <w:style w:type="paragraph" w:styleId="Index7">
    <w:name w:val="index 7"/>
    <w:basedOn w:val="Normal"/>
    <w:next w:val="Normal"/>
    <w:autoRedefine/>
    <w:semiHidden/>
    <w:locked/>
    <w:rsid w:val="00E70362"/>
    <w:pPr>
      <w:ind w:left="1400" w:hanging="200"/>
    </w:pPr>
  </w:style>
  <w:style w:type="paragraph" w:styleId="Index8">
    <w:name w:val="index 8"/>
    <w:basedOn w:val="Normal"/>
    <w:next w:val="Normal"/>
    <w:autoRedefine/>
    <w:semiHidden/>
    <w:locked/>
    <w:rsid w:val="00E70362"/>
    <w:pPr>
      <w:ind w:left="1600" w:hanging="200"/>
    </w:pPr>
  </w:style>
  <w:style w:type="paragraph" w:styleId="Index9">
    <w:name w:val="index 9"/>
    <w:basedOn w:val="Normal"/>
    <w:next w:val="Normal"/>
    <w:autoRedefine/>
    <w:semiHidden/>
    <w:locked/>
    <w:rsid w:val="00E70362"/>
    <w:pPr>
      <w:ind w:left="1800" w:hanging="200"/>
    </w:pPr>
  </w:style>
  <w:style w:type="paragraph" w:styleId="IndexHeading">
    <w:name w:val="index heading"/>
    <w:basedOn w:val="Normal"/>
    <w:next w:val="Index1"/>
    <w:semiHidden/>
    <w:locked/>
    <w:rsid w:val="00E7036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A513A"/>
    <w:rPr>
      <w:b/>
      <w:bCs/>
      <w:i/>
      <w:iCs/>
      <w:color w:val="4F81BD" w:themeColor="accent1"/>
    </w:rPr>
  </w:style>
  <w:style w:type="paragraph" w:styleId="IntenseQuote">
    <w:name w:val="Intense Quote"/>
    <w:basedOn w:val="Normal"/>
    <w:next w:val="Normal"/>
    <w:link w:val="IntenseQuoteChar"/>
    <w:uiPriority w:val="30"/>
    <w:semiHidden/>
    <w:qFormat/>
    <w:rsid w:val="00FA513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E70362"/>
    <w:rPr>
      <w:rFonts w:ascii="Arial" w:hAnsi="Arial"/>
      <w:b/>
      <w:bCs/>
      <w:i/>
      <w:iCs/>
      <w:color w:val="4F81BD" w:themeColor="accent1"/>
      <w:szCs w:val="24"/>
    </w:rPr>
  </w:style>
  <w:style w:type="character" w:styleId="IntenseReference">
    <w:name w:val="Intense Reference"/>
    <w:basedOn w:val="DefaultParagraphFont"/>
    <w:uiPriority w:val="32"/>
    <w:semiHidden/>
    <w:qFormat/>
    <w:rsid w:val="00FA513A"/>
    <w:rPr>
      <w:b/>
      <w:bCs/>
      <w:smallCaps/>
      <w:color w:val="C0504D" w:themeColor="accent2"/>
      <w:spacing w:val="5"/>
      <w:u w:val="single"/>
    </w:rPr>
  </w:style>
  <w:style w:type="table" w:styleId="LightGrid">
    <w:name w:val="Light Grid"/>
    <w:basedOn w:val="TableNormal"/>
    <w:uiPriority w:val="62"/>
    <w:semiHidden/>
    <w:rsid w:val="00FA51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FA51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FA513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FA513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FA513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FA513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FA513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FA51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FA51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FA513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FA513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FA513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FA513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FA513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FA51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FA513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FA513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FA513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FA513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FA513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FA513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E70362"/>
  </w:style>
  <w:style w:type="paragraph" w:styleId="List">
    <w:name w:val="List"/>
    <w:basedOn w:val="Normal"/>
    <w:semiHidden/>
    <w:locked/>
    <w:rsid w:val="00E70362"/>
    <w:pPr>
      <w:ind w:left="283" w:hanging="283"/>
      <w:contextualSpacing/>
    </w:pPr>
  </w:style>
  <w:style w:type="paragraph" w:styleId="List2">
    <w:name w:val="List 2"/>
    <w:basedOn w:val="Normal"/>
    <w:semiHidden/>
    <w:locked/>
    <w:rsid w:val="00E70362"/>
    <w:pPr>
      <w:ind w:left="566" w:hanging="283"/>
      <w:contextualSpacing/>
    </w:pPr>
  </w:style>
  <w:style w:type="paragraph" w:styleId="List3">
    <w:name w:val="List 3"/>
    <w:basedOn w:val="Normal"/>
    <w:semiHidden/>
    <w:locked/>
    <w:rsid w:val="00E70362"/>
    <w:pPr>
      <w:ind w:left="849" w:hanging="283"/>
      <w:contextualSpacing/>
    </w:pPr>
  </w:style>
  <w:style w:type="paragraph" w:styleId="List4">
    <w:name w:val="List 4"/>
    <w:basedOn w:val="Normal"/>
    <w:semiHidden/>
    <w:locked/>
    <w:rsid w:val="00E70362"/>
    <w:pPr>
      <w:ind w:left="1132" w:hanging="283"/>
      <w:contextualSpacing/>
    </w:pPr>
  </w:style>
  <w:style w:type="paragraph" w:styleId="List5">
    <w:name w:val="List 5"/>
    <w:basedOn w:val="Normal"/>
    <w:semiHidden/>
    <w:locked/>
    <w:rsid w:val="00E70362"/>
    <w:pPr>
      <w:ind w:left="1415" w:hanging="283"/>
      <w:contextualSpacing/>
    </w:pPr>
  </w:style>
  <w:style w:type="paragraph" w:styleId="ListBullet">
    <w:name w:val="List Bullet"/>
    <w:basedOn w:val="Normal"/>
    <w:semiHidden/>
    <w:locked/>
    <w:rsid w:val="00E70362"/>
    <w:pPr>
      <w:numPr>
        <w:numId w:val="99"/>
      </w:numPr>
      <w:contextualSpacing/>
    </w:pPr>
  </w:style>
  <w:style w:type="paragraph" w:styleId="ListBullet2">
    <w:name w:val="List Bullet 2"/>
    <w:basedOn w:val="Normal"/>
    <w:semiHidden/>
    <w:locked/>
    <w:rsid w:val="00E70362"/>
    <w:pPr>
      <w:numPr>
        <w:numId w:val="100"/>
      </w:numPr>
      <w:contextualSpacing/>
    </w:pPr>
  </w:style>
  <w:style w:type="paragraph" w:styleId="ListBullet3">
    <w:name w:val="List Bullet 3"/>
    <w:basedOn w:val="Normal"/>
    <w:semiHidden/>
    <w:locked/>
    <w:rsid w:val="00E70362"/>
    <w:pPr>
      <w:numPr>
        <w:numId w:val="101"/>
      </w:numPr>
      <w:contextualSpacing/>
    </w:pPr>
  </w:style>
  <w:style w:type="paragraph" w:styleId="ListBullet4">
    <w:name w:val="List Bullet 4"/>
    <w:basedOn w:val="Normal"/>
    <w:semiHidden/>
    <w:locked/>
    <w:rsid w:val="00E70362"/>
    <w:pPr>
      <w:numPr>
        <w:numId w:val="102"/>
      </w:numPr>
      <w:contextualSpacing/>
    </w:pPr>
  </w:style>
  <w:style w:type="paragraph" w:styleId="ListBullet5">
    <w:name w:val="List Bullet 5"/>
    <w:basedOn w:val="Normal"/>
    <w:semiHidden/>
    <w:locked/>
    <w:rsid w:val="00E70362"/>
    <w:pPr>
      <w:numPr>
        <w:numId w:val="103"/>
      </w:numPr>
      <w:contextualSpacing/>
    </w:pPr>
  </w:style>
  <w:style w:type="paragraph" w:styleId="ListContinue">
    <w:name w:val="List Continue"/>
    <w:basedOn w:val="Normal"/>
    <w:semiHidden/>
    <w:locked/>
    <w:rsid w:val="00E70362"/>
    <w:pPr>
      <w:spacing w:after="120"/>
      <w:ind w:left="283"/>
      <w:contextualSpacing/>
    </w:pPr>
  </w:style>
  <w:style w:type="paragraph" w:styleId="ListContinue2">
    <w:name w:val="List Continue 2"/>
    <w:basedOn w:val="Normal"/>
    <w:semiHidden/>
    <w:locked/>
    <w:rsid w:val="00E70362"/>
    <w:pPr>
      <w:spacing w:after="120"/>
      <w:ind w:left="566"/>
      <w:contextualSpacing/>
    </w:pPr>
  </w:style>
  <w:style w:type="paragraph" w:styleId="ListContinue3">
    <w:name w:val="List Continue 3"/>
    <w:basedOn w:val="Normal"/>
    <w:semiHidden/>
    <w:locked/>
    <w:rsid w:val="00E70362"/>
    <w:pPr>
      <w:spacing w:after="120"/>
      <w:ind w:left="849"/>
      <w:contextualSpacing/>
    </w:pPr>
  </w:style>
  <w:style w:type="paragraph" w:styleId="ListContinue4">
    <w:name w:val="List Continue 4"/>
    <w:basedOn w:val="Normal"/>
    <w:semiHidden/>
    <w:locked/>
    <w:rsid w:val="00E70362"/>
    <w:pPr>
      <w:spacing w:after="120"/>
      <w:ind w:left="1132"/>
      <w:contextualSpacing/>
    </w:pPr>
  </w:style>
  <w:style w:type="paragraph" w:styleId="ListContinue5">
    <w:name w:val="List Continue 5"/>
    <w:basedOn w:val="Normal"/>
    <w:semiHidden/>
    <w:locked/>
    <w:rsid w:val="00E70362"/>
    <w:pPr>
      <w:spacing w:after="120"/>
      <w:ind w:left="1415"/>
      <w:contextualSpacing/>
    </w:pPr>
  </w:style>
  <w:style w:type="paragraph" w:styleId="ListNumber">
    <w:name w:val="List Number"/>
    <w:basedOn w:val="Normal"/>
    <w:semiHidden/>
    <w:locked/>
    <w:rsid w:val="00E70362"/>
    <w:pPr>
      <w:numPr>
        <w:numId w:val="104"/>
      </w:numPr>
      <w:contextualSpacing/>
    </w:pPr>
  </w:style>
  <w:style w:type="paragraph" w:styleId="ListNumber2">
    <w:name w:val="List Number 2"/>
    <w:basedOn w:val="Normal"/>
    <w:semiHidden/>
    <w:locked/>
    <w:rsid w:val="00E70362"/>
    <w:pPr>
      <w:numPr>
        <w:numId w:val="105"/>
      </w:numPr>
      <w:contextualSpacing/>
    </w:pPr>
  </w:style>
  <w:style w:type="paragraph" w:styleId="ListNumber3">
    <w:name w:val="List Number 3"/>
    <w:basedOn w:val="Normal"/>
    <w:semiHidden/>
    <w:locked/>
    <w:rsid w:val="00E70362"/>
    <w:pPr>
      <w:numPr>
        <w:numId w:val="106"/>
      </w:numPr>
      <w:contextualSpacing/>
    </w:pPr>
  </w:style>
  <w:style w:type="paragraph" w:styleId="ListNumber4">
    <w:name w:val="List Number 4"/>
    <w:basedOn w:val="Normal"/>
    <w:semiHidden/>
    <w:locked/>
    <w:rsid w:val="00E70362"/>
    <w:pPr>
      <w:numPr>
        <w:numId w:val="107"/>
      </w:numPr>
      <w:contextualSpacing/>
    </w:pPr>
  </w:style>
  <w:style w:type="paragraph" w:styleId="ListNumber5">
    <w:name w:val="List Number 5"/>
    <w:basedOn w:val="Normal"/>
    <w:semiHidden/>
    <w:locked/>
    <w:rsid w:val="00E70362"/>
    <w:pPr>
      <w:numPr>
        <w:numId w:val="108"/>
      </w:numPr>
      <w:contextualSpacing/>
    </w:pPr>
  </w:style>
  <w:style w:type="paragraph" w:styleId="MacroText">
    <w:name w:val="macro"/>
    <w:link w:val="MacroTextChar"/>
    <w:semiHidden/>
    <w:locked/>
    <w:rsid w:val="00E7036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E70362"/>
    <w:rPr>
      <w:rFonts w:ascii="Consolas" w:hAnsi="Consolas" w:cs="Consolas"/>
    </w:rPr>
  </w:style>
  <w:style w:type="table" w:styleId="MediumGrid1">
    <w:name w:val="Medium Grid 1"/>
    <w:basedOn w:val="TableNormal"/>
    <w:uiPriority w:val="67"/>
    <w:semiHidden/>
    <w:rsid w:val="00FA513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FA51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FA513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FA513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FA513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FA513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FA513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FA51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FA51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FA51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FA51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FA51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FA51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FA51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FA513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FA513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FA513A"/>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FA513A"/>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FA513A"/>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FA513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FA513A"/>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FA513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FA513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FA51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FA513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FA513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FA513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FA513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FA513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FA51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FA51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FA51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FA51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FA51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FA51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FA51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E7036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E70362"/>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FA513A"/>
    <w:rPr>
      <w:rFonts w:ascii="Arial" w:hAnsi="Arial"/>
      <w:szCs w:val="24"/>
    </w:rPr>
  </w:style>
  <w:style w:type="paragraph" w:styleId="NormalWeb">
    <w:name w:val="Normal (Web)"/>
    <w:basedOn w:val="Normal"/>
    <w:semiHidden/>
    <w:locked/>
    <w:rsid w:val="00E70362"/>
    <w:rPr>
      <w:rFonts w:ascii="Times New Roman" w:hAnsi="Times New Roman"/>
      <w:sz w:val="24"/>
    </w:rPr>
  </w:style>
  <w:style w:type="paragraph" w:styleId="NormalIndent">
    <w:name w:val="Normal Indent"/>
    <w:basedOn w:val="Normal"/>
    <w:semiHidden/>
    <w:locked/>
    <w:rsid w:val="00E70362"/>
    <w:pPr>
      <w:ind w:left="720"/>
    </w:pPr>
  </w:style>
  <w:style w:type="paragraph" w:styleId="NoteHeading">
    <w:name w:val="Note Heading"/>
    <w:basedOn w:val="Normal"/>
    <w:next w:val="Normal"/>
    <w:link w:val="NoteHeadingChar"/>
    <w:semiHidden/>
    <w:locked/>
    <w:rsid w:val="00E70362"/>
  </w:style>
  <w:style w:type="character" w:customStyle="1" w:styleId="NoteHeadingChar">
    <w:name w:val="Note Heading Char"/>
    <w:basedOn w:val="DefaultParagraphFont"/>
    <w:link w:val="NoteHeading"/>
    <w:semiHidden/>
    <w:rsid w:val="00E70362"/>
    <w:rPr>
      <w:rFonts w:ascii="Arial" w:hAnsi="Arial"/>
      <w:szCs w:val="24"/>
    </w:rPr>
  </w:style>
  <w:style w:type="character" w:styleId="PageNumber">
    <w:name w:val="page number"/>
    <w:basedOn w:val="DefaultParagraphFont"/>
    <w:semiHidden/>
    <w:locked/>
    <w:rsid w:val="00E70362"/>
  </w:style>
  <w:style w:type="character" w:styleId="PlaceholderText">
    <w:name w:val="Placeholder Text"/>
    <w:basedOn w:val="DefaultParagraphFont"/>
    <w:uiPriority w:val="99"/>
    <w:semiHidden/>
    <w:rsid w:val="00FA513A"/>
    <w:rPr>
      <w:color w:val="808080"/>
    </w:rPr>
  </w:style>
  <w:style w:type="paragraph" w:styleId="PlainText">
    <w:name w:val="Plain Text"/>
    <w:basedOn w:val="Normal"/>
    <w:link w:val="PlainTextChar"/>
    <w:semiHidden/>
    <w:locked/>
    <w:rsid w:val="00E70362"/>
    <w:rPr>
      <w:rFonts w:ascii="Consolas" w:hAnsi="Consolas" w:cs="Consolas"/>
      <w:sz w:val="21"/>
      <w:szCs w:val="21"/>
    </w:rPr>
  </w:style>
  <w:style w:type="character" w:customStyle="1" w:styleId="PlainTextChar">
    <w:name w:val="Plain Text Char"/>
    <w:basedOn w:val="DefaultParagraphFont"/>
    <w:link w:val="PlainText"/>
    <w:semiHidden/>
    <w:rsid w:val="00E70362"/>
    <w:rPr>
      <w:rFonts w:ascii="Consolas" w:hAnsi="Consolas" w:cs="Consolas"/>
      <w:sz w:val="21"/>
      <w:szCs w:val="21"/>
    </w:rPr>
  </w:style>
  <w:style w:type="paragraph" w:styleId="Quote">
    <w:name w:val="Quote"/>
    <w:basedOn w:val="Normal"/>
    <w:next w:val="Normal"/>
    <w:link w:val="QuoteChar"/>
    <w:uiPriority w:val="29"/>
    <w:semiHidden/>
    <w:qFormat/>
    <w:rsid w:val="00FA513A"/>
    <w:rPr>
      <w:i/>
      <w:iCs/>
      <w:color w:val="000000" w:themeColor="text1"/>
    </w:rPr>
  </w:style>
  <w:style w:type="character" w:customStyle="1" w:styleId="QuoteChar">
    <w:name w:val="Quote Char"/>
    <w:basedOn w:val="DefaultParagraphFont"/>
    <w:link w:val="Quote"/>
    <w:uiPriority w:val="29"/>
    <w:semiHidden/>
    <w:rsid w:val="00E70362"/>
    <w:rPr>
      <w:rFonts w:ascii="Arial" w:hAnsi="Arial"/>
      <w:i/>
      <w:iCs/>
      <w:color w:val="000000" w:themeColor="text1"/>
      <w:szCs w:val="24"/>
    </w:rPr>
  </w:style>
  <w:style w:type="paragraph" w:styleId="Salutation">
    <w:name w:val="Salutation"/>
    <w:basedOn w:val="Normal"/>
    <w:next w:val="Normal"/>
    <w:link w:val="SalutationChar"/>
    <w:semiHidden/>
    <w:locked/>
    <w:rsid w:val="00E70362"/>
  </w:style>
  <w:style w:type="character" w:customStyle="1" w:styleId="SalutationChar">
    <w:name w:val="Salutation Char"/>
    <w:basedOn w:val="DefaultParagraphFont"/>
    <w:link w:val="Salutation"/>
    <w:semiHidden/>
    <w:rsid w:val="00E70362"/>
    <w:rPr>
      <w:rFonts w:ascii="Arial" w:hAnsi="Arial"/>
      <w:szCs w:val="24"/>
    </w:rPr>
  </w:style>
  <w:style w:type="paragraph" w:styleId="Signature">
    <w:name w:val="Signature"/>
    <w:basedOn w:val="Normal"/>
    <w:link w:val="SignatureChar"/>
    <w:semiHidden/>
    <w:locked/>
    <w:rsid w:val="00E70362"/>
    <w:pPr>
      <w:ind w:left="4252"/>
    </w:pPr>
  </w:style>
  <w:style w:type="character" w:customStyle="1" w:styleId="SignatureChar">
    <w:name w:val="Signature Char"/>
    <w:basedOn w:val="DefaultParagraphFont"/>
    <w:link w:val="Signature"/>
    <w:semiHidden/>
    <w:rsid w:val="00E70362"/>
    <w:rPr>
      <w:rFonts w:ascii="Arial" w:hAnsi="Arial"/>
      <w:szCs w:val="24"/>
    </w:rPr>
  </w:style>
  <w:style w:type="character" w:styleId="Strong">
    <w:name w:val="Strong"/>
    <w:basedOn w:val="DefaultParagraphFont"/>
    <w:semiHidden/>
    <w:qFormat/>
    <w:locked/>
    <w:rsid w:val="00E70362"/>
    <w:rPr>
      <w:b/>
      <w:bCs/>
    </w:rPr>
  </w:style>
  <w:style w:type="paragraph" w:styleId="Subtitle">
    <w:name w:val="Subtitle"/>
    <w:basedOn w:val="Normal"/>
    <w:next w:val="Normal"/>
    <w:link w:val="SubtitleChar"/>
    <w:semiHidden/>
    <w:qFormat/>
    <w:locked/>
    <w:rsid w:val="00E7036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E7036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FA513A"/>
    <w:rPr>
      <w:i/>
      <w:iCs/>
      <w:color w:val="808080" w:themeColor="text1" w:themeTint="7F"/>
    </w:rPr>
  </w:style>
  <w:style w:type="character" w:styleId="SubtleReference">
    <w:name w:val="Subtle Reference"/>
    <w:basedOn w:val="DefaultParagraphFont"/>
    <w:uiPriority w:val="31"/>
    <w:semiHidden/>
    <w:qFormat/>
    <w:rsid w:val="00FA513A"/>
    <w:rPr>
      <w:smallCaps/>
      <w:color w:val="C0504D" w:themeColor="accent2"/>
      <w:u w:val="single"/>
    </w:rPr>
  </w:style>
  <w:style w:type="table" w:styleId="Table3Deffects1">
    <w:name w:val="Table 3D effects 1"/>
    <w:basedOn w:val="TableNormal"/>
    <w:semiHidden/>
    <w:locked/>
    <w:rsid w:val="00E703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703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703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703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703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7036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703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7036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703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703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703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703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703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703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703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703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703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E703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703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7036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7036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703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7036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7036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7036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7036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703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7036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7036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7036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7036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7036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7036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E70362"/>
    <w:pPr>
      <w:ind w:left="200" w:hanging="200"/>
    </w:pPr>
  </w:style>
  <w:style w:type="paragraph" w:styleId="TableofFigures">
    <w:name w:val="table of figures"/>
    <w:basedOn w:val="Normal"/>
    <w:next w:val="Normal"/>
    <w:semiHidden/>
    <w:locked/>
    <w:rsid w:val="00E70362"/>
  </w:style>
  <w:style w:type="table" w:styleId="TableProfessional">
    <w:name w:val="Table Professional"/>
    <w:basedOn w:val="TableNormal"/>
    <w:semiHidden/>
    <w:locked/>
    <w:rsid w:val="00E703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7036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7036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7036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7036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7036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70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7036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703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7036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E703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E7036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E70362"/>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E70362"/>
    <w:pPr>
      <w:spacing w:after="100"/>
    </w:pPr>
  </w:style>
  <w:style w:type="paragraph" w:styleId="TOC2">
    <w:name w:val="toc 2"/>
    <w:basedOn w:val="Normal"/>
    <w:next w:val="Normal"/>
    <w:autoRedefine/>
    <w:semiHidden/>
    <w:locked/>
    <w:rsid w:val="00E70362"/>
    <w:pPr>
      <w:spacing w:after="100"/>
      <w:ind w:left="200"/>
    </w:pPr>
  </w:style>
  <w:style w:type="paragraph" w:styleId="TOC3">
    <w:name w:val="toc 3"/>
    <w:basedOn w:val="Normal"/>
    <w:next w:val="Normal"/>
    <w:autoRedefine/>
    <w:semiHidden/>
    <w:locked/>
    <w:rsid w:val="00E70362"/>
    <w:pPr>
      <w:spacing w:after="100"/>
      <w:ind w:left="400"/>
    </w:pPr>
  </w:style>
  <w:style w:type="paragraph" w:styleId="TOC4">
    <w:name w:val="toc 4"/>
    <w:basedOn w:val="Normal"/>
    <w:next w:val="Normal"/>
    <w:autoRedefine/>
    <w:semiHidden/>
    <w:locked/>
    <w:rsid w:val="00E70362"/>
    <w:pPr>
      <w:spacing w:after="100"/>
      <w:ind w:left="600"/>
    </w:pPr>
  </w:style>
  <w:style w:type="paragraph" w:styleId="TOC5">
    <w:name w:val="toc 5"/>
    <w:basedOn w:val="Normal"/>
    <w:next w:val="Normal"/>
    <w:autoRedefine/>
    <w:semiHidden/>
    <w:locked/>
    <w:rsid w:val="00E70362"/>
    <w:pPr>
      <w:spacing w:after="100"/>
      <w:ind w:left="800"/>
    </w:pPr>
  </w:style>
  <w:style w:type="paragraph" w:styleId="TOC6">
    <w:name w:val="toc 6"/>
    <w:basedOn w:val="Normal"/>
    <w:next w:val="Normal"/>
    <w:autoRedefine/>
    <w:semiHidden/>
    <w:locked/>
    <w:rsid w:val="00E70362"/>
    <w:pPr>
      <w:spacing w:after="100"/>
      <w:ind w:left="1000"/>
    </w:pPr>
  </w:style>
  <w:style w:type="paragraph" w:styleId="TOC7">
    <w:name w:val="toc 7"/>
    <w:basedOn w:val="Normal"/>
    <w:next w:val="Normal"/>
    <w:autoRedefine/>
    <w:semiHidden/>
    <w:locked/>
    <w:rsid w:val="00E70362"/>
    <w:pPr>
      <w:spacing w:after="100"/>
      <w:ind w:left="1200"/>
    </w:pPr>
  </w:style>
  <w:style w:type="paragraph" w:styleId="TOC8">
    <w:name w:val="toc 8"/>
    <w:basedOn w:val="Normal"/>
    <w:next w:val="Normal"/>
    <w:autoRedefine/>
    <w:semiHidden/>
    <w:locked/>
    <w:rsid w:val="00E70362"/>
    <w:pPr>
      <w:spacing w:after="100"/>
      <w:ind w:left="1400"/>
    </w:pPr>
  </w:style>
  <w:style w:type="paragraph" w:styleId="TOC9">
    <w:name w:val="toc 9"/>
    <w:basedOn w:val="Normal"/>
    <w:next w:val="Normal"/>
    <w:autoRedefine/>
    <w:semiHidden/>
    <w:locked/>
    <w:rsid w:val="00E70362"/>
    <w:pPr>
      <w:spacing w:after="100"/>
      <w:ind w:left="1600"/>
    </w:pPr>
  </w:style>
  <w:style w:type="paragraph" w:styleId="TOCHeading">
    <w:name w:val="TOC Heading"/>
    <w:basedOn w:val="Heading1"/>
    <w:next w:val="Normal"/>
    <w:uiPriority w:val="39"/>
    <w:semiHidden/>
    <w:unhideWhenUsed/>
    <w:qFormat/>
    <w:rsid w:val="00FA513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FA513A"/>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FA513A"/>
    <w:rPr>
      <w:i/>
    </w:rPr>
  </w:style>
  <w:style w:type="character" w:customStyle="1" w:styleId="QPPTableTextITALICChar">
    <w:name w:val="QPP Table Text ITALIC Char"/>
    <w:basedOn w:val="QPPTableTextBodyChar"/>
    <w:link w:val="QPPTableTextITALIC"/>
    <w:rsid w:val="00E70362"/>
    <w:rPr>
      <w:rFonts w:ascii="Arial" w:hAnsi="Arial" w:cs="Arial"/>
      <w:i/>
      <w:color w:val="000000"/>
    </w:rPr>
  </w:style>
  <w:style w:type="table" w:customStyle="1" w:styleId="QPPTableGrid">
    <w:name w:val="QPP Table Grid"/>
    <w:basedOn w:val="TableNormal"/>
    <w:uiPriority w:val="99"/>
    <w:rsid w:val="00FA513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AE70E1"/>
    <w:rPr>
      <w:rFonts w:ascii="Arial" w:hAnsi="Arial"/>
      <w:szCs w:val="24"/>
    </w:rPr>
  </w:style>
  <w:style w:type="character" w:styleId="UnresolvedMention">
    <w:name w:val="Unresolved Mention"/>
    <w:basedOn w:val="DefaultParagraphFont"/>
    <w:uiPriority w:val="99"/>
    <w:semiHidden/>
    <w:unhideWhenUsed/>
    <w:rsid w:val="000830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33829">
      <w:bodyDiv w:val="1"/>
      <w:marLeft w:val="0"/>
      <w:marRight w:val="0"/>
      <w:marTop w:val="0"/>
      <w:marBottom w:val="0"/>
      <w:divBdr>
        <w:top w:val="none" w:sz="0" w:space="0" w:color="auto"/>
        <w:left w:val="none" w:sz="0" w:space="0" w:color="auto"/>
        <w:bottom w:val="none" w:sz="0" w:space="0" w:color="auto"/>
        <w:right w:val="none" w:sz="0" w:space="0" w:color="auto"/>
      </w:divBdr>
    </w:div>
    <w:div w:id="254899501">
      <w:bodyDiv w:val="1"/>
      <w:marLeft w:val="0"/>
      <w:marRight w:val="0"/>
      <w:marTop w:val="0"/>
      <w:marBottom w:val="0"/>
      <w:divBdr>
        <w:top w:val="none" w:sz="0" w:space="0" w:color="auto"/>
        <w:left w:val="none" w:sz="0" w:space="0" w:color="auto"/>
        <w:bottom w:val="none" w:sz="0" w:space="0" w:color="auto"/>
        <w:right w:val="none" w:sz="0" w:space="0" w:color="auto"/>
      </w:divBdr>
    </w:div>
    <w:div w:id="274218496">
      <w:bodyDiv w:val="1"/>
      <w:marLeft w:val="0"/>
      <w:marRight w:val="0"/>
      <w:marTop w:val="0"/>
      <w:marBottom w:val="0"/>
      <w:divBdr>
        <w:top w:val="none" w:sz="0" w:space="0" w:color="auto"/>
        <w:left w:val="none" w:sz="0" w:space="0" w:color="auto"/>
        <w:bottom w:val="none" w:sz="0" w:space="0" w:color="auto"/>
        <w:right w:val="none" w:sz="0" w:space="0" w:color="auto"/>
      </w:divBdr>
    </w:div>
    <w:div w:id="615715127">
      <w:bodyDiv w:val="1"/>
      <w:marLeft w:val="0"/>
      <w:marRight w:val="0"/>
      <w:marTop w:val="0"/>
      <w:marBottom w:val="0"/>
      <w:divBdr>
        <w:top w:val="none" w:sz="0" w:space="0" w:color="auto"/>
        <w:left w:val="none" w:sz="0" w:space="0" w:color="auto"/>
        <w:bottom w:val="none" w:sz="0" w:space="0" w:color="auto"/>
        <w:right w:val="none" w:sz="0" w:space="0" w:color="auto"/>
      </w:divBdr>
    </w:div>
    <w:div w:id="651757304">
      <w:bodyDiv w:val="1"/>
      <w:marLeft w:val="0"/>
      <w:marRight w:val="0"/>
      <w:marTop w:val="0"/>
      <w:marBottom w:val="0"/>
      <w:divBdr>
        <w:top w:val="none" w:sz="0" w:space="0" w:color="auto"/>
        <w:left w:val="none" w:sz="0" w:space="0" w:color="auto"/>
        <w:bottom w:val="none" w:sz="0" w:space="0" w:color="auto"/>
        <w:right w:val="none" w:sz="0" w:space="0" w:color="auto"/>
      </w:divBdr>
    </w:div>
    <w:div w:id="688870655">
      <w:bodyDiv w:val="1"/>
      <w:marLeft w:val="0"/>
      <w:marRight w:val="0"/>
      <w:marTop w:val="0"/>
      <w:marBottom w:val="0"/>
      <w:divBdr>
        <w:top w:val="none" w:sz="0" w:space="0" w:color="auto"/>
        <w:left w:val="none" w:sz="0" w:space="0" w:color="auto"/>
        <w:bottom w:val="none" w:sz="0" w:space="0" w:color="auto"/>
        <w:right w:val="none" w:sz="0" w:space="0" w:color="auto"/>
      </w:divBdr>
    </w:div>
    <w:div w:id="1575310514">
      <w:bodyDiv w:val="1"/>
      <w:marLeft w:val="0"/>
      <w:marRight w:val="0"/>
      <w:marTop w:val="0"/>
      <w:marBottom w:val="0"/>
      <w:divBdr>
        <w:top w:val="none" w:sz="0" w:space="0" w:color="auto"/>
        <w:left w:val="none" w:sz="0" w:space="0" w:color="auto"/>
        <w:bottom w:val="none" w:sz="0" w:space="0" w:color="auto"/>
        <w:right w:val="none" w:sz="0" w:space="0" w:color="auto"/>
      </w:divBdr>
    </w:div>
    <w:div w:id="1625191061">
      <w:bodyDiv w:val="1"/>
      <w:marLeft w:val="0"/>
      <w:marRight w:val="0"/>
      <w:marTop w:val="0"/>
      <w:marBottom w:val="0"/>
      <w:divBdr>
        <w:top w:val="none" w:sz="0" w:space="0" w:color="auto"/>
        <w:left w:val="none" w:sz="0" w:space="0" w:color="auto"/>
        <w:bottom w:val="none" w:sz="0" w:space="0" w:color="auto"/>
        <w:right w:val="none" w:sz="0" w:space="0" w:color="auto"/>
      </w:divBdr>
    </w:div>
    <w:div w:id="173639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NP&amp;UR_Sandbox\QPP%20Template_Do%20Not%20delete\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5AC5D-87C7-4072-A873-9CFB2EB85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1890</TotalTime>
  <Pages>4</Pages>
  <Words>3451</Words>
  <Characters>19673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23078</CharactersWithSpaces>
  <SharedDoc>false</SharedDoc>
  <HLinks>
    <vt:vector size="1464" baseType="variant">
      <vt:variant>
        <vt:i4>7929971</vt:i4>
      </vt:variant>
      <vt:variant>
        <vt:i4>729</vt:i4>
      </vt:variant>
      <vt:variant>
        <vt:i4>0</vt:i4>
      </vt:variant>
      <vt:variant>
        <vt:i4>5</vt:i4>
      </vt:variant>
      <vt:variant>
        <vt:lpwstr/>
      </vt:variant>
      <vt:variant>
        <vt:lpwstr>Figured</vt:lpwstr>
      </vt:variant>
      <vt:variant>
        <vt:i4>786454</vt:i4>
      </vt:variant>
      <vt:variant>
        <vt:i4>726</vt:i4>
      </vt:variant>
      <vt:variant>
        <vt:i4>0</vt:i4>
      </vt:variant>
      <vt:variant>
        <vt:i4>5</vt:i4>
      </vt:variant>
      <vt:variant>
        <vt:lpwstr>../Schedule 1 - Definitions/Definitions.doc</vt:lpwstr>
      </vt:variant>
      <vt:variant>
        <vt:lpwstr>Storey</vt:lpwstr>
      </vt:variant>
      <vt:variant>
        <vt:i4>1376264</vt:i4>
      </vt:variant>
      <vt:variant>
        <vt:i4>723</vt:i4>
      </vt:variant>
      <vt:variant>
        <vt:i4>0</vt:i4>
      </vt:variant>
      <vt:variant>
        <vt:i4>5</vt:i4>
      </vt:variant>
      <vt:variant>
        <vt:lpwstr>../Schedule 1 - Definitions/Definitions.doc</vt:lpwstr>
      </vt:variant>
      <vt:variant>
        <vt:lpwstr>GFA</vt:lpwstr>
      </vt:variant>
      <vt:variant>
        <vt:i4>6750313</vt:i4>
      </vt:variant>
      <vt:variant>
        <vt:i4>720</vt:i4>
      </vt:variant>
      <vt:variant>
        <vt:i4>0</vt:i4>
      </vt:variant>
      <vt:variant>
        <vt:i4>5</vt:i4>
      </vt:variant>
      <vt:variant>
        <vt:lpwstr>../Schedule 1 - Definitions/Definitions.doc</vt:lpwstr>
      </vt:variant>
      <vt:variant>
        <vt:lpwstr>AccessWay</vt:lpwstr>
      </vt:variant>
      <vt:variant>
        <vt:i4>1376264</vt:i4>
      </vt:variant>
      <vt:variant>
        <vt:i4>717</vt:i4>
      </vt:variant>
      <vt:variant>
        <vt:i4>0</vt:i4>
      </vt:variant>
      <vt:variant>
        <vt:i4>5</vt:i4>
      </vt:variant>
      <vt:variant>
        <vt:lpwstr>../Schedule 1 - Definitions/Definitions.doc</vt:lpwstr>
      </vt:variant>
      <vt:variant>
        <vt:lpwstr>GFA</vt:lpwstr>
      </vt:variant>
      <vt:variant>
        <vt:i4>1376264</vt:i4>
      </vt:variant>
      <vt:variant>
        <vt:i4>714</vt:i4>
      </vt:variant>
      <vt:variant>
        <vt:i4>0</vt:i4>
      </vt:variant>
      <vt:variant>
        <vt:i4>5</vt:i4>
      </vt:variant>
      <vt:variant>
        <vt:lpwstr>../Schedule 1 - Definitions/Definitions.doc</vt:lpwstr>
      </vt:variant>
      <vt:variant>
        <vt:lpwstr>GFA</vt:lpwstr>
      </vt:variant>
      <vt:variant>
        <vt:i4>6750313</vt:i4>
      </vt:variant>
      <vt:variant>
        <vt:i4>711</vt:i4>
      </vt:variant>
      <vt:variant>
        <vt:i4>0</vt:i4>
      </vt:variant>
      <vt:variant>
        <vt:i4>5</vt:i4>
      </vt:variant>
      <vt:variant>
        <vt:lpwstr>../Schedule 1 - Definitions/Definitions.doc</vt:lpwstr>
      </vt:variant>
      <vt:variant>
        <vt:lpwstr>AccessWay</vt:lpwstr>
      </vt:variant>
      <vt:variant>
        <vt:i4>1376264</vt:i4>
      </vt:variant>
      <vt:variant>
        <vt:i4>708</vt:i4>
      </vt:variant>
      <vt:variant>
        <vt:i4>0</vt:i4>
      </vt:variant>
      <vt:variant>
        <vt:i4>5</vt:i4>
      </vt:variant>
      <vt:variant>
        <vt:lpwstr>../Schedule 1 - Definitions/Definitions.doc</vt:lpwstr>
      </vt:variant>
      <vt:variant>
        <vt:lpwstr>GFA</vt:lpwstr>
      </vt:variant>
      <vt:variant>
        <vt:i4>262146</vt:i4>
      </vt:variant>
      <vt:variant>
        <vt:i4>705</vt:i4>
      </vt:variant>
      <vt:variant>
        <vt:i4>0</vt:i4>
      </vt:variant>
      <vt:variant>
        <vt:i4>5</vt:i4>
      </vt:variant>
      <vt:variant>
        <vt:lpwstr>../Schedule 1 - Definitions/Definitions.doc</vt:lpwstr>
      </vt:variant>
      <vt:variant>
        <vt:lpwstr>Amenity</vt:lpwstr>
      </vt:variant>
      <vt:variant>
        <vt:i4>1507337</vt:i4>
      </vt:variant>
      <vt:variant>
        <vt:i4>702</vt:i4>
      </vt:variant>
      <vt:variant>
        <vt:i4>0</vt:i4>
      </vt:variant>
      <vt:variant>
        <vt:i4>5</vt:i4>
      </vt:variant>
      <vt:variant>
        <vt:lpwstr>../Schedule 1 - Definitions/Definitions.doc</vt:lpwstr>
      </vt:variant>
      <vt:variant>
        <vt:lpwstr>Setback</vt:lpwstr>
      </vt:variant>
      <vt:variant>
        <vt:i4>7667837</vt:i4>
      </vt:variant>
      <vt:variant>
        <vt:i4>699</vt:i4>
      </vt:variant>
      <vt:variant>
        <vt:i4>0</vt:i4>
      </vt:variant>
      <vt:variant>
        <vt:i4>5</vt:i4>
      </vt:variant>
      <vt:variant>
        <vt:lpwstr>../Schedule 1 - Definitions/Definitions.doc</vt:lpwstr>
      </vt:variant>
      <vt:variant>
        <vt:lpwstr>SiteCover</vt:lpwstr>
      </vt:variant>
      <vt:variant>
        <vt:i4>7929971</vt:i4>
      </vt:variant>
      <vt:variant>
        <vt:i4>696</vt:i4>
      </vt:variant>
      <vt:variant>
        <vt:i4>0</vt:i4>
      </vt:variant>
      <vt:variant>
        <vt:i4>5</vt:i4>
      </vt:variant>
      <vt:variant>
        <vt:lpwstr/>
      </vt:variant>
      <vt:variant>
        <vt:lpwstr>Figurer</vt:lpwstr>
      </vt:variant>
      <vt:variant>
        <vt:i4>7667837</vt:i4>
      </vt:variant>
      <vt:variant>
        <vt:i4>693</vt:i4>
      </vt:variant>
      <vt:variant>
        <vt:i4>0</vt:i4>
      </vt:variant>
      <vt:variant>
        <vt:i4>5</vt:i4>
      </vt:variant>
      <vt:variant>
        <vt:lpwstr>../Schedule 1 - Definitions/Definitions.doc</vt:lpwstr>
      </vt:variant>
      <vt:variant>
        <vt:lpwstr>SiteCover</vt:lpwstr>
      </vt:variant>
      <vt:variant>
        <vt:i4>7667837</vt:i4>
      </vt:variant>
      <vt:variant>
        <vt:i4>690</vt:i4>
      </vt:variant>
      <vt:variant>
        <vt:i4>0</vt:i4>
      </vt:variant>
      <vt:variant>
        <vt:i4>5</vt:i4>
      </vt:variant>
      <vt:variant>
        <vt:lpwstr>../Schedule 1 - Definitions/Definitions.doc</vt:lpwstr>
      </vt:variant>
      <vt:variant>
        <vt:lpwstr>SiteCover</vt:lpwstr>
      </vt:variant>
      <vt:variant>
        <vt:i4>7667837</vt:i4>
      </vt:variant>
      <vt:variant>
        <vt:i4>687</vt:i4>
      </vt:variant>
      <vt:variant>
        <vt:i4>0</vt:i4>
      </vt:variant>
      <vt:variant>
        <vt:i4>5</vt:i4>
      </vt:variant>
      <vt:variant>
        <vt:lpwstr>../Schedule 1 - Definitions/Definitions.doc</vt:lpwstr>
      </vt:variant>
      <vt:variant>
        <vt:lpwstr>SiteCover</vt:lpwstr>
      </vt:variant>
      <vt:variant>
        <vt:i4>7667837</vt:i4>
      </vt:variant>
      <vt:variant>
        <vt:i4>684</vt:i4>
      </vt:variant>
      <vt:variant>
        <vt:i4>0</vt:i4>
      </vt:variant>
      <vt:variant>
        <vt:i4>5</vt:i4>
      </vt:variant>
      <vt:variant>
        <vt:lpwstr>../Schedule 1 - Definitions/Definitions.doc</vt:lpwstr>
      </vt:variant>
      <vt:variant>
        <vt:lpwstr>SiteCover</vt:lpwstr>
      </vt:variant>
      <vt:variant>
        <vt:i4>7667837</vt:i4>
      </vt:variant>
      <vt:variant>
        <vt:i4>681</vt:i4>
      </vt:variant>
      <vt:variant>
        <vt:i4>0</vt:i4>
      </vt:variant>
      <vt:variant>
        <vt:i4>5</vt:i4>
      </vt:variant>
      <vt:variant>
        <vt:lpwstr>../Schedule 1 - Definitions/Definitions.doc</vt:lpwstr>
      </vt:variant>
      <vt:variant>
        <vt:lpwstr>SiteCover</vt:lpwstr>
      </vt:variant>
      <vt:variant>
        <vt:i4>7667837</vt:i4>
      </vt:variant>
      <vt:variant>
        <vt:i4>678</vt:i4>
      </vt:variant>
      <vt:variant>
        <vt:i4>0</vt:i4>
      </vt:variant>
      <vt:variant>
        <vt:i4>5</vt:i4>
      </vt:variant>
      <vt:variant>
        <vt:lpwstr>../Schedule 1 - Definitions/Definitions.doc</vt:lpwstr>
      </vt:variant>
      <vt:variant>
        <vt:lpwstr>SiteCover</vt:lpwstr>
      </vt:variant>
      <vt:variant>
        <vt:i4>7667837</vt:i4>
      </vt:variant>
      <vt:variant>
        <vt:i4>675</vt:i4>
      </vt:variant>
      <vt:variant>
        <vt:i4>0</vt:i4>
      </vt:variant>
      <vt:variant>
        <vt:i4>5</vt:i4>
      </vt:variant>
      <vt:variant>
        <vt:lpwstr>../Schedule 1 - Definitions/Definitions.doc</vt:lpwstr>
      </vt:variant>
      <vt:variant>
        <vt:lpwstr>SiteCover</vt:lpwstr>
      </vt:variant>
      <vt:variant>
        <vt:i4>262146</vt:i4>
      </vt:variant>
      <vt:variant>
        <vt:i4>672</vt:i4>
      </vt:variant>
      <vt:variant>
        <vt:i4>0</vt:i4>
      </vt:variant>
      <vt:variant>
        <vt:i4>5</vt:i4>
      </vt:variant>
      <vt:variant>
        <vt:lpwstr>../Schedule 1 - Definitions/Definitions.doc</vt:lpwstr>
      </vt:variant>
      <vt:variant>
        <vt:lpwstr>Amenity</vt:lpwstr>
      </vt:variant>
      <vt:variant>
        <vt:i4>7667837</vt:i4>
      </vt:variant>
      <vt:variant>
        <vt:i4>669</vt:i4>
      </vt:variant>
      <vt:variant>
        <vt:i4>0</vt:i4>
      </vt:variant>
      <vt:variant>
        <vt:i4>5</vt:i4>
      </vt:variant>
      <vt:variant>
        <vt:lpwstr>../Schedule 1 - Definitions/Definitions.doc</vt:lpwstr>
      </vt:variant>
      <vt:variant>
        <vt:lpwstr>SiteCover</vt:lpwstr>
      </vt:variant>
      <vt:variant>
        <vt:i4>7929971</vt:i4>
      </vt:variant>
      <vt:variant>
        <vt:i4>666</vt:i4>
      </vt:variant>
      <vt:variant>
        <vt:i4>0</vt:i4>
      </vt:variant>
      <vt:variant>
        <vt:i4>5</vt:i4>
      </vt:variant>
      <vt:variant>
        <vt:lpwstr/>
      </vt:variant>
      <vt:variant>
        <vt:lpwstr>Figurek</vt:lpwstr>
      </vt:variant>
      <vt:variant>
        <vt:i4>786454</vt:i4>
      </vt:variant>
      <vt:variant>
        <vt:i4>663</vt:i4>
      </vt:variant>
      <vt:variant>
        <vt:i4>0</vt:i4>
      </vt:variant>
      <vt:variant>
        <vt:i4>5</vt:i4>
      </vt:variant>
      <vt:variant>
        <vt:lpwstr>../Schedule 1 - Definitions/Definitions.doc</vt:lpwstr>
      </vt:variant>
      <vt:variant>
        <vt:lpwstr>Storey</vt:lpwstr>
      </vt:variant>
      <vt:variant>
        <vt:i4>7929971</vt:i4>
      </vt:variant>
      <vt:variant>
        <vt:i4>660</vt:i4>
      </vt:variant>
      <vt:variant>
        <vt:i4>0</vt:i4>
      </vt:variant>
      <vt:variant>
        <vt:i4>5</vt:i4>
      </vt:variant>
      <vt:variant>
        <vt:lpwstr/>
      </vt:variant>
      <vt:variant>
        <vt:lpwstr>Figureq</vt:lpwstr>
      </vt:variant>
      <vt:variant>
        <vt:i4>7929971</vt:i4>
      </vt:variant>
      <vt:variant>
        <vt:i4>657</vt:i4>
      </vt:variant>
      <vt:variant>
        <vt:i4>0</vt:i4>
      </vt:variant>
      <vt:variant>
        <vt:i4>5</vt:i4>
      </vt:variant>
      <vt:variant>
        <vt:lpwstr/>
      </vt:variant>
      <vt:variant>
        <vt:lpwstr>Figurek</vt:lpwstr>
      </vt:variant>
      <vt:variant>
        <vt:i4>7929971</vt:i4>
      </vt:variant>
      <vt:variant>
        <vt:i4>654</vt:i4>
      </vt:variant>
      <vt:variant>
        <vt:i4>0</vt:i4>
      </vt:variant>
      <vt:variant>
        <vt:i4>5</vt:i4>
      </vt:variant>
      <vt:variant>
        <vt:lpwstr/>
      </vt:variant>
      <vt:variant>
        <vt:lpwstr>Figurep</vt:lpwstr>
      </vt:variant>
      <vt:variant>
        <vt:i4>7929971</vt:i4>
      </vt:variant>
      <vt:variant>
        <vt:i4>651</vt:i4>
      </vt:variant>
      <vt:variant>
        <vt:i4>0</vt:i4>
      </vt:variant>
      <vt:variant>
        <vt:i4>5</vt:i4>
      </vt:variant>
      <vt:variant>
        <vt:lpwstr/>
      </vt:variant>
      <vt:variant>
        <vt:lpwstr>Figurep</vt:lpwstr>
      </vt:variant>
      <vt:variant>
        <vt:i4>7929971</vt:i4>
      </vt:variant>
      <vt:variant>
        <vt:i4>648</vt:i4>
      </vt:variant>
      <vt:variant>
        <vt:i4>0</vt:i4>
      </vt:variant>
      <vt:variant>
        <vt:i4>5</vt:i4>
      </vt:variant>
      <vt:variant>
        <vt:lpwstr/>
      </vt:variant>
      <vt:variant>
        <vt:lpwstr>Figurep</vt:lpwstr>
      </vt:variant>
      <vt:variant>
        <vt:i4>786454</vt:i4>
      </vt:variant>
      <vt:variant>
        <vt:i4>645</vt:i4>
      </vt:variant>
      <vt:variant>
        <vt:i4>0</vt:i4>
      </vt:variant>
      <vt:variant>
        <vt:i4>5</vt:i4>
      </vt:variant>
      <vt:variant>
        <vt:lpwstr>../Schedule 1 - Definitions/Definitions.doc</vt:lpwstr>
      </vt:variant>
      <vt:variant>
        <vt:lpwstr>Storey</vt:lpwstr>
      </vt:variant>
      <vt:variant>
        <vt:i4>7929971</vt:i4>
      </vt:variant>
      <vt:variant>
        <vt:i4>642</vt:i4>
      </vt:variant>
      <vt:variant>
        <vt:i4>0</vt:i4>
      </vt:variant>
      <vt:variant>
        <vt:i4>5</vt:i4>
      </vt:variant>
      <vt:variant>
        <vt:lpwstr/>
      </vt:variant>
      <vt:variant>
        <vt:lpwstr>Figurep</vt:lpwstr>
      </vt:variant>
      <vt:variant>
        <vt:i4>7929971</vt:i4>
      </vt:variant>
      <vt:variant>
        <vt:i4>639</vt:i4>
      </vt:variant>
      <vt:variant>
        <vt:i4>0</vt:i4>
      </vt:variant>
      <vt:variant>
        <vt:i4>5</vt:i4>
      </vt:variant>
      <vt:variant>
        <vt:lpwstr/>
      </vt:variant>
      <vt:variant>
        <vt:lpwstr>Figurep</vt:lpwstr>
      </vt:variant>
      <vt:variant>
        <vt:i4>1507337</vt:i4>
      </vt:variant>
      <vt:variant>
        <vt:i4>636</vt:i4>
      </vt:variant>
      <vt:variant>
        <vt:i4>0</vt:i4>
      </vt:variant>
      <vt:variant>
        <vt:i4>5</vt:i4>
      </vt:variant>
      <vt:variant>
        <vt:lpwstr>../Schedule 1 - Definitions/Definitions.doc</vt:lpwstr>
      </vt:variant>
      <vt:variant>
        <vt:lpwstr>Setback</vt:lpwstr>
      </vt:variant>
      <vt:variant>
        <vt:i4>1507337</vt:i4>
      </vt:variant>
      <vt:variant>
        <vt:i4>633</vt:i4>
      </vt:variant>
      <vt:variant>
        <vt:i4>0</vt:i4>
      </vt:variant>
      <vt:variant>
        <vt:i4>5</vt:i4>
      </vt:variant>
      <vt:variant>
        <vt:lpwstr>../Schedule 1 - Definitions/Definitions.doc</vt:lpwstr>
      </vt:variant>
      <vt:variant>
        <vt:lpwstr>Setback</vt:lpwstr>
      </vt:variant>
      <vt:variant>
        <vt:i4>1179655</vt:i4>
      </vt:variant>
      <vt:variant>
        <vt:i4>630</vt:i4>
      </vt:variant>
      <vt:variant>
        <vt:i4>0</vt:i4>
      </vt:variant>
      <vt:variant>
        <vt:i4>5</vt:i4>
      </vt:variant>
      <vt:variant>
        <vt:lpwstr>../Schedule 1 - Definitions/Definitions.doc</vt:lpwstr>
      </vt:variant>
      <vt:variant>
        <vt:lpwstr>BuildingHeight</vt:lpwstr>
      </vt:variant>
      <vt:variant>
        <vt:i4>1507337</vt:i4>
      </vt:variant>
      <vt:variant>
        <vt:i4>627</vt:i4>
      </vt:variant>
      <vt:variant>
        <vt:i4>0</vt:i4>
      </vt:variant>
      <vt:variant>
        <vt:i4>5</vt:i4>
      </vt:variant>
      <vt:variant>
        <vt:lpwstr>../Schedule 1 - Definitions/Definitions.doc</vt:lpwstr>
      </vt:variant>
      <vt:variant>
        <vt:lpwstr>Setback</vt:lpwstr>
      </vt:variant>
      <vt:variant>
        <vt:i4>6684780</vt:i4>
      </vt:variant>
      <vt:variant>
        <vt:i4>624</vt:i4>
      </vt:variant>
      <vt:variant>
        <vt:i4>0</vt:i4>
      </vt:variant>
      <vt:variant>
        <vt:i4>5</vt:i4>
      </vt:variant>
      <vt:variant>
        <vt:lpwstr>../Schedule 1 - Definitions/Definitions.doc</vt:lpwstr>
      </vt:variant>
      <vt:variant>
        <vt:lpwstr>Dwelling</vt:lpwstr>
      </vt:variant>
      <vt:variant>
        <vt:i4>7012473</vt:i4>
      </vt:variant>
      <vt:variant>
        <vt:i4>621</vt:i4>
      </vt:variant>
      <vt:variant>
        <vt:i4>0</vt:i4>
      </vt:variant>
      <vt:variant>
        <vt:i4>5</vt:i4>
      </vt:variant>
      <vt:variant>
        <vt:lpwstr>../Schedule 1 - Definitions/Definitions.doc</vt:lpwstr>
      </vt:variant>
      <vt:variant>
        <vt:lpwstr>HabitableRoom</vt:lpwstr>
      </vt:variant>
      <vt:variant>
        <vt:i4>7929971</vt:i4>
      </vt:variant>
      <vt:variant>
        <vt:i4>618</vt:i4>
      </vt:variant>
      <vt:variant>
        <vt:i4>0</vt:i4>
      </vt:variant>
      <vt:variant>
        <vt:i4>5</vt:i4>
      </vt:variant>
      <vt:variant>
        <vt:lpwstr/>
      </vt:variant>
      <vt:variant>
        <vt:lpwstr>Figuree</vt:lpwstr>
      </vt:variant>
      <vt:variant>
        <vt:i4>1507337</vt:i4>
      </vt:variant>
      <vt:variant>
        <vt:i4>615</vt:i4>
      </vt:variant>
      <vt:variant>
        <vt:i4>0</vt:i4>
      </vt:variant>
      <vt:variant>
        <vt:i4>5</vt:i4>
      </vt:variant>
      <vt:variant>
        <vt:lpwstr>../Schedule 1 - Definitions/Definitions.doc</vt:lpwstr>
      </vt:variant>
      <vt:variant>
        <vt:lpwstr>Setback</vt:lpwstr>
      </vt:variant>
      <vt:variant>
        <vt:i4>5636176</vt:i4>
      </vt:variant>
      <vt:variant>
        <vt:i4>612</vt:i4>
      </vt:variant>
      <vt:variant>
        <vt:i4>0</vt:i4>
      </vt:variant>
      <vt:variant>
        <vt:i4>5</vt:i4>
      </vt:variant>
      <vt:variant>
        <vt:lpwstr/>
      </vt:variant>
      <vt:variant>
        <vt:lpwstr>AO191</vt:lpwstr>
      </vt:variant>
      <vt:variant>
        <vt:i4>1507337</vt:i4>
      </vt:variant>
      <vt:variant>
        <vt:i4>609</vt:i4>
      </vt:variant>
      <vt:variant>
        <vt:i4>0</vt:i4>
      </vt:variant>
      <vt:variant>
        <vt:i4>5</vt:i4>
      </vt:variant>
      <vt:variant>
        <vt:lpwstr>../Schedule 1 - Definitions/Definitions.doc</vt:lpwstr>
      </vt:variant>
      <vt:variant>
        <vt:lpwstr>Setback</vt:lpwstr>
      </vt:variant>
      <vt:variant>
        <vt:i4>1179655</vt:i4>
      </vt:variant>
      <vt:variant>
        <vt:i4>606</vt:i4>
      </vt:variant>
      <vt:variant>
        <vt:i4>0</vt:i4>
      </vt:variant>
      <vt:variant>
        <vt:i4>5</vt:i4>
      </vt:variant>
      <vt:variant>
        <vt:lpwstr>../Schedule 1 - Definitions/Definitions.doc</vt:lpwstr>
      </vt:variant>
      <vt:variant>
        <vt:lpwstr>BuildingHeight</vt:lpwstr>
      </vt:variant>
      <vt:variant>
        <vt:i4>1507337</vt:i4>
      </vt:variant>
      <vt:variant>
        <vt:i4>603</vt:i4>
      </vt:variant>
      <vt:variant>
        <vt:i4>0</vt:i4>
      </vt:variant>
      <vt:variant>
        <vt:i4>5</vt:i4>
      </vt:variant>
      <vt:variant>
        <vt:lpwstr>../Schedule 1 - Definitions/Definitions.doc</vt:lpwstr>
      </vt:variant>
      <vt:variant>
        <vt:lpwstr>Setback</vt:lpwstr>
      </vt:variant>
      <vt:variant>
        <vt:i4>1179655</vt:i4>
      </vt:variant>
      <vt:variant>
        <vt:i4>600</vt:i4>
      </vt:variant>
      <vt:variant>
        <vt:i4>0</vt:i4>
      </vt:variant>
      <vt:variant>
        <vt:i4>5</vt:i4>
      </vt:variant>
      <vt:variant>
        <vt:lpwstr>../Schedule 1 - Definitions/Definitions.doc</vt:lpwstr>
      </vt:variant>
      <vt:variant>
        <vt:lpwstr>BuildingHeight</vt:lpwstr>
      </vt:variant>
      <vt:variant>
        <vt:i4>1507337</vt:i4>
      </vt:variant>
      <vt:variant>
        <vt:i4>597</vt:i4>
      </vt:variant>
      <vt:variant>
        <vt:i4>0</vt:i4>
      </vt:variant>
      <vt:variant>
        <vt:i4>5</vt:i4>
      </vt:variant>
      <vt:variant>
        <vt:lpwstr>../Schedule 1 - Definitions/Definitions.doc</vt:lpwstr>
      </vt:variant>
      <vt:variant>
        <vt:lpwstr>Setback</vt:lpwstr>
      </vt:variant>
      <vt:variant>
        <vt:i4>1507337</vt:i4>
      </vt:variant>
      <vt:variant>
        <vt:i4>594</vt:i4>
      </vt:variant>
      <vt:variant>
        <vt:i4>0</vt:i4>
      </vt:variant>
      <vt:variant>
        <vt:i4>5</vt:i4>
      </vt:variant>
      <vt:variant>
        <vt:lpwstr>../Schedule 1 - Definitions/Definitions.doc</vt:lpwstr>
      </vt:variant>
      <vt:variant>
        <vt:lpwstr>Setback</vt:lpwstr>
      </vt:variant>
      <vt:variant>
        <vt:i4>1507337</vt:i4>
      </vt:variant>
      <vt:variant>
        <vt:i4>591</vt:i4>
      </vt:variant>
      <vt:variant>
        <vt:i4>0</vt:i4>
      </vt:variant>
      <vt:variant>
        <vt:i4>5</vt:i4>
      </vt:variant>
      <vt:variant>
        <vt:lpwstr>../Schedule 1 - Definitions/Definitions.doc</vt:lpwstr>
      </vt:variant>
      <vt:variant>
        <vt:lpwstr>Setback</vt:lpwstr>
      </vt:variant>
      <vt:variant>
        <vt:i4>1507337</vt:i4>
      </vt:variant>
      <vt:variant>
        <vt:i4>588</vt:i4>
      </vt:variant>
      <vt:variant>
        <vt:i4>0</vt:i4>
      </vt:variant>
      <vt:variant>
        <vt:i4>5</vt:i4>
      </vt:variant>
      <vt:variant>
        <vt:lpwstr>../Schedule 1 - Definitions/Definitions.doc</vt:lpwstr>
      </vt:variant>
      <vt:variant>
        <vt:lpwstr>Setback</vt:lpwstr>
      </vt:variant>
      <vt:variant>
        <vt:i4>1507337</vt:i4>
      </vt:variant>
      <vt:variant>
        <vt:i4>585</vt:i4>
      </vt:variant>
      <vt:variant>
        <vt:i4>0</vt:i4>
      </vt:variant>
      <vt:variant>
        <vt:i4>5</vt:i4>
      </vt:variant>
      <vt:variant>
        <vt:lpwstr>../Schedule 1 - Definitions/Definitions.doc</vt:lpwstr>
      </vt:variant>
      <vt:variant>
        <vt:lpwstr>Setback</vt:lpwstr>
      </vt:variant>
      <vt:variant>
        <vt:i4>5701712</vt:i4>
      </vt:variant>
      <vt:variant>
        <vt:i4>582</vt:i4>
      </vt:variant>
      <vt:variant>
        <vt:i4>0</vt:i4>
      </vt:variant>
      <vt:variant>
        <vt:i4>5</vt:i4>
      </vt:variant>
      <vt:variant>
        <vt:lpwstr/>
      </vt:variant>
      <vt:variant>
        <vt:lpwstr>AO181</vt:lpwstr>
      </vt:variant>
      <vt:variant>
        <vt:i4>1507337</vt:i4>
      </vt:variant>
      <vt:variant>
        <vt:i4>579</vt:i4>
      </vt:variant>
      <vt:variant>
        <vt:i4>0</vt:i4>
      </vt:variant>
      <vt:variant>
        <vt:i4>5</vt:i4>
      </vt:variant>
      <vt:variant>
        <vt:lpwstr>../Schedule 1 - Definitions/Definitions.doc</vt:lpwstr>
      </vt:variant>
      <vt:variant>
        <vt:lpwstr>Setback</vt:lpwstr>
      </vt:variant>
      <vt:variant>
        <vt:i4>1507337</vt:i4>
      </vt:variant>
      <vt:variant>
        <vt:i4>576</vt:i4>
      </vt:variant>
      <vt:variant>
        <vt:i4>0</vt:i4>
      </vt:variant>
      <vt:variant>
        <vt:i4>5</vt:i4>
      </vt:variant>
      <vt:variant>
        <vt:lpwstr>../Schedule 1 - Definitions/Definitions.doc</vt:lpwstr>
      </vt:variant>
      <vt:variant>
        <vt:lpwstr>Setback</vt:lpwstr>
      </vt:variant>
      <vt:variant>
        <vt:i4>2359402</vt:i4>
      </vt:variant>
      <vt:variant>
        <vt:i4>573</vt:i4>
      </vt:variant>
      <vt:variant>
        <vt:i4>0</vt:i4>
      </vt:variant>
      <vt:variant>
        <vt:i4>5</vt:i4>
      </vt:variant>
      <vt:variant>
        <vt:lpwstr>../Part 9 - Development codes/CentreUseCode.doc</vt:lpwstr>
      </vt:variant>
      <vt:variant>
        <vt:lpwstr/>
      </vt:variant>
      <vt:variant>
        <vt:i4>1376264</vt:i4>
      </vt:variant>
      <vt:variant>
        <vt:i4>570</vt:i4>
      </vt:variant>
      <vt:variant>
        <vt:i4>0</vt:i4>
      </vt:variant>
      <vt:variant>
        <vt:i4>5</vt:i4>
      </vt:variant>
      <vt:variant>
        <vt:lpwstr>../Schedule 1 - Definitions/Definitions.doc</vt:lpwstr>
      </vt:variant>
      <vt:variant>
        <vt:lpwstr>GFA</vt:lpwstr>
      </vt:variant>
      <vt:variant>
        <vt:i4>1376264</vt:i4>
      </vt:variant>
      <vt:variant>
        <vt:i4>567</vt:i4>
      </vt:variant>
      <vt:variant>
        <vt:i4>0</vt:i4>
      </vt:variant>
      <vt:variant>
        <vt:i4>5</vt:i4>
      </vt:variant>
      <vt:variant>
        <vt:lpwstr>../Schedule 1 - Definitions/Definitions.doc</vt:lpwstr>
      </vt:variant>
      <vt:variant>
        <vt:lpwstr>GFA</vt:lpwstr>
      </vt:variant>
      <vt:variant>
        <vt:i4>5767248</vt:i4>
      </vt:variant>
      <vt:variant>
        <vt:i4>564</vt:i4>
      </vt:variant>
      <vt:variant>
        <vt:i4>0</vt:i4>
      </vt:variant>
      <vt:variant>
        <vt:i4>5</vt:i4>
      </vt:variant>
      <vt:variant>
        <vt:lpwstr/>
      </vt:variant>
      <vt:variant>
        <vt:lpwstr>AO171</vt:lpwstr>
      </vt:variant>
      <vt:variant>
        <vt:i4>1376264</vt:i4>
      </vt:variant>
      <vt:variant>
        <vt:i4>561</vt:i4>
      </vt:variant>
      <vt:variant>
        <vt:i4>0</vt:i4>
      </vt:variant>
      <vt:variant>
        <vt:i4>5</vt:i4>
      </vt:variant>
      <vt:variant>
        <vt:lpwstr>../Schedule 1 - Definitions/Definitions.doc</vt:lpwstr>
      </vt:variant>
      <vt:variant>
        <vt:lpwstr>GFA</vt:lpwstr>
      </vt:variant>
      <vt:variant>
        <vt:i4>1376264</vt:i4>
      </vt:variant>
      <vt:variant>
        <vt:i4>558</vt:i4>
      </vt:variant>
      <vt:variant>
        <vt:i4>0</vt:i4>
      </vt:variant>
      <vt:variant>
        <vt:i4>5</vt:i4>
      </vt:variant>
      <vt:variant>
        <vt:lpwstr>../Schedule 1 - Definitions/Definitions.doc</vt:lpwstr>
      </vt:variant>
      <vt:variant>
        <vt:lpwstr>GFA</vt:lpwstr>
      </vt:variant>
      <vt:variant>
        <vt:i4>1376264</vt:i4>
      </vt:variant>
      <vt:variant>
        <vt:i4>555</vt:i4>
      </vt:variant>
      <vt:variant>
        <vt:i4>0</vt:i4>
      </vt:variant>
      <vt:variant>
        <vt:i4>5</vt:i4>
      </vt:variant>
      <vt:variant>
        <vt:lpwstr>../Schedule 1 - Definitions/Definitions.doc</vt:lpwstr>
      </vt:variant>
      <vt:variant>
        <vt:lpwstr>GFA</vt:lpwstr>
      </vt:variant>
      <vt:variant>
        <vt:i4>1376264</vt:i4>
      </vt:variant>
      <vt:variant>
        <vt:i4>552</vt:i4>
      </vt:variant>
      <vt:variant>
        <vt:i4>0</vt:i4>
      </vt:variant>
      <vt:variant>
        <vt:i4>5</vt:i4>
      </vt:variant>
      <vt:variant>
        <vt:lpwstr>../Schedule 1 - Definitions/Definitions.doc</vt:lpwstr>
      </vt:variant>
      <vt:variant>
        <vt:lpwstr>GFA</vt:lpwstr>
      </vt:variant>
      <vt:variant>
        <vt:i4>1376264</vt:i4>
      </vt:variant>
      <vt:variant>
        <vt:i4>549</vt:i4>
      </vt:variant>
      <vt:variant>
        <vt:i4>0</vt:i4>
      </vt:variant>
      <vt:variant>
        <vt:i4>5</vt:i4>
      </vt:variant>
      <vt:variant>
        <vt:lpwstr>../Schedule 1 - Definitions/Definitions.doc</vt:lpwstr>
      </vt:variant>
      <vt:variant>
        <vt:lpwstr>GFA</vt:lpwstr>
      </vt:variant>
      <vt:variant>
        <vt:i4>1376264</vt:i4>
      </vt:variant>
      <vt:variant>
        <vt:i4>546</vt:i4>
      </vt:variant>
      <vt:variant>
        <vt:i4>0</vt:i4>
      </vt:variant>
      <vt:variant>
        <vt:i4>5</vt:i4>
      </vt:variant>
      <vt:variant>
        <vt:lpwstr>../Schedule 1 - Definitions/Definitions.doc</vt:lpwstr>
      </vt:variant>
      <vt:variant>
        <vt:lpwstr>GFA</vt:lpwstr>
      </vt:variant>
      <vt:variant>
        <vt:i4>589855</vt:i4>
      </vt:variant>
      <vt:variant>
        <vt:i4>543</vt:i4>
      </vt:variant>
      <vt:variant>
        <vt:i4>0</vt:i4>
      </vt:variant>
      <vt:variant>
        <vt:i4>5</vt:i4>
      </vt:variant>
      <vt:variant>
        <vt:lpwstr>../Schedule 1 - Definitions/Definitions.doc</vt:lpwstr>
      </vt:variant>
      <vt:variant>
        <vt:lpwstr>DwgHse</vt:lpwstr>
      </vt:variant>
      <vt:variant>
        <vt:i4>7929971</vt:i4>
      </vt:variant>
      <vt:variant>
        <vt:i4>540</vt:i4>
      </vt:variant>
      <vt:variant>
        <vt:i4>0</vt:i4>
      </vt:variant>
      <vt:variant>
        <vt:i4>5</vt:i4>
      </vt:variant>
      <vt:variant>
        <vt:lpwstr/>
      </vt:variant>
      <vt:variant>
        <vt:lpwstr>Figurek</vt:lpwstr>
      </vt:variant>
      <vt:variant>
        <vt:i4>7929971</vt:i4>
      </vt:variant>
      <vt:variant>
        <vt:i4>537</vt:i4>
      </vt:variant>
      <vt:variant>
        <vt:i4>0</vt:i4>
      </vt:variant>
      <vt:variant>
        <vt:i4>5</vt:i4>
      </vt:variant>
      <vt:variant>
        <vt:lpwstr/>
      </vt:variant>
      <vt:variant>
        <vt:lpwstr>Figureo</vt:lpwstr>
      </vt:variant>
      <vt:variant>
        <vt:i4>7929971</vt:i4>
      </vt:variant>
      <vt:variant>
        <vt:i4>534</vt:i4>
      </vt:variant>
      <vt:variant>
        <vt:i4>0</vt:i4>
      </vt:variant>
      <vt:variant>
        <vt:i4>5</vt:i4>
      </vt:variant>
      <vt:variant>
        <vt:lpwstr/>
      </vt:variant>
      <vt:variant>
        <vt:lpwstr>Figurej</vt:lpwstr>
      </vt:variant>
      <vt:variant>
        <vt:i4>7929971</vt:i4>
      </vt:variant>
      <vt:variant>
        <vt:i4>531</vt:i4>
      </vt:variant>
      <vt:variant>
        <vt:i4>0</vt:i4>
      </vt:variant>
      <vt:variant>
        <vt:i4>5</vt:i4>
      </vt:variant>
      <vt:variant>
        <vt:lpwstr/>
      </vt:variant>
      <vt:variant>
        <vt:lpwstr>Figurei</vt:lpwstr>
      </vt:variant>
      <vt:variant>
        <vt:i4>7929971</vt:i4>
      </vt:variant>
      <vt:variant>
        <vt:i4>528</vt:i4>
      </vt:variant>
      <vt:variant>
        <vt:i4>0</vt:i4>
      </vt:variant>
      <vt:variant>
        <vt:i4>5</vt:i4>
      </vt:variant>
      <vt:variant>
        <vt:lpwstr/>
      </vt:variant>
      <vt:variant>
        <vt:lpwstr>Figureh</vt:lpwstr>
      </vt:variant>
      <vt:variant>
        <vt:i4>7929971</vt:i4>
      </vt:variant>
      <vt:variant>
        <vt:i4>525</vt:i4>
      </vt:variant>
      <vt:variant>
        <vt:i4>0</vt:i4>
      </vt:variant>
      <vt:variant>
        <vt:i4>5</vt:i4>
      </vt:variant>
      <vt:variant>
        <vt:lpwstr/>
      </vt:variant>
      <vt:variant>
        <vt:lpwstr>Figureg</vt:lpwstr>
      </vt:variant>
      <vt:variant>
        <vt:i4>7929971</vt:i4>
      </vt:variant>
      <vt:variant>
        <vt:i4>522</vt:i4>
      </vt:variant>
      <vt:variant>
        <vt:i4>0</vt:i4>
      </vt:variant>
      <vt:variant>
        <vt:i4>5</vt:i4>
      </vt:variant>
      <vt:variant>
        <vt:lpwstr/>
      </vt:variant>
      <vt:variant>
        <vt:lpwstr>Figureo</vt:lpwstr>
      </vt:variant>
      <vt:variant>
        <vt:i4>262146</vt:i4>
      </vt:variant>
      <vt:variant>
        <vt:i4>519</vt:i4>
      </vt:variant>
      <vt:variant>
        <vt:i4>0</vt:i4>
      </vt:variant>
      <vt:variant>
        <vt:i4>5</vt:i4>
      </vt:variant>
      <vt:variant>
        <vt:lpwstr>../Schedule 1 - Definitions/Definitions.doc</vt:lpwstr>
      </vt:variant>
      <vt:variant>
        <vt:lpwstr>Amenity</vt:lpwstr>
      </vt:variant>
      <vt:variant>
        <vt:i4>262146</vt:i4>
      </vt:variant>
      <vt:variant>
        <vt:i4>516</vt:i4>
      </vt:variant>
      <vt:variant>
        <vt:i4>0</vt:i4>
      </vt:variant>
      <vt:variant>
        <vt:i4>5</vt:i4>
      </vt:variant>
      <vt:variant>
        <vt:lpwstr>../Schedule 1 - Definitions/Definitions.doc</vt:lpwstr>
      </vt:variant>
      <vt:variant>
        <vt:lpwstr>Amenity</vt:lpwstr>
      </vt:variant>
      <vt:variant>
        <vt:i4>7929971</vt:i4>
      </vt:variant>
      <vt:variant>
        <vt:i4>513</vt:i4>
      </vt:variant>
      <vt:variant>
        <vt:i4>0</vt:i4>
      </vt:variant>
      <vt:variant>
        <vt:i4>5</vt:i4>
      </vt:variant>
      <vt:variant>
        <vt:lpwstr/>
      </vt:variant>
      <vt:variant>
        <vt:lpwstr>Figuren</vt:lpwstr>
      </vt:variant>
      <vt:variant>
        <vt:i4>7929971</vt:i4>
      </vt:variant>
      <vt:variant>
        <vt:i4>510</vt:i4>
      </vt:variant>
      <vt:variant>
        <vt:i4>0</vt:i4>
      </vt:variant>
      <vt:variant>
        <vt:i4>5</vt:i4>
      </vt:variant>
      <vt:variant>
        <vt:lpwstr/>
      </vt:variant>
      <vt:variant>
        <vt:lpwstr>Figurem</vt:lpwstr>
      </vt:variant>
      <vt:variant>
        <vt:i4>7929971</vt:i4>
      </vt:variant>
      <vt:variant>
        <vt:i4>507</vt:i4>
      </vt:variant>
      <vt:variant>
        <vt:i4>0</vt:i4>
      </vt:variant>
      <vt:variant>
        <vt:i4>5</vt:i4>
      </vt:variant>
      <vt:variant>
        <vt:lpwstr/>
      </vt:variant>
      <vt:variant>
        <vt:lpwstr>Figurei</vt:lpwstr>
      </vt:variant>
      <vt:variant>
        <vt:i4>7929971</vt:i4>
      </vt:variant>
      <vt:variant>
        <vt:i4>504</vt:i4>
      </vt:variant>
      <vt:variant>
        <vt:i4>0</vt:i4>
      </vt:variant>
      <vt:variant>
        <vt:i4>5</vt:i4>
      </vt:variant>
      <vt:variant>
        <vt:lpwstr/>
      </vt:variant>
      <vt:variant>
        <vt:lpwstr>Figurek</vt:lpwstr>
      </vt:variant>
      <vt:variant>
        <vt:i4>7929971</vt:i4>
      </vt:variant>
      <vt:variant>
        <vt:i4>501</vt:i4>
      </vt:variant>
      <vt:variant>
        <vt:i4>0</vt:i4>
      </vt:variant>
      <vt:variant>
        <vt:i4>5</vt:i4>
      </vt:variant>
      <vt:variant>
        <vt:lpwstr/>
      </vt:variant>
      <vt:variant>
        <vt:lpwstr>Figurej</vt:lpwstr>
      </vt:variant>
      <vt:variant>
        <vt:i4>7929971</vt:i4>
      </vt:variant>
      <vt:variant>
        <vt:i4>498</vt:i4>
      </vt:variant>
      <vt:variant>
        <vt:i4>0</vt:i4>
      </vt:variant>
      <vt:variant>
        <vt:i4>5</vt:i4>
      </vt:variant>
      <vt:variant>
        <vt:lpwstr/>
      </vt:variant>
      <vt:variant>
        <vt:lpwstr>Figurei</vt:lpwstr>
      </vt:variant>
      <vt:variant>
        <vt:i4>7929971</vt:i4>
      </vt:variant>
      <vt:variant>
        <vt:i4>495</vt:i4>
      </vt:variant>
      <vt:variant>
        <vt:i4>0</vt:i4>
      </vt:variant>
      <vt:variant>
        <vt:i4>5</vt:i4>
      </vt:variant>
      <vt:variant>
        <vt:lpwstr/>
      </vt:variant>
      <vt:variant>
        <vt:lpwstr>Figureh</vt:lpwstr>
      </vt:variant>
      <vt:variant>
        <vt:i4>7929971</vt:i4>
      </vt:variant>
      <vt:variant>
        <vt:i4>492</vt:i4>
      </vt:variant>
      <vt:variant>
        <vt:i4>0</vt:i4>
      </vt:variant>
      <vt:variant>
        <vt:i4>5</vt:i4>
      </vt:variant>
      <vt:variant>
        <vt:lpwstr/>
      </vt:variant>
      <vt:variant>
        <vt:lpwstr>Figureg</vt:lpwstr>
      </vt:variant>
      <vt:variant>
        <vt:i4>7929971</vt:i4>
      </vt:variant>
      <vt:variant>
        <vt:i4>489</vt:i4>
      </vt:variant>
      <vt:variant>
        <vt:i4>0</vt:i4>
      </vt:variant>
      <vt:variant>
        <vt:i4>5</vt:i4>
      </vt:variant>
      <vt:variant>
        <vt:lpwstr/>
      </vt:variant>
      <vt:variant>
        <vt:lpwstr>Figuref</vt:lpwstr>
      </vt:variant>
      <vt:variant>
        <vt:i4>1507337</vt:i4>
      </vt:variant>
      <vt:variant>
        <vt:i4>486</vt:i4>
      </vt:variant>
      <vt:variant>
        <vt:i4>0</vt:i4>
      </vt:variant>
      <vt:variant>
        <vt:i4>5</vt:i4>
      </vt:variant>
      <vt:variant>
        <vt:lpwstr>../Schedule 1 - Definitions/Definitions.doc</vt:lpwstr>
      </vt:variant>
      <vt:variant>
        <vt:lpwstr>Setback</vt:lpwstr>
      </vt:variant>
      <vt:variant>
        <vt:i4>1179655</vt:i4>
      </vt:variant>
      <vt:variant>
        <vt:i4>483</vt:i4>
      </vt:variant>
      <vt:variant>
        <vt:i4>0</vt:i4>
      </vt:variant>
      <vt:variant>
        <vt:i4>5</vt:i4>
      </vt:variant>
      <vt:variant>
        <vt:lpwstr>../Schedule 1 - Definitions/Definitions.doc</vt:lpwstr>
      </vt:variant>
      <vt:variant>
        <vt:lpwstr>BuildingHeight</vt:lpwstr>
      </vt:variant>
      <vt:variant>
        <vt:i4>1507337</vt:i4>
      </vt:variant>
      <vt:variant>
        <vt:i4>480</vt:i4>
      </vt:variant>
      <vt:variant>
        <vt:i4>0</vt:i4>
      </vt:variant>
      <vt:variant>
        <vt:i4>5</vt:i4>
      </vt:variant>
      <vt:variant>
        <vt:lpwstr>../Schedule 1 - Definitions/Definitions.doc</vt:lpwstr>
      </vt:variant>
      <vt:variant>
        <vt:lpwstr>Setback</vt:lpwstr>
      </vt:variant>
      <vt:variant>
        <vt:i4>6684780</vt:i4>
      </vt:variant>
      <vt:variant>
        <vt:i4>477</vt:i4>
      </vt:variant>
      <vt:variant>
        <vt:i4>0</vt:i4>
      </vt:variant>
      <vt:variant>
        <vt:i4>5</vt:i4>
      </vt:variant>
      <vt:variant>
        <vt:lpwstr>../Schedule 1 - Definitions/Definitions.doc</vt:lpwstr>
      </vt:variant>
      <vt:variant>
        <vt:lpwstr>Dwelling</vt:lpwstr>
      </vt:variant>
      <vt:variant>
        <vt:i4>7012473</vt:i4>
      </vt:variant>
      <vt:variant>
        <vt:i4>474</vt:i4>
      </vt:variant>
      <vt:variant>
        <vt:i4>0</vt:i4>
      </vt:variant>
      <vt:variant>
        <vt:i4>5</vt:i4>
      </vt:variant>
      <vt:variant>
        <vt:lpwstr>../Schedule 1 - Definitions/Definitions.doc</vt:lpwstr>
      </vt:variant>
      <vt:variant>
        <vt:lpwstr>HabitableRoom</vt:lpwstr>
      </vt:variant>
      <vt:variant>
        <vt:i4>6160464</vt:i4>
      </vt:variant>
      <vt:variant>
        <vt:i4>471</vt:i4>
      </vt:variant>
      <vt:variant>
        <vt:i4>0</vt:i4>
      </vt:variant>
      <vt:variant>
        <vt:i4>5</vt:i4>
      </vt:variant>
      <vt:variant>
        <vt:lpwstr/>
      </vt:variant>
      <vt:variant>
        <vt:lpwstr>AO111</vt:lpwstr>
      </vt:variant>
      <vt:variant>
        <vt:i4>6684780</vt:i4>
      </vt:variant>
      <vt:variant>
        <vt:i4>468</vt:i4>
      </vt:variant>
      <vt:variant>
        <vt:i4>0</vt:i4>
      </vt:variant>
      <vt:variant>
        <vt:i4>5</vt:i4>
      </vt:variant>
      <vt:variant>
        <vt:lpwstr>../Schedule 1 - Definitions/Definitions.doc</vt:lpwstr>
      </vt:variant>
      <vt:variant>
        <vt:lpwstr>Dwelling</vt:lpwstr>
      </vt:variant>
      <vt:variant>
        <vt:i4>7012473</vt:i4>
      </vt:variant>
      <vt:variant>
        <vt:i4>465</vt:i4>
      </vt:variant>
      <vt:variant>
        <vt:i4>0</vt:i4>
      </vt:variant>
      <vt:variant>
        <vt:i4>5</vt:i4>
      </vt:variant>
      <vt:variant>
        <vt:lpwstr>../Schedule 1 - Definitions/Definitions.doc</vt:lpwstr>
      </vt:variant>
      <vt:variant>
        <vt:lpwstr>HabitableRoom</vt:lpwstr>
      </vt:variant>
      <vt:variant>
        <vt:i4>1507337</vt:i4>
      </vt:variant>
      <vt:variant>
        <vt:i4>462</vt:i4>
      </vt:variant>
      <vt:variant>
        <vt:i4>0</vt:i4>
      </vt:variant>
      <vt:variant>
        <vt:i4>5</vt:i4>
      </vt:variant>
      <vt:variant>
        <vt:lpwstr>../Schedule 1 - Definitions/Definitions.doc</vt:lpwstr>
      </vt:variant>
      <vt:variant>
        <vt:lpwstr>Setback</vt:lpwstr>
      </vt:variant>
      <vt:variant>
        <vt:i4>7929971</vt:i4>
      </vt:variant>
      <vt:variant>
        <vt:i4>459</vt:i4>
      </vt:variant>
      <vt:variant>
        <vt:i4>0</vt:i4>
      </vt:variant>
      <vt:variant>
        <vt:i4>5</vt:i4>
      </vt:variant>
      <vt:variant>
        <vt:lpwstr/>
      </vt:variant>
      <vt:variant>
        <vt:lpwstr>Figuree</vt:lpwstr>
      </vt:variant>
      <vt:variant>
        <vt:i4>1507337</vt:i4>
      </vt:variant>
      <vt:variant>
        <vt:i4>456</vt:i4>
      </vt:variant>
      <vt:variant>
        <vt:i4>0</vt:i4>
      </vt:variant>
      <vt:variant>
        <vt:i4>5</vt:i4>
      </vt:variant>
      <vt:variant>
        <vt:lpwstr>../Schedule 1 - Definitions/Definitions.doc</vt:lpwstr>
      </vt:variant>
      <vt:variant>
        <vt:lpwstr>Setback</vt:lpwstr>
      </vt:variant>
      <vt:variant>
        <vt:i4>6160464</vt:i4>
      </vt:variant>
      <vt:variant>
        <vt:i4>453</vt:i4>
      </vt:variant>
      <vt:variant>
        <vt:i4>0</vt:i4>
      </vt:variant>
      <vt:variant>
        <vt:i4>5</vt:i4>
      </vt:variant>
      <vt:variant>
        <vt:lpwstr/>
      </vt:variant>
      <vt:variant>
        <vt:lpwstr>AO111</vt:lpwstr>
      </vt:variant>
      <vt:variant>
        <vt:i4>1507337</vt:i4>
      </vt:variant>
      <vt:variant>
        <vt:i4>450</vt:i4>
      </vt:variant>
      <vt:variant>
        <vt:i4>0</vt:i4>
      </vt:variant>
      <vt:variant>
        <vt:i4>5</vt:i4>
      </vt:variant>
      <vt:variant>
        <vt:lpwstr>../Schedule 1 - Definitions/Definitions.doc</vt:lpwstr>
      </vt:variant>
      <vt:variant>
        <vt:lpwstr>Setback</vt:lpwstr>
      </vt:variant>
      <vt:variant>
        <vt:i4>1507337</vt:i4>
      </vt:variant>
      <vt:variant>
        <vt:i4>447</vt:i4>
      </vt:variant>
      <vt:variant>
        <vt:i4>0</vt:i4>
      </vt:variant>
      <vt:variant>
        <vt:i4>5</vt:i4>
      </vt:variant>
      <vt:variant>
        <vt:lpwstr>../Schedule 1 - Definitions/Definitions.doc</vt:lpwstr>
      </vt:variant>
      <vt:variant>
        <vt:lpwstr>Setback</vt:lpwstr>
      </vt:variant>
      <vt:variant>
        <vt:i4>1507337</vt:i4>
      </vt:variant>
      <vt:variant>
        <vt:i4>444</vt:i4>
      </vt:variant>
      <vt:variant>
        <vt:i4>0</vt:i4>
      </vt:variant>
      <vt:variant>
        <vt:i4>5</vt:i4>
      </vt:variant>
      <vt:variant>
        <vt:lpwstr>../Schedule 1 - Definitions/Definitions.doc</vt:lpwstr>
      </vt:variant>
      <vt:variant>
        <vt:lpwstr>Setback</vt:lpwstr>
      </vt:variant>
      <vt:variant>
        <vt:i4>1179655</vt:i4>
      </vt:variant>
      <vt:variant>
        <vt:i4>441</vt:i4>
      </vt:variant>
      <vt:variant>
        <vt:i4>0</vt:i4>
      </vt:variant>
      <vt:variant>
        <vt:i4>5</vt:i4>
      </vt:variant>
      <vt:variant>
        <vt:lpwstr>../Schedule 1 - Definitions/Definitions.doc</vt:lpwstr>
      </vt:variant>
      <vt:variant>
        <vt:lpwstr>BuildingHeight</vt:lpwstr>
      </vt:variant>
      <vt:variant>
        <vt:i4>1179655</vt:i4>
      </vt:variant>
      <vt:variant>
        <vt:i4>438</vt:i4>
      </vt:variant>
      <vt:variant>
        <vt:i4>0</vt:i4>
      </vt:variant>
      <vt:variant>
        <vt:i4>5</vt:i4>
      </vt:variant>
      <vt:variant>
        <vt:lpwstr>../Schedule 1 - Definitions/Definitions.doc</vt:lpwstr>
      </vt:variant>
      <vt:variant>
        <vt:lpwstr>BuildingHeight</vt:lpwstr>
      </vt:variant>
      <vt:variant>
        <vt:i4>1179655</vt:i4>
      </vt:variant>
      <vt:variant>
        <vt:i4>435</vt:i4>
      </vt:variant>
      <vt:variant>
        <vt:i4>0</vt:i4>
      </vt:variant>
      <vt:variant>
        <vt:i4>5</vt:i4>
      </vt:variant>
      <vt:variant>
        <vt:lpwstr>../Schedule 1 - Definitions/Definitions.doc</vt:lpwstr>
      </vt:variant>
      <vt:variant>
        <vt:lpwstr>BuildingHeight</vt:lpwstr>
      </vt:variant>
      <vt:variant>
        <vt:i4>1179655</vt:i4>
      </vt:variant>
      <vt:variant>
        <vt:i4>432</vt:i4>
      </vt:variant>
      <vt:variant>
        <vt:i4>0</vt:i4>
      </vt:variant>
      <vt:variant>
        <vt:i4>5</vt:i4>
      </vt:variant>
      <vt:variant>
        <vt:lpwstr>../Schedule 1 - Definitions/Definitions.doc</vt:lpwstr>
      </vt:variant>
      <vt:variant>
        <vt:lpwstr>BuildingHeight</vt:lpwstr>
      </vt:variant>
      <vt:variant>
        <vt:i4>1507337</vt:i4>
      </vt:variant>
      <vt:variant>
        <vt:i4>429</vt:i4>
      </vt:variant>
      <vt:variant>
        <vt:i4>0</vt:i4>
      </vt:variant>
      <vt:variant>
        <vt:i4>5</vt:i4>
      </vt:variant>
      <vt:variant>
        <vt:lpwstr>../Schedule 1 - Definitions/Definitions.doc</vt:lpwstr>
      </vt:variant>
      <vt:variant>
        <vt:lpwstr>Setback</vt:lpwstr>
      </vt:variant>
      <vt:variant>
        <vt:i4>1507337</vt:i4>
      </vt:variant>
      <vt:variant>
        <vt:i4>426</vt:i4>
      </vt:variant>
      <vt:variant>
        <vt:i4>0</vt:i4>
      </vt:variant>
      <vt:variant>
        <vt:i4>5</vt:i4>
      </vt:variant>
      <vt:variant>
        <vt:lpwstr>../Schedule 1 - Definitions/Definitions.doc</vt:lpwstr>
      </vt:variant>
      <vt:variant>
        <vt:lpwstr>Setback</vt:lpwstr>
      </vt:variant>
      <vt:variant>
        <vt:i4>1507337</vt:i4>
      </vt:variant>
      <vt:variant>
        <vt:i4>423</vt:i4>
      </vt:variant>
      <vt:variant>
        <vt:i4>0</vt:i4>
      </vt:variant>
      <vt:variant>
        <vt:i4>5</vt:i4>
      </vt:variant>
      <vt:variant>
        <vt:lpwstr>../Schedule 1 - Definitions/Definitions.doc</vt:lpwstr>
      </vt:variant>
      <vt:variant>
        <vt:lpwstr>Setback</vt:lpwstr>
      </vt:variant>
      <vt:variant>
        <vt:i4>1507337</vt:i4>
      </vt:variant>
      <vt:variant>
        <vt:i4>420</vt:i4>
      </vt:variant>
      <vt:variant>
        <vt:i4>0</vt:i4>
      </vt:variant>
      <vt:variant>
        <vt:i4>5</vt:i4>
      </vt:variant>
      <vt:variant>
        <vt:lpwstr>../Schedule 1 - Definitions/Definitions.doc</vt:lpwstr>
      </vt:variant>
      <vt:variant>
        <vt:lpwstr>Setback</vt:lpwstr>
      </vt:variant>
      <vt:variant>
        <vt:i4>7667837</vt:i4>
      </vt:variant>
      <vt:variant>
        <vt:i4>417</vt:i4>
      </vt:variant>
      <vt:variant>
        <vt:i4>0</vt:i4>
      </vt:variant>
      <vt:variant>
        <vt:i4>5</vt:i4>
      </vt:variant>
      <vt:variant>
        <vt:lpwstr>../Schedule 1 - Definitions/Definitions.doc</vt:lpwstr>
      </vt:variant>
      <vt:variant>
        <vt:lpwstr>SiteCover</vt:lpwstr>
      </vt:variant>
      <vt:variant>
        <vt:i4>1048595</vt:i4>
      </vt:variant>
      <vt:variant>
        <vt:i4>414</vt:i4>
      </vt:variant>
      <vt:variant>
        <vt:i4>0</vt:i4>
      </vt:variant>
      <vt:variant>
        <vt:i4>5</vt:i4>
      </vt:variant>
      <vt:variant>
        <vt:lpwstr>../Schedule 1 - Definitions/Definitions.doc</vt:lpwstr>
      </vt:variant>
      <vt:variant>
        <vt:lpwstr>GroundLevel</vt:lpwstr>
      </vt:variant>
      <vt:variant>
        <vt:i4>786454</vt:i4>
      </vt:variant>
      <vt:variant>
        <vt:i4>411</vt:i4>
      </vt:variant>
      <vt:variant>
        <vt:i4>0</vt:i4>
      </vt:variant>
      <vt:variant>
        <vt:i4>5</vt:i4>
      </vt:variant>
      <vt:variant>
        <vt:lpwstr>../Schedule 1 - Definitions/Definitions.doc</vt:lpwstr>
      </vt:variant>
      <vt:variant>
        <vt:lpwstr>Storey</vt:lpwstr>
      </vt:variant>
      <vt:variant>
        <vt:i4>7667837</vt:i4>
      </vt:variant>
      <vt:variant>
        <vt:i4>408</vt:i4>
      </vt:variant>
      <vt:variant>
        <vt:i4>0</vt:i4>
      </vt:variant>
      <vt:variant>
        <vt:i4>5</vt:i4>
      </vt:variant>
      <vt:variant>
        <vt:lpwstr>../Schedule 1 - Definitions/Definitions.doc</vt:lpwstr>
      </vt:variant>
      <vt:variant>
        <vt:lpwstr>SiteCover</vt:lpwstr>
      </vt:variant>
      <vt:variant>
        <vt:i4>7667837</vt:i4>
      </vt:variant>
      <vt:variant>
        <vt:i4>405</vt:i4>
      </vt:variant>
      <vt:variant>
        <vt:i4>0</vt:i4>
      </vt:variant>
      <vt:variant>
        <vt:i4>5</vt:i4>
      </vt:variant>
      <vt:variant>
        <vt:lpwstr>../Schedule 1 - Definitions/Definitions.doc</vt:lpwstr>
      </vt:variant>
      <vt:variant>
        <vt:lpwstr>SiteCover</vt:lpwstr>
      </vt:variant>
      <vt:variant>
        <vt:i4>262146</vt:i4>
      </vt:variant>
      <vt:variant>
        <vt:i4>402</vt:i4>
      </vt:variant>
      <vt:variant>
        <vt:i4>0</vt:i4>
      </vt:variant>
      <vt:variant>
        <vt:i4>5</vt:i4>
      </vt:variant>
      <vt:variant>
        <vt:lpwstr>../Schedule 1 - Definitions/Definitions.doc</vt:lpwstr>
      </vt:variant>
      <vt:variant>
        <vt:lpwstr>Amenity</vt:lpwstr>
      </vt:variant>
      <vt:variant>
        <vt:i4>7667837</vt:i4>
      </vt:variant>
      <vt:variant>
        <vt:i4>399</vt:i4>
      </vt:variant>
      <vt:variant>
        <vt:i4>0</vt:i4>
      </vt:variant>
      <vt:variant>
        <vt:i4>5</vt:i4>
      </vt:variant>
      <vt:variant>
        <vt:lpwstr>../Schedule 1 - Definitions/Definitions.doc</vt:lpwstr>
      </vt:variant>
      <vt:variant>
        <vt:lpwstr>SiteCover</vt:lpwstr>
      </vt:variant>
      <vt:variant>
        <vt:i4>1376264</vt:i4>
      </vt:variant>
      <vt:variant>
        <vt:i4>396</vt:i4>
      </vt:variant>
      <vt:variant>
        <vt:i4>0</vt:i4>
      </vt:variant>
      <vt:variant>
        <vt:i4>5</vt:i4>
      </vt:variant>
      <vt:variant>
        <vt:lpwstr>../Schedule 1 - Definitions/Definitions.doc</vt:lpwstr>
      </vt:variant>
      <vt:variant>
        <vt:lpwstr>GFA</vt:lpwstr>
      </vt:variant>
      <vt:variant>
        <vt:i4>1376264</vt:i4>
      </vt:variant>
      <vt:variant>
        <vt:i4>393</vt:i4>
      </vt:variant>
      <vt:variant>
        <vt:i4>0</vt:i4>
      </vt:variant>
      <vt:variant>
        <vt:i4>5</vt:i4>
      </vt:variant>
      <vt:variant>
        <vt:lpwstr>../Schedule 1 - Definitions/Definitions.doc</vt:lpwstr>
      </vt:variant>
      <vt:variant>
        <vt:lpwstr>GFA</vt:lpwstr>
      </vt:variant>
      <vt:variant>
        <vt:i4>1376264</vt:i4>
      </vt:variant>
      <vt:variant>
        <vt:i4>390</vt:i4>
      </vt:variant>
      <vt:variant>
        <vt:i4>0</vt:i4>
      </vt:variant>
      <vt:variant>
        <vt:i4>5</vt:i4>
      </vt:variant>
      <vt:variant>
        <vt:lpwstr>../Schedule 1 - Definitions/Definitions.doc</vt:lpwstr>
      </vt:variant>
      <vt:variant>
        <vt:lpwstr>GFA</vt:lpwstr>
      </vt:variant>
      <vt:variant>
        <vt:i4>1376264</vt:i4>
      </vt:variant>
      <vt:variant>
        <vt:i4>387</vt:i4>
      </vt:variant>
      <vt:variant>
        <vt:i4>0</vt:i4>
      </vt:variant>
      <vt:variant>
        <vt:i4>5</vt:i4>
      </vt:variant>
      <vt:variant>
        <vt:lpwstr>../Schedule 1 - Definitions/Definitions.doc</vt:lpwstr>
      </vt:variant>
      <vt:variant>
        <vt:lpwstr>GFA</vt:lpwstr>
      </vt:variant>
      <vt:variant>
        <vt:i4>1376264</vt:i4>
      </vt:variant>
      <vt:variant>
        <vt:i4>384</vt:i4>
      </vt:variant>
      <vt:variant>
        <vt:i4>0</vt:i4>
      </vt:variant>
      <vt:variant>
        <vt:i4>5</vt:i4>
      </vt:variant>
      <vt:variant>
        <vt:lpwstr>../Schedule 1 - Definitions/Definitions.doc</vt:lpwstr>
      </vt:variant>
      <vt:variant>
        <vt:lpwstr>GFA</vt:lpwstr>
      </vt:variant>
      <vt:variant>
        <vt:i4>7929971</vt:i4>
      </vt:variant>
      <vt:variant>
        <vt:i4>381</vt:i4>
      </vt:variant>
      <vt:variant>
        <vt:i4>0</vt:i4>
      </vt:variant>
      <vt:variant>
        <vt:i4>5</vt:i4>
      </vt:variant>
      <vt:variant>
        <vt:lpwstr/>
      </vt:variant>
      <vt:variant>
        <vt:lpwstr>Figurec</vt:lpwstr>
      </vt:variant>
      <vt:variant>
        <vt:i4>1507337</vt:i4>
      </vt:variant>
      <vt:variant>
        <vt:i4>378</vt:i4>
      </vt:variant>
      <vt:variant>
        <vt:i4>0</vt:i4>
      </vt:variant>
      <vt:variant>
        <vt:i4>5</vt:i4>
      </vt:variant>
      <vt:variant>
        <vt:lpwstr>../Schedule 1 - Definitions/Definitions.doc</vt:lpwstr>
      </vt:variant>
      <vt:variant>
        <vt:lpwstr>Setback</vt:lpwstr>
      </vt:variant>
      <vt:variant>
        <vt:i4>1048595</vt:i4>
      </vt:variant>
      <vt:variant>
        <vt:i4>375</vt:i4>
      </vt:variant>
      <vt:variant>
        <vt:i4>0</vt:i4>
      </vt:variant>
      <vt:variant>
        <vt:i4>5</vt:i4>
      </vt:variant>
      <vt:variant>
        <vt:lpwstr>../Schedule 1 - Definitions/Definitions.doc</vt:lpwstr>
      </vt:variant>
      <vt:variant>
        <vt:lpwstr>GroundLevel</vt:lpwstr>
      </vt:variant>
      <vt:variant>
        <vt:i4>262146</vt:i4>
      </vt:variant>
      <vt:variant>
        <vt:i4>372</vt:i4>
      </vt:variant>
      <vt:variant>
        <vt:i4>0</vt:i4>
      </vt:variant>
      <vt:variant>
        <vt:i4>5</vt:i4>
      </vt:variant>
      <vt:variant>
        <vt:lpwstr>../Schedule 1 - Definitions/Definitions.doc</vt:lpwstr>
      </vt:variant>
      <vt:variant>
        <vt:lpwstr>Amenity</vt:lpwstr>
      </vt:variant>
      <vt:variant>
        <vt:i4>6684780</vt:i4>
      </vt:variant>
      <vt:variant>
        <vt:i4>369</vt:i4>
      </vt:variant>
      <vt:variant>
        <vt:i4>0</vt:i4>
      </vt:variant>
      <vt:variant>
        <vt:i4>5</vt:i4>
      </vt:variant>
      <vt:variant>
        <vt:lpwstr>../Schedule 1 - Definitions/Definitions.doc</vt:lpwstr>
      </vt:variant>
      <vt:variant>
        <vt:lpwstr>Dwelling</vt:lpwstr>
      </vt:variant>
      <vt:variant>
        <vt:i4>7012473</vt:i4>
      </vt:variant>
      <vt:variant>
        <vt:i4>366</vt:i4>
      </vt:variant>
      <vt:variant>
        <vt:i4>0</vt:i4>
      </vt:variant>
      <vt:variant>
        <vt:i4>5</vt:i4>
      </vt:variant>
      <vt:variant>
        <vt:lpwstr>../Schedule 1 - Definitions/Definitions.doc</vt:lpwstr>
      </vt:variant>
      <vt:variant>
        <vt:lpwstr>HabitableRoom</vt:lpwstr>
      </vt:variant>
      <vt:variant>
        <vt:i4>262146</vt:i4>
      </vt:variant>
      <vt:variant>
        <vt:i4>363</vt:i4>
      </vt:variant>
      <vt:variant>
        <vt:i4>0</vt:i4>
      </vt:variant>
      <vt:variant>
        <vt:i4>5</vt:i4>
      </vt:variant>
      <vt:variant>
        <vt:lpwstr>../Schedule 1 - Definitions/Definitions.doc</vt:lpwstr>
      </vt:variant>
      <vt:variant>
        <vt:lpwstr>Amenity</vt:lpwstr>
      </vt:variant>
      <vt:variant>
        <vt:i4>589855</vt:i4>
      </vt:variant>
      <vt:variant>
        <vt:i4>360</vt:i4>
      </vt:variant>
      <vt:variant>
        <vt:i4>0</vt:i4>
      </vt:variant>
      <vt:variant>
        <vt:i4>5</vt:i4>
      </vt:variant>
      <vt:variant>
        <vt:lpwstr>../Schedule 1 - Definitions/Definitions.doc</vt:lpwstr>
      </vt:variant>
      <vt:variant>
        <vt:lpwstr>DwgHse</vt:lpwstr>
      </vt:variant>
      <vt:variant>
        <vt:i4>589855</vt:i4>
      </vt:variant>
      <vt:variant>
        <vt:i4>357</vt:i4>
      </vt:variant>
      <vt:variant>
        <vt:i4>0</vt:i4>
      </vt:variant>
      <vt:variant>
        <vt:i4>5</vt:i4>
      </vt:variant>
      <vt:variant>
        <vt:lpwstr>../Schedule 1 - Definitions/Definitions.doc</vt:lpwstr>
      </vt:variant>
      <vt:variant>
        <vt:lpwstr>DwgHse</vt:lpwstr>
      </vt:variant>
      <vt:variant>
        <vt:i4>589855</vt:i4>
      </vt:variant>
      <vt:variant>
        <vt:i4>354</vt:i4>
      </vt:variant>
      <vt:variant>
        <vt:i4>0</vt:i4>
      </vt:variant>
      <vt:variant>
        <vt:i4>5</vt:i4>
      </vt:variant>
      <vt:variant>
        <vt:lpwstr>../Schedule 1 - Definitions/Definitions.doc</vt:lpwstr>
      </vt:variant>
      <vt:variant>
        <vt:lpwstr>DwgHse</vt:lpwstr>
      </vt:variant>
      <vt:variant>
        <vt:i4>3997816</vt:i4>
      </vt:variant>
      <vt:variant>
        <vt:i4>351</vt:i4>
      </vt:variant>
      <vt:variant>
        <vt:i4>0</vt:i4>
      </vt:variant>
      <vt:variant>
        <vt:i4>5</vt:i4>
      </vt:variant>
      <vt:variant>
        <vt:lpwstr>../Part 9 - Development codes/TransportCode.doc</vt:lpwstr>
      </vt:variant>
      <vt:variant>
        <vt:lpwstr/>
      </vt:variant>
      <vt:variant>
        <vt:i4>1638405</vt:i4>
      </vt:variant>
      <vt:variant>
        <vt:i4>348</vt:i4>
      </vt:variant>
      <vt:variant>
        <vt:i4>0</vt:i4>
      </vt:variant>
      <vt:variant>
        <vt:i4>5</vt:i4>
      </vt:variant>
      <vt:variant>
        <vt:lpwstr>../Schedule 1 - Definitions/Definitions.doc</vt:lpwstr>
      </vt:variant>
      <vt:variant>
        <vt:lpwstr>Office</vt:lpwstr>
      </vt:variant>
      <vt:variant>
        <vt:i4>6684780</vt:i4>
      </vt:variant>
      <vt:variant>
        <vt:i4>345</vt:i4>
      </vt:variant>
      <vt:variant>
        <vt:i4>0</vt:i4>
      </vt:variant>
      <vt:variant>
        <vt:i4>5</vt:i4>
      </vt:variant>
      <vt:variant>
        <vt:lpwstr>../Schedule 1 - Definitions/Definitions.doc</vt:lpwstr>
      </vt:variant>
      <vt:variant>
        <vt:lpwstr>Dwelling</vt:lpwstr>
      </vt:variant>
      <vt:variant>
        <vt:i4>1572866</vt:i4>
      </vt:variant>
      <vt:variant>
        <vt:i4>342</vt:i4>
      </vt:variant>
      <vt:variant>
        <vt:i4>0</vt:i4>
      </vt:variant>
      <vt:variant>
        <vt:i4>5</vt:i4>
      </vt:variant>
      <vt:variant>
        <vt:lpwstr>../Schedule 1 - Definitions/Definitions.doc</vt:lpwstr>
      </vt:variant>
      <vt:variant>
        <vt:lpwstr>DwgUnit</vt:lpwstr>
      </vt:variant>
      <vt:variant>
        <vt:i4>1376264</vt:i4>
      </vt:variant>
      <vt:variant>
        <vt:i4>339</vt:i4>
      </vt:variant>
      <vt:variant>
        <vt:i4>0</vt:i4>
      </vt:variant>
      <vt:variant>
        <vt:i4>5</vt:i4>
      </vt:variant>
      <vt:variant>
        <vt:lpwstr>../Schedule 1 - Definitions/Definitions.doc</vt:lpwstr>
      </vt:variant>
      <vt:variant>
        <vt:lpwstr>GFA</vt:lpwstr>
      </vt:variant>
      <vt:variant>
        <vt:i4>589855</vt:i4>
      </vt:variant>
      <vt:variant>
        <vt:i4>336</vt:i4>
      </vt:variant>
      <vt:variant>
        <vt:i4>0</vt:i4>
      </vt:variant>
      <vt:variant>
        <vt:i4>5</vt:i4>
      </vt:variant>
      <vt:variant>
        <vt:lpwstr>../Schedule 1 - Definitions/Definitions.doc</vt:lpwstr>
      </vt:variant>
      <vt:variant>
        <vt:lpwstr>DwgHse</vt:lpwstr>
      </vt:variant>
      <vt:variant>
        <vt:i4>262146</vt:i4>
      </vt:variant>
      <vt:variant>
        <vt:i4>333</vt:i4>
      </vt:variant>
      <vt:variant>
        <vt:i4>0</vt:i4>
      </vt:variant>
      <vt:variant>
        <vt:i4>5</vt:i4>
      </vt:variant>
      <vt:variant>
        <vt:lpwstr>../Schedule 1 - Definitions/Definitions.doc</vt:lpwstr>
      </vt:variant>
      <vt:variant>
        <vt:lpwstr>Amenity</vt:lpwstr>
      </vt:variant>
      <vt:variant>
        <vt:i4>7929971</vt:i4>
      </vt:variant>
      <vt:variant>
        <vt:i4>330</vt:i4>
      </vt:variant>
      <vt:variant>
        <vt:i4>0</vt:i4>
      </vt:variant>
      <vt:variant>
        <vt:i4>5</vt:i4>
      </vt:variant>
      <vt:variant>
        <vt:lpwstr/>
      </vt:variant>
      <vt:variant>
        <vt:lpwstr>Figurer</vt:lpwstr>
      </vt:variant>
      <vt:variant>
        <vt:i4>5767236</vt:i4>
      </vt:variant>
      <vt:variant>
        <vt:i4>327</vt:i4>
      </vt:variant>
      <vt:variant>
        <vt:i4>0</vt:i4>
      </vt:variant>
      <vt:variant>
        <vt:i4>5</vt:i4>
      </vt:variant>
      <vt:variant>
        <vt:lpwstr/>
      </vt:variant>
      <vt:variant>
        <vt:lpwstr>table721613b</vt:lpwstr>
      </vt:variant>
      <vt:variant>
        <vt:i4>7929971</vt:i4>
      </vt:variant>
      <vt:variant>
        <vt:i4>324</vt:i4>
      </vt:variant>
      <vt:variant>
        <vt:i4>0</vt:i4>
      </vt:variant>
      <vt:variant>
        <vt:i4>5</vt:i4>
      </vt:variant>
      <vt:variant>
        <vt:lpwstr/>
      </vt:variant>
      <vt:variant>
        <vt:lpwstr>Figured</vt:lpwstr>
      </vt:variant>
      <vt:variant>
        <vt:i4>5767236</vt:i4>
      </vt:variant>
      <vt:variant>
        <vt:i4>321</vt:i4>
      </vt:variant>
      <vt:variant>
        <vt:i4>0</vt:i4>
      </vt:variant>
      <vt:variant>
        <vt:i4>5</vt:i4>
      </vt:variant>
      <vt:variant>
        <vt:lpwstr/>
      </vt:variant>
      <vt:variant>
        <vt:lpwstr>table721613b</vt:lpwstr>
      </vt:variant>
      <vt:variant>
        <vt:i4>786454</vt:i4>
      </vt:variant>
      <vt:variant>
        <vt:i4>318</vt:i4>
      </vt:variant>
      <vt:variant>
        <vt:i4>0</vt:i4>
      </vt:variant>
      <vt:variant>
        <vt:i4>5</vt:i4>
      </vt:variant>
      <vt:variant>
        <vt:lpwstr>../Schedule 1 - Definitions/Definitions.doc</vt:lpwstr>
      </vt:variant>
      <vt:variant>
        <vt:lpwstr>Storey</vt:lpwstr>
      </vt:variant>
      <vt:variant>
        <vt:i4>5767236</vt:i4>
      </vt:variant>
      <vt:variant>
        <vt:i4>315</vt:i4>
      </vt:variant>
      <vt:variant>
        <vt:i4>0</vt:i4>
      </vt:variant>
      <vt:variant>
        <vt:i4>5</vt:i4>
      </vt:variant>
      <vt:variant>
        <vt:lpwstr/>
      </vt:variant>
      <vt:variant>
        <vt:lpwstr>table721613b</vt:lpwstr>
      </vt:variant>
      <vt:variant>
        <vt:i4>1179655</vt:i4>
      </vt:variant>
      <vt:variant>
        <vt:i4>312</vt:i4>
      </vt:variant>
      <vt:variant>
        <vt:i4>0</vt:i4>
      </vt:variant>
      <vt:variant>
        <vt:i4>5</vt:i4>
      </vt:variant>
      <vt:variant>
        <vt:lpwstr>../Schedule 1 - Definitions/Definitions.doc</vt:lpwstr>
      </vt:variant>
      <vt:variant>
        <vt:lpwstr>BuildingHeight</vt:lpwstr>
      </vt:variant>
      <vt:variant>
        <vt:i4>262146</vt:i4>
      </vt:variant>
      <vt:variant>
        <vt:i4>309</vt:i4>
      </vt:variant>
      <vt:variant>
        <vt:i4>0</vt:i4>
      </vt:variant>
      <vt:variant>
        <vt:i4>5</vt:i4>
      </vt:variant>
      <vt:variant>
        <vt:lpwstr>../Schedule 1 - Definitions/Definitions.doc</vt:lpwstr>
      </vt:variant>
      <vt:variant>
        <vt:lpwstr>Amenity</vt:lpwstr>
      </vt:variant>
      <vt:variant>
        <vt:i4>1179655</vt:i4>
      </vt:variant>
      <vt:variant>
        <vt:i4>306</vt:i4>
      </vt:variant>
      <vt:variant>
        <vt:i4>0</vt:i4>
      </vt:variant>
      <vt:variant>
        <vt:i4>5</vt:i4>
      </vt:variant>
      <vt:variant>
        <vt:lpwstr>../Schedule 1 - Definitions/Definitions.doc</vt:lpwstr>
      </vt:variant>
      <vt:variant>
        <vt:lpwstr>BuildingHeight</vt:lpwstr>
      </vt:variant>
      <vt:variant>
        <vt:i4>786454</vt:i4>
      </vt:variant>
      <vt:variant>
        <vt:i4>303</vt:i4>
      </vt:variant>
      <vt:variant>
        <vt:i4>0</vt:i4>
      </vt:variant>
      <vt:variant>
        <vt:i4>5</vt:i4>
      </vt:variant>
      <vt:variant>
        <vt:lpwstr>../Schedule 1 - Definitions/Definitions.doc</vt:lpwstr>
      </vt:variant>
      <vt:variant>
        <vt:lpwstr>Storey</vt:lpwstr>
      </vt:variant>
      <vt:variant>
        <vt:i4>5767236</vt:i4>
      </vt:variant>
      <vt:variant>
        <vt:i4>300</vt:i4>
      </vt:variant>
      <vt:variant>
        <vt:i4>0</vt:i4>
      </vt:variant>
      <vt:variant>
        <vt:i4>5</vt:i4>
      </vt:variant>
      <vt:variant>
        <vt:lpwstr/>
      </vt:variant>
      <vt:variant>
        <vt:lpwstr>table721613b</vt:lpwstr>
      </vt:variant>
      <vt:variant>
        <vt:i4>1179655</vt:i4>
      </vt:variant>
      <vt:variant>
        <vt:i4>297</vt:i4>
      </vt:variant>
      <vt:variant>
        <vt:i4>0</vt:i4>
      </vt:variant>
      <vt:variant>
        <vt:i4>5</vt:i4>
      </vt:variant>
      <vt:variant>
        <vt:lpwstr>../Schedule 1 - Definitions/Definitions.doc</vt:lpwstr>
      </vt:variant>
      <vt:variant>
        <vt:lpwstr>BuildingHeight</vt:lpwstr>
      </vt:variant>
      <vt:variant>
        <vt:i4>786454</vt:i4>
      </vt:variant>
      <vt:variant>
        <vt:i4>294</vt:i4>
      </vt:variant>
      <vt:variant>
        <vt:i4>0</vt:i4>
      </vt:variant>
      <vt:variant>
        <vt:i4>5</vt:i4>
      </vt:variant>
      <vt:variant>
        <vt:lpwstr>../Schedule 1 - Definitions/Definitions.doc</vt:lpwstr>
      </vt:variant>
      <vt:variant>
        <vt:lpwstr>Storey</vt:lpwstr>
      </vt:variant>
      <vt:variant>
        <vt:i4>262146</vt:i4>
      </vt:variant>
      <vt:variant>
        <vt:i4>291</vt:i4>
      </vt:variant>
      <vt:variant>
        <vt:i4>0</vt:i4>
      </vt:variant>
      <vt:variant>
        <vt:i4>5</vt:i4>
      </vt:variant>
      <vt:variant>
        <vt:lpwstr>../Schedule 1 - Definitions/Definitions.doc</vt:lpwstr>
      </vt:variant>
      <vt:variant>
        <vt:lpwstr>Amenity</vt:lpwstr>
      </vt:variant>
      <vt:variant>
        <vt:i4>1245196</vt:i4>
      </vt:variant>
      <vt:variant>
        <vt:i4>288</vt:i4>
      </vt:variant>
      <vt:variant>
        <vt:i4>0</vt:i4>
      </vt:variant>
      <vt:variant>
        <vt:i4>5</vt:i4>
      </vt:variant>
      <vt:variant>
        <vt:lpwstr>../Schedule 1 - Definitions/Definitions.doc</vt:lpwstr>
      </vt:variant>
      <vt:variant>
        <vt:lpwstr>CommunityFacilities</vt:lpwstr>
      </vt:variant>
      <vt:variant>
        <vt:i4>1179655</vt:i4>
      </vt:variant>
      <vt:variant>
        <vt:i4>285</vt:i4>
      </vt:variant>
      <vt:variant>
        <vt:i4>0</vt:i4>
      </vt:variant>
      <vt:variant>
        <vt:i4>5</vt:i4>
      </vt:variant>
      <vt:variant>
        <vt:lpwstr>../Schedule 1 - Definitions/Definitions.doc</vt:lpwstr>
      </vt:variant>
      <vt:variant>
        <vt:lpwstr>BuildingHeight</vt:lpwstr>
      </vt:variant>
      <vt:variant>
        <vt:i4>786454</vt:i4>
      </vt:variant>
      <vt:variant>
        <vt:i4>282</vt:i4>
      </vt:variant>
      <vt:variant>
        <vt:i4>0</vt:i4>
      </vt:variant>
      <vt:variant>
        <vt:i4>5</vt:i4>
      </vt:variant>
      <vt:variant>
        <vt:lpwstr>../Schedule 1 - Definitions/Definitions.doc</vt:lpwstr>
      </vt:variant>
      <vt:variant>
        <vt:lpwstr>Storey</vt:lpwstr>
      </vt:variant>
      <vt:variant>
        <vt:i4>786454</vt:i4>
      </vt:variant>
      <vt:variant>
        <vt:i4>279</vt:i4>
      </vt:variant>
      <vt:variant>
        <vt:i4>0</vt:i4>
      </vt:variant>
      <vt:variant>
        <vt:i4>5</vt:i4>
      </vt:variant>
      <vt:variant>
        <vt:lpwstr>../Schedule 1 - Definitions/Definitions.doc</vt:lpwstr>
      </vt:variant>
      <vt:variant>
        <vt:lpwstr>Storey</vt:lpwstr>
      </vt:variant>
      <vt:variant>
        <vt:i4>262146</vt:i4>
      </vt:variant>
      <vt:variant>
        <vt:i4>276</vt:i4>
      </vt:variant>
      <vt:variant>
        <vt:i4>0</vt:i4>
      </vt:variant>
      <vt:variant>
        <vt:i4>5</vt:i4>
      </vt:variant>
      <vt:variant>
        <vt:lpwstr>../Schedule 1 - Definitions/Definitions.doc</vt:lpwstr>
      </vt:variant>
      <vt:variant>
        <vt:lpwstr>Amenity</vt:lpwstr>
      </vt:variant>
      <vt:variant>
        <vt:i4>1179655</vt:i4>
      </vt:variant>
      <vt:variant>
        <vt:i4>273</vt:i4>
      </vt:variant>
      <vt:variant>
        <vt:i4>0</vt:i4>
      </vt:variant>
      <vt:variant>
        <vt:i4>5</vt:i4>
      </vt:variant>
      <vt:variant>
        <vt:lpwstr>../Schedule 1 - Definitions/Definitions.doc</vt:lpwstr>
      </vt:variant>
      <vt:variant>
        <vt:lpwstr>BuildingHeight</vt:lpwstr>
      </vt:variant>
      <vt:variant>
        <vt:i4>786454</vt:i4>
      </vt:variant>
      <vt:variant>
        <vt:i4>270</vt:i4>
      </vt:variant>
      <vt:variant>
        <vt:i4>0</vt:i4>
      </vt:variant>
      <vt:variant>
        <vt:i4>5</vt:i4>
      </vt:variant>
      <vt:variant>
        <vt:lpwstr>../Schedule 1 - Definitions/Definitions.doc</vt:lpwstr>
      </vt:variant>
      <vt:variant>
        <vt:lpwstr>Storey</vt:lpwstr>
      </vt:variant>
      <vt:variant>
        <vt:i4>7929971</vt:i4>
      </vt:variant>
      <vt:variant>
        <vt:i4>266</vt:i4>
      </vt:variant>
      <vt:variant>
        <vt:i4>0</vt:i4>
      </vt:variant>
      <vt:variant>
        <vt:i4>5</vt:i4>
      </vt:variant>
      <vt:variant>
        <vt:lpwstr/>
      </vt:variant>
      <vt:variant>
        <vt:lpwstr>Figureb</vt:lpwstr>
      </vt:variant>
      <vt:variant>
        <vt:i4>7929971</vt:i4>
      </vt:variant>
      <vt:variant>
        <vt:i4>264</vt:i4>
      </vt:variant>
      <vt:variant>
        <vt:i4>0</vt:i4>
      </vt:variant>
      <vt:variant>
        <vt:i4>5</vt:i4>
      </vt:variant>
      <vt:variant>
        <vt:lpwstr/>
      </vt:variant>
      <vt:variant>
        <vt:lpwstr>Figureb</vt:lpwstr>
      </vt:variant>
      <vt:variant>
        <vt:i4>7929971</vt:i4>
      </vt:variant>
      <vt:variant>
        <vt:i4>261</vt:i4>
      </vt:variant>
      <vt:variant>
        <vt:i4>0</vt:i4>
      </vt:variant>
      <vt:variant>
        <vt:i4>5</vt:i4>
      </vt:variant>
      <vt:variant>
        <vt:lpwstr/>
      </vt:variant>
      <vt:variant>
        <vt:lpwstr>Figurea</vt:lpwstr>
      </vt:variant>
      <vt:variant>
        <vt:i4>7602300</vt:i4>
      </vt:variant>
      <vt:variant>
        <vt:i4>258</vt:i4>
      </vt:variant>
      <vt:variant>
        <vt:i4>0</vt:i4>
      </vt:variant>
      <vt:variant>
        <vt:i4>5</vt:i4>
      </vt:variant>
      <vt:variant>
        <vt:lpwstr>../Schedule 1 - Definitions/Definitions.doc</vt:lpwstr>
      </vt:variant>
      <vt:variant>
        <vt:lpwstr>Hospital</vt:lpwstr>
      </vt:variant>
      <vt:variant>
        <vt:i4>2031629</vt:i4>
      </vt:variant>
      <vt:variant>
        <vt:i4>255</vt:i4>
      </vt:variant>
      <vt:variant>
        <vt:i4>0</vt:i4>
      </vt:variant>
      <vt:variant>
        <vt:i4>5</vt:i4>
      </vt:variant>
      <vt:variant>
        <vt:lpwstr>../Schedule 1 - Definitions/Definitions.doc</vt:lpwstr>
      </vt:variant>
      <vt:variant>
        <vt:lpwstr>Lowimpactindustryusedef</vt:lpwstr>
      </vt:variant>
      <vt:variant>
        <vt:i4>6357101</vt:i4>
      </vt:variant>
      <vt:variant>
        <vt:i4>252</vt:i4>
      </vt:variant>
      <vt:variant>
        <vt:i4>0</vt:i4>
      </vt:variant>
      <vt:variant>
        <vt:i4>5</vt:i4>
      </vt:variant>
      <vt:variant>
        <vt:lpwstr>../Schedule 1 - Definitions/Definitions.doc</vt:lpwstr>
      </vt:variant>
      <vt:variant>
        <vt:lpwstr>OutdoorSales</vt:lpwstr>
      </vt:variant>
      <vt:variant>
        <vt:i4>262146</vt:i4>
      </vt:variant>
      <vt:variant>
        <vt:i4>249</vt:i4>
      </vt:variant>
      <vt:variant>
        <vt:i4>0</vt:i4>
      </vt:variant>
      <vt:variant>
        <vt:i4>5</vt:i4>
      </vt:variant>
      <vt:variant>
        <vt:lpwstr>../Schedule 1 - Definitions/Definitions.doc</vt:lpwstr>
      </vt:variant>
      <vt:variant>
        <vt:lpwstr>Amenity</vt:lpwstr>
      </vt:variant>
      <vt:variant>
        <vt:i4>1507335</vt:i4>
      </vt:variant>
      <vt:variant>
        <vt:i4>246</vt:i4>
      </vt:variant>
      <vt:variant>
        <vt:i4>0</vt:i4>
      </vt:variant>
      <vt:variant>
        <vt:i4>5</vt:i4>
      </vt:variant>
      <vt:variant>
        <vt:lpwstr>../Schedule 1 - Definitions/Definitions.doc</vt:lpwstr>
      </vt:variant>
      <vt:variant>
        <vt:lpwstr>CityCentre</vt:lpwstr>
      </vt:variant>
      <vt:variant>
        <vt:i4>1507335</vt:i4>
      </vt:variant>
      <vt:variant>
        <vt:i4>243</vt:i4>
      </vt:variant>
      <vt:variant>
        <vt:i4>0</vt:i4>
      </vt:variant>
      <vt:variant>
        <vt:i4>5</vt:i4>
      </vt:variant>
      <vt:variant>
        <vt:lpwstr>../Schedule 1 - Definitions/Definitions.doc</vt:lpwstr>
      </vt:variant>
      <vt:variant>
        <vt:lpwstr>CityCentre</vt:lpwstr>
      </vt:variant>
      <vt:variant>
        <vt:i4>6488182</vt:i4>
      </vt:variant>
      <vt:variant>
        <vt:i4>240</vt:i4>
      </vt:variant>
      <vt:variant>
        <vt:i4>0</vt:i4>
      </vt:variant>
      <vt:variant>
        <vt:i4>5</vt:i4>
      </vt:variant>
      <vt:variant>
        <vt:lpwstr>../Schedule 1 - Definitions/Definitions.doc</vt:lpwstr>
      </vt:variant>
      <vt:variant>
        <vt:lpwstr>PlotRatio</vt:lpwstr>
      </vt:variant>
      <vt:variant>
        <vt:i4>1507335</vt:i4>
      </vt:variant>
      <vt:variant>
        <vt:i4>237</vt:i4>
      </vt:variant>
      <vt:variant>
        <vt:i4>0</vt:i4>
      </vt:variant>
      <vt:variant>
        <vt:i4>5</vt:i4>
      </vt:variant>
      <vt:variant>
        <vt:lpwstr>../Schedule 1 - Definitions/Definitions.doc</vt:lpwstr>
      </vt:variant>
      <vt:variant>
        <vt:lpwstr>CityCentre</vt:lpwstr>
      </vt:variant>
      <vt:variant>
        <vt:i4>1507335</vt:i4>
      </vt:variant>
      <vt:variant>
        <vt:i4>234</vt:i4>
      </vt:variant>
      <vt:variant>
        <vt:i4>0</vt:i4>
      </vt:variant>
      <vt:variant>
        <vt:i4>5</vt:i4>
      </vt:variant>
      <vt:variant>
        <vt:lpwstr>../Schedule 1 - Definitions/Definitions.doc</vt:lpwstr>
      </vt:variant>
      <vt:variant>
        <vt:lpwstr>CityCentre</vt:lpwstr>
      </vt:variant>
      <vt:variant>
        <vt:i4>131081</vt:i4>
      </vt:variant>
      <vt:variant>
        <vt:i4>231</vt:i4>
      </vt:variant>
      <vt:variant>
        <vt:i4>0</vt:i4>
      </vt:variant>
      <vt:variant>
        <vt:i4>5</vt:i4>
      </vt:variant>
      <vt:variant>
        <vt:lpwstr>../Schedule 1 - Definitions/Definitions.doc</vt:lpwstr>
      </vt:variant>
      <vt:variant>
        <vt:lpwstr>WalkingDistance</vt:lpwstr>
      </vt:variant>
      <vt:variant>
        <vt:i4>7274594</vt:i4>
      </vt:variant>
      <vt:variant>
        <vt:i4>228</vt:i4>
      </vt:variant>
      <vt:variant>
        <vt:i4>0</vt:i4>
      </vt:variant>
      <vt:variant>
        <vt:i4>5</vt:i4>
      </vt:variant>
      <vt:variant>
        <vt:lpwstr>../Schedule 1 - Definitions/Definitions.doc</vt:lpwstr>
      </vt:variant>
      <vt:variant>
        <vt:lpwstr>Shortterm</vt:lpwstr>
      </vt:variant>
      <vt:variant>
        <vt:i4>6750315</vt:i4>
      </vt:variant>
      <vt:variant>
        <vt:i4>225</vt:i4>
      </vt:variant>
      <vt:variant>
        <vt:i4>0</vt:i4>
      </vt:variant>
      <vt:variant>
        <vt:i4>5</vt:i4>
      </vt:variant>
      <vt:variant>
        <vt:lpwstr>../Schedule 1 - Definitions/Definitions.doc</vt:lpwstr>
      </vt:variant>
      <vt:variant>
        <vt:lpwstr>Multiple</vt:lpwstr>
      </vt:variant>
      <vt:variant>
        <vt:i4>1507335</vt:i4>
      </vt:variant>
      <vt:variant>
        <vt:i4>222</vt:i4>
      </vt:variant>
      <vt:variant>
        <vt:i4>0</vt:i4>
      </vt:variant>
      <vt:variant>
        <vt:i4>5</vt:i4>
      </vt:variant>
      <vt:variant>
        <vt:lpwstr>../Schedule 1 - Definitions/Definitions.doc</vt:lpwstr>
      </vt:variant>
      <vt:variant>
        <vt:lpwstr>CityCentre</vt:lpwstr>
      </vt:variant>
      <vt:variant>
        <vt:i4>1507337</vt:i4>
      </vt:variant>
      <vt:variant>
        <vt:i4>219</vt:i4>
      </vt:variant>
      <vt:variant>
        <vt:i4>0</vt:i4>
      </vt:variant>
      <vt:variant>
        <vt:i4>5</vt:i4>
      </vt:variant>
      <vt:variant>
        <vt:lpwstr>../Schedule 1 - Definitions/Definitions.doc</vt:lpwstr>
      </vt:variant>
      <vt:variant>
        <vt:lpwstr>Setback</vt:lpwstr>
      </vt:variant>
      <vt:variant>
        <vt:i4>786454</vt:i4>
      </vt:variant>
      <vt:variant>
        <vt:i4>216</vt:i4>
      </vt:variant>
      <vt:variant>
        <vt:i4>0</vt:i4>
      </vt:variant>
      <vt:variant>
        <vt:i4>5</vt:i4>
      </vt:variant>
      <vt:variant>
        <vt:lpwstr>../Schedule 1 - Definitions/Definitions.doc</vt:lpwstr>
      </vt:variant>
      <vt:variant>
        <vt:lpwstr>Storey</vt:lpwstr>
      </vt:variant>
      <vt:variant>
        <vt:i4>1507337</vt:i4>
      </vt:variant>
      <vt:variant>
        <vt:i4>213</vt:i4>
      </vt:variant>
      <vt:variant>
        <vt:i4>0</vt:i4>
      </vt:variant>
      <vt:variant>
        <vt:i4>5</vt:i4>
      </vt:variant>
      <vt:variant>
        <vt:lpwstr>../Schedule 1 - Definitions/Definitions.doc</vt:lpwstr>
      </vt:variant>
      <vt:variant>
        <vt:lpwstr>Setback</vt:lpwstr>
      </vt:variant>
      <vt:variant>
        <vt:i4>1507335</vt:i4>
      </vt:variant>
      <vt:variant>
        <vt:i4>210</vt:i4>
      </vt:variant>
      <vt:variant>
        <vt:i4>0</vt:i4>
      </vt:variant>
      <vt:variant>
        <vt:i4>5</vt:i4>
      </vt:variant>
      <vt:variant>
        <vt:lpwstr>../Schedule 1 - Definitions/Definitions.doc</vt:lpwstr>
      </vt:variant>
      <vt:variant>
        <vt:lpwstr>CityCentre</vt:lpwstr>
      </vt:variant>
      <vt:variant>
        <vt:i4>1376264</vt:i4>
      </vt:variant>
      <vt:variant>
        <vt:i4>207</vt:i4>
      </vt:variant>
      <vt:variant>
        <vt:i4>0</vt:i4>
      </vt:variant>
      <vt:variant>
        <vt:i4>5</vt:i4>
      </vt:variant>
      <vt:variant>
        <vt:lpwstr>../Schedule 1 - Definitions/Definitions.doc</vt:lpwstr>
      </vt:variant>
      <vt:variant>
        <vt:lpwstr>GFA</vt:lpwstr>
      </vt:variant>
      <vt:variant>
        <vt:i4>1507335</vt:i4>
      </vt:variant>
      <vt:variant>
        <vt:i4>204</vt:i4>
      </vt:variant>
      <vt:variant>
        <vt:i4>0</vt:i4>
      </vt:variant>
      <vt:variant>
        <vt:i4>5</vt:i4>
      </vt:variant>
      <vt:variant>
        <vt:lpwstr>../Schedule 1 - Definitions/Definitions.doc</vt:lpwstr>
      </vt:variant>
      <vt:variant>
        <vt:lpwstr>CityCentre</vt:lpwstr>
      </vt:variant>
      <vt:variant>
        <vt:i4>786454</vt:i4>
      </vt:variant>
      <vt:variant>
        <vt:i4>201</vt:i4>
      </vt:variant>
      <vt:variant>
        <vt:i4>0</vt:i4>
      </vt:variant>
      <vt:variant>
        <vt:i4>5</vt:i4>
      </vt:variant>
      <vt:variant>
        <vt:lpwstr>../Schedule 1 - Definitions/Definitions.doc</vt:lpwstr>
      </vt:variant>
      <vt:variant>
        <vt:lpwstr>Storey</vt:lpwstr>
      </vt:variant>
      <vt:variant>
        <vt:i4>786454</vt:i4>
      </vt:variant>
      <vt:variant>
        <vt:i4>198</vt:i4>
      </vt:variant>
      <vt:variant>
        <vt:i4>0</vt:i4>
      </vt:variant>
      <vt:variant>
        <vt:i4>5</vt:i4>
      </vt:variant>
      <vt:variant>
        <vt:lpwstr>../Schedule 1 - Definitions/Definitions.doc</vt:lpwstr>
      </vt:variant>
      <vt:variant>
        <vt:lpwstr>Storey</vt:lpwstr>
      </vt:variant>
      <vt:variant>
        <vt:i4>8126562</vt:i4>
      </vt:variant>
      <vt:variant>
        <vt:i4>195</vt:i4>
      </vt:variant>
      <vt:variant>
        <vt:i4>0</vt:i4>
      </vt:variant>
      <vt:variant>
        <vt:i4>5</vt:i4>
      </vt:variant>
      <vt:variant>
        <vt:lpwstr>../Schedule 1 - Definitions/Definitions.doc</vt:lpwstr>
      </vt:variant>
      <vt:variant>
        <vt:lpwstr>CommCharBuilding</vt:lpwstr>
      </vt:variant>
      <vt:variant>
        <vt:i4>786454</vt:i4>
      </vt:variant>
      <vt:variant>
        <vt:i4>192</vt:i4>
      </vt:variant>
      <vt:variant>
        <vt:i4>0</vt:i4>
      </vt:variant>
      <vt:variant>
        <vt:i4>5</vt:i4>
      </vt:variant>
      <vt:variant>
        <vt:lpwstr>../Schedule 1 - Definitions/Definitions.doc</vt:lpwstr>
      </vt:variant>
      <vt:variant>
        <vt:lpwstr>Storey</vt:lpwstr>
      </vt:variant>
      <vt:variant>
        <vt:i4>786454</vt:i4>
      </vt:variant>
      <vt:variant>
        <vt:i4>189</vt:i4>
      </vt:variant>
      <vt:variant>
        <vt:i4>0</vt:i4>
      </vt:variant>
      <vt:variant>
        <vt:i4>5</vt:i4>
      </vt:variant>
      <vt:variant>
        <vt:lpwstr>../Schedule 1 - Definitions/Definitions.doc</vt:lpwstr>
      </vt:variant>
      <vt:variant>
        <vt:lpwstr>Storey</vt:lpwstr>
      </vt:variant>
      <vt:variant>
        <vt:i4>786454</vt:i4>
      </vt:variant>
      <vt:variant>
        <vt:i4>186</vt:i4>
      </vt:variant>
      <vt:variant>
        <vt:i4>0</vt:i4>
      </vt:variant>
      <vt:variant>
        <vt:i4>5</vt:i4>
      </vt:variant>
      <vt:variant>
        <vt:lpwstr>../Schedule 1 - Definitions/Definitions.doc</vt:lpwstr>
      </vt:variant>
      <vt:variant>
        <vt:lpwstr>Storey</vt:lpwstr>
      </vt:variant>
      <vt:variant>
        <vt:i4>1507337</vt:i4>
      </vt:variant>
      <vt:variant>
        <vt:i4>183</vt:i4>
      </vt:variant>
      <vt:variant>
        <vt:i4>0</vt:i4>
      </vt:variant>
      <vt:variant>
        <vt:i4>5</vt:i4>
      </vt:variant>
      <vt:variant>
        <vt:lpwstr>../Schedule 1 - Definitions/Definitions.doc</vt:lpwstr>
      </vt:variant>
      <vt:variant>
        <vt:lpwstr>Setback</vt:lpwstr>
      </vt:variant>
      <vt:variant>
        <vt:i4>7929971</vt:i4>
      </vt:variant>
      <vt:variant>
        <vt:i4>180</vt:i4>
      </vt:variant>
      <vt:variant>
        <vt:i4>0</vt:i4>
      </vt:variant>
      <vt:variant>
        <vt:i4>5</vt:i4>
      </vt:variant>
      <vt:variant>
        <vt:lpwstr/>
      </vt:variant>
      <vt:variant>
        <vt:lpwstr>Figurea</vt:lpwstr>
      </vt:variant>
      <vt:variant>
        <vt:i4>6553707</vt:i4>
      </vt:variant>
      <vt:variant>
        <vt:i4>177</vt:i4>
      </vt:variant>
      <vt:variant>
        <vt:i4>0</vt:i4>
      </vt:variant>
      <vt:variant>
        <vt:i4>5</vt:i4>
      </vt:variant>
      <vt:variant>
        <vt:lpwstr>../Schedule 1 - Definitions/Definitions.doc</vt:lpwstr>
      </vt:variant>
      <vt:variant>
        <vt:lpwstr>FoodDrink</vt:lpwstr>
      </vt:variant>
      <vt:variant>
        <vt:i4>7929971</vt:i4>
      </vt:variant>
      <vt:variant>
        <vt:i4>174</vt:i4>
      </vt:variant>
      <vt:variant>
        <vt:i4>0</vt:i4>
      </vt:variant>
      <vt:variant>
        <vt:i4>5</vt:i4>
      </vt:variant>
      <vt:variant>
        <vt:lpwstr/>
      </vt:variant>
      <vt:variant>
        <vt:lpwstr>Figurea</vt:lpwstr>
      </vt:variant>
      <vt:variant>
        <vt:i4>1441795</vt:i4>
      </vt:variant>
      <vt:variant>
        <vt:i4>171</vt:i4>
      </vt:variant>
      <vt:variant>
        <vt:i4>0</vt:i4>
      </vt:variant>
      <vt:variant>
        <vt:i4>5</vt:i4>
      </vt:variant>
      <vt:variant>
        <vt:lpwstr>../Schedule 1 - Definitions/Definitions.doc</vt:lpwstr>
      </vt:variant>
      <vt:variant>
        <vt:lpwstr>HealthCare</vt:lpwstr>
      </vt:variant>
      <vt:variant>
        <vt:i4>1638405</vt:i4>
      </vt:variant>
      <vt:variant>
        <vt:i4>168</vt:i4>
      </vt:variant>
      <vt:variant>
        <vt:i4>0</vt:i4>
      </vt:variant>
      <vt:variant>
        <vt:i4>5</vt:i4>
      </vt:variant>
      <vt:variant>
        <vt:lpwstr>../Schedule 1 - Definitions/Definitions.doc</vt:lpwstr>
      </vt:variant>
      <vt:variant>
        <vt:lpwstr>Office</vt:lpwstr>
      </vt:variant>
      <vt:variant>
        <vt:i4>7602300</vt:i4>
      </vt:variant>
      <vt:variant>
        <vt:i4>165</vt:i4>
      </vt:variant>
      <vt:variant>
        <vt:i4>0</vt:i4>
      </vt:variant>
      <vt:variant>
        <vt:i4>5</vt:i4>
      </vt:variant>
      <vt:variant>
        <vt:lpwstr>../Schedule 1 - Definitions/Definitions.doc</vt:lpwstr>
      </vt:variant>
      <vt:variant>
        <vt:lpwstr>Hospital</vt:lpwstr>
      </vt:variant>
      <vt:variant>
        <vt:i4>7929971</vt:i4>
      </vt:variant>
      <vt:variant>
        <vt:i4>162</vt:i4>
      </vt:variant>
      <vt:variant>
        <vt:i4>0</vt:i4>
      </vt:variant>
      <vt:variant>
        <vt:i4>5</vt:i4>
      </vt:variant>
      <vt:variant>
        <vt:lpwstr/>
      </vt:variant>
      <vt:variant>
        <vt:lpwstr>Figurea</vt:lpwstr>
      </vt:variant>
      <vt:variant>
        <vt:i4>8257634</vt:i4>
      </vt:variant>
      <vt:variant>
        <vt:i4>159</vt:i4>
      </vt:variant>
      <vt:variant>
        <vt:i4>0</vt:i4>
      </vt:variant>
      <vt:variant>
        <vt:i4>5</vt:i4>
      </vt:variant>
      <vt:variant>
        <vt:lpwstr>../Schedule 1 - Definitions/Definitions.doc</vt:lpwstr>
      </vt:variant>
      <vt:variant>
        <vt:lpwstr>CentreActivities</vt:lpwstr>
      </vt:variant>
      <vt:variant>
        <vt:i4>7929971</vt:i4>
      </vt:variant>
      <vt:variant>
        <vt:i4>156</vt:i4>
      </vt:variant>
      <vt:variant>
        <vt:i4>0</vt:i4>
      </vt:variant>
      <vt:variant>
        <vt:i4>5</vt:i4>
      </vt:variant>
      <vt:variant>
        <vt:lpwstr/>
      </vt:variant>
      <vt:variant>
        <vt:lpwstr>Figurea</vt:lpwstr>
      </vt:variant>
      <vt:variant>
        <vt:i4>131089</vt:i4>
      </vt:variant>
      <vt:variant>
        <vt:i4>153</vt:i4>
      </vt:variant>
      <vt:variant>
        <vt:i4>0</vt:i4>
      </vt:variant>
      <vt:variant>
        <vt:i4>5</vt:i4>
      </vt:variant>
      <vt:variant>
        <vt:lpwstr>../Schedule 1 - Definitions/Definitions.doc</vt:lpwstr>
      </vt:variant>
      <vt:variant>
        <vt:lpwstr>IndoorSport</vt:lpwstr>
      </vt:variant>
      <vt:variant>
        <vt:i4>7929971</vt:i4>
      </vt:variant>
      <vt:variant>
        <vt:i4>150</vt:i4>
      </vt:variant>
      <vt:variant>
        <vt:i4>0</vt:i4>
      </vt:variant>
      <vt:variant>
        <vt:i4>5</vt:i4>
      </vt:variant>
      <vt:variant>
        <vt:lpwstr/>
      </vt:variant>
      <vt:variant>
        <vt:lpwstr>Figureb</vt:lpwstr>
      </vt:variant>
      <vt:variant>
        <vt:i4>524298</vt:i4>
      </vt:variant>
      <vt:variant>
        <vt:i4>147</vt:i4>
      </vt:variant>
      <vt:variant>
        <vt:i4>0</vt:i4>
      </vt:variant>
      <vt:variant>
        <vt:i4>5</vt:i4>
      </vt:variant>
      <vt:variant>
        <vt:lpwstr>../Schedule 1 - Definitions/Definitions.doc</vt:lpwstr>
      </vt:variant>
      <vt:variant>
        <vt:lpwstr>Theatre</vt:lpwstr>
      </vt:variant>
      <vt:variant>
        <vt:i4>1507335</vt:i4>
      </vt:variant>
      <vt:variant>
        <vt:i4>144</vt:i4>
      </vt:variant>
      <vt:variant>
        <vt:i4>0</vt:i4>
      </vt:variant>
      <vt:variant>
        <vt:i4>5</vt:i4>
      </vt:variant>
      <vt:variant>
        <vt:lpwstr>../Schedule 1 - Definitions/Definitions.doc</vt:lpwstr>
      </vt:variant>
      <vt:variant>
        <vt:lpwstr>CityCentre</vt:lpwstr>
      </vt:variant>
      <vt:variant>
        <vt:i4>262146</vt:i4>
      </vt:variant>
      <vt:variant>
        <vt:i4>141</vt:i4>
      </vt:variant>
      <vt:variant>
        <vt:i4>0</vt:i4>
      </vt:variant>
      <vt:variant>
        <vt:i4>5</vt:i4>
      </vt:variant>
      <vt:variant>
        <vt:lpwstr>../Schedule 1 - Definitions/Definitions.doc</vt:lpwstr>
      </vt:variant>
      <vt:variant>
        <vt:lpwstr>Amenity</vt:lpwstr>
      </vt:variant>
      <vt:variant>
        <vt:i4>1441817</vt:i4>
      </vt:variant>
      <vt:variant>
        <vt:i4>138</vt:i4>
      </vt:variant>
      <vt:variant>
        <vt:i4>0</vt:i4>
      </vt:variant>
      <vt:variant>
        <vt:i4>5</vt:i4>
      </vt:variant>
      <vt:variant>
        <vt:lpwstr>../Schedule 1 - Definitions/Definitions.doc</vt:lpwstr>
      </vt:variant>
      <vt:variant>
        <vt:lpwstr>Vet</vt:lpwstr>
      </vt:variant>
      <vt:variant>
        <vt:i4>65560</vt:i4>
      </vt:variant>
      <vt:variant>
        <vt:i4>135</vt:i4>
      </vt:variant>
      <vt:variant>
        <vt:i4>0</vt:i4>
      </vt:variant>
      <vt:variant>
        <vt:i4>5</vt:i4>
      </vt:variant>
      <vt:variant>
        <vt:lpwstr>../Schedule 1 - Definitions/Definitions.doc</vt:lpwstr>
      </vt:variant>
      <vt:variant>
        <vt:lpwstr>TelecomFacility</vt:lpwstr>
      </vt:variant>
      <vt:variant>
        <vt:i4>1638405</vt:i4>
      </vt:variant>
      <vt:variant>
        <vt:i4>132</vt:i4>
      </vt:variant>
      <vt:variant>
        <vt:i4>0</vt:i4>
      </vt:variant>
      <vt:variant>
        <vt:i4>5</vt:i4>
      </vt:variant>
      <vt:variant>
        <vt:lpwstr>../Schedule 1 - Definitions/Definitions.doc</vt:lpwstr>
      </vt:variant>
      <vt:variant>
        <vt:lpwstr>Office</vt:lpwstr>
      </vt:variant>
      <vt:variant>
        <vt:i4>7929971</vt:i4>
      </vt:variant>
      <vt:variant>
        <vt:i4>129</vt:i4>
      </vt:variant>
      <vt:variant>
        <vt:i4>0</vt:i4>
      </vt:variant>
      <vt:variant>
        <vt:i4>5</vt:i4>
      </vt:variant>
      <vt:variant>
        <vt:lpwstr/>
      </vt:variant>
      <vt:variant>
        <vt:lpwstr>Figurea</vt:lpwstr>
      </vt:variant>
      <vt:variant>
        <vt:i4>1441795</vt:i4>
      </vt:variant>
      <vt:variant>
        <vt:i4>126</vt:i4>
      </vt:variant>
      <vt:variant>
        <vt:i4>0</vt:i4>
      </vt:variant>
      <vt:variant>
        <vt:i4>5</vt:i4>
      </vt:variant>
      <vt:variant>
        <vt:lpwstr>../Schedule 1 - Definitions/Definitions.doc</vt:lpwstr>
      </vt:variant>
      <vt:variant>
        <vt:lpwstr>HealthCare</vt:lpwstr>
      </vt:variant>
      <vt:variant>
        <vt:i4>917512</vt:i4>
      </vt:variant>
      <vt:variant>
        <vt:i4>123</vt:i4>
      </vt:variant>
      <vt:variant>
        <vt:i4>0</vt:i4>
      </vt:variant>
      <vt:variant>
        <vt:i4>5</vt:i4>
      </vt:variant>
      <vt:variant>
        <vt:lpwstr>../Schedule 1 - Definitions/Definitions.doc</vt:lpwstr>
      </vt:variant>
      <vt:variant>
        <vt:lpwstr>PlaceofWorship</vt:lpwstr>
      </vt:variant>
      <vt:variant>
        <vt:i4>7929971</vt:i4>
      </vt:variant>
      <vt:variant>
        <vt:i4>120</vt:i4>
      </vt:variant>
      <vt:variant>
        <vt:i4>0</vt:i4>
      </vt:variant>
      <vt:variant>
        <vt:i4>5</vt:i4>
      </vt:variant>
      <vt:variant>
        <vt:lpwstr/>
      </vt:variant>
      <vt:variant>
        <vt:lpwstr>Figurea</vt:lpwstr>
      </vt:variant>
      <vt:variant>
        <vt:i4>8192121</vt:i4>
      </vt:variant>
      <vt:variant>
        <vt:i4>117</vt:i4>
      </vt:variant>
      <vt:variant>
        <vt:i4>0</vt:i4>
      </vt:variant>
      <vt:variant>
        <vt:i4>5</vt:i4>
      </vt:variant>
      <vt:variant>
        <vt:lpwstr>../Schedule 1 - Definitions/Definitions.doc</vt:lpwstr>
      </vt:variant>
      <vt:variant>
        <vt:lpwstr>Club</vt:lpwstr>
      </vt:variant>
      <vt:variant>
        <vt:i4>7929971</vt:i4>
      </vt:variant>
      <vt:variant>
        <vt:i4>114</vt:i4>
      </vt:variant>
      <vt:variant>
        <vt:i4>0</vt:i4>
      </vt:variant>
      <vt:variant>
        <vt:i4>5</vt:i4>
      </vt:variant>
      <vt:variant>
        <vt:lpwstr/>
      </vt:variant>
      <vt:variant>
        <vt:lpwstr>Figurea</vt:lpwstr>
      </vt:variant>
      <vt:variant>
        <vt:i4>131084</vt:i4>
      </vt:variant>
      <vt:variant>
        <vt:i4>111</vt:i4>
      </vt:variant>
      <vt:variant>
        <vt:i4>0</vt:i4>
      </vt:variant>
      <vt:variant>
        <vt:i4>5</vt:i4>
      </vt:variant>
      <vt:variant>
        <vt:lpwstr>../Schedule 1 - Definitions/Definitions.doc</vt:lpwstr>
      </vt:variant>
      <vt:variant>
        <vt:lpwstr>ParkingStation</vt:lpwstr>
      </vt:variant>
      <vt:variant>
        <vt:i4>786454</vt:i4>
      </vt:variant>
      <vt:variant>
        <vt:i4>108</vt:i4>
      </vt:variant>
      <vt:variant>
        <vt:i4>0</vt:i4>
      </vt:variant>
      <vt:variant>
        <vt:i4>5</vt:i4>
      </vt:variant>
      <vt:variant>
        <vt:lpwstr>../Schedule 1 - Definitions/Definitions.doc</vt:lpwstr>
      </vt:variant>
      <vt:variant>
        <vt:lpwstr>Storey</vt:lpwstr>
      </vt:variant>
      <vt:variant>
        <vt:i4>786454</vt:i4>
      </vt:variant>
      <vt:variant>
        <vt:i4>105</vt:i4>
      </vt:variant>
      <vt:variant>
        <vt:i4>0</vt:i4>
      </vt:variant>
      <vt:variant>
        <vt:i4>5</vt:i4>
      </vt:variant>
      <vt:variant>
        <vt:lpwstr>../Schedule 1 - Definitions/Definitions.doc</vt:lpwstr>
      </vt:variant>
      <vt:variant>
        <vt:lpwstr>Storey</vt:lpwstr>
      </vt:variant>
      <vt:variant>
        <vt:i4>1507335</vt:i4>
      </vt:variant>
      <vt:variant>
        <vt:i4>102</vt:i4>
      </vt:variant>
      <vt:variant>
        <vt:i4>0</vt:i4>
      </vt:variant>
      <vt:variant>
        <vt:i4>5</vt:i4>
      </vt:variant>
      <vt:variant>
        <vt:lpwstr>../Schedule 1 - Definitions/Definitions.doc</vt:lpwstr>
      </vt:variant>
      <vt:variant>
        <vt:lpwstr>CityCentre</vt:lpwstr>
      </vt:variant>
      <vt:variant>
        <vt:i4>262146</vt:i4>
      </vt:variant>
      <vt:variant>
        <vt:i4>99</vt:i4>
      </vt:variant>
      <vt:variant>
        <vt:i4>0</vt:i4>
      </vt:variant>
      <vt:variant>
        <vt:i4>5</vt:i4>
      </vt:variant>
      <vt:variant>
        <vt:lpwstr>../Schedule 1 - Definitions/Definitions.doc</vt:lpwstr>
      </vt:variant>
      <vt:variant>
        <vt:lpwstr>Amenity</vt:lpwstr>
      </vt:variant>
      <vt:variant>
        <vt:i4>786454</vt:i4>
      </vt:variant>
      <vt:variant>
        <vt:i4>96</vt:i4>
      </vt:variant>
      <vt:variant>
        <vt:i4>0</vt:i4>
      </vt:variant>
      <vt:variant>
        <vt:i4>5</vt:i4>
      </vt:variant>
      <vt:variant>
        <vt:lpwstr>../Schedule 1 - Definitions/Definitions.doc</vt:lpwstr>
      </vt:variant>
      <vt:variant>
        <vt:lpwstr>Storey</vt:lpwstr>
      </vt:variant>
      <vt:variant>
        <vt:i4>786454</vt:i4>
      </vt:variant>
      <vt:variant>
        <vt:i4>93</vt:i4>
      </vt:variant>
      <vt:variant>
        <vt:i4>0</vt:i4>
      </vt:variant>
      <vt:variant>
        <vt:i4>5</vt:i4>
      </vt:variant>
      <vt:variant>
        <vt:lpwstr>../Schedule 1 - Definitions/Definitions.doc</vt:lpwstr>
      </vt:variant>
      <vt:variant>
        <vt:lpwstr>Storey</vt:lpwstr>
      </vt:variant>
      <vt:variant>
        <vt:i4>6684780</vt:i4>
      </vt:variant>
      <vt:variant>
        <vt:i4>90</vt:i4>
      </vt:variant>
      <vt:variant>
        <vt:i4>0</vt:i4>
      </vt:variant>
      <vt:variant>
        <vt:i4>5</vt:i4>
      </vt:variant>
      <vt:variant>
        <vt:lpwstr>../Schedule 1 - Definitions/Definitions.doc</vt:lpwstr>
      </vt:variant>
      <vt:variant>
        <vt:lpwstr>Dwelling</vt:lpwstr>
      </vt:variant>
      <vt:variant>
        <vt:i4>589855</vt:i4>
      </vt:variant>
      <vt:variant>
        <vt:i4>87</vt:i4>
      </vt:variant>
      <vt:variant>
        <vt:i4>0</vt:i4>
      </vt:variant>
      <vt:variant>
        <vt:i4>5</vt:i4>
      </vt:variant>
      <vt:variant>
        <vt:lpwstr>../Schedule 1 - Definitions/Definitions.doc</vt:lpwstr>
      </vt:variant>
      <vt:variant>
        <vt:lpwstr>DwgHse</vt:lpwstr>
      </vt:variant>
      <vt:variant>
        <vt:i4>6750315</vt:i4>
      </vt:variant>
      <vt:variant>
        <vt:i4>84</vt:i4>
      </vt:variant>
      <vt:variant>
        <vt:i4>0</vt:i4>
      </vt:variant>
      <vt:variant>
        <vt:i4>5</vt:i4>
      </vt:variant>
      <vt:variant>
        <vt:lpwstr>../Schedule 1 - Definitions/Definitions.doc</vt:lpwstr>
      </vt:variant>
      <vt:variant>
        <vt:lpwstr>Multiple</vt:lpwstr>
      </vt:variant>
      <vt:variant>
        <vt:i4>983066</vt:i4>
      </vt:variant>
      <vt:variant>
        <vt:i4>81</vt:i4>
      </vt:variant>
      <vt:variant>
        <vt:i4>0</vt:i4>
      </vt:variant>
      <vt:variant>
        <vt:i4>5</vt:i4>
      </vt:variant>
      <vt:variant>
        <vt:lpwstr>../Schedule 1 - Definitions/Definitions.doc</vt:lpwstr>
      </vt:variant>
      <vt:variant>
        <vt:lpwstr>MajorR</vt:lpwstr>
      </vt:variant>
      <vt:variant>
        <vt:i4>7929971</vt:i4>
      </vt:variant>
      <vt:variant>
        <vt:i4>78</vt:i4>
      </vt:variant>
      <vt:variant>
        <vt:i4>0</vt:i4>
      </vt:variant>
      <vt:variant>
        <vt:i4>5</vt:i4>
      </vt:variant>
      <vt:variant>
        <vt:lpwstr/>
      </vt:variant>
      <vt:variant>
        <vt:lpwstr>Figureb</vt:lpwstr>
      </vt:variant>
      <vt:variant>
        <vt:i4>131084</vt:i4>
      </vt:variant>
      <vt:variant>
        <vt:i4>75</vt:i4>
      </vt:variant>
      <vt:variant>
        <vt:i4>0</vt:i4>
      </vt:variant>
      <vt:variant>
        <vt:i4>5</vt:i4>
      </vt:variant>
      <vt:variant>
        <vt:lpwstr>../Schedule 1 - Definitions/Definitions.doc</vt:lpwstr>
      </vt:variant>
      <vt:variant>
        <vt:lpwstr>ParkingStation</vt:lpwstr>
      </vt:variant>
      <vt:variant>
        <vt:i4>7929971</vt:i4>
      </vt:variant>
      <vt:variant>
        <vt:i4>72</vt:i4>
      </vt:variant>
      <vt:variant>
        <vt:i4>0</vt:i4>
      </vt:variant>
      <vt:variant>
        <vt:i4>5</vt:i4>
      </vt:variant>
      <vt:variant>
        <vt:lpwstr/>
      </vt:variant>
      <vt:variant>
        <vt:lpwstr>Figureb</vt:lpwstr>
      </vt:variant>
      <vt:variant>
        <vt:i4>524298</vt:i4>
      </vt:variant>
      <vt:variant>
        <vt:i4>69</vt:i4>
      </vt:variant>
      <vt:variant>
        <vt:i4>0</vt:i4>
      </vt:variant>
      <vt:variant>
        <vt:i4>5</vt:i4>
      </vt:variant>
      <vt:variant>
        <vt:lpwstr>../Schedule 1 - Definitions/Definitions.doc</vt:lpwstr>
      </vt:variant>
      <vt:variant>
        <vt:lpwstr>Theatre</vt:lpwstr>
      </vt:variant>
      <vt:variant>
        <vt:i4>6029431</vt:i4>
      </vt:variant>
      <vt:variant>
        <vt:i4>66</vt:i4>
      </vt:variant>
      <vt:variant>
        <vt:i4>0</vt:i4>
      </vt:variant>
      <vt:variant>
        <vt:i4>5</vt:i4>
      </vt:variant>
      <vt:variant>
        <vt:lpwstr>../../../../../C_PConf/new City Plan/ePlan SIR/Schedule 1 - Definitions/Definitions.doc</vt:lpwstr>
      </vt:variant>
      <vt:variant>
        <vt:lpwstr>Storey</vt:lpwstr>
      </vt:variant>
      <vt:variant>
        <vt:i4>262146</vt:i4>
      </vt:variant>
      <vt:variant>
        <vt:i4>63</vt:i4>
      </vt:variant>
      <vt:variant>
        <vt:i4>0</vt:i4>
      </vt:variant>
      <vt:variant>
        <vt:i4>5</vt:i4>
      </vt:variant>
      <vt:variant>
        <vt:lpwstr>../Schedule 1 - Definitions/Definitions.doc</vt:lpwstr>
      </vt:variant>
      <vt:variant>
        <vt:lpwstr>Amenity</vt:lpwstr>
      </vt:variant>
      <vt:variant>
        <vt:i4>6684780</vt:i4>
      </vt:variant>
      <vt:variant>
        <vt:i4>60</vt:i4>
      </vt:variant>
      <vt:variant>
        <vt:i4>0</vt:i4>
      </vt:variant>
      <vt:variant>
        <vt:i4>5</vt:i4>
      </vt:variant>
      <vt:variant>
        <vt:lpwstr>../Schedule 1 - Definitions/Definitions.doc</vt:lpwstr>
      </vt:variant>
      <vt:variant>
        <vt:lpwstr>Dwelling</vt:lpwstr>
      </vt:variant>
      <vt:variant>
        <vt:i4>1507335</vt:i4>
      </vt:variant>
      <vt:variant>
        <vt:i4>57</vt:i4>
      </vt:variant>
      <vt:variant>
        <vt:i4>0</vt:i4>
      </vt:variant>
      <vt:variant>
        <vt:i4>5</vt:i4>
      </vt:variant>
      <vt:variant>
        <vt:lpwstr>../Schedule 1 - Definitions/Definitions.doc</vt:lpwstr>
      </vt:variant>
      <vt:variant>
        <vt:lpwstr>CityCentre</vt:lpwstr>
      </vt:variant>
      <vt:variant>
        <vt:i4>262146</vt:i4>
      </vt:variant>
      <vt:variant>
        <vt:i4>54</vt:i4>
      </vt:variant>
      <vt:variant>
        <vt:i4>0</vt:i4>
      </vt:variant>
      <vt:variant>
        <vt:i4>5</vt:i4>
      </vt:variant>
      <vt:variant>
        <vt:lpwstr>../Schedule 1 - Definitions/Definitions.doc</vt:lpwstr>
      </vt:variant>
      <vt:variant>
        <vt:lpwstr>Amenity</vt:lpwstr>
      </vt:variant>
      <vt:variant>
        <vt:i4>1507335</vt:i4>
      </vt:variant>
      <vt:variant>
        <vt:i4>51</vt:i4>
      </vt:variant>
      <vt:variant>
        <vt:i4>0</vt:i4>
      </vt:variant>
      <vt:variant>
        <vt:i4>5</vt:i4>
      </vt:variant>
      <vt:variant>
        <vt:lpwstr>../Schedule 1 - Definitions/Definitions.doc</vt:lpwstr>
      </vt:variant>
      <vt:variant>
        <vt:lpwstr>CityCentre</vt:lpwstr>
      </vt:variant>
      <vt:variant>
        <vt:i4>131081</vt:i4>
      </vt:variant>
      <vt:variant>
        <vt:i4>48</vt:i4>
      </vt:variant>
      <vt:variant>
        <vt:i4>0</vt:i4>
      </vt:variant>
      <vt:variant>
        <vt:i4>5</vt:i4>
      </vt:variant>
      <vt:variant>
        <vt:lpwstr>../Schedule 1 - Definitions/Definitions.doc</vt:lpwstr>
      </vt:variant>
      <vt:variant>
        <vt:lpwstr>WalkingDistance</vt:lpwstr>
      </vt:variant>
      <vt:variant>
        <vt:i4>1507335</vt:i4>
      </vt:variant>
      <vt:variant>
        <vt:i4>45</vt:i4>
      </vt:variant>
      <vt:variant>
        <vt:i4>0</vt:i4>
      </vt:variant>
      <vt:variant>
        <vt:i4>5</vt:i4>
      </vt:variant>
      <vt:variant>
        <vt:lpwstr>../Schedule 1 - Definitions/Definitions.doc</vt:lpwstr>
      </vt:variant>
      <vt:variant>
        <vt:lpwstr>CityCentre</vt:lpwstr>
      </vt:variant>
      <vt:variant>
        <vt:i4>6684780</vt:i4>
      </vt:variant>
      <vt:variant>
        <vt:i4>42</vt:i4>
      </vt:variant>
      <vt:variant>
        <vt:i4>0</vt:i4>
      </vt:variant>
      <vt:variant>
        <vt:i4>5</vt:i4>
      </vt:variant>
      <vt:variant>
        <vt:lpwstr>../Schedule 1 - Definitions/Definitions.doc</vt:lpwstr>
      </vt:variant>
      <vt:variant>
        <vt:lpwstr>Dwelling</vt:lpwstr>
      </vt:variant>
      <vt:variant>
        <vt:i4>5111887</vt:i4>
      </vt:variant>
      <vt:variant>
        <vt:i4>39</vt:i4>
      </vt:variant>
      <vt:variant>
        <vt:i4>0</vt:i4>
      </vt:variant>
      <vt:variant>
        <vt:i4>5</vt:i4>
      </vt:variant>
      <vt:variant>
        <vt:lpwstr>../Part 5 - Tables of assessment/Part5NeighbourhoodPlans/PetrieTceSpringHillTOA.doc</vt:lpwstr>
      </vt:variant>
      <vt:variant>
        <vt:lpwstr>Table5654D</vt:lpwstr>
      </vt:variant>
      <vt:variant>
        <vt:i4>4784207</vt:i4>
      </vt:variant>
      <vt:variant>
        <vt:i4>36</vt:i4>
      </vt:variant>
      <vt:variant>
        <vt:i4>0</vt:i4>
      </vt:variant>
      <vt:variant>
        <vt:i4>5</vt:i4>
      </vt:variant>
      <vt:variant>
        <vt:lpwstr>../Part 5 - Tables of assessment/Part5NeighbourhoodPlans/PetrieTceSpringHillTOA.doc</vt:lpwstr>
      </vt:variant>
      <vt:variant>
        <vt:lpwstr>Table5654C</vt:lpwstr>
      </vt:variant>
      <vt:variant>
        <vt:i4>4718671</vt:i4>
      </vt:variant>
      <vt:variant>
        <vt:i4>33</vt:i4>
      </vt:variant>
      <vt:variant>
        <vt:i4>0</vt:i4>
      </vt:variant>
      <vt:variant>
        <vt:i4>5</vt:i4>
      </vt:variant>
      <vt:variant>
        <vt:lpwstr>../Part 5 - Tables of assessment/Part5NeighbourhoodPlans/PetrieTceSpringHillTOA.doc</vt:lpwstr>
      </vt:variant>
      <vt:variant>
        <vt:lpwstr>Table5654B</vt:lpwstr>
      </vt:variant>
      <vt:variant>
        <vt:i4>4915279</vt:i4>
      </vt:variant>
      <vt:variant>
        <vt:i4>30</vt:i4>
      </vt:variant>
      <vt:variant>
        <vt:i4>0</vt:i4>
      </vt:variant>
      <vt:variant>
        <vt:i4>5</vt:i4>
      </vt:variant>
      <vt:variant>
        <vt:lpwstr>../Part 5 - Tables of assessment/Part5NeighbourhoodPlans/PetrieTceSpringHillTOA.doc</vt:lpwstr>
      </vt:variant>
      <vt:variant>
        <vt:lpwstr>Table5654A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Alisha Pettit</dc:creator>
  <cp:lastModifiedBy>Alisha Pettit</cp:lastModifiedBy>
  <cp:revision>135</cp:revision>
  <cp:lastPrinted>2013-01-16T05:46:00Z</cp:lastPrinted>
  <dcterms:created xsi:type="dcterms:W3CDTF">2013-06-20T23:12:00Z</dcterms:created>
  <dcterms:modified xsi:type="dcterms:W3CDTF">2018-11-06T03:18:00Z</dcterms:modified>
</cp:coreProperties>
</file>