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47DF" w14:textId="77777777" w:rsidR="005776C4" w:rsidRDefault="005776C4" w:rsidP="004D7F25">
      <w:pPr>
        <w:pStyle w:val="QPPHeading3"/>
      </w:pPr>
      <w:bookmarkStart w:id="0" w:name="_GoBack"/>
      <w:bookmarkEnd w:id="0"/>
      <w:r>
        <w:t>Appendix 1 Index and glossary of abbreviations and acronyms</w:t>
      </w:r>
    </w:p>
    <w:p w14:paraId="4D0A1F10" w14:textId="77777777" w:rsidR="00D52C62" w:rsidRDefault="00D52C62" w:rsidP="00D52C62">
      <w:pPr>
        <w:pStyle w:val="QPPTableHeadingStyle1"/>
      </w:pPr>
      <w:r>
        <w:t>Table AP1.1—Abbreviations and acronyms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D52C62" w14:paraId="19F37406" w14:textId="77777777" w:rsidTr="00622DE8">
        <w:tc>
          <w:tcPr>
            <w:tcW w:w="2802" w:type="dxa"/>
          </w:tcPr>
          <w:p w14:paraId="1856759E" w14:textId="77777777" w:rsidR="00D52C62" w:rsidRDefault="00D52C62" w:rsidP="00622DE8">
            <w:pPr>
              <w:pStyle w:val="QPPTableTextBold"/>
            </w:pPr>
            <w:r>
              <w:t>Abbreviation/acronym</w:t>
            </w:r>
          </w:p>
        </w:tc>
        <w:tc>
          <w:tcPr>
            <w:tcW w:w="5720" w:type="dxa"/>
          </w:tcPr>
          <w:p w14:paraId="47EAE8D8" w14:textId="77777777" w:rsidR="00D52C62" w:rsidRDefault="00D52C62" w:rsidP="00622DE8">
            <w:pPr>
              <w:pStyle w:val="QPPTableTextBold"/>
            </w:pPr>
            <w:r>
              <w:t>Description</w:t>
            </w:r>
          </w:p>
        </w:tc>
      </w:tr>
      <w:tr w:rsidR="00663F40" w14:paraId="6C6613E3" w14:textId="77777777" w:rsidTr="00622DE8">
        <w:tc>
          <w:tcPr>
            <w:tcW w:w="2802" w:type="dxa"/>
          </w:tcPr>
          <w:p w14:paraId="2BB6BD95" w14:textId="77777777" w:rsidR="00663F40" w:rsidRPr="00F7316E" w:rsidRDefault="00663F40" w:rsidP="00F02E6F">
            <w:pPr>
              <w:pStyle w:val="QPPTableTextBody"/>
            </w:pPr>
            <w:bookmarkStart w:id="1" w:name="ABS"/>
            <w:r>
              <w:t>ABS</w:t>
            </w:r>
            <w:bookmarkEnd w:id="1"/>
          </w:p>
        </w:tc>
        <w:tc>
          <w:tcPr>
            <w:tcW w:w="5720" w:type="dxa"/>
          </w:tcPr>
          <w:p w14:paraId="1C93C7D6" w14:textId="77777777" w:rsidR="00663F40" w:rsidRDefault="00663F40" w:rsidP="00C74A4C">
            <w:pPr>
              <w:pStyle w:val="QPPTableTextBody"/>
            </w:pPr>
            <w:r>
              <w:t>Australian Bureau of Statistics</w:t>
            </w:r>
          </w:p>
        </w:tc>
      </w:tr>
      <w:tr w:rsidR="00120F30" w14:paraId="509D8680" w14:textId="77777777" w:rsidTr="00E53ED5">
        <w:trPr>
          <w:trHeight w:val="313"/>
        </w:trPr>
        <w:tc>
          <w:tcPr>
            <w:tcW w:w="2802" w:type="dxa"/>
          </w:tcPr>
          <w:p w14:paraId="2315DFAE" w14:textId="77777777" w:rsidR="00120F30" w:rsidRPr="00F7316E" w:rsidRDefault="00120F30" w:rsidP="00F02E6F">
            <w:pPr>
              <w:pStyle w:val="QPPTableTextBody"/>
            </w:pPr>
            <w:bookmarkStart w:id="2" w:name="theAct"/>
            <w:r>
              <w:t>the Act</w:t>
            </w:r>
            <w:bookmarkEnd w:id="2"/>
          </w:p>
        </w:tc>
        <w:tc>
          <w:tcPr>
            <w:tcW w:w="5720" w:type="dxa"/>
          </w:tcPr>
          <w:p w14:paraId="1932E590" w14:textId="56403B52" w:rsidR="00120F30" w:rsidRPr="00250BC4" w:rsidRDefault="00632790" w:rsidP="009F05EC">
            <w:pPr>
              <w:pStyle w:val="QPPBodytext"/>
              <w:rPr>
                <w:i/>
              </w:rPr>
            </w:pPr>
            <w:r w:rsidRPr="00250BC4">
              <w:rPr>
                <w:i/>
              </w:rPr>
              <w:t>Planning Act 2016</w:t>
            </w:r>
          </w:p>
        </w:tc>
      </w:tr>
      <w:tr w:rsidR="00D52C62" w14:paraId="51A9BCA7" w14:textId="77777777" w:rsidTr="00622DE8">
        <w:tc>
          <w:tcPr>
            <w:tcW w:w="2802" w:type="dxa"/>
          </w:tcPr>
          <w:p w14:paraId="463DB763" w14:textId="77777777" w:rsidR="00D52C62" w:rsidRPr="00F7316E" w:rsidRDefault="00D52C62" w:rsidP="00F02E6F">
            <w:pPr>
              <w:pStyle w:val="QPPTableTextBody"/>
            </w:pPr>
            <w:bookmarkStart w:id="3" w:name="AEP"/>
            <w:r w:rsidRPr="00F7316E">
              <w:t>AEP</w:t>
            </w:r>
            <w:bookmarkEnd w:id="3"/>
          </w:p>
        </w:tc>
        <w:tc>
          <w:tcPr>
            <w:tcW w:w="5720" w:type="dxa"/>
          </w:tcPr>
          <w:p w14:paraId="48B13777" w14:textId="77777777" w:rsidR="00D52C62" w:rsidRPr="00F7316E" w:rsidRDefault="00027B74" w:rsidP="00C74A4C">
            <w:pPr>
              <w:pStyle w:val="QPPTableTextBody"/>
            </w:pPr>
            <w:r>
              <w:t>a</w:t>
            </w:r>
            <w:r w:rsidR="00D52C62">
              <w:t>nnual e</w:t>
            </w:r>
            <w:r w:rsidR="001F1D6B">
              <w:t>xceede</w:t>
            </w:r>
            <w:r w:rsidR="00D52C62" w:rsidRPr="00F7316E">
              <w:t xml:space="preserve">nce </w:t>
            </w:r>
            <w:r w:rsidR="00D52C62">
              <w:t>p</w:t>
            </w:r>
            <w:r w:rsidR="00D52C62" w:rsidRPr="00F7316E">
              <w:t>robability</w:t>
            </w:r>
          </w:p>
        </w:tc>
      </w:tr>
      <w:tr w:rsidR="00D52C62" w:rsidRPr="006626FB" w14:paraId="321F505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7B72623" w14:textId="77777777" w:rsidR="00D52C62" w:rsidRPr="006626FB" w:rsidRDefault="00D52C62" w:rsidP="00F02E6F">
            <w:pPr>
              <w:pStyle w:val="QPPTableTextBody"/>
            </w:pPr>
            <w:bookmarkStart w:id="4" w:name="AHD"/>
            <w:r>
              <w:t>AHD</w:t>
            </w:r>
            <w:bookmarkEnd w:id="4"/>
          </w:p>
        </w:tc>
        <w:tc>
          <w:tcPr>
            <w:tcW w:w="5720" w:type="dxa"/>
            <w:shd w:val="clear" w:color="auto" w:fill="auto"/>
          </w:tcPr>
          <w:p w14:paraId="483EF3E4" w14:textId="77777777" w:rsidR="00D52C62" w:rsidRPr="006626FB" w:rsidRDefault="00A76313" w:rsidP="00C74A4C">
            <w:pPr>
              <w:pStyle w:val="QPPTableTextBody"/>
            </w:pPr>
            <w:r>
              <w:t>Australian height d</w:t>
            </w:r>
            <w:r w:rsidR="00D52C62">
              <w:t>atum</w:t>
            </w:r>
          </w:p>
        </w:tc>
      </w:tr>
      <w:tr w:rsidR="00D52C62" w:rsidRPr="006626FB" w14:paraId="7253BA95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658E8C6" w14:textId="77777777" w:rsidR="00D52C62" w:rsidRDefault="00D52C62" w:rsidP="00F02E6F">
            <w:pPr>
              <w:pStyle w:val="QPPTableTextBody"/>
            </w:pPr>
            <w:bookmarkStart w:id="5" w:name="ALARP"/>
            <w:r>
              <w:t>ALARP</w:t>
            </w:r>
            <w:bookmarkEnd w:id="5"/>
          </w:p>
        </w:tc>
        <w:tc>
          <w:tcPr>
            <w:tcW w:w="5720" w:type="dxa"/>
            <w:shd w:val="clear" w:color="auto" w:fill="auto"/>
          </w:tcPr>
          <w:p w14:paraId="4BE6DA5B" w14:textId="77777777" w:rsidR="00D52C62" w:rsidRDefault="00027B74" w:rsidP="00C74A4C">
            <w:pPr>
              <w:pStyle w:val="QPPTableTextBody"/>
            </w:pPr>
            <w:r>
              <w:t>a</w:t>
            </w:r>
            <w:r w:rsidR="00D52C62">
              <w:t>s low as reasonably practicable</w:t>
            </w:r>
          </w:p>
        </w:tc>
      </w:tr>
      <w:tr w:rsidR="00C5334B" w14:paraId="648BF577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B0E" w14:textId="77777777" w:rsidR="00C5334B" w:rsidRDefault="00C5334B" w:rsidP="00F02E6F">
            <w:pPr>
              <w:pStyle w:val="QPPTableTextBody"/>
            </w:pPr>
            <w:bookmarkStart w:id="6" w:name="ANEF"/>
            <w:r>
              <w:t>ANEF</w:t>
            </w:r>
            <w:bookmarkEnd w:id="6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348E" w14:textId="77777777" w:rsidR="00C5334B" w:rsidRDefault="003C2706" w:rsidP="00C74A4C">
            <w:pPr>
              <w:pStyle w:val="QPPTableTextBody"/>
            </w:pPr>
            <w:r>
              <w:t>Australian Noise Exposure Forecast</w:t>
            </w:r>
          </w:p>
        </w:tc>
      </w:tr>
      <w:tr w:rsidR="00D52C62" w14:paraId="077EC38B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3D0" w14:textId="77777777" w:rsidR="00D52C62" w:rsidRPr="00A626B3" w:rsidRDefault="00D52C62" w:rsidP="00F02E6F">
            <w:pPr>
              <w:pStyle w:val="QPPTableTextBody"/>
            </w:pPr>
            <w:bookmarkStart w:id="7" w:name="ANVF"/>
            <w:r>
              <w:t>ANVF</w:t>
            </w:r>
            <w:bookmarkEnd w:id="7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32DBF" w14:textId="77777777" w:rsidR="00D52C62" w:rsidRPr="00A626B3" w:rsidRDefault="00027B74" w:rsidP="00C74A4C">
            <w:pPr>
              <w:pStyle w:val="QPPTableTextBody"/>
            </w:pPr>
            <w:r>
              <w:t>a</w:t>
            </w:r>
            <w:r w:rsidR="00D52C62">
              <w:t>raucarian notophyll vine forest</w:t>
            </w:r>
          </w:p>
        </w:tc>
      </w:tr>
      <w:tr w:rsidR="00D52C62" w14:paraId="07453EFF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6618" w14:textId="77777777" w:rsidR="00D52C62" w:rsidRPr="00A626B3" w:rsidRDefault="00D52C62" w:rsidP="00F02E6F">
            <w:pPr>
              <w:pStyle w:val="QPPTableTextBody"/>
            </w:pPr>
            <w:bookmarkStart w:id="8" w:name="ANZSIC"/>
            <w:r w:rsidRPr="00A626B3">
              <w:t>AN</w:t>
            </w:r>
            <w:r>
              <w:t>Z</w:t>
            </w:r>
            <w:r w:rsidRPr="00A626B3">
              <w:t>SIC</w:t>
            </w:r>
            <w:bookmarkEnd w:id="8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5BD7" w14:textId="77777777" w:rsidR="00D52C62" w:rsidRDefault="00D52C62" w:rsidP="00C74A4C">
            <w:pPr>
              <w:pStyle w:val="QPPTableTextBody"/>
            </w:pPr>
            <w:r>
              <w:t>Australia New Zealand S</w:t>
            </w:r>
            <w:r w:rsidRPr="00A626B3">
              <w:t xml:space="preserve">tandard </w:t>
            </w:r>
            <w:r>
              <w:t>I</w:t>
            </w:r>
            <w:r w:rsidRPr="00A626B3">
              <w:t xml:space="preserve">ndustrial </w:t>
            </w:r>
            <w:r>
              <w:t>C</w:t>
            </w:r>
            <w:r w:rsidRPr="00A626B3">
              <w:t>lassification</w:t>
            </w:r>
          </w:p>
        </w:tc>
      </w:tr>
      <w:tr w:rsidR="00D52C62" w:rsidRPr="006626FB" w14:paraId="264391A3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068E61BB" w14:textId="77777777" w:rsidR="00D52C62" w:rsidRPr="006626FB" w:rsidRDefault="00D52C62" w:rsidP="00F02E6F">
            <w:pPr>
              <w:pStyle w:val="QPPTableTextBody"/>
            </w:pPr>
            <w:bookmarkStart w:id="9" w:name="ARI"/>
            <w:r>
              <w:t>ARI</w:t>
            </w:r>
            <w:bookmarkEnd w:id="9"/>
          </w:p>
        </w:tc>
        <w:tc>
          <w:tcPr>
            <w:tcW w:w="5720" w:type="dxa"/>
            <w:shd w:val="clear" w:color="auto" w:fill="auto"/>
          </w:tcPr>
          <w:p w14:paraId="1F47F30A" w14:textId="77777777" w:rsidR="00D52C62" w:rsidRPr="006626FB" w:rsidRDefault="00027B74" w:rsidP="00C74A4C">
            <w:pPr>
              <w:pStyle w:val="QPPTableTextBody"/>
            </w:pPr>
            <w:r>
              <w:t>a</w:t>
            </w:r>
            <w:r w:rsidR="00A76313">
              <w:t>verage recurrence i</w:t>
            </w:r>
            <w:r w:rsidR="00D52C62">
              <w:t>nterval</w:t>
            </w:r>
          </w:p>
        </w:tc>
      </w:tr>
      <w:tr w:rsidR="00C5334B" w14:paraId="3FF6A18D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ED3D" w14:textId="77777777" w:rsidR="00C5334B" w:rsidRDefault="00C5334B" w:rsidP="00F02E6F">
            <w:pPr>
              <w:pStyle w:val="QPPTableTextBody"/>
            </w:pPr>
            <w:bookmarkStart w:id="10" w:name="AS"/>
            <w:r>
              <w:t>AS</w:t>
            </w:r>
          </w:p>
          <w:p w14:paraId="1B37FA87" w14:textId="77777777" w:rsidR="00C5334B" w:rsidRPr="00A626B3" w:rsidRDefault="00C5334B" w:rsidP="00F02E6F">
            <w:pPr>
              <w:pStyle w:val="QPPTableTextBody"/>
            </w:pPr>
            <w:r>
              <w:t>AS/NZS</w:t>
            </w:r>
            <w:bookmarkEnd w:id="10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DDD1" w14:textId="77777777" w:rsidR="00C5334B" w:rsidRDefault="003B24C6" w:rsidP="00C74A4C">
            <w:pPr>
              <w:pStyle w:val="QPPTableTextBody"/>
            </w:pPr>
            <w:r>
              <w:t>Australian Standard</w:t>
            </w:r>
          </w:p>
          <w:p w14:paraId="16546D6D" w14:textId="77777777" w:rsidR="003B24C6" w:rsidRDefault="006B25EE" w:rsidP="00C74A4C">
            <w:pPr>
              <w:pStyle w:val="QPPTableTextBody"/>
            </w:pPr>
            <w:r>
              <w:t>Australian</w:t>
            </w:r>
            <w:r w:rsidR="003B24C6">
              <w:t>/New Zealand Standard</w:t>
            </w:r>
          </w:p>
        </w:tc>
      </w:tr>
      <w:tr w:rsidR="00D52C62" w14:paraId="27300CB4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657A" w14:textId="77777777" w:rsidR="00D52C62" w:rsidRPr="00A626B3" w:rsidRDefault="00D52C62" w:rsidP="00F02E6F">
            <w:pPr>
              <w:pStyle w:val="QPPTableTextBody"/>
            </w:pPr>
            <w:bookmarkStart w:id="11" w:name="ASGC"/>
            <w:r w:rsidRPr="00A626B3">
              <w:t>ASGC</w:t>
            </w:r>
            <w:bookmarkEnd w:id="11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EF8E" w14:textId="77777777" w:rsidR="00D52C62" w:rsidRPr="00A626B3" w:rsidRDefault="00D52C62" w:rsidP="00C74A4C">
            <w:pPr>
              <w:pStyle w:val="QPPTableTextBody"/>
            </w:pPr>
            <w:r>
              <w:t>Australian Standard G</w:t>
            </w:r>
            <w:r w:rsidRPr="00A626B3">
              <w:t xml:space="preserve">eographical </w:t>
            </w:r>
            <w:r>
              <w:t>C</w:t>
            </w:r>
            <w:r w:rsidRPr="00A626B3">
              <w:t>lassification</w:t>
            </w:r>
          </w:p>
        </w:tc>
      </w:tr>
      <w:tr w:rsidR="00AF3361" w:rsidRPr="006626FB" w14:paraId="3DC5157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9642171" w14:textId="77777777" w:rsidR="00AF3361" w:rsidRDefault="00AF3361" w:rsidP="00F02E6F">
            <w:pPr>
              <w:pStyle w:val="QPPTableTextBody"/>
            </w:pPr>
            <w:bookmarkStart w:id="12" w:name="ATM"/>
            <w:r>
              <w:t>ATM</w:t>
            </w:r>
            <w:bookmarkEnd w:id="12"/>
          </w:p>
        </w:tc>
        <w:tc>
          <w:tcPr>
            <w:tcW w:w="5720" w:type="dxa"/>
            <w:shd w:val="clear" w:color="auto" w:fill="auto"/>
          </w:tcPr>
          <w:p w14:paraId="1163D3E8" w14:textId="77777777" w:rsidR="00AF3361" w:rsidRDefault="00AF3361" w:rsidP="00C74A4C">
            <w:pPr>
              <w:pStyle w:val="QPPTableTextBody"/>
            </w:pPr>
            <w:r>
              <w:t>automatic teller machine</w:t>
            </w:r>
          </w:p>
        </w:tc>
      </w:tr>
      <w:tr w:rsidR="00D52C62" w:rsidRPr="006626FB" w14:paraId="63FD8C3F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4CD55A2F" w14:textId="77777777" w:rsidR="00D52C62" w:rsidRPr="006626FB" w:rsidRDefault="00D52C62" w:rsidP="00F02E6F">
            <w:pPr>
              <w:pStyle w:val="QPPTableTextBody"/>
            </w:pPr>
            <w:bookmarkStart w:id="13" w:name="BCA"/>
            <w:r>
              <w:t>BCA</w:t>
            </w:r>
            <w:bookmarkEnd w:id="13"/>
          </w:p>
        </w:tc>
        <w:tc>
          <w:tcPr>
            <w:tcW w:w="5720" w:type="dxa"/>
            <w:shd w:val="clear" w:color="auto" w:fill="auto"/>
          </w:tcPr>
          <w:p w14:paraId="2FF1A2C1" w14:textId="77777777" w:rsidR="00D52C62" w:rsidRPr="006626FB" w:rsidRDefault="00D52C62" w:rsidP="00C74A4C">
            <w:pPr>
              <w:pStyle w:val="QPPTableTextBody"/>
            </w:pPr>
            <w:r>
              <w:t>Building Code of Australia</w:t>
            </w:r>
          </w:p>
        </w:tc>
      </w:tr>
      <w:tr w:rsidR="00D52C62" w:rsidRPr="006626FB" w14:paraId="51CD960A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10FA2754" w14:textId="77777777" w:rsidR="00D52C62" w:rsidRDefault="00D52C62" w:rsidP="00F02E6F">
            <w:pPr>
              <w:pStyle w:val="QPPTableTextBody"/>
            </w:pPr>
            <w:bookmarkStart w:id="14" w:name="BCC"/>
            <w:r>
              <w:t>BCC</w:t>
            </w:r>
            <w:bookmarkEnd w:id="14"/>
          </w:p>
        </w:tc>
        <w:tc>
          <w:tcPr>
            <w:tcW w:w="5720" w:type="dxa"/>
            <w:shd w:val="clear" w:color="auto" w:fill="auto"/>
          </w:tcPr>
          <w:p w14:paraId="67C37E35" w14:textId="77777777" w:rsidR="00D52C62" w:rsidRDefault="00D52C62" w:rsidP="00C74A4C">
            <w:pPr>
              <w:pStyle w:val="QPPTableTextBody"/>
            </w:pPr>
            <w:r>
              <w:t>Brisbane City Council</w:t>
            </w:r>
          </w:p>
        </w:tc>
      </w:tr>
      <w:tr w:rsidR="00120F30" w:rsidRPr="006626FB" w14:paraId="19007E74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701CEDB" w14:textId="77777777" w:rsidR="00120F30" w:rsidRDefault="00120F30" w:rsidP="00F02E6F">
            <w:pPr>
              <w:pStyle w:val="QPPTableTextBody"/>
            </w:pPr>
            <w:bookmarkStart w:id="15" w:name="BSD"/>
            <w:r>
              <w:t>BSD</w:t>
            </w:r>
            <w:bookmarkEnd w:id="15"/>
          </w:p>
        </w:tc>
        <w:tc>
          <w:tcPr>
            <w:tcW w:w="5720" w:type="dxa"/>
            <w:shd w:val="clear" w:color="auto" w:fill="auto"/>
          </w:tcPr>
          <w:p w14:paraId="7B697D7F" w14:textId="77777777" w:rsidR="00120F30" w:rsidRDefault="00120F30" w:rsidP="00C74A4C">
            <w:pPr>
              <w:pStyle w:val="QPPTableTextBody"/>
            </w:pPr>
            <w:r>
              <w:t>Brisbane standard drawing</w:t>
            </w:r>
          </w:p>
        </w:tc>
      </w:tr>
      <w:tr w:rsidR="00663F40" w:rsidRPr="006626FB" w14:paraId="48281191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2FFF1CC" w14:textId="77777777" w:rsidR="00663F40" w:rsidRDefault="00663F40" w:rsidP="00F02E6F">
            <w:pPr>
              <w:pStyle w:val="QPPTableTextBody"/>
            </w:pPr>
            <w:bookmarkStart w:id="16" w:name="BSTM"/>
            <w:r>
              <w:t>BSTM</w:t>
            </w:r>
            <w:bookmarkEnd w:id="16"/>
          </w:p>
        </w:tc>
        <w:tc>
          <w:tcPr>
            <w:tcW w:w="5720" w:type="dxa"/>
            <w:shd w:val="clear" w:color="auto" w:fill="auto"/>
          </w:tcPr>
          <w:p w14:paraId="6FEBE7CA" w14:textId="77777777" w:rsidR="00663F40" w:rsidRDefault="00663F40" w:rsidP="00C74A4C">
            <w:pPr>
              <w:pStyle w:val="QPPTableTextBody"/>
            </w:pPr>
            <w:r>
              <w:t>Brisbane Strategic Transport Model</w:t>
            </w:r>
          </w:p>
        </w:tc>
      </w:tr>
      <w:tr w:rsidR="00D52C62" w:rsidRPr="006626FB" w14:paraId="516A1479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436B1C8" w14:textId="77777777" w:rsidR="00D52C62" w:rsidRDefault="00D52C62" w:rsidP="00F02E6F">
            <w:pPr>
              <w:pStyle w:val="QPPTableTextBody"/>
            </w:pPr>
            <w:bookmarkStart w:id="17" w:name="BOD"/>
            <w:r>
              <w:t>BOD</w:t>
            </w:r>
            <w:bookmarkEnd w:id="17"/>
          </w:p>
        </w:tc>
        <w:tc>
          <w:tcPr>
            <w:tcW w:w="5720" w:type="dxa"/>
            <w:shd w:val="clear" w:color="auto" w:fill="auto"/>
          </w:tcPr>
          <w:p w14:paraId="014F11CA" w14:textId="77777777" w:rsidR="00D52C62" w:rsidRDefault="00027B74" w:rsidP="00C74A4C">
            <w:pPr>
              <w:pStyle w:val="QPPTableTextBody"/>
            </w:pPr>
            <w:r>
              <w:t>b</w:t>
            </w:r>
            <w:r w:rsidR="00D52C62">
              <w:t>iochemical oxygen demand</w:t>
            </w:r>
          </w:p>
        </w:tc>
      </w:tr>
      <w:tr w:rsidR="00C5334B" w:rsidRPr="006626FB" w14:paraId="63B6F63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6DA05899" w14:textId="77777777" w:rsidR="00C5334B" w:rsidRDefault="00C5334B" w:rsidP="00F02E6F">
            <w:pPr>
              <w:pStyle w:val="QPPTableTextBody"/>
            </w:pPr>
            <w:bookmarkStart w:id="18" w:name="BPEM"/>
            <w:r>
              <w:t>BPEM</w:t>
            </w:r>
            <w:bookmarkEnd w:id="18"/>
          </w:p>
        </w:tc>
        <w:tc>
          <w:tcPr>
            <w:tcW w:w="5720" w:type="dxa"/>
            <w:shd w:val="clear" w:color="auto" w:fill="auto"/>
          </w:tcPr>
          <w:p w14:paraId="3B73C770" w14:textId="77777777" w:rsidR="00C5334B" w:rsidRDefault="00027B74" w:rsidP="00C74A4C">
            <w:pPr>
              <w:pStyle w:val="QPPTableTextBody"/>
            </w:pPr>
            <w:r>
              <w:t>b</w:t>
            </w:r>
            <w:r w:rsidR="003B24C6">
              <w:t>est practice environmental management</w:t>
            </w:r>
          </w:p>
        </w:tc>
      </w:tr>
      <w:tr w:rsidR="0026189C" w:rsidRPr="006626FB" w14:paraId="4B2AAED5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D1096B6" w14:textId="77777777" w:rsidR="0026189C" w:rsidRDefault="00C5334B" w:rsidP="00F02E6F">
            <w:pPr>
              <w:pStyle w:val="QPPTableTextBody"/>
            </w:pPr>
            <w:bookmarkStart w:id="19" w:name="CASA"/>
            <w:r>
              <w:t>CASA</w:t>
            </w:r>
            <w:bookmarkEnd w:id="19"/>
          </w:p>
        </w:tc>
        <w:tc>
          <w:tcPr>
            <w:tcW w:w="5720" w:type="dxa"/>
            <w:shd w:val="clear" w:color="auto" w:fill="auto"/>
          </w:tcPr>
          <w:p w14:paraId="0072B231" w14:textId="77777777" w:rsidR="0026189C" w:rsidRDefault="003B24C6" w:rsidP="00C74A4C">
            <w:pPr>
              <w:pStyle w:val="QPPTableTextBody"/>
            </w:pPr>
            <w:r>
              <w:t>Civil Aviation Safety Authority</w:t>
            </w:r>
          </w:p>
        </w:tc>
      </w:tr>
      <w:tr w:rsidR="00D52C62" w:rsidRPr="006626FB" w14:paraId="4F3C18C3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3F820197" w14:textId="77777777" w:rsidR="00D52C62" w:rsidRPr="006626FB" w:rsidRDefault="00D52C62" w:rsidP="00F02E6F">
            <w:pPr>
              <w:pStyle w:val="QPPTableTextBody"/>
            </w:pPr>
            <w:bookmarkStart w:id="20" w:name="CBD"/>
            <w:r>
              <w:t>CBD</w:t>
            </w:r>
            <w:bookmarkEnd w:id="20"/>
          </w:p>
        </w:tc>
        <w:tc>
          <w:tcPr>
            <w:tcW w:w="5720" w:type="dxa"/>
            <w:shd w:val="clear" w:color="auto" w:fill="auto"/>
          </w:tcPr>
          <w:p w14:paraId="7983C57C" w14:textId="77777777" w:rsidR="00D52C62" w:rsidRPr="006626FB" w:rsidRDefault="00027B74" w:rsidP="00C74A4C">
            <w:pPr>
              <w:pStyle w:val="QPPTableTextBody"/>
            </w:pPr>
            <w:r>
              <w:t>central business d</w:t>
            </w:r>
            <w:r w:rsidR="00D52C62">
              <w:t>istrict</w:t>
            </w:r>
          </w:p>
        </w:tc>
      </w:tr>
      <w:tr w:rsidR="00D52C62" w:rsidRPr="006626FB" w14:paraId="039A003F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F8ECE46" w14:textId="77777777" w:rsidR="00D52C62" w:rsidRDefault="00D52C62" w:rsidP="00F02E6F">
            <w:pPr>
              <w:pStyle w:val="QPPTableTextBody"/>
            </w:pPr>
            <w:bookmarkStart w:id="21" w:name="CIMN"/>
            <w:r>
              <w:t>CIMN</w:t>
            </w:r>
            <w:bookmarkEnd w:id="21"/>
          </w:p>
        </w:tc>
        <w:tc>
          <w:tcPr>
            <w:tcW w:w="5720" w:type="dxa"/>
            <w:shd w:val="clear" w:color="auto" w:fill="auto"/>
          </w:tcPr>
          <w:p w14:paraId="348C40AD" w14:textId="77777777" w:rsidR="00D52C62" w:rsidRDefault="00027B74" w:rsidP="00C74A4C">
            <w:pPr>
              <w:pStyle w:val="QPPTableTextBody"/>
            </w:pPr>
            <w:r>
              <w:t>critical infrastructure movement n</w:t>
            </w:r>
            <w:r w:rsidR="00D52C62">
              <w:t>etwork</w:t>
            </w:r>
          </w:p>
        </w:tc>
      </w:tr>
      <w:tr w:rsidR="00D52C62" w:rsidRPr="006626FB" w14:paraId="64D5EB99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6082ABB" w14:textId="77777777" w:rsidR="00D52C62" w:rsidRDefault="00D52C62" w:rsidP="00F02E6F">
            <w:pPr>
              <w:pStyle w:val="QPPTableTextBody"/>
            </w:pPr>
            <w:bookmarkStart w:id="22" w:name="CNVF"/>
            <w:r>
              <w:t>CNVF</w:t>
            </w:r>
            <w:bookmarkEnd w:id="22"/>
          </w:p>
        </w:tc>
        <w:tc>
          <w:tcPr>
            <w:tcW w:w="5720" w:type="dxa"/>
            <w:shd w:val="clear" w:color="auto" w:fill="auto"/>
          </w:tcPr>
          <w:p w14:paraId="425C2A77" w14:textId="77777777" w:rsidR="00D52C62" w:rsidRDefault="00A76313" w:rsidP="00C74A4C">
            <w:pPr>
              <w:pStyle w:val="QPPTableTextBody"/>
            </w:pPr>
            <w:r>
              <w:t>c</w:t>
            </w:r>
            <w:r w:rsidR="00D52C62">
              <w:t>omplex notophyll vine forest</w:t>
            </w:r>
          </w:p>
        </w:tc>
      </w:tr>
      <w:tr w:rsidR="00D52C62" w:rsidRPr="006626FB" w14:paraId="0BC4222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DBC3AA6" w14:textId="77777777" w:rsidR="00D52C62" w:rsidRPr="006626FB" w:rsidRDefault="00D52C62" w:rsidP="00F02E6F">
            <w:pPr>
              <w:pStyle w:val="QPPTableTextBody"/>
            </w:pPr>
            <w:bookmarkStart w:id="23" w:name="CPTED"/>
            <w:r>
              <w:t>CPTED</w:t>
            </w:r>
            <w:bookmarkEnd w:id="23"/>
          </w:p>
        </w:tc>
        <w:tc>
          <w:tcPr>
            <w:tcW w:w="5720" w:type="dxa"/>
            <w:shd w:val="clear" w:color="auto" w:fill="auto"/>
          </w:tcPr>
          <w:p w14:paraId="3922EBFD" w14:textId="77777777" w:rsidR="00D52C62" w:rsidRPr="006626FB" w:rsidRDefault="00027B74" w:rsidP="00C74A4C">
            <w:pPr>
              <w:pStyle w:val="QPPTableTextBody"/>
            </w:pPr>
            <w:r>
              <w:t>c</w:t>
            </w:r>
            <w:r w:rsidR="00D52C62" w:rsidRPr="006626FB">
              <w:t xml:space="preserve">rime </w:t>
            </w:r>
            <w:r w:rsidR="00D52C62">
              <w:t>p</w:t>
            </w:r>
            <w:r w:rsidR="00D52C62" w:rsidRPr="006626FB">
              <w:t xml:space="preserve">revention </w:t>
            </w:r>
            <w:r w:rsidR="00D52C62">
              <w:t>through environmental d</w:t>
            </w:r>
            <w:r w:rsidR="00D52C62" w:rsidRPr="006626FB">
              <w:t>esign</w:t>
            </w:r>
          </w:p>
        </w:tc>
      </w:tr>
      <w:tr w:rsidR="00D52C62" w:rsidRPr="006626FB" w14:paraId="560567CD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E5EF274" w14:textId="77777777" w:rsidR="00D52C62" w:rsidRDefault="00D52C62" w:rsidP="00F02E6F">
            <w:pPr>
              <w:pStyle w:val="QPPTableTextBody"/>
            </w:pPr>
            <w:bookmarkStart w:id="24" w:name="CW"/>
            <w:r>
              <w:t>CW</w:t>
            </w:r>
            <w:bookmarkEnd w:id="24"/>
          </w:p>
        </w:tc>
        <w:tc>
          <w:tcPr>
            <w:tcW w:w="5720" w:type="dxa"/>
            <w:shd w:val="clear" w:color="auto" w:fill="auto"/>
          </w:tcPr>
          <w:p w14:paraId="1B884680" w14:textId="77777777" w:rsidR="00D52C62" w:rsidRPr="006626FB" w:rsidRDefault="006E1AC9" w:rsidP="00C74A4C">
            <w:pPr>
              <w:pStyle w:val="QPPTableTextBody"/>
            </w:pPr>
            <w:r>
              <w:t>c</w:t>
            </w:r>
            <w:r w:rsidR="00D52C62">
              <w:t>itywide significance</w:t>
            </w:r>
          </w:p>
        </w:tc>
      </w:tr>
      <w:tr w:rsidR="00F06092" w:rsidRPr="006626FB" w14:paraId="669CBBF6" w14:textId="77777777" w:rsidTr="00AC16E7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86C125E" w14:textId="77777777" w:rsidR="00F06092" w:rsidRPr="006626FB" w:rsidRDefault="00F06092" w:rsidP="00F02E6F">
            <w:pPr>
              <w:pStyle w:val="QPPTableTextBody"/>
            </w:pPr>
            <w:bookmarkStart w:id="25" w:name="dB"/>
            <w:r>
              <w:t>dB</w:t>
            </w:r>
            <w:bookmarkEnd w:id="25"/>
          </w:p>
        </w:tc>
        <w:tc>
          <w:tcPr>
            <w:tcW w:w="5720" w:type="dxa"/>
            <w:shd w:val="clear" w:color="auto" w:fill="auto"/>
          </w:tcPr>
          <w:p w14:paraId="55097365" w14:textId="77777777" w:rsidR="00F06092" w:rsidRPr="006626FB" w:rsidRDefault="00027B74" w:rsidP="00C74A4C">
            <w:pPr>
              <w:pStyle w:val="QPPTableTextBody"/>
            </w:pPr>
            <w:r>
              <w:t>d</w:t>
            </w:r>
            <w:r w:rsidR="00F06092">
              <w:t>ecibel</w:t>
            </w:r>
          </w:p>
        </w:tc>
      </w:tr>
      <w:tr w:rsidR="00F06092" w:rsidRPr="006626FB" w14:paraId="0BFBA8C8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5E3B724" w14:textId="77777777" w:rsidR="00F06092" w:rsidRDefault="00F06092" w:rsidP="00F02E6F">
            <w:pPr>
              <w:pStyle w:val="QPPTableTextBody"/>
            </w:pPr>
            <w:bookmarkStart w:id="26" w:name="DBH"/>
            <w:r>
              <w:t>DBH</w:t>
            </w:r>
            <w:bookmarkEnd w:id="26"/>
          </w:p>
        </w:tc>
        <w:tc>
          <w:tcPr>
            <w:tcW w:w="5720" w:type="dxa"/>
            <w:shd w:val="clear" w:color="auto" w:fill="auto"/>
          </w:tcPr>
          <w:p w14:paraId="2BF5B3B3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iameter at breast height</w:t>
            </w:r>
          </w:p>
        </w:tc>
      </w:tr>
      <w:tr w:rsidR="00D52C62" w:rsidRPr="006626FB" w14:paraId="7678D0EC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086B076" w14:textId="77777777" w:rsidR="00D52C62" w:rsidRPr="006626FB" w:rsidRDefault="00D52C62" w:rsidP="00F02E6F">
            <w:pPr>
              <w:pStyle w:val="QPPTableTextBody"/>
            </w:pPr>
            <w:bookmarkStart w:id="27" w:name="DFE"/>
            <w:r w:rsidRPr="006626FB">
              <w:t>DFE</w:t>
            </w:r>
            <w:bookmarkEnd w:id="27"/>
          </w:p>
        </w:tc>
        <w:tc>
          <w:tcPr>
            <w:tcW w:w="5720" w:type="dxa"/>
            <w:shd w:val="clear" w:color="auto" w:fill="auto"/>
          </w:tcPr>
          <w:p w14:paraId="5A2C745C" w14:textId="77777777" w:rsidR="00D52C62" w:rsidRPr="006626FB" w:rsidRDefault="00027B74" w:rsidP="00C74A4C">
            <w:pPr>
              <w:pStyle w:val="QPPTableTextBody"/>
            </w:pPr>
            <w:r>
              <w:t>d</w:t>
            </w:r>
            <w:r w:rsidR="00D52C62">
              <w:t>efined flood event</w:t>
            </w:r>
          </w:p>
        </w:tc>
      </w:tr>
      <w:tr w:rsidR="00F06092" w:rsidRPr="006626FB" w14:paraId="0BE5C1F1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3F3F655" w14:textId="77777777" w:rsidR="00F06092" w:rsidRDefault="00F06092" w:rsidP="00F02E6F">
            <w:pPr>
              <w:pStyle w:val="QPPTableTextBody"/>
            </w:pPr>
            <w:bookmarkStart w:id="28" w:name="DFL"/>
            <w:r>
              <w:t>DFL</w:t>
            </w:r>
            <w:bookmarkEnd w:id="28"/>
          </w:p>
        </w:tc>
        <w:tc>
          <w:tcPr>
            <w:tcW w:w="5720" w:type="dxa"/>
            <w:shd w:val="clear" w:color="auto" w:fill="auto"/>
          </w:tcPr>
          <w:p w14:paraId="113DD374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efined flood level</w:t>
            </w:r>
          </w:p>
        </w:tc>
      </w:tr>
      <w:tr w:rsidR="00D52C62" w:rsidRPr="006626FB" w14:paraId="5569991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084DE1E4" w14:textId="77777777" w:rsidR="00D52C62" w:rsidRPr="006626FB" w:rsidRDefault="00D52C62" w:rsidP="00F02E6F">
            <w:pPr>
              <w:pStyle w:val="QPPTableTextBody"/>
            </w:pPr>
            <w:bookmarkStart w:id="29" w:name="DSS"/>
            <w:r>
              <w:t>DSS</w:t>
            </w:r>
            <w:bookmarkEnd w:id="29"/>
          </w:p>
        </w:tc>
        <w:tc>
          <w:tcPr>
            <w:tcW w:w="5720" w:type="dxa"/>
            <w:shd w:val="clear" w:color="auto" w:fill="auto"/>
          </w:tcPr>
          <w:p w14:paraId="2EDFA92B" w14:textId="77777777" w:rsidR="00D52C62" w:rsidRDefault="00027B74" w:rsidP="00C74A4C">
            <w:pPr>
              <w:pStyle w:val="QPPTableTextBody"/>
            </w:pPr>
            <w:r>
              <w:t>d</w:t>
            </w:r>
            <w:r w:rsidR="00D52C62">
              <w:t>esired standard of service</w:t>
            </w:r>
          </w:p>
        </w:tc>
      </w:tr>
      <w:tr w:rsidR="00F06092" w:rsidRPr="006626FB" w14:paraId="075A1EA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4F2298E3" w14:textId="77777777" w:rsidR="00F06092" w:rsidRDefault="00F06092" w:rsidP="00F02E6F">
            <w:pPr>
              <w:pStyle w:val="QPPTableTextBody"/>
            </w:pPr>
            <w:bookmarkStart w:id="30" w:name="DV"/>
            <w:r>
              <w:lastRenderedPageBreak/>
              <w:t>DV</w:t>
            </w:r>
            <w:bookmarkEnd w:id="30"/>
          </w:p>
        </w:tc>
        <w:tc>
          <w:tcPr>
            <w:tcW w:w="5720" w:type="dxa"/>
            <w:shd w:val="clear" w:color="auto" w:fill="auto"/>
          </w:tcPr>
          <w:p w14:paraId="7D5029A2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epth X velocity product</w:t>
            </w:r>
          </w:p>
        </w:tc>
      </w:tr>
      <w:tr w:rsidR="008706AA" w:rsidRPr="006626FB" w14:paraId="1688F39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27565DE9" w14:textId="77777777" w:rsidR="008706AA" w:rsidRDefault="008706AA" w:rsidP="00F02E6F">
            <w:pPr>
              <w:pStyle w:val="QPPTableTextBody"/>
            </w:pPr>
            <w:bookmarkStart w:id="31" w:name="E"/>
            <w:r>
              <w:t>E</w:t>
            </w:r>
            <w:bookmarkEnd w:id="31"/>
          </w:p>
        </w:tc>
        <w:tc>
          <w:tcPr>
            <w:tcW w:w="5720" w:type="dxa"/>
            <w:shd w:val="clear" w:color="auto" w:fill="auto"/>
          </w:tcPr>
          <w:p w14:paraId="375D6F70" w14:textId="77777777" w:rsidR="008706AA" w:rsidRDefault="008706AA" w:rsidP="00C74A4C">
            <w:pPr>
              <w:pStyle w:val="QPPTableTextBody"/>
            </w:pPr>
            <w:r>
              <w:t>endangered</w:t>
            </w:r>
          </w:p>
        </w:tc>
      </w:tr>
      <w:tr w:rsidR="008706AA" w:rsidRPr="006626FB" w14:paraId="233059F8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EF55114" w14:textId="77777777" w:rsidR="008706AA" w:rsidRDefault="008706AA" w:rsidP="00F02E6F">
            <w:pPr>
              <w:pStyle w:val="QPPTableTextBody"/>
            </w:pPr>
            <w:bookmarkStart w:id="32" w:name="EP"/>
            <w:r>
              <w:t>EP</w:t>
            </w:r>
            <w:bookmarkEnd w:id="32"/>
          </w:p>
        </w:tc>
        <w:tc>
          <w:tcPr>
            <w:tcW w:w="5720" w:type="dxa"/>
            <w:shd w:val="clear" w:color="auto" w:fill="auto"/>
          </w:tcPr>
          <w:p w14:paraId="44343DB6" w14:textId="77777777" w:rsidR="008706AA" w:rsidRDefault="008706AA" w:rsidP="00C74A4C">
            <w:pPr>
              <w:pStyle w:val="QPPTableTextBody"/>
            </w:pPr>
            <w:r>
              <w:t>equivalent persons</w:t>
            </w:r>
          </w:p>
        </w:tc>
      </w:tr>
      <w:tr w:rsidR="00D52C62" w:rsidRPr="006626FB" w14:paraId="49B82E6A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0F83352" w14:textId="77777777" w:rsidR="00D52C62" w:rsidRPr="006626FB" w:rsidRDefault="00D52C62" w:rsidP="00F02E6F">
            <w:pPr>
              <w:pStyle w:val="QPPTableTextBody"/>
            </w:pPr>
            <w:bookmarkStart w:id="33" w:name="ERA"/>
            <w:r>
              <w:t>ERA</w:t>
            </w:r>
            <w:bookmarkEnd w:id="33"/>
          </w:p>
        </w:tc>
        <w:tc>
          <w:tcPr>
            <w:tcW w:w="5720" w:type="dxa"/>
            <w:shd w:val="clear" w:color="auto" w:fill="auto"/>
          </w:tcPr>
          <w:p w14:paraId="1CD59B6C" w14:textId="77777777" w:rsidR="00D52C62" w:rsidRPr="006626FB" w:rsidRDefault="00027B74" w:rsidP="00C74A4C">
            <w:pPr>
              <w:pStyle w:val="QPPTableTextBody"/>
            </w:pPr>
            <w:r>
              <w:t>e</w:t>
            </w:r>
            <w:r w:rsidR="00D52C62">
              <w:t>nvironmentally relevant activity</w:t>
            </w:r>
          </w:p>
        </w:tc>
      </w:tr>
      <w:tr w:rsidR="00D52C62" w:rsidRPr="006626FB" w14:paraId="1D809B3C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39D96A7B" w14:textId="77777777" w:rsidR="00D52C62" w:rsidRPr="006626FB" w:rsidRDefault="00D52C62" w:rsidP="00F02E6F">
            <w:pPr>
              <w:pStyle w:val="QPPTableTextBody"/>
            </w:pPr>
            <w:bookmarkStart w:id="34" w:name="ET"/>
            <w:r>
              <w:t>ET</w:t>
            </w:r>
            <w:bookmarkEnd w:id="34"/>
          </w:p>
        </w:tc>
        <w:tc>
          <w:tcPr>
            <w:tcW w:w="5720" w:type="dxa"/>
            <w:shd w:val="clear" w:color="auto" w:fill="auto"/>
          </w:tcPr>
          <w:p w14:paraId="64D6BF95" w14:textId="77777777" w:rsidR="00D52C62" w:rsidRPr="006626FB" w:rsidRDefault="00027B74" w:rsidP="00C74A4C">
            <w:pPr>
              <w:pStyle w:val="QPPTableTextBody"/>
            </w:pPr>
            <w:r>
              <w:t>e</w:t>
            </w:r>
            <w:r w:rsidR="00D52C62">
              <w:t>quivalent tenement</w:t>
            </w:r>
          </w:p>
        </w:tc>
      </w:tr>
      <w:tr w:rsidR="00F06092" w14:paraId="3B30BC39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A0C" w14:textId="77777777" w:rsidR="00F06092" w:rsidRPr="00A626B3" w:rsidRDefault="00F06092" w:rsidP="00F02E6F">
            <w:pPr>
              <w:pStyle w:val="QPPTableTextBody"/>
            </w:pPr>
            <w:bookmarkStart w:id="35" w:name="FPA"/>
            <w:r>
              <w:t>FPA</w:t>
            </w:r>
            <w:bookmarkEnd w:id="35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4229C" w14:textId="77777777" w:rsidR="00F06092" w:rsidRDefault="00027B74" w:rsidP="00C74A4C">
            <w:pPr>
              <w:pStyle w:val="QPPTableTextBody"/>
            </w:pPr>
            <w:r>
              <w:t>f</w:t>
            </w:r>
            <w:r w:rsidR="00F06092">
              <w:t>lood planning area</w:t>
            </w:r>
          </w:p>
        </w:tc>
      </w:tr>
      <w:tr w:rsidR="00D52C62" w14:paraId="4063EF84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B2CB" w14:textId="77777777" w:rsidR="00D52C62" w:rsidRPr="00A626B3" w:rsidRDefault="00D52C62" w:rsidP="00F02E6F">
            <w:pPr>
              <w:pStyle w:val="QPPTableTextBody"/>
            </w:pPr>
            <w:bookmarkStart w:id="36" w:name="GFA"/>
            <w:r w:rsidRPr="00A626B3">
              <w:t>GFA</w:t>
            </w:r>
            <w:bookmarkEnd w:id="36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F8A6" w14:textId="77777777" w:rsidR="00D52C62" w:rsidRPr="00A626B3" w:rsidRDefault="00027B74" w:rsidP="00C74A4C">
            <w:pPr>
              <w:pStyle w:val="QPPTableTextBody"/>
            </w:pPr>
            <w:r>
              <w:t>g</w:t>
            </w:r>
            <w:r w:rsidR="00D52C62">
              <w:t>ross f</w:t>
            </w:r>
            <w:r w:rsidR="00D52C62" w:rsidRPr="00A626B3">
              <w:t xml:space="preserve">loor </w:t>
            </w:r>
            <w:r w:rsidR="00D52C62">
              <w:t>a</w:t>
            </w:r>
            <w:r w:rsidR="00D52C62" w:rsidRPr="00A626B3">
              <w:t>rea</w:t>
            </w:r>
          </w:p>
        </w:tc>
      </w:tr>
      <w:tr w:rsidR="00D52C62" w14:paraId="11A70DCF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746B" w14:textId="77777777" w:rsidR="00D52C62" w:rsidRPr="00A626B3" w:rsidRDefault="00D52C62" w:rsidP="00F02E6F">
            <w:pPr>
              <w:pStyle w:val="QPPTableTextBody"/>
            </w:pPr>
            <w:bookmarkStart w:id="37" w:name="GVM"/>
            <w:r>
              <w:t>GVM</w:t>
            </w:r>
            <w:bookmarkEnd w:id="37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210" w14:textId="77777777" w:rsidR="00D52C62" w:rsidRDefault="00027B74" w:rsidP="00C74A4C">
            <w:pPr>
              <w:pStyle w:val="QPPTableTextBody"/>
            </w:pPr>
            <w:r>
              <w:t>g</w:t>
            </w:r>
            <w:r w:rsidR="00D52C62">
              <w:t>ross vehicle mass</w:t>
            </w:r>
          </w:p>
        </w:tc>
      </w:tr>
      <w:tr w:rsidR="00D52C62" w:rsidRPr="00056659" w14:paraId="314FDA68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50C98A8D" w14:textId="77777777" w:rsidR="00D52C62" w:rsidRPr="00056659" w:rsidRDefault="00D52C62" w:rsidP="00F02E6F">
            <w:pPr>
              <w:pStyle w:val="QPPTableTextBody"/>
            </w:pPr>
            <w:bookmarkStart w:id="38" w:name="HAT"/>
            <w:r>
              <w:t>HAT</w:t>
            </w:r>
            <w:bookmarkEnd w:id="38"/>
          </w:p>
        </w:tc>
        <w:tc>
          <w:tcPr>
            <w:tcW w:w="5720" w:type="dxa"/>
            <w:shd w:val="clear" w:color="auto" w:fill="auto"/>
          </w:tcPr>
          <w:p w14:paraId="5ED52095" w14:textId="77777777" w:rsidR="00D52C62" w:rsidRPr="00056659" w:rsidRDefault="00027B74" w:rsidP="00C74A4C">
            <w:pPr>
              <w:pStyle w:val="QPPTableTextBody"/>
            </w:pPr>
            <w:r>
              <w:t>highest astronomical t</w:t>
            </w:r>
            <w:r w:rsidR="00D52C62">
              <w:t>ide</w:t>
            </w:r>
          </w:p>
        </w:tc>
      </w:tr>
      <w:tr w:rsidR="00E94AC6" w:rsidRPr="00056659" w14:paraId="2C8A031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F7A9F4C" w14:textId="77777777" w:rsidR="00E94AC6" w:rsidRDefault="00E94AC6" w:rsidP="00F02E6F">
            <w:pPr>
              <w:pStyle w:val="QPPTableTextBody"/>
            </w:pPr>
            <w:bookmarkStart w:id="39" w:name="IARC"/>
            <w:r>
              <w:t>IARC</w:t>
            </w:r>
            <w:bookmarkEnd w:id="39"/>
          </w:p>
        </w:tc>
        <w:tc>
          <w:tcPr>
            <w:tcW w:w="5720" w:type="dxa"/>
            <w:shd w:val="clear" w:color="auto" w:fill="auto"/>
          </w:tcPr>
          <w:p w14:paraId="7E3E0670" w14:textId="77777777" w:rsidR="00E94AC6" w:rsidRDefault="00E94AC6" w:rsidP="00C74A4C">
            <w:pPr>
              <w:pStyle w:val="QPPTableTextBody"/>
            </w:pPr>
            <w:r>
              <w:t>International Agency for Research on Cancer</w:t>
            </w:r>
          </w:p>
        </w:tc>
      </w:tr>
      <w:tr w:rsidR="00D52C62" w:rsidRPr="00056659" w14:paraId="21D112E3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5A5E592" w14:textId="77777777" w:rsidR="00D52C62" w:rsidRDefault="00D52C62" w:rsidP="00F02E6F">
            <w:pPr>
              <w:pStyle w:val="QPPTableTextBody"/>
            </w:pPr>
            <w:bookmarkStart w:id="40" w:name="KRA"/>
            <w:r>
              <w:t>KRA</w:t>
            </w:r>
            <w:bookmarkEnd w:id="40"/>
          </w:p>
        </w:tc>
        <w:tc>
          <w:tcPr>
            <w:tcW w:w="5720" w:type="dxa"/>
            <w:shd w:val="clear" w:color="auto" w:fill="auto"/>
          </w:tcPr>
          <w:p w14:paraId="0864E5D0" w14:textId="77777777" w:rsidR="00D52C62" w:rsidRDefault="006E1AC9" w:rsidP="00C74A4C">
            <w:pPr>
              <w:pStyle w:val="QPPTableTextBody"/>
            </w:pPr>
            <w:r>
              <w:t>k</w:t>
            </w:r>
            <w:r w:rsidR="00D52C62">
              <w:t>ey resource area</w:t>
            </w:r>
          </w:p>
        </w:tc>
      </w:tr>
      <w:tr w:rsidR="00D52C62" w:rsidRPr="00056659" w14:paraId="015C4394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6CCE5C63" w14:textId="77777777" w:rsidR="00D52C62" w:rsidRPr="00056659" w:rsidRDefault="00D52C62" w:rsidP="00F02E6F">
            <w:pPr>
              <w:pStyle w:val="QPPTableTextBody"/>
            </w:pPr>
            <w:bookmarkStart w:id="41" w:name="LGA"/>
            <w:r w:rsidRPr="00056659">
              <w:t>LGA</w:t>
            </w:r>
            <w:bookmarkEnd w:id="41"/>
          </w:p>
        </w:tc>
        <w:tc>
          <w:tcPr>
            <w:tcW w:w="5720" w:type="dxa"/>
            <w:shd w:val="clear" w:color="auto" w:fill="auto"/>
          </w:tcPr>
          <w:p w14:paraId="43BB3E92" w14:textId="77777777" w:rsidR="00D52C62" w:rsidRPr="00056659" w:rsidRDefault="006E1AC9" w:rsidP="00C74A4C">
            <w:pPr>
              <w:pStyle w:val="QPPTableTextBody"/>
            </w:pPr>
            <w:r>
              <w:t>l</w:t>
            </w:r>
            <w:r w:rsidR="00D52C62">
              <w:t>ocal g</w:t>
            </w:r>
            <w:r w:rsidR="00D52C62" w:rsidRPr="00056659">
              <w:t xml:space="preserve">overnment </w:t>
            </w:r>
            <w:r w:rsidR="00D52C62">
              <w:t>a</w:t>
            </w:r>
            <w:r w:rsidR="00D52C62" w:rsidRPr="00056659">
              <w:t>rea</w:t>
            </w:r>
          </w:p>
        </w:tc>
      </w:tr>
      <w:tr w:rsidR="00D52C62" w:rsidRPr="00056659" w14:paraId="6BD89AC2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B9944C1" w14:textId="77777777" w:rsidR="00D52C62" w:rsidRPr="00056659" w:rsidRDefault="00D52C62" w:rsidP="00F02E6F">
            <w:pPr>
              <w:pStyle w:val="QPPTableTextBody"/>
            </w:pPr>
            <w:bookmarkStart w:id="42" w:name="HICB"/>
            <w:r>
              <w:t>HICB</w:t>
            </w:r>
            <w:bookmarkEnd w:id="42"/>
          </w:p>
        </w:tc>
        <w:tc>
          <w:tcPr>
            <w:tcW w:w="5720" w:type="dxa"/>
            <w:shd w:val="clear" w:color="auto" w:fill="auto"/>
          </w:tcPr>
          <w:p w14:paraId="51EF7E99" w14:textId="77777777" w:rsidR="00D52C62" w:rsidRDefault="00D52C62" w:rsidP="00C74A4C">
            <w:pPr>
              <w:pStyle w:val="QPPTableTextBody"/>
            </w:pPr>
            <w:r>
              <w:t>Hazardous Industries and Chemicals Branch</w:t>
            </w:r>
          </w:p>
        </w:tc>
      </w:tr>
      <w:tr w:rsidR="008252A9" w14:paraId="0AF822E1" w14:textId="77777777" w:rsidTr="00622DE8">
        <w:trPr>
          <w:trHeight w:val="173"/>
        </w:trPr>
        <w:tc>
          <w:tcPr>
            <w:tcW w:w="2802" w:type="dxa"/>
          </w:tcPr>
          <w:p w14:paraId="6FB5E2E2" w14:textId="77777777" w:rsidR="008252A9" w:rsidRDefault="008252A9" w:rsidP="00F02E6F">
            <w:pPr>
              <w:pStyle w:val="QPPTableTextBody"/>
            </w:pPr>
            <w:bookmarkStart w:id="43" w:name="LGIP"/>
            <w:r>
              <w:t>LGIP</w:t>
            </w:r>
            <w:bookmarkEnd w:id="43"/>
          </w:p>
        </w:tc>
        <w:tc>
          <w:tcPr>
            <w:tcW w:w="5720" w:type="dxa"/>
            <w:shd w:val="clear" w:color="auto" w:fill="auto"/>
          </w:tcPr>
          <w:p w14:paraId="2FCDF336" w14:textId="77777777" w:rsidR="008252A9" w:rsidRDefault="008252A9" w:rsidP="00C74A4C">
            <w:pPr>
              <w:pStyle w:val="QPPTableTextBody"/>
            </w:pPr>
            <w:r>
              <w:t>Local government infrastructure plan</w:t>
            </w:r>
          </w:p>
        </w:tc>
      </w:tr>
      <w:tr w:rsidR="00F06092" w14:paraId="47B68390" w14:textId="77777777" w:rsidTr="00622DE8">
        <w:trPr>
          <w:trHeight w:val="173"/>
        </w:trPr>
        <w:tc>
          <w:tcPr>
            <w:tcW w:w="2802" w:type="dxa"/>
          </w:tcPr>
          <w:p w14:paraId="6C5ED76B" w14:textId="77777777" w:rsidR="00F06092" w:rsidRPr="005776C4" w:rsidRDefault="007B238C" w:rsidP="00F02E6F">
            <w:pPr>
              <w:pStyle w:val="QPPTableTextBody"/>
            </w:pPr>
            <w:bookmarkStart w:id="44" w:name="MERV"/>
            <w:r>
              <w:t>MERV</w:t>
            </w:r>
            <w:bookmarkEnd w:id="44"/>
          </w:p>
        </w:tc>
        <w:tc>
          <w:tcPr>
            <w:tcW w:w="5720" w:type="dxa"/>
            <w:shd w:val="clear" w:color="auto" w:fill="auto"/>
          </w:tcPr>
          <w:p w14:paraId="0D7B213B" w14:textId="77777777" w:rsidR="00F06092" w:rsidRDefault="006E1AC9" w:rsidP="00C74A4C">
            <w:pPr>
              <w:pStyle w:val="QPPTableTextBody"/>
            </w:pPr>
            <w:r>
              <w:t>m</w:t>
            </w:r>
            <w:r w:rsidR="001F1D6B">
              <w:t>inimum efficiency reporting value</w:t>
            </w:r>
          </w:p>
        </w:tc>
      </w:tr>
      <w:tr w:rsidR="00D52C62" w14:paraId="08ACBF65" w14:textId="77777777" w:rsidTr="00622DE8">
        <w:trPr>
          <w:trHeight w:val="173"/>
        </w:trPr>
        <w:tc>
          <w:tcPr>
            <w:tcW w:w="2802" w:type="dxa"/>
          </w:tcPr>
          <w:p w14:paraId="3FE20ED1" w14:textId="77777777" w:rsidR="00D52C62" w:rsidRDefault="00D52C62" w:rsidP="00F02E6F">
            <w:pPr>
              <w:pStyle w:val="QPPTableTextBody"/>
            </w:pPr>
            <w:bookmarkStart w:id="45" w:name="MCU"/>
            <w:r w:rsidRPr="005776C4">
              <w:t>MCU</w:t>
            </w:r>
            <w:bookmarkEnd w:id="45"/>
          </w:p>
        </w:tc>
        <w:tc>
          <w:tcPr>
            <w:tcW w:w="5720" w:type="dxa"/>
            <w:shd w:val="clear" w:color="auto" w:fill="auto"/>
          </w:tcPr>
          <w:p w14:paraId="5E5F4A28" w14:textId="5A5E7AAA" w:rsidR="00D52C62" w:rsidRDefault="00632790" w:rsidP="00C74A4C">
            <w:pPr>
              <w:pStyle w:val="QPPTableTextBody"/>
            </w:pPr>
            <w:r>
              <w:t>M</w:t>
            </w:r>
            <w:r w:rsidR="00D52C62">
              <w:t>aterial change of u</w:t>
            </w:r>
            <w:r w:rsidR="00D52C62" w:rsidRPr="005776C4">
              <w:t>se</w:t>
            </w:r>
            <w:r>
              <w:t xml:space="preserve"> as defined in </w:t>
            </w:r>
            <w:r w:rsidRPr="00250BC4">
              <w:t>the Act</w:t>
            </w:r>
          </w:p>
        </w:tc>
      </w:tr>
      <w:tr w:rsidR="00D52C62" w14:paraId="606D150A" w14:textId="77777777" w:rsidTr="00622DE8">
        <w:trPr>
          <w:trHeight w:val="173"/>
        </w:trPr>
        <w:tc>
          <w:tcPr>
            <w:tcW w:w="2802" w:type="dxa"/>
          </w:tcPr>
          <w:p w14:paraId="66373784" w14:textId="77777777" w:rsidR="00D52C62" w:rsidRPr="005776C4" w:rsidRDefault="00D52C62" w:rsidP="00F02E6F">
            <w:pPr>
              <w:pStyle w:val="QPPTableTextBody"/>
            </w:pPr>
            <w:bookmarkStart w:id="46" w:name="MHF"/>
            <w:r>
              <w:t>MHF</w:t>
            </w:r>
            <w:bookmarkEnd w:id="46"/>
          </w:p>
        </w:tc>
        <w:tc>
          <w:tcPr>
            <w:tcW w:w="5720" w:type="dxa"/>
            <w:shd w:val="clear" w:color="auto" w:fill="auto"/>
          </w:tcPr>
          <w:p w14:paraId="6F59BB23" w14:textId="77777777" w:rsidR="00D52C62" w:rsidRDefault="006E1AC9" w:rsidP="00C74A4C">
            <w:pPr>
              <w:pStyle w:val="QPPTableTextBody"/>
            </w:pPr>
            <w:r>
              <w:t>m</w:t>
            </w:r>
            <w:r w:rsidR="00D52C62">
              <w:t>ajor hazard facilities</w:t>
            </w:r>
          </w:p>
        </w:tc>
      </w:tr>
      <w:tr w:rsidR="00D52C62" w14:paraId="082E1FC4" w14:textId="77777777" w:rsidTr="00622DE8">
        <w:trPr>
          <w:trHeight w:val="172"/>
        </w:trPr>
        <w:tc>
          <w:tcPr>
            <w:tcW w:w="2802" w:type="dxa"/>
          </w:tcPr>
          <w:p w14:paraId="53CD0D0E" w14:textId="77777777" w:rsidR="00D52C62" w:rsidRDefault="00D52C62" w:rsidP="00F02E6F">
            <w:pPr>
              <w:pStyle w:val="QPPTableTextBody"/>
            </w:pPr>
            <w:bookmarkStart w:id="47" w:name="MRAC"/>
            <w:r>
              <w:t>MRAC</w:t>
            </w:r>
            <w:bookmarkEnd w:id="47"/>
          </w:p>
        </w:tc>
        <w:tc>
          <w:tcPr>
            <w:tcW w:w="5720" w:type="dxa"/>
            <w:shd w:val="clear" w:color="auto" w:fill="auto"/>
          </w:tcPr>
          <w:p w14:paraId="7C7AA58D" w14:textId="77777777" w:rsidR="00D52C62" w:rsidRDefault="00D52C62" w:rsidP="00C74A4C">
            <w:pPr>
              <w:pStyle w:val="QPPTableTextBody"/>
            </w:pPr>
            <w:r>
              <w:t>Major Regional Activity Centre</w:t>
            </w:r>
          </w:p>
        </w:tc>
      </w:tr>
      <w:tr w:rsidR="0021264F" w14:paraId="02A5EDB7" w14:textId="77777777" w:rsidTr="00622DE8">
        <w:trPr>
          <w:trHeight w:val="172"/>
        </w:trPr>
        <w:tc>
          <w:tcPr>
            <w:tcW w:w="2802" w:type="dxa"/>
          </w:tcPr>
          <w:p w14:paraId="6C855A52" w14:textId="77777777" w:rsidR="0021264F" w:rsidRDefault="0021264F" w:rsidP="00F02E6F">
            <w:pPr>
              <w:pStyle w:val="QPPTableTextBody"/>
            </w:pPr>
            <w:bookmarkStart w:id="48" w:name="MUTCD"/>
            <w:r>
              <w:t>MUTCD</w:t>
            </w:r>
            <w:bookmarkEnd w:id="48"/>
          </w:p>
        </w:tc>
        <w:tc>
          <w:tcPr>
            <w:tcW w:w="5720" w:type="dxa"/>
            <w:shd w:val="clear" w:color="auto" w:fill="auto"/>
          </w:tcPr>
          <w:p w14:paraId="52E6FDDD" w14:textId="6398E521" w:rsidR="0021264F" w:rsidRDefault="0021264F" w:rsidP="00C74A4C">
            <w:pPr>
              <w:pStyle w:val="QPPTableTextBody"/>
            </w:pPr>
            <w:r w:rsidRPr="00250BC4">
              <w:t>Queensland Department of Transport and Main Roads Manual of Uniform Traffic Control Devices</w:t>
            </w:r>
          </w:p>
        </w:tc>
      </w:tr>
      <w:tr w:rsidR="00D52C62" w14:paraId="32C05A4B" w14:textId="77777777" w:rsidTr="00622DE8">
        <w:trPr>
          <w:trHeight w:val="172"/>
        </w:trPr>
        <w:tc>
          <w:tcPr>
            <w:tcW w:w="2802" w:type="dxa"/>
          </w:tcPr>
          <w:p w14:paraId="329D4492" w14:textId="77777777" w:rsidR="00D52C62" w:rsidRDefault="00D52C62" w:rsidP="00F02E6F">
            <w:pPr>
              <w:pStyle w:val="QPPTableTextBody"/>
            </w:pPr>
            <w:bookmarkStart w:id="49" w:name="MVF"/>
            <w:r>
              <w:t>MVF</w:t>
            </w:r>
            <w:bookmarkEnd w:id="49"/>
          </w:p>
        </w:tc>
        <w:tc>
          <w:tcPr>
            <w:tcW w:w="5720" w:type="dxa"/>
            <w:shd w:val="clear" w:color="auto" w:fill="auto"/>
          </w:tcPr>
          <w:p w14:paraId="565C6CA2" w14:textId="77777777" w:rsidR="00D52C62" w:rsidRDefault="006E1AC9" w:rsidP="00C74A4C">
            <w:pPr>
              <w:pStyle w:val="QPPTableTextBody"/>
            </w:pPr>
            <w:r>
              <w:t>m</w:t>
            </w:r>
            <w:r w:rsidR="00D52C62">
              <w:t>icrophyll vine forest</w:t>
            </w:r>
          </w:p>
        </w:tc>
      </w:tr>
      <w:tr w:rsidR="00D52C62" w14:paraId="64B24C91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C81D" w14:textId="77777777" w:rsidR="00D52C62" w:rsidRPr="00A626B3" w:rsidRDefault="00D52C62" w:rsidP="00F02E6F">
            <w:pPr>
              <w:pStyle w:val="QPPTableTextBody"/>
            </w:pPr>
            <w:bookmarkStart w:id="50" w:name="NIEIR"/>
            <w:r w:rsidRPr="00A626B3">
              <w:t>NIEIR</w:t>
            </w:r>
            <w:bookmarkEnd w:id="50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C459" w14:textId="77777777" w:rsidR="00D52C62" w:rsidRPr="00A626B3" w:rsidRDefault="00D52C62" w:rsidP="00C74A4C">
            <w:pPr>
              <w:pStyle w:val="QPPTableTextBody"/>
            </w:pPr>
            <w:r>
              <w:t>National Institute of E</w:t>
            </w:r>
            <w:r w:rsidRPr="00A626B3">
              <w:t xml:space="preserve">conomic and </w:t>
            </w:r>
            <w:r>
              <w:t>I</w:t>
            </w:r>
            <w:r w:rsidRPr="00A626B3">
              <w:t xml:space="preserve">ndustry </w:t>
            </w:r>
            <w:r>
              <w:t>R</w:t>
            </w:r>
            <w:r w:rsidRPr="00A626B3">
              <w:t>esearch</w:t>
            </w:r>
          </w:p>
        </w:tc>
      </w:tr>
      <w:tr w:rsidR="00D52C62" w:rsidRPr="00056659" w14:paraId="3D48E09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7304665" w14:textId="77777777" w:rsidR="00D52C62" w:rsidRPr="00056659" w:rsidRDefault="00D52C62" w:rsidP="00F02E6F">
            <w:pPr>
              <w:pStyle w:val="QPPTableTextBody"/>
            </w:pPr>
            <w:bookmarkStart w:id="51" w:name="NFPVF"/>
            <w:r>
              <w:t>NFPVF</w:t>
            </w:r>
            <w:bookmarkEnd w:id="51"/>
          </w:p>
        </w:tc>
        <w:tc>
          <w:tcPr>
            <w:tcW w:w="5720" w:type="dxa"/>
            <w:shd w:val="clear" w:color="auto" w:fill="auto"/>
          </w:tcPr>
          <w:p w14:paraId="020963DE" w14:textId="77777777" w:rsidR="00D52C62" w:rsidRPr="00056659" w:rsidRDefault="006E1AC9" w:rsidP="00C74A4C">
            <w:pPr>
              <w:pStyle w:val="QPPTableTextBody"/>
            </w:pPr>
            <w:r>
              <w:t>n</w:t>
            </w:r>
            <w:r w:rsidR="00D52C62">
              <w:t>otophyll feather palm vine forest</w:t>
            </w:r>
          </w:p>
        </w:tc>
      </w:tr>
      <w:tr w:rsidR="007B238C" w:rsidRPr="00056659" w14:paraId="1E68983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FDCC964" w14:textId="77777777" w:rsidR="007B238C" w:rsidRDefault="007B238C" w:rsidP="00F02E6F">
            <w:pPr>
              <w:pStyle w:val="QPPTableTextBody"/>
            </w:pPr>
            <w:bookmarkStart w:id="52" w:name="NPM"/>
            <w:r>
              <w:t>NPM</w:t>
            </w:r>
            <w:bookmarkEnd w:id="52"/>
          </w:p>
        </w:tc>
        <w:tc>
          <w:tcPr>
            <w:tcW w:w="5720" w:type="dxa"/>
            <w:shd w:val="clear" w:color="auto" w:fill="auto"/>
          </w:tcPr>
          <w:p w14:paraId="4426C537" w14:textId="77777777" w:rsidR="007B238C" w:rsidRDefault="006E1AC9" w:rsidP="00C74A4C">
            <w:pPr>
              <w:pStyle w:val="QPPTableTextBody"/>
            </w:pPr>
            <w:r>
              <w:t>n</w:t>
            </w:r>
            <w:r w:rsidR="007B238C">
              <w:t>eighbourhood plan map</w:t>
            </w:r>
          </w:p>
        </w:tc>
      </w:tr>
      <w:tr w:rsidR="007B238C" w:rsidRPr="00056659" w14:paraId="53050AB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DA32EAC" w14:textId="77777777" w:rsidR="007B238C" w:rsidRDefault="007B238C" w:rsidP="00F02E6F">
            <w:pPr>
              <w:pStyle w:val="QPPTableTextBody"/>
            </w:pPr>
            <w:bookmarkStart w:id="53" w:name="NPP"/>
            <w:r>
              <w:t>NPP</w:t>
            </w:r>
            <w:bookmarkEnd w:id="53"/>
          </w:p>
        </w:tc>
        <w:tc>
          <w:tcPr>
            <w:tcW w:w="5720" w:type="dxa"/>
            <w:shd w:val="clear" w:color="auto" w:fill="auto"/>
          </w:tcPr>
          <w:p w14:paraId="68425007" w14:textId="77777777" w:rsidR="007B238C" w:rsidRDefault="006E1AC9" w:rsidP="00C74A4C">
            <w:pPr>
              <w:pStyle w:val="QPPTableTextBody"/>
            </w:pPr>
            <w:r>
              <w:t>n</w:t>
            </w:r>
            <w:r w:rsidR="007B238C">
              <w:t>eighbourhood plan</w:t>
            </w:r>
            <w:r w:rsidR="00027B74">
              <w:t xml:space="preserve"> precinct</w:t>
            </w:r>
          </w:p>
        </w:tc>
      </w:tr>
      <w:tr w:rsidR="00D52C62" w:rsidRPr="00056659" w14:paraId="7E518276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0377DC3B" w14:textId="77777777" w:rsidR="00D52C62" w:rsidRDefault="00D52C62" w:rsidP="00F02E6F">
            <w:pPr>
              <w:pStyle w:val="QPPTableTextBody"/>
            </w:pPr>
            <w:bookmarkStart w:id="54" w:name="NVF"/>
            <w:r>
              <w:t>NVF</w:t>
            </w:r>
            <w:bookmarkEnd w:id="54"/>
          </w:p>
        </w:tc>
        <w:tc>
          <w:tcPr>
            <w:tcW w:w="5720" w:type="dxa"/>
            <w:shd w:val="clear" w:color="auto" w:fill="auto"/>
          </w:tcPr>
          <w:p w14:paraId="28487231" w14:textId="77777777" w:rsidR="00D52C62" w:rsidRDefault="006E1AC9" w:rsidP="00C74A4C">
            <w:pPr>
              <w:pStyle w:val="QPPTableTextBody"/>
            </w:pPr>
            <w:r>
              <w:t>n</w:t>
            </w:r>
            <w:r w:rsidR="00D52C62">
              <w:t>otophyll vine forest</w:t>
            </w:r>
          </w:p>
        </w:tc>
      </w:tr>
      <w:tr w:rsidR="00D52C62" w:rsidRPr="00056659" w14:paraId="3365E16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806DFB5" w14:textId="77777777" w:rsidR="00D52C62" w:rsidRDefault="00D52C62" w:rsidP="00F02E6F">
            <w:pPr>
              <w:pStyle w:val="QPPTableTextBody"/>
            </w:pPr>
            <w:bookmarkStart w:id="55" w:name="OC"/>
            <w:r>
              <w:t>OC</w:t>
            </w:r>
            <w:bookmarkEnd w:id="55"/>
          </w:p>
        </w:tc>
        <w:tc>
          <w:tcPr>
            <w:tcW w:w="5720" w:type="dxa"/>
            <w:shd w:val="clear" w:color="auto" w:fill="auto"/>
          </w:tcPr>
          <w:p w14:paraId="5AC0D986" w14:textId="77777777" w:rsidR="00D52C62" w:rsidRDefault="006E1AC9" w:rsidP="00C74A4C">
            <w:pPr>
              <w:pStyle w:val="QPPTableTextBody"/>
            </w:pPr>
            <w:r>
              <w:t>o</w:t>
            </w:r>
            <w:r w:rsidR="00D52C62">
              <w:t>f concern</w:t>
            </w:r>
          </w:p>
        </w:tc>
      </w:tr>
      <w:tr w:rsidR="007B238C" w:rsidRPr="00056659" w14:paraId="5E79F61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66858363" w14:textId="77777777" w:rsidR="007B238C" w:rsidRDefault="007B238C" w:rsidP="00F02E6F">
            <w:pPr>
              <w:pStyle w:val="QPPTableTextBody"/>
            </w:pPr>
            <w:bookmarkStart w:id="56" w:name="OLS"/>
            <w:r>
              <w:t>OLS</w:t>
            </w:r>
            <w:bookmarkEnd w:id="56"/>
          </w:p>
        </w:tc>
        <w:tc>
          <w:tcPr>
            <w:tcW w:w="5720" w:type="dxa"/>
            <w:shd w:val="clear" w:color="auto" w:fill="auto"/>
          </w:tcPr>
          <w:p w14:paraId="2B0E4BAD" w14:textId="77777777" w:rsidR="007B238C" w:rsidRDefault="003C2706" w:rsidP="00C74A4C">
            <w:pPr>
              <w:pStyle w:val="QPPTableTextBody"/>
            </w:pPr>
            <w:r>
              <w:t>Obstacle Limitation Surface</w:t>
            </w:r>
          </w:p>
        </w:tc>
      </w:tr>
      <w:tr w:rsidR="00D52C62" w:rsidRPr="00056659" w14:paraId="450FADDD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07E31D83" w14:textId="77777777" w:rsidR="00D52C62" w:rsidRDefault="00D52C62" w:rsidP="00F02E6F">
            <w:pPr>
              <w:pStyle w:val="QPPTableTextBody"/>
            </w:pPr>
            <w:bookmarkStart w:id="57" w:name="PAH"/>
            <w:r>
              <w:t>PAH</w:t>
            </w:r>
            <w:bookmarkEnd w:id="57"/>
          </w:p>
        </w:tc>
        <w:tc>
          <w:tcPr>
            <w:tcW w:w="5720" w:type="dxa"/>
            <w:shd w:val="clear" w:color="auto" w:fill="auto"/>
          </w:tcPr>
          <w:p w14:paraId="2EEFEACE" w14:textId="77777777" w:rsidR="00D52C62" w:rsidRDefault="006E1AC9" w:rsidP="00C74A4C">
            <w:pPr>
              <w:pStyle w:val="QPPTableTextBody"/>
            </w:pPr>
            <w:r>
              <w:t>p</w:t>
            </w:r>
            <w:r w:rsidR="00D52C62">
              <w:t>olycyclic aromatic hydrocarbons</w:t>
            </w:r>
          </w:p>
        </w:tc>
      </w:tr>
      <w:tr w:rsidR="009650EE" w:rsidRPr="00056659" w14:paraId="3DF0764E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058DC6A3" w14:textId="77777777" w:rsidR="009650EE" w:rsidRDefault="009650EE" w:rsidP="00F02E6F">
            <w:pPr>
              <w:pStyle w:val="QPPTableTextBody"/>
            </w:pPr>
            <w:bookmarkStart w:id="58" w:name="PANS"/>
            <w:r>
              <w:t>PANS</w:t>
            </w:r>
            <w:bookmarkEnd w:id="58"/>
          </w:p>
        </w:tc>
        <w:tc>
          <w:tcPr>
            <w:tcW w:w="5720" w:type="dxa"/>
            <w:shd w:val="clear" w:color="auto" w:fill="auto"/>
          </w:tcPr>
          <w:p w14:paraId="2B0A1C67" w14:textId="77777777" w:rsidR="009650EE" w:rsidRDefault="009E39FD" w:rsidP="009E39FD">
            <w:pPr>
              <w:pStyle w:val="QPPTableTextBody"/>
            </w:pPr>
            <w:r>
              <w:t>Procedures for Air Navigation Surfaces</w:t>
            </w:r>
          </w:p>
        </w:tc>
      </w:tr>
      <w:tr w:rsidR="007B238C" w:rsidRPr="00056659" w14:paraId="530D78B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CF774D6" w14:textId="77777777" w:rsidR="007B238C" w:rsidRDefault="007B238C" w:rsidP="00F02E6F">
            <w:pPr>
              <w:pStyle w:val="QPPTableTextBody"/>
            </w:pPr>
            <w:bookmarkStart w:id="59" w:name="PANSOPS"/>
            <w:r>
              <w:t>PANS</w:t>
            </w:r>
            <w:r w:rsidR="009650EE">
              <w:t>-OPS</w:t>
            </w:r>
            <w:bookmarkEnd w:id="59"/>
          </w:p>
        </w:tc>
        <w:tc>
          <w:tcPr>
            <w:tcW w:w="5720" w:type="dxa"/>
            <w:shd w:val="clear" w:color="auto" w:fill="auto"/>
          </w:tcPr>
          <w:p w14:paraId="4C4A222A" w14:textId="77777777" w:rsidR="007B238C" w:rsidRDefault="003C2706" w:rsidP="003E79EC">
            <w:pPr>
              <w:pStyle w:val="QPPTableTextBody"/>
            </w:pPr>
            <w:r>
              <w:t>Procedures for Air Navigation Services</w:t>
            </w:r>
            <w:r w:rsidR="009650EE">
              <w:t>–Aircraft Op</w:t>
            </w:r>
            <w:r w:rsidR="003E79EC">
              <w:t>eration</w:t>
            </w:r>
            <w:r w:rsidR="009E39FD">
              <w:t>al Surfaces</w:t>
            </w:r>
          </w:p>
        </w:tc>
      </w:tr>
      <w:tr w:rsidR="00D52C62" w:rsidRPr="00056659" w14:paraId="56009DD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6DD5EBF" w14:textId="77777777" w:rsidR="00D52C62" w:rsidRPr="00056659" w:rsidRDefault="00D52C62" w:rsidP="00F02E6F">
            <w:pPr>
              <w:pStyle w:val="QPPTableTextBody"/>
            </w:pPr>
            <w:bookmarkStart w:id="60" w:name="PBC"/>
            <w:r>
              <w:t>PBC</w:t>
            </w:r>
            <w:bookmarkEnd w:id="60"/>
          </w:p>
        </w:tc>
        <w:tc>
          <w:tcPr>
            <w:tcW w:w="5720" w:type="dxa"/>
            <w:shd w:val="clear" w:color="auto" w:fill="auto"/>
          </w:tcPr>
          <w:p w14:paraId="3588A3CC" w14:textId="77777777" w:rsidR="00D52C62" w:rsidRPr="00056659" w:rsidRDefault="00D52C62" w:rsidP="00C74A4C">
            <w:pPr>
              <w:pStyle w:val="QPPTableTextBody"/>
            </w:pPr>
            <w:r>
              <w:t>Port of Brisbane Corporation</w:t>
            </w:r>
          </w:p>
        </w:tc>
      </w:tr>
      <w:tr w:rsidR="00AE36F2" w:rsidRPr="00056659" w14:paraId="5581F4A2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0B49EBE" w14:textId="77777777" w:rsidR="00AE36F2" w:rsidRDefault="00AE36F2" w:rsidP="00F02E6F">
            <w:pPr>
              <w:pStyle w:val="QPPTableTextBody"/>
            </w:pPr>
            <w:bookmarkStart w:id="61" w:name="PCB"/>
            <w:r>
              <w:lastRenderedPageBreak/>
              <w:t>PCB</w:t>
            </w:r>
            <w:bookmarkEnd w:id="61"/>
          </w:p>
        </w:tc>
        <w:tc>
          <w:tcPr>
            <w:tcW w:w="5720" w:type="dxa"/>
            <w:shd w:val="clear" w:color="auto" w:fill="auto"/>
          </w:tcPr>
          <w:p w14:paraId="5C3AC41A" w14:textId="77777777" w:rsidR="00AE36F2" w:rsidRDefault="00AE36F2" w:rsidP="00C74A4C">
            <w:pPr>
              <w:pStyle w:val="QPPTableTextBody"/>
            </w:pPr>
            <w:r w:rsidRPr="00AE36F2">
              <w:t>polychlorinated biphenyls</w:t>
            </w:r>
          </w:p>
        </w:tc>
      </w:tr>
      <w:tr w:rsidR="00543D38" w:rsidRPr="00056659" w14:paraId="3450A7C0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592C6DC" w14:textId="77777777" w:rsidR="00543D38" w:rsidRDefault="00543D38" w:rsidP="00F02E6F">
            <w:pPr>
              <w:pStyle w:val="QPPTableTextBody"/>
            </w:pPr>
            <w:bookmarkStart w:id="62" w:name="PEF"/>
            <w:r>
              <w:t>PEF</w:t>
            </w:r>
            <w:bookmarkEnd w:id="62"/>
          </w:p>
        </w:tc>
        <w:tc>
          <w:tcPr>
            <w:tcW w:w="5720" w:type="dxa"/>
            <w:shd w:val="clear" w:color="auto" w:fill="auto"/>
          </w:tcPr>
          <w:p w14:paraId="1AE3E83A" w14:textId="77777777" w:rsidR="00543D38" w:rsidRDefault="00543D38" w:rsidP="00C74A4C">
            <w:pPr>
              <w:pStyle w:val="QPPTableTextBody"/>
            </w:pPr>
            <w:r>
              <w:t>p</w:t>
            </w:r>
            <w:r w:rsidRPr="00875EDF">
              <w:t>otency equivalency factors</w:t>
            </w:r>
          </w:p>
        </w:tc>
      </w:tr>
      <w:tr w:rsidR="008238F1" w:rsidRPr="00056659" w14:paraId="56DDED5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54050D0" w14:textId="77777777" w:rsidR="008238F1" w:rsidRPr="00056659" w:rsidRDefault="008238F1" w:rsidP="00F02E6F">
            <w:pPr>
              <w:pStyle w:val="QPPTableTextBody"/>
            </w:pPr>
            <w:bookmarkStart w:id="63" w:name="PET"/>
            <w:r>
              <w:t>PET</w:t>
            </w:r>
            <w:bookmarkEnd w:id="63"/>
          </w:p>
        </w:tc>
        <w:tc>
          <w:tcPr>
            <w:tcW w:w="5720" w:type="dxa"/>
            <w:shd w:val="clear" w:color="auto" w:fill="auto"/>
          </w:tcPr>
          <w:p w14:paraId="5F68E9CB" w14:textId="77777777" w:rsidR="008238F1" w:rsidRDefault="008238F1" w:rsidP="00C74A4C">
            <w:pPr>
              <w:pStyle w:val="QPPTableTextBody"/>
            </w:pPr>
            <w:r>
              <w:t>polyethylene terephthalate</w:t>
            </w:r>
          </w:p>
        </w:tc>
      </w:tr>
      <w:tr w:rsidR="008238F1" w:rsidRPr="00056659" w14:paraId="43719808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AE7A962" w14:textId="77777777" w:rsidR="008238F1" w:rsidRPr="00056659" w:rsidRDefault="008238F1" w:rsidP="00F02E6F">
            <w:pPr>
              <w:pStyle w:val="QPPTableTextBody"/>
            </w:pPr>
            <w:bookmarkStart w:id="64" w:name="PETE"/>
            <w:r>
              <w:t>PETE</w:t>
            </w:r>
            <w:bookmarkEnd w:id="64"/>
          </w:p>
        </w:tc>
        <w:tc>
          <w:tcPr>
            <w:tcW w:w="5720" w:type="dxa"/>
            <w:shd w:val="clear" w:color="auto" w:fill="auto"/>
          </w:tcPr>
          <w:p w14:paraId="4459C89A" w14:textId="77777777" w:rsidR="008238F1" w:rsidRDefault="008238F1" w:rsidP="00C74A4C">
            <w:pPr>
              <w:pStyle w:val="QPPTableTextBody"/>
            </w:pPr>
            <w:r w:rsidRPr="008238F1">
              <w:t>polyethylene terephthalate</w:t>
            </w:r>
          </w:p>
        </w:tc>
      </w:tr>
      <w:tr w:rsidR="00D52C62" w:rsidRPr="00056659" w14:paraId="280696B0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7E24DCF" w14:textId="77777777" w:rsidR="00D52C62" w:rsidRPr="00056659" w:rsidRDefault="00D52C62" w:rsidP="00F02E6F">
            <w:pPr>
              <w:pStyle w:val="QPPTableTextBody"/>
            </w:pPr>
            <w:bookmarkStart w:id="65" w:name="PFTI"/>
            <w:r w:rsidRPr="00056659">
              <w:t>PFTI</w:t>
            </w:r>
            <w:bookmarkEnd w:id="65"/>
          </w:p>
        </w:tc>
        <w:tc>
          <w:tcPr>
            <w:tcW w:w="5720" w:type="dxa"/>
            <w:shd w:val="clear" w:color="auto" w:fill="auto"/>
          </w:tcPr>
          <w:p w14:paraId="3FCFF569" w14:textId="77777777" w:rsidR="00D52C62" w:rsidRPr="00056659" w:rsidRDefault="006E1AC9" w:rsidP="00C74A4C">
            <w:pPr>
              <w:pStyle w:val="QPPTableTextBody"/>
            </w:pPr>
            <w:r>
              <w:t>p</w:t>
            </w:r>
            <w:r w:rsidR="00D52C62">
              <w:t>lans for t</w:t>
            </w:r>
            <w:r w:rsidR="00D52C62" w:rsidRPr="00056659">
              <w:t xml:space="preserve">runk </w:t>
            </w:r>
            <w:r w:rsidR="00D52C62">
              <w:t>i</w:t>
            </w:r>
            <w:r w:rsidR="00D52C62" w:rsidRPr="00056659">
              <w:t>nfrastructure</w:t>
            </w:r>
          </w:p>
        </w:tc>
      </w:tr>
      <w:tr w:rsidR="00D52C62" w:rsidRPr="00056659" w14:paraId="78C5CDB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FCF93BD" w14:textId="77777777" w:rsidR="00D52C62" w:rsidRPr="00056659" w:rsidRDefault="00D52C62" w:rsidP="00F02E6F">
            <w:pPr>
              <w:pStyle w:val="QPPTableTextBody"/>
            </w:pPr>
            <w:bookmarkStart w:id="66" w:name="PIA"/>
            <w:r w:rsidRPr="00056659">
              <w:t>PIA</w:t>
            </w:r>
            <w:bookmarkEnd w:id="66"/>
          </w:p>
        </w:tc>
        <w:tc>
          <w:tcPr>
            <w:tcW w:w="5720" w:type="dxa"/>
            <w:shd w:val="clear" w:color="auto" w:fill="auto"/>
          </w:tcPr>
          <w:p w14:paraId="79637D2B" w14:textId="77777777" w:rsidR="00D52C62" w:rsidRPr="00056659" w:rsidRDefault="00663F40" w:rsidP="00C74A4C">
            <w:pPr>
              <w:pStyle w:val="QPPTableTextBody"/>
            </w:pPr>
            <w:r>
              <w:t>p</w:t>
            </w:r>
            <w:r w:rsidR="00D52C62" w:rsidRPr="00056659">
              <w:t xml:space="preserve">riority </w:t>
            </w:r>
            <w:r w:rsidR="00D52C62">
              <w:t>i</w:t>
            </w:r>
            <w:r w:rsidR="00D52C62" w:rsidRPr="00056659">
              <w:t xml:space="preserve">nfrastructure </w:t>
            </w:r>
            <w:r w:rsidR="00D52C62">
              <w:t>a</w:t>
            </w:r>
            <w:r w:rsidR="00D52C62" w:rsidRPr="00056659">
              <w:t>rea</w:t>
            </w:r>
          </w:p>
        </w:tc>
      </w:tr>
      <w:tr w:rsidR="00D52C62" w14:paraId="43C0661C" w14:textId="77777777" w:rsidTr="00622DE8">
        <w:trPr>
          <w:trHeight w:val="173"/>
        </w:trPr>
        <w:tc>
          <w:tcPr>
            <w:tcW w:w="2802" w:type="dxa"/>
          </w:tcPr>
          <w:p w14:paraId="577198F5" w14:textId="77777777" w:rsidR="00D52C62" w:rsidRDefault="00D52C62" w:rsidP="00F02E6F">
            <w:pPr>
              <w:pStyle w:val="QPPTableTextBody"/>
            </w:pPr>
            <w:bookmarkStart w:id="67" w:name="PM"/>
            <w:r>
              <w:t>PM</w:t>
            </w:r>
            <w:bookmarkEnd w:id="67"/>
          </w:p>
        </w:tc>
        <w:tc>
          <w:tcPr>
            <w:tcW w:w="5720" w:type="dxa"/>
            <w:shd w:val="clear" w:color="auto" w:fill="auto"/>
          </w:tcPr>
          <w:p w14:paraId="3C05C0C0" w14:textId="77777777" w:rsidR="00D52C62" w:rsidRDefault="006E1AC9" w:rsidP="00C74A4C">
            <w:pPr>
              <w:pStyle w:val="QPPTableTextBody"/>
            </w:pPr>
            <w:r>
              <w:t>p</w:t>
            </w:r>
            <w:r w:rsidR="00D52C62">
              <w:t>articulate matter</w:t>
            </w:r>
          </w:p>
        </w:tc>
      </w:tr>
      <w:tr w:rsidR="00DF14C2" w14:paraId="70015330" w14:textId="77777777" w:rsidTr="00622DE8">
        <w:trPr>
          <w:trHeight w:val="173"/>
        </w:trPr>
        <w:tc>
          <w:tcPr>
            <w:tcW w:w="2802" w:type="dxa"/>
          </w:tcPr>
          <w:p w14:paraId="471A0A47" w14:textId="77777777" w:rsidR="00DF14C2" w:rsidRDefault="00DF14C2" w:rsidP="00F02E6F">
            <w:pPr>
              <w:pStyle w:val="QPPTableTextBody"/>
            </w:pPr>
            <w:bookmarkStart w:id="68" w:name="PMF"/>
            <w:r>
              <w:t>PMF</w:t>
            </w:r>
            <w:bookmarkEnd w:id="68"/>
          </w:p>
        </w:tc>
        <w:tc>
          <w:tcPr>
            <w:tcW w:w="5720" w:type="dxa"/>
            <w:shd w:val="clear" w:color="auto" w:fill="auto"/>
          </w:tcPr>
          <w:p w14:paraId="4D0911EB" w14:textId="77777777" w:rsidR="00DF14C2" w:rsidRDefault="00DF14C2" w:rsidP="00C74A4C">
            <w:pPr>
              <w:pStyle w:val="QPPTableTextBody"/>
            </w:pPr>
            <w:r>
              <w:t>probable maximum flood</w:t>
            </w:r>
          </w:p>
        </w:tc>
      </w:tr>
      <w:tr w:rsidR="00D52C62" w14:paraId="68CD1B3E" w14:textId="77777777" w:rsidTr="00622DE8">
        <w:trPr>
          <w:trHeight w:val="173"/>
        </w:trPr>
        <w:tc>
          <w:tcPr>
            <w:tcW w:w="2802" w:type="dxa"/>
          </w:tcPr>
          <w:p w14:paraId="7DE14B13" w14:textId="77777777" w:rsidR="00D52C62" w:rsidRDefault="00D52C62" w:rsidP="00F02E6F">
            <w:pPr>
              <w:pStyle w:val="QPPTableTextBody"/>
            </w:pPr>
            <w:bookmarkStart w:id="69" w:name="PRAC"/>
            <w:r>
              <w:t>PRAC</w:t>
            </w:r>
            <w:bookmarkEnd w:id="69"/>
          </w:p>
        </w:tc>
        <w:tc>
          <w:tcPr>
            <w:tcW w:w="5720" w:type="dxa"/>
            <w:shd w:val="clear" w:color="auto" w:fill="auto"/>
          </w:tcPr>
          <w:p w14:paraId="470A14CF" w14:textId="77777777" w:rsidR="00D52C62" w:rsidRDefault="00D52C62" w:rsidP="00C74A4C">
            <w:pPr>
              <w:pStyle w:val="QPPTableTextBody"/>
            </w:pPr>
            <w:r>
              <w:t>Principal Regional Activity Centre</w:t>
            </w:r>
          </w:p>
        </w:tc>
      </w:tr>
      <w:tr w:rsidR="00D52C62" w14:paraId="27CC25B6" w14:textId="77777777" w:rsidTr="00622DE8">
        <w:trPr>
          <w:trHeight w:val="173"/>
        </w:trPr>
        <w:tc>
          <w:tcPr>
            <w:tcW w:w="2802" w:type="dxa"/>
          </w:tcPr>
          <w:p w14:paraId="1F9B15C2" w14:textId="77777777" w:rsidR="00D52C62" w:rsidRDefault="00D52C62" w:rsidP="00F02E6F">
            <w:pPr>
              <w:pStyle w:val="QPPTableTextBody"/>
            </w:pPr>
            <w:bookmarkStart w:id="70" w:name="PSP"/>
            <w:r>
              <w:t>PSP</w:t>
            </w:r>
            <w:bookmarkEnd w:id="70"/>
          </w:p>
        </w:tc>
        <w:tc>
          <w:tcPr>
            <w:tcW w:w="5720" w:type="dxa"/>
            <w:shd w:val="clear" w:color="auto" w:fill="auto"/>
          </w:tcPr>
          <w:p w14:paraId="1B9E6D19" w14:textId="77777777" w:rsidR="00D52C62" w:rsidRDefault="00D52C62" w:rsidP="00C74A4C">
            <w:pPr>
              <w:pStyle w:val="QPPTableTextBody"/>
            </w:pPr>
            <w:r>
              <w:t>Planning scheme policy</w:t>
            </w:r>
          </w:p>
        </w:tc>
      </w:tr>
      <w:tr w:rsidR="00D52C62" w14:paraId="40178429" w14:textId="77777777" w:rsidTr="00622DE8">
        <w:trPr>
          <w:trHeight w:val="173"/>
        </w:trPr>
        <w:tc>
          <w:tcPr>
            <w:tcW w:w="2802" w:type="dxa"/>
          </w:tcPr>
          <w:p w14:paraId="5DCF717C" w14:textId="77777777" w:rsidR="00D52C62" w:rsidRDefault="00D52C62" w:rsidP="00F02E6F">
            <w:pPr>
              <w:pStyle w:val="QPPTableTextBody"/>
            </w:pPr>
            <w:bookmarkStart w:id="71" w:name="QDC"/>
            <w:r>
              <w:t>QDC</w:t>
            </w:r>
            <w:bookmarkEnd w:id="71"/>
          </w:p>
        </w:tc>
        <w:tc>
          <w:tcPr>
            <w:tcW w:w="5720" w:type="dxa"/>
            <w:shd w:val="clear" w:color="auto" w:fill="auto"/>
          </w:tcPr>
          <w:p w14:paraId="7A418EFD" w14:textId="77777777" w:rsidR="00D52C62" w:rsidRDefault="00D52C62" w:rsidP="00C74A4C">
            <w:pPr>
              <w:pStyle w:val="QPPTableTextBody"/>
            </w:pPr>
            <w:r>
              <w:t>Queensland Development Code</w:t>
            </w:r>
          </w:p>
        </w:tc>
      </w:tr>
      <w:tr w:rsidR="00D52C62" w14:paraId="06FFB903" w14:textId="77777777" w:rsidTr="00622DE8">
        <w:trPr>
          <w:trHeight w:val="172"/>
        </w:trPr>
        <w:tc>
          <w:tcPr>
            <w:tcW w:w="2802" w:type="dxa"/>
          </w:tcPr>
          <w:p w14:paraId="6135E34C" w14:textId="77777777" w:rsidR="00D52C62" w:rsidRDefault="00D52C62" w:rsidP="00F02E6F">
            <w:pPr>
              <w:pStyle w:val="QPPTableTextBody"/>
            </w:pPr>
            <w:bookmarkStart w:id="72" w:name="QGSS"/>
            <w:r>
              <w:t>QGSS</w:t>
            </w:r>
            <w:bookmarkEnd w:id="72"/>
          </w:p>
        </w:tc>
        <w:tc>
          <w:tcPr>
            <w:tcW w:w="5720" w:type="dxa"/>
            <w:shd w:val="clear" w:color="auto" w:fill="auto"/>
          </w:tcPr>
          <w:p w14:paraId="6B5DC29C" w14:textId="77777777" w:rsidR="00D52C62" w:rsidRDefault="00D52C62" w:rsidP="00C74A4C">
            <w:pPr>
              <w:pStyle w:val="QPPTableTextBody"/>
            </w:pPr>
            <w:r>
              <w:t>Queensland</w:t>
            </w:r>
            <w:r w:rsidR="006E1AC9">
              <w:t xml:space="preserve"> G</w:t>
            </w:r>
            <w:r>
              <w:t>overnment strategic sites</w:t>
            </w:r>
          </w:p>
        </w:tc>
      </w:tr>
      <w:tr w:rsidR="00D52C62" w14:paraId="5E545037" w14:textId="77777777" w:rsidTr="00622DE8">
        <w:trPr>
          <w:trHeight w:val="173"/>
        </w:trPr>
        <w:tc>
          <w:tcPr>
            <w:tcW w:w="2802" w:type="dxa"/>
          </w:tcPr>
          <w:p w14:paraId="1B694F94" w14:textId="77777777" w:rsidR="00D52C62" w:rsidRDefault="00D52C62" w:rsidP="00F02E6F">
            <w:pPr>
              <w:pStyle w:val="QPPTableTextBody"/>
            </w:pPr>
            <w:bookmarkStart w:id="73" w:name="QUU"/>
            <w:r>
              <w:t>QUU</w:t>
            </w:r>
            <w:bookmarkEnd w:id="73"/>
          </w:p>
        </w:tc>
        <w:tc>
          <w:tcPr>
            <w:tcW w:w="5720" w:type="dxa"/>
            <w:shd w:val="clear" w:color="auto" w:fill="auto"/>
          </w:tcPr>
          <w:p w14:paraId="321EB00A" w14:textId="77777777" w:rsidR="00D52C62" w:rsidRDefault="00D52C62" w:rsidP="00C74A4C">
            <w:pPr>
              <w:pStyle w:val="QPPTableTextBody"/>
            </w:pPr>
            <w:r>
              <w:t>Queensland Urban Utilities</w:t>
            </w:r>
          </w:p>
        </w:tc>
      </w:tr>
      <w:tr w:rsidR="00D52C62" w14:paraId="6AC86536" w14:textId="77777777" w:rsidTr="00622DE8">
        <w:trPr>
          <w:trHeight w:val="172"/>
        </w:trPr>
        <w:tc>
          <w:tcPr>
            <w:tcW w:w="2802" w:type="dxa"/>
          </w:tcPr>
          <w:p w14:paraId="63962CFD" w14:textId="77777777" w:rsidR="00D52C62" w:rsidRDefault="00D52C62" w:rsidP="00F02E6F">
            <w:pPr>
              <w:pStyle w:val="QPPTableTextBody"/>
            </w:pPr>
            <w:bookmarkStart w:id="74" w:name="RBL"/>
            <w:r>
              <w:t>RBL</w:t>
            </w:r>
            <w:bookmarkEnd w:id="74"/>
          </w:p>
        </w:tc>
        <w:tc>
          <w:tcPr>
            <w:tcW w:w="5720" w:type="dxa"/>
            <w:shd w:val="clear" w:color="auto" w:fill="auto"/>
          </w:tcPr>
          <w:p w14:paraId="1348CC0A" w14:textId="77777777" w:rsidR="00D52C62" w:rsidRDefault="006E1AC9" w:rsidP="00C74A4C">
            <w:pPr>
              <w:pStyle w:val="QPPTableTextBody"/>
            </w:pPr>
            <w:r>
              <w:t>rating background l</w:t>
            </w:r>
            <w:r w:rsidR="00D52C62">
              <w:t>evel</w:t>
            </w:r>
          </w:p>
        </w:tc>
      </w:tr>
      <w:tr w:rsidR="007B238C" w14:paraId="3AEBF2D6" w14:textId="77777777" w:rsidTr="00622DE8">
        <w:trPr>
          <w:trHeight w:val="172"/>
        </w:trPr>
        <w:tc>
          <w:tcPr>
            <w:tcW w:w="2802" w:type="dxa"/>
          </w:tcPr>
          <w:p w14:paraId="24DFB0B2" w14:textId="77777777" w:rsidR="007B238C" w:rsidRDefault="007B238C" w:rsidP="00F02E6F">
            <w:pPr>
              <w:pStyle w:val="QPPTableTextBody"/>
            </w:pPr>
            <w:bookmarkStart w:id="75" w:name="RE"/>
            <w:r>
              <w:t>RE</w:t>
            </w:r>
            <w:bookmarkEnd w:id="75"/>
          </w:p>
        </w:tc>
        <w:tc>
          <w:tcPr>
            <w:tcW w:w="5720" w:type="dxa"/>
            <w:shd w:val="clear" w:color="auto" w:fill="auto"/>
          </w:tcPr>
          <w:p w14:paraId="348A5BAE" w14:textId="77777777" w:rsidR="007B238C" w:rsidRDefault="006B25EE" w:rsidP="00C74A4C">
            <w:pPr>
              <w:pStyle w:val="QPPTableTextBody"/>
            </w:pPr>
            <w:r>
              <w:t>regional ecosystem</w:t>
            </w:r>
          </w:p>
        </w:tc>
      </w:tr>
      <w:tr w:rsidR="00120F30" w14:paraId="1EBFC6EB" w14:textId="77777777" w:rsidTr="00622DE8">
        <w:trPr>
          <w:trHeight w:val="172"/>
        </w:trPr>
        <w:tc>
          <w:tcPr>
            <w:tcW w:w="2802" w:type="dxa"/>
          </w:tcPr>
          <w:p w14:paraId="08CFC04E" w14:textId="77777777" w:rsidR="00120F30" w:rsidRDefault="00120F30" w:rsidP="00F02E6F">
            <w:pPr>
              <w:pStyle w:val="QPPTableTextBody"/>
            </w:pPr>
            <w:bookmarkStart w:id="76" w:name="theRegulation"/>
            <w:r>
              <w:t>the Regulation</w:t>
            </w:r>
            <w:bookmarkEnd w:id="76"/>
          </w:p>
        </w:tc>
        <w:tc>
          <w:tcPr>
            <w:tcW w:w="5720" w:type="dxa"/>
            <w:shd w:val="clear" w:color="auto" w:fill="auto"/>
          </w:tcPr>
          <w:p w14:paraId="25112B88" w14:textId="0831F108" w:rsidR="00120F30" w:rsidRDefault="009F05EC" w:rsidP="00C74A4C">
            <w:pPr>
              <w:pStyle w:val="QPPTableTextBody"/>
            </w:pPr>
            <w:r w:rsidRPr="00250BC4">
              <w:rPr>
                <w:i/>
              </w:rPr>
              <w:t>Planning Regulation 2017</w:t>
            </w:r>
          </w:p>
        </w:tc>
      </w:tr>
      <w:tr w:rsidR="007B238C" w14:paraId="5571E284" w14:textId="77777777" w:rsidTr="00622DE8">
        <w:trPr>
          <w:trHeight w:val="172"/>
        </w:trPr>
        <w:tc>
          <w:tcPr>
            <w:tcW w:w="2802" w:type="dxa"/>
          </w:tcPr>
          <w:p w14:paraId="3E3ED5ED" w14:textId="77777777" w:rsidR="007B238C" w:rsidRPr="005776C4" w:rsidRDefault="007B238C" w:rsidP="00F02E6F">
            <w:pPr>
              <w:pStyle w:val="QPPTableTextBody"/>
            </w:pPr>
            <w:bookmarkStart w:id="77" w:name="RFL"/>
            <w:r>
              <w:t>RFL</w:t>
            </w:r>
            <w:bookmarkEnd w:id="77"/>
          </w:p>
        </w:tc>
        <w:tc>
          <w:tcPr>
            <w:tcW w:w="5720" w:type="dxa"/>
            <w:shd w:val="clear" w:color="auto" w:fill="auto"/>
          </w:tcPr>
          <w:p w14:paraId="0BA1B38D" w14:textId="77777777" w:rsidR="007B238C" w:rsidRDefault="00065089" w:rsidP="00C74A4C">
            <w:pPr>
              <w:pStyle w:val="QPPTableTextBody"/>
            </w:pPr>
            <w:r>
              <w:t>residential flood level</w:t>
            </w:r>
          </w:p>
        </w:tc>
      </w:tr>
      <w:tr w:rsidR="007B238C" w14:paraId="19B3E08D" w14:textId="77777777" w:rsidTr="00622DE8">
        <w:trPr>
          <w:trHeight w:val="172"/>
        </w:trPr>
        <w:tc>
          <w:tcPr>
            <w:tcW w:w="2802" w:type="dxa"/>
          </w:tcPr>
          <w:p w14:paraId="0D0BC7EF" w14:textId="77777777" w:rsidR="007B238C" w:rsidRPr="005776C4" w:rsidRDefault="007B238C" w:rsidP="00F02E6F">
            <w:pPr>
              <w:pStyle w:val="QPPTableTextBody"/>
            </w:pPr>
            <w:bookmarkStart w:id="78" w:name="RL"/>
            <w:r>
              <w:t>RL</w:t>
            </w:r>
            <w:bookmarkEnd w:id="78"/>
          </w:p>
        </w:tc>
        <w:tc>
          <w:tcPr>
            <w:tcW w:w="5720" w:type="dxa"/>
            <w:shd w:val="clear" w:color="auto" w:fill="auto"/>
          </w:tcPr>
          <w:p w14:paraId="1801D778" w14:textId="77777777" w:rsidR="007B238C" w:rsidRDefault="00065089" w:rsidP="00C74A4C">
            <w:pPr>
              <w:pStyle w:val="QPPTableTextBody"/>
            </w:pPr>
            <w:r>
              <w:t>r</w:t>
            </w:r>
            <w:r w:rsidR="003B24C6">
              <w:t>educed level</w:t>
            </w:r>
          </w:p>
        </w:tc>
      </w:tr>
      <w:tr w:rsidR="00D52C62" w14:paraId="0ED23AC9" w14:textId="77777777" w:rsidTr="00622DE8">
        <w:trPr>
          <w:trHeight w:val="172"/>
        </w:trPr>
        <w:tc>
          <w:tcPr>
            <w:tcW w:w="2802" w:type="dxa"/>
          </w:tcPr>
          <w:p w14:paraId="24BA3F6A" w14:textId="77777777" w:rsidR="00D52C62" w:rsidRPr="005776C4" w:rsidRDefault="00D52C62" w:rsidP="00F02E6F">
            <w:pPr>
              <w:pStyle w:val="QPPTableTextBody"/>
            </w:pPr>
            <w:bookmarkStart w:id="79" w:name="ROL"/>
            <w:r w:rsidRPr="005776C4">
              <w:t>ROL</w:t>
            </w:r>
            <w:bookmarkEnd w:id="79"/>
          </w:p>
        </w:tc>
        <w:tc>
          <w:tcPr>
            <w:tcW w:w="5720" w:type="dxa"/>
            <w:shd w:val="clear" w:color="auto" w:fill="auto"/>
          </w:tcPr>
          <w:p w14:paraId="181F9635" w14:textId="1AF3D959" w:rsidR="00D52C62" w:rsidRDefault="00632790" w:rsidP="00CB34B0">
            <w:pPr>
              <w:pStyle w:val="QPPTableTextBody"/>
            </w:pPr>
            <w:r>
              <w:t>R</w:t>
            </w:r>
            <w:r w:rsidR="00065089">
              <w:t>econfiguring a lot</w:t>
            </w:r>
            <w:r>
              <w:t xml:space="preserve"> </w:t>
            </w:r>
            <w:r w:rsidRPr="00CB34B0">
              <w:t>as defined in</w:t>
            </w:r>
            <w:r>
              <w:t xml:space="preserve"> </w:t>
            </w:r>
            <w:r w:rsidRPr="00250BC4">
              <w:t>the Act</w:t>
            </w:r>
          </w:p>
        </w:tc>
      </w:tr>
      <w:tr w:rsidR="00D52C62" w14:paraId="523B9257" w14:textId="77777777" w:rsidTr="00622DE8">
        <w:tc>
          <w:tcPr>
            <w:tcW w:w="2802" w:type="dxa"/>
          </w:tcPr>
          <w:p w14:paraId="3225E818" w14:textId="77777777" w:rsidR="00D52C62" w:rsidRDefault="00D52C62" w:rsidP="00F02E6F">
            <w:pPr>
              <w:pStyle w:val="QPPTableTextBody"/>
            </w:pPr>
            <w:bookmarkStart w:id="80" w:name="RPEQ"/>
            <w:r>
              <w:t>RPEQ</w:t>
            </w:r>
            <w:bookmarkEnd w:id="80"/>
          </w:p>
        </w:tc>
        <w:tc>
          <w:tcPr>
            <w:tcW w:w="5720" w:type="dxa"/>
          </w:tcPr>
          <w:p w14:paraId="7345A799" w14:textId="699E717D" w:rsidR="00D52C62" w:rsidRDefault="00D52C62" w:rsidP="00C74A4C">
            <w:pPr>
              <w:pStyle w:val="QPPTableTextBody"/>
            </w:pPr>
            <w:r w:rsidRPr="00250BC4">
              <w:t>Registered Professional Engineer Queensland</w:t>
            </w:r>
          </w:p>
        </w:tc>
      </w:tr>
      <w:tr w:rsidR="006F7435" w14:paraId="7DAE721C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E0F" w14:textId="312F9C77" w:rsidR="006F7435" w:rsidRDefault="006F7435" w:rsidP="00F02E6F">
            <w:pPr>
              <w:pStyle w:val="QPPTableTextBody"/>
            </w:pPr>
            <w:r>
              <w:t>SARA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654C2" w14:textId="17AC3786" w:rsidR="006F7435" w:rsidRDefault="006F7435" w:rsidP="00C74A4C">
            <w:pPr>
              <w:pStyle w:val="QPPTableTextBody"/>
            </w:pPr>
            <w:r>
              <w:t>State Assessment and Referral Agency</w:t>
            </w:r>
          </w:p>
        </w:tc>
      </w:tr>
      <w:tr w:rsidR="00D52C62" w14:paraId="2D02B7FB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3E3" w14:textId="77777777" w:rsidR="00D52C62" w:rsidRPr="00A626B3" w:rsidRDefault="00D52C62" w:rsidP="00F02E6F">
            <w:pPr>
              <w:pStyle w:val="QPPTableTextBody"/>
            </w:pPr>
            <w:bookmarkStart w:id="81" w:name="SCA"/>
            <w:r>
              <w:t>SCA</w:t>
            </w:r>
            <w:bookmarkEnd w:id="81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34F7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>
              <w:t>pecial context areas</w:t>
            </w:r>
          </w:p>
        </w:tc>
      </w:tr>
      <w:tr w:rsidR="00895E84" w14:paraId="1BA2F980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043" w14:textId="77777777" w:rsidR="00895E84" w:rsidRDefault="00895E84" w:rsidP="00F02E6F">
            <w:pPr>
              <w:pStyle w:val="QPPTableTextBody"/>
            </w:pPr>
            <w:bookmarkStart w:id="82" w:name="SEA"/>
            <w:r>
              <w:t>SEA</w:t>
            </w:r>
            <w:bookmarkEnd w:id="82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06080" w14:textId="77777777" w:rsidR="00895E84" w:rsidRDefault="00895E84" w:rsidP="00C74A4C">
            <w:pPr>
              <w:pStyle w:val="QPPTableTextBody"/>
            </w:pPr>
            <w:r>
              <w:t>special entertainment area</w:t>
            </w:r>
          </w:p>
        </w:tc>
      </w:tr>
      <w:tr w:rsidR="00D52C62" w14:paraId="2CD87BBC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A9" w14:textId="77777777" w:rsidR="00D52C62" w:rsidRPr="00A626B3" w:rsidRDefault="00D52C62" w:rsidP="00F02E6F">
            <w:pPr>
              <w:pStyle w:val="QPPTableTextBody"/>
            </w:pPr>
            <w:bookmarkStart w:id="83" w:name="SEQ"/>
            <w:r>
              <w:t>SEQ</w:t>
            </w:r>
            <w:bookmarkEnd w:id="83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AED24" w14:textId="77777777" w:rsidR="00D52C62" w:rsidRDefault="00D52C62" w:rsidP="00C74A4C">
            <w:pPr>
              <w:pStyle w:val="QPPTableTextBody"/>
            </w:pPr>
            <w:r>
              <w:t>South East Queensland</w:t>
            </w:r>
          </w:p>
        </w:tc>
      </w:tr>
      <w:tr w:rsidR="007A143D" w14:paraId="4C8BB601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A64E" w14:textId="77777777" w:rsidR="007A143D" w:rsidRDefault="007A143D" w:rsidP="00F02E6F">
            <w:pPr>
              <w:pStyle w:val="QPPTableTextBody"/>
            </w:pPr>
            <w:bookmarkStart w:id="84" w:name="SEQRegionalPlan"/>
            <w:r w:rsidRPr="007A143D">
              <w:t>SEQ Regional Plan</w:t>
            </w:r>
            <w:bookmarkEnd w:id="84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BAAFE" w14:textId="5E94DF7C" w:rsidR="007A143D" w:rsidRDefault="007A143D" w:rsidP="007A143D">
            <w:pPr>
              <w:pStyle w:val="QPPTableTextBody"/>
            </w:pPr>
            <w:r w:rsidRPr="00250BC4">
              <w:t>South East Queensland Regional Plan</w:t>
            </w:r>
          </w:p>
        </w:tc>
      </w:tr>
      <w:tr w:rsidR="00D52C62" w14:paraId="5E9E9AEE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1523" w14:textId="77777777" w:rsidR="00D52C62" w:rsidRPr="00A626B3" w:rsidRDefault="00D52C62" w:rsidP="00F02E6F">
            <w:pPr>
              <w:pStyle w:val="QPPTableTextBody"/>
            </w:pPr>
            <w:bookmarkStart w:id="85" w:name="SLA"/>
            <w:r w:rsidRPr="00A626B3">
              <w:t>SLA</w:t>
            </w:r>
            <w:bookmarkEnd w:id="85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B236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 w:rsidRPr="00A626B3">
              <w:t xml:space="preserve">tatistical </w:t>
            </w:r>
            <w:r w:rsidR="00D52C62">
              <w:t>l</w:t>
            </w:r>
            <w:r w:rsidR="00D52C62" w:rsidRPr="00A626B3">
              <w:t xml:space="preserve">ocal </w:t>
            </w:r>
            <w:r w:rsidR="00D52C62">
              <w:t>a</w:t>
            </w:r>
            <w:r w:rsidR="00D52C62" w:rsidRPr="00A626B3">
              <w:t>rea</w:t>
            </w:r>
          </w:p>
        </w:tc>
      </w:tr>
      <w:tr w:rsidR="009F05EC" w14:paraId="1F127B78" w14:textId="77777777" w:rsidTr="00D025D6">
        <w:tc>
          <w:tcPr>
            <w:tcW w:w="2802" w:type="dxa"/>
          </w:tcPr>
          <w:p w14:paraId="05AA8A16" w14:textId="77777777" w:rsidR="009F05EC" w:rsidRPr="009F05EC" w:rsidRDefault="009F05EC" w:rsidP="009F05EC">
            <w:pPr>
              <w:pStyle w:val="QPPTableTextBody"/>
            </w:pPr>
            <w:bookmarkStart w:id="86" w:name="theSPAct"/>
            <w:r>
              <w:t>the SP Act</w:t>
            </w:r>
            <w:bookmarkEnd w:id="86"/>
          </w:p>
        </w:tc>
        <w:tc>
          <w:tcPr>
            <w:tcW w:w="5720" w:type="dxa"/>
          </w:tcPr>
          <w:p w14:paraId="7A801780" w14:textId="2FA43E69" w:rsidR="009F05EC" w:rsidRPr="009F05EC" w:rsidRDefault="009F05EC" w:rsidP="009F05EC">
            <w:pPr>
              <w:pStyle w:val="QPPBodytext"/>
            </w:pPr>
            <w:r w:rsidRPr="00250BC4">
              <w:rPr>
                <w:i/>
              </w:rPr>
              <w:t>Sustainable Planning Act 2009 (repealed)</w:t>
            </w:r>
          </w:p>
        </w:tc>
      </w:tr>
      <w:tr w:rsidR="009F05EC" w14:paraId="581D6F7B" w14:textId="77777777" w:rsidTr="00D025D6">
        <w:trPr>
          <w:trHeight w:val="172"/>
        </w:trPr>
        <w:tc>
          <w:tcPr>
            <w:tcW w:w="2802" w:type="dxa"/>
          </w:tcPr>
          <w:p w14:paraId="231768B6" w14:textId="77777777" w:rsidR="009F05EC" w:rsidRPr="009F05EC" w:rsidRDefault="009F05EC" w:rsidP="009F05EC">
            <w:pPr>
              <w:pStyle w:val="QPPTableTextBody"/>
            </w:pPr>
            <w:bookmarkStart w:id="87" w:name="theSPRegulation"/>
            <w:r>
              <w:t>the SP Regulation</w:t>
            </w:r>
            <w:bookmarkEnd w:id="87"/>
          </w:p>
        </w:tc>
        <w:tc>
          <w:tcPr>
            <w:tcW w:w="5720" w:type="dxa"/>
            <w:shd w:val="clear" w:color="auto" w:fill="auto"/>
          </w:tcPr>
          <w:p w14:paraId="5418D7D9" w14:textId="1B70C69F" w:rsidR="009F05EC" w:rsidRPr="009F05EC" w:rsidRDefault="009F05EC" w:rsidP="009F05EC">
            <w:pPr>
              <w:pStyle w:val="QPPBodytext"/>
            </w:pPr>
            <w:r w:rsidRPr="00250BC4">
              <w:rPr>
                <w:i/>
              </w:rPr>
              <w:t>Sustainable Planning Regulation 2009 (repealed)</w:t>
            </w:r>
          </w:p>
        </w:tc>
      </w:tr>
      <w:tr w:rsidR="008706AA" w14:paraId="2E086076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9EBE" w14:textId="77777777" w:rsidR="008706AA" w:rsidRDefault="008706AA" w:rsidP="00F02E6F">
            <w:pPr>
              <w:pStyle w:val="QPPTableTextBody"/>
            </w:pPr>
            <w:bookmarkStart w:id="88" w:name="SPP"/>
            <w:r>
              <w:t>SPP</w:t>
            </w:r>
            <w:bookmarkEnd w:id="88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CFCA" w14:textId="6E5A5195" w:rsidR="008706AA" w:rsidDel="008706AA" w:rsidRDefault="00744B4B" w:rsidP="00744B4B">
            <w:pPr>
              <w:pStyle w:val="QPPTableTextBody"/>
            </w:pPr>
            <w:r w:rsidRPr="00250BC4">
              <w:t>S</w:t>
            </w:r>
            <w:r w:rsidR="008706AA" w:rsidRPr="00250BC4">
              <w:t xml:space="preserve">tate </w:t>
            </w:r>
            <w:r w:rsidRPr="00250BC4">
              <w:t>P</w:t>
            </w:r>
            <w:r w:rsidR="008706AA" w:rsidRPr="00250BC4">
              <w:t xml:space="preserve">lanning </w:t>
            </w:r>
            <w:r w:rsidRPr="00250BC4">
              <w:t>P</w:t>
            </w:r>
            <w:r w:rsidR="008706AA" w:rsidRPr="00250BC4">
              <w:t>olicy</w:t>
            </w:r>
          </w:p>
        </w:tc>
      </w:tr>
      <w:tr w:rsidR="00D52C62" w14:paraId="2031E53E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4DCF" w14:textId="77777777" w:rsidR="00D52C62" w:rsidRPr="00A626B3" w:rsidRDefault="00D52C62" w:rsidP="00F02E6F">
            <w:pPr>
              <w:pStyle w:val="QPPTableTextBody"/>
            </w:pPr>
            <w:bookmarkStart w:id="89" w:name="SRA"/>
            <w:r>
              <w:t>SRA</w:t>
            </w:r>
            <w:bookmarkEnd w:id="89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C7DA" w14:textId="77777777" w:rsidR="00D52C62" w:rsidRDefault="008706AA" w:rsidP="00C74A4C">
            <w:pPr>
              <w:pStyle w:val="QPPTableTextBody"/>
            </w:pPr>
            <w:r>
              <w:t>strategic redevelopment area</w:t>
            </w:r>
          </w:p>
        </w:tc>
      </w:tr>
      <w:tr w:rsidR="00D52C62" w14:paraId="4701D0F1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67E" w14:textId="77777777" w:rsidR="00D52C62" w:rsidRPr="00A626B3" w:rsidRDefault="00D52C62" w:rsidP="00F02E6F">
            <w:pPr>
              <w:pStyle w:val="QPPTableTextBody"/>
            </w:pPr>
            <w:bookmarkStart w:id="90" w:name="STP"/>
            <w:r w:rsidRPr="00A626B3">
              <w:t>STP</w:t>
            </w:r>
            <w:bookmarkEnd w:id="90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57BE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>
              <w:t>ewerage t</w:t>
            </w:r>
            <w:r w:rsidR="00D52C62" w:rsidRPr="00A626B3">
              <w:t xml:space="preserve">reatment </w:t>
            </w:r>
            <w:r w:rsidR="00D52C62">
              <w:t>p</w:t>
            </w:r>
            <w:r w:rsidR="00D52C62" w:rsidRPr="00A626B3">
              <w:t>lant</w:t>
            </w:r>
          </w:p>
        </w:tc>
      </w:tr>
      <w:tr w:rsidR="00D52C62" w14:paraId="2B219AA6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7AE1" w14:textId="77777777" w:rsidR="00D52C62" w:rsidRPr="00A626B3" w:rsidRDefault="00D52C62" w:rsidP="00F02E6F">
            <w:pPr>
              <w:pStyle w:val="QPPTableTextBody"/>
            </w:pPr>
            <w:bookmarkStart w:id="91" w:name="TCDD"/>
            <w:r>
              <w:t>TCDD</w:t>
            </w:r>
            <w:bookmarkEnd w:id="91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BCE9A" w14:textId="77777777" w:rsidR="00D52C62" w:rsidRDefault="00065089" w:rsidP="00C74A4C">
            <w:pPr>
              <w:pStyle w:val="QPPTableTextBody"/>
            </w:pPr>
            <w:r>
              <w:t>t</w:t>
            </w:r>
            <w:r w:rsidR="00D52C62">
              <w:t>etrachlorodibenzodioxin</w:t>
            </w:r>
          </w:p>
        </w:tc>
      </w:tr>
      <w:tr w:rsidR="00D52C62" w14:paraId="46CE1735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EB1" w14:textId="77777777" w:rsidR="00D52C62" w:rsidRDefault="00D52C62" w:rsidP="00F02E6F">
            <w:pPr>
              <w:pStyle w:val="QPPTableTextBody"/>
            </w:pPr>
            <w:bookmarkStart w:id="92" w:name="TEF"/>
            <w:r>
              <w:t>TEF</w:t>
            </w:r>
            <w:bookmarkEnd w:id="92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4B8" w14:textId="77777777" w:rsidR="00D52C62" w:rsidRDefault="00700348" w:rsidP="00C74A4C">
            <w:pPr>
              <w:pStyle w:val="QPPTableTextBody"/>
            </w:pPr>
            <w:r>
              <w:t>t</w:t>
            </w:r>
            <w:r w:rsidR="00D52C62">
              <w:t>oxic equivalency factors</w:t>
            </w:r>
          </w:p>
        </w:tc>
      </w:tr>
      <w:tr w:rsidR="00D52C62" w14:paraId="411F6227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2737" w14:textId="77777777" w:rsidR="00D52C62" w:rsidRDefault="00D52C62" w:rsidP="00F02E6F">
            <w:pPr>
              <w:pStyle w:val="QPPTableTextBody"/>
            </w:pPr>
            <w:bookmarkStart w:id="93" w:name="TOD"/>
            <w:r>
              <w:lastRenderedPageBreak/>
              <w:t>TOD</w:t>
            </w:r>
            <w:bookmarkEnd w:id="93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65673" w14:textId="77777777" w:rsidR="00D52C62" w:rsidRDefault="00700348" w:rsidP="00C74A4C">
            <w:pPr>
              <w:pStyle w:val="QPPTableTextBody"/>
            </w:pPr>
            <w:r>
              <w:t>t</w:t>
            </w:r>
            <w:r w:rsidR="00D52C62">
              <w:t>ransit oriented development</w:t>
            </w:r>
          </w:p>
        </w:tc>
      </w:tr>
      <w:tr w:rsidR="00D52C62" w14:paraId="56727EEA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D0E" w14:textId="77777777" w:rsidR="00D52C62" w:rsidRPr="00A626B3" w:rsidRDefault="00D52C62" w:rsidP="00F02E6F">
            <w:pPr>
              <w:pStyle w:val="QPPTableTextBody"/>
            </w:pPr>
            <w:bookmarkStart w:id="94" w:name="TSP"/>
            <w:r>
              <w:t>TSP</w:t>
            </w:r>
            <w:bookmarkEnd w:id="94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F897" w14:textId="77777777" w:rsidR="00D52C62" w:rsidRPr="00A626B3" w:rsidRDefault="00700348" w:rsidP="00C74A4C">
            <w:pPr>
              <w:pStyle w:val="QPPTableTextBody"/>
            </w:pPr>
            <w:r>
              <w:t>t</w:t>
            </w:r>
            <w:r w:rsidR="00D52C62">
              <w:t>otal suspended particulates</w:t>
            </w:r>
          </w:p>
        </w:tc>
      </w:tr>
      <w:tr w:rsidR="00E94AC6" w14:paraId="6308738C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AA7B" w14:textId="77777777" w:rsidR="00E94AC6" w:rsidRDefault="00E94AC6" w:rsidP="00F02E6F">
            <w:pPr>
              <w:pStyle w:val="QPPTableTextBody"/>
            </w:pPr>
            <w:bookmarkStart w:id="95" w:name="USEPA"/>
            <w:r>
              <w:t>USEPA</w:t>
            </w:r>
            <w:bookmarkEnd w:id="95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180" w14:textId="77777777" w:rsidR="00E94AC6" w:rsidRDefault="00E94AC6" w:rsidP="00C74A4C">
            <w:pPr>
              <w:pStyle w:val="QPPTableTextBody"/>
            </w:pPr>
            <w:r>
              <w:t>US Environmental Protection Agency</w:t>
            </w:r>
          </w:p>
        </w:tc>
      </w:tr>
      <w:tr w:rsidR="008706AA" w14:paraId="717C83CA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21A" w14:textId="77777777" w:rsidR="008706AA" w:rsidRDefault="008706AA" w:rsidP="00F02E6F">
            <w:pPr>
              <w:pStyle w:val="QPPTableTextBody"/>
            </w:pPr>
            <w:bookmarkStart w:id="96" w:name="VMP"/>
            <w:r>
              <w:t>VMP</w:t>
            </w:r>
            <w:bookmarkEnd w:id="96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A486" w14:textId="77777777" w:rsidR="008706AA" w:rsidRDefault="008706AA" w:rsidP="00C74A4C">
            <w:pPr>
              <w:pStyle w:val="QPPTableTextBody"/>
            </w:pPr>
            <w:r>
              <w:t>vegetation management plan</w:t>
            </w:r>
          </w:p>
        </w:tc>
      </w:tr>
      <w:tr w:rsidR="00D52C62" w14:paraId="5B46E384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7CA" w14:textId="77777777" w:rsidR="00D52C62" w:rsidRDefault="00D52C62" w:rsidP="00F02E6F">
            <w:pPr>
              <w:pStyle w:val="QPPTableTextBody"/>
            </w:pPr>
            <w:bookmarkStart w:id="97" w:name="WSUD"/>
            <w:r>
              <w:t>WSUD</w:t>
            </w:r>
            <w:bookmarkEnd w:id="97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4084" w14:textId="77777777" w:rsidR="00D52C62" w:rsidRDefault="00700348" w:rsidP="00C74A4C">
            <w:pPr>
              <w:pStyle w:val="QPPTableTextBody"/>
            </w:pPr>
            <w:r>
              <w:t>w</w:t>
            </w:r>
            <w:r w:rsidR="00D52C62">
              <w:t>ater sensitive urban design</w:t>
            </w:r>
          </w:p>
        </w:tc>
      </w:tr>
    </w:tbl>
    <w:p w14:paraId="49931771" w14:textId="77777777" w:rsidR="005776C4" w:rsidRPr="0042737D" w:rsidRDefault="005776C4" w:rsidP="0042737D"/>
    <w:sectPr w:rsidR="005776C4" w:rsidRPr="0042737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D18E" w14:textId="77777777" w:rsidR="00854C99" w:rsidRDefault="00854C99">
      <w:r>
        <w:separator/>
      </w:r>
    </w:p>
  </w:endnote>
  <w:endnote w:type="continuationSeparator" w:id="0">
    <w:p w14:paraId="5537AAFF" w14:textId="77777777" w:rsidR="00854C99" w:rsidRDefault="0085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4E2D" w14:textId="46D1DD1A" w:rsidR="006C728B" w:rsidRDefault="005F7E0B" w:rsidP="004F0D92">
    <w:pPr>
      <w:pStyle w:val="QPPFooter"/>
    </w:pPr>
    <w:r w:rsidRPr="005F7E0B">
      <w:t>Appendix 1 - Index and glossary</w:t>
    </w:r>
    <w:r>
      <w:ptab w:relativeTo="margin" w:alignment="center" w:leader="none"/>
    </w:r>
    <w:r>
      <w:ptab w:relativeTo="margin" w:alignment="right" w:leader="none"/>
    </w:r>
    <w:r w:rsidRPr="005F7E0B">
      <w:t xml:space="preserve">Effective </w:t>
    </w:r>
    <w:r w:rsidR="005020DC">
      <w:t>1 December</w:t>
    </w:r>
    <w:r w:rsidR="005D50F5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A4F3" w14:textId="77777777" w:rsidR="00854C99" w:rsidRDefault="00854C99">
      <w:r>
        <w:separator/>
      </w:r>
    </w:p>
  </w:footnote>
  <w:footnote w:type="continuationSeparator" w:id="0">
    <w:p w14:paraId="71856A40" w14:textId="77777777" w:rsidR="00854C99" w:rsidRDefault="0085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E006" w14:textId="77777777" w:rsidR="004F0D92" w:rsidRDefault="00250BC4">
    <w:pPr>
      <w:pStyle w:val="Header"/>
    </w:pPr>
    <w:r>
      <w:rPr>
        <w:noProof/>
      </w:rPr>
      <w:pict w14:anchorId="73729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00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D476" w14:textId="77777777" w:rsidR="004F0D92" w:rsidRDefault="00250BC4">
    <w:pPr>
      <w:pStyle w:val="Header"/>
    </w:pPr>
    <w:r>
      <w:rPr>
        <w:noProof/>
      </w:rPr>
      <w:pict w14:anchorId="0D346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00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14"/>
  </w:num>
  <w:num w:numId="7">
    <w:abstractNumId w:val="21"/>
  </w:num>
  <w:num w:numId="8">
    <w:abstractNumId w:val="15"/>
  </w:num>
  <w:num w:numId="9">
    <w:abstractNumId w:val="3"/>
  </w:num>
  <w:num w:numId="10">
    <w:abstractNumId w:val="22"/>
  </w:num>
  <w:num w:numId="11">
    <w:abstractNumId w:val="18"/>
  </w:num>
  <w:num w:numId="12">
    <w:abstractNumId w:val="12"/>
  </w:num>
  <w:num w:numId="13">
    <w:abstractNumId w:val="16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iF9x7/eMynqoAdjmCEShWmPfoy4oH8mSAqX5LW1bJlPssM9S8BS4tpISfiHaCvYhL7fUZoXcMKNU8BGdmZ8MiQ==" w:salt="GMNlkBG2KIrQCbfl1EXjiw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3"/>
    <w:rsid w:val="00012447"/>
    <w:rsid w:val="00027B74"/>
    <w:rsid w:val="00032172"/>
    <w:rsid w:val="00033FB3"/>
    <w:rsid w:val="000375BF"/>
    <w:rsid w:val="000620B9"/>
    <w:rsid w:val="00065089"/>
    <w:rsid w:val="0007456C"/>
    <w:rsid w:val="000819DA"/>
    <w:rsid w:val="000918AE"/>
    <w:rsid w:val="000A3788"/>
    <w:rsid w:val="000A60D3"/>
    <w:rsid w:val="000B5B9F"/>
    <w:rsid w:val="000C3812"/>
    <w:rsid w:val="000C5EAB"/>
    <w:rsid w:val="000E15DC"/>
    <w:rsid w:val="000E7574"/>
    <w:rsid w:val="00106BAC"/>
    <w:rsid w:val="00120F30"/>
    <w:rsid w:val="00145039"/>
    <w:rsid w:val="001577A8"/>
    <w:rsid w:val="00164875"/>
    <w:rsid w:val="0017680B"/>
    <w:rsid w:val="001870F9"/>
    <w:rsid w:val="001A19CD"/>
    <w:rsid w:val="001C2C03"/>
    <w:rsid w:val="001C75C9"/>
    <w:rsid w:val="001D7567"/>
    <w:rsid w:val="001E2F5A"/>
    <w:rsid w:val="001F1D6B"/>
    <w:rsid w:val="001F4BB6"/>
    <w:rsid w:val="001F4C72"/>
    <w:rsid w:val="001F6528"/>
    <w:rsid w:val="00205107"/>
    <w:rsid w:val="0021264F"/>
    <w:rsid w:val="00213FA1"/>
    <w:rsid w:val="00224167"/>
    <w:rsid w:val="00231CDB"/>
    <w:rsid w:val="002361F4"/>
    <w:rsid w:val="00246C6D"/>
    <w:rsid w:val="00250BC4"/>
    <w:rsid w:val="0026189C"/>
    <w:rsid w:val="00261E75"/>
    <w:rsid w:val="00264410"/>
    <w:rsid w:val="0026538C"/>
    <w:rsid w:val="00282E79"/>
    <w:rsid w:val="00296481"/>
    <w:rsid w:val="002A02E5"/>
    <w:rsid w:val="002A51F5"/>
    <w:rsid w:val="002A58E5"/>
    <w:rsid w:val="002C0ED9"/>
    <w:rsid w:val="002C2972"/>
    <w:rsid w:val="002D08D1"/>
    <w:rsid w:val="002D4D7E"/>
    <w:rsid w:val="002E0E9B"/>
    <w:rsid w:val="002E7FCA"/>
    <w:rsid w:val="0033176E"/>
    <w:rsid w:val="003531A8"/>
    <w:rsid w:val="00364B17"/>
    <w:rsid w:val="003654CB"/>
    <w:rsid w:val="003752B7"/>
    <w:rsid w:val="00376A65"/>
    <w:rsid w:val="0038411C"/>
    <w:rsid w:val="003947CB"/>
    <w:rsid w:val="003B24C6"/>
    <w:rsid w:val="003C16A8"/>
    <w:rsid w:val="003C2706"/>
    <w:rsid w:val="003D1BE2"/>
    <w:rsid w:val="003E04F4"/>
    <w:rsid w:val="003E79EC"/>
    <w:rsid w:val="003F7A99"/>
    <w:rsid w:val="00412212"/>
    <w:rsid w:val="004160AF"/>
    <w:rsid w:val="0042737D"/>
    <w:rsid w:val="004368BE"/>
    <w:rsid w:val="004379BF"/>
    <w:rsid w:val="0048652E"/>
    <w:rsid w:val="004A1308"/>
    <w:rsid w:val="004B1293"/>
    <w:rsid w:val="004C122F"/>
    <w:rsid w:val="004C2488"/>
    <w:rsid w:val="004C730F"/>
    <w:rsid w:val="004D14F7"/>
    <w:rsid w:val="004D1778"/>
    <w:rsid w:val="004D22BB"/>
    <w:rsid w:val="004D7F25"/>
    <w:rsid w:val="004F08CB"/>
    <w:rsid w:val="004F0A95"/>
    <w:rsid w:val="004F0D92"/>
    <w:rsid w:val="004F176A"/>
    <w:rsid w:val="004F6667"/>
    <w:rsid w:val="005007FB"/>
    <w:rsid w:val="005020DC"/>
    <w:rsid w:val="00506688"/>
    <w:rsid w:val="00531A5C"/>
    <w:rsid w:val="00540B36"/>
    <w:rsid w:val="00541583"/>
    <w:rsid w:val="00543D38"/>
    <w:rsid w:val="00562056"/>
    <w:rsid w:val="00567093"/>
    <w:rsid w:val="00575951"/>
    <w:rsid w:val="005776C4"/>
    <w:rsid w:val="00591D80"/>
    <w:rsid w:val="00592179"/>
    <w:rsid w:val="0059274F"/>
    <w:rsid w:val="005929AA"/>
    <w:rsid w:val="005C66DE"/>
    <w:rsid w:val="005D50F5"/>
    <w:rsid w:val="005E0F6E"/>
    <w:rsid w:val="005F1A5D"/>
    <w:rsid w:val="005F7E0B"/>
    <w:rsid w:val="00606186"/>
    <w:rsid w:val="00622DE8"/>
    <w:rsid w:val="00624F64"/>
    <w:rsid w:val="00632790"/>
    <w:rsid w:val="0063521A"/>
    <w:rsid w:val="00635438"/>
    <w:rsid w:val="0064783B"/>
    <w:rsid w:val="00651899"/>
    <w:rsid w:val="00651D8C"/>
    <w:rsid w:val="006529D3"/>
    <w:rsid w:val="006542E8"/>
    <w:rsid w:val="00656ED8"/>
    <w:rsid w:val="00663F40"/>
    <w:rsid w:val="00682E35"/>
    <w:rsid w:val="006A494F"/>
    <w:rsid w:val="006B22FF"/>
    <w:rsid w:val="006B25EE"/>
    <w:rsid w:val="006B605A"/>
    <w:rsid w:val="006C728B"/>
    <w:rsid w:val="006E1AC9"/>
    <w:rsid w:val="006E79E4"/>
    <w:rsid w:val="006F18C7"/>
    <w:rsid w:val="006F28B2"/>
    <w:rsid w:val="006F7435"/>
    <w:rsid w:val="00700348"/>
    <w:rsid w:val="0070457B"/>
    <w:rsid w:val="0072182D"/>
    <w:rsid w:val="00726CF3"/>
    <w:rsid w:val="00744B4B"/>
    <w:rsid w:val="00751AC1"/>
    <w:rsid w:val="007561E1"/>
    <w:rsid w:val="00764313"/>
    <w:rsid w:val="00784277"/>
    <w:rsid w:val="00795CBC"/>
    <w:rsid w:val="00797038"/>
    <w:rsid w:val="007A143D"/>
    <w:rsid w:val="007A2497"/>
    <w:rsid w:val="007B208B"/>
    <w:rsid w:val="007B238C"/>
    <w:rsid w:val="007C545C"/>
    <w:rsid w:val="007D7A4D"/>
    <w:rsid w:val="007E35E4"/>
    <w:rsid w:val="007F6793"/>
    <w:rsid w:val="00806277"/>
    <w:rsid w:val="008238F1"/>
    <w:rsid w:val="00824B75"/>
    <w:rsid w:val="008252A9"/>
    <w:rsid w:val="00826EC8"/>
    <w:rsid w:val="008278F1"/>
    <w:rsid w:val="00827EAE"/>
    <w:rsid w:val="00833D0F"/>
    <w:rsid w:val="00842648"/>
    <w:rsid w:val="00844957"/>
    <w:rsid w:val="00847293"/>
    <w:rsid w:val="0085087F"/>
    <w:rsid w:val="00854C99"/>
    <w:rsid w:val="00857F82"/>
    <w:rsid w:val="00866BCD"/>
    <w:rsid w:val="008706AA"/>
    <w:rsid w:val="008735F4"/>
    <w:rsid w:val="00895E84"/>
    <w:rsid w:val="008B7190"/>
    <w:rsid w:val="008E5059"/>
    <w:rsid w:val="008E56DB"/>
    <w:rsid w:val="008F51C8"/>
    <w:rsid w:val="00903930"/>
    <w:rsid w:val="00903C93"/>
    <w:rsid w:val="00923B45"/>
    <w:rsid w:val="00925B44"/>
    <w:rsid w:val="00926D20"/>
    <w:rsid w:val="0094496A"/>
    <w:rsid w:val="00950EB6"/>
    <w:rsid w:val="0095541E"/>
    <w:rsid w:val="00961D98"/>
    <w:rsid w:val="009650EE"/>
    <w:rsid w:val="00982415"/>
    <w:rsid w:val="009A6DCC"/>
    <w:rsid w:val="009E32D2"/>
    <w:rsid w:val="009E39FD"/>
    <w:rsid w:val="009F05EC"/>
    <w:rsid w:val="009F1302"/>
    <w:rsid w:val="009F7594"/>
    <w:rsid w:val="00A0353A"/>
    <w:rsid w:val="00A126B2"/>
    <w:rsid w:val="00A139A8"/>
    <w:rsid w:val="00A23A10"/>
    <w:rsid w:val="00A32E27"/>
    <w:rsid w:val="00A40B85"/>
    <w:rsid w:val="00A42D00"/>
    <w:rsid w:val="00A438B7"/>
    <w:rsid w:val="00A5581B"/>
    <w:rsid w:val="00A61573"/>
    <w:rsid w:val="00A62A67"/>
    <w:rsid w:val="00A7069F"/>
    <w:rsid w:val="00A76313"/>
    <w:rsid w:val="00A95E68"/>
    <w:rsid w:val="00A962C3"/>
    <w:rsid w:val="00AB483D"/>
    <w:rsid w:val="00AC16E7"/>
    <w:rsid w:val="00AC5314"/>
    <w:rsid w:val="00AC7D33"/>
    <w:rsid w:val="00AD2B4E"/>
    <w:rsid w:val="00AE36F2"/>
    <w:rsid w:val="00AF3361"/>
    <w:rsid w:val="00B03375"/>
    <w:rsid w:val="00B26C37"/>
    <w:rsid w:val="00B40E09"/>
    <w:rsid w:val="00B45E63"/>
    <w:rsid w:val="00B53109"/>
    <w:rsid w:val="00B615CF"/>
    <w:rsid w:val="00B77351"/>
    <w:rsid w:val="00B77A97"/>
    <w:rsid w:val="00B800AD"/>
    <w:rsid w:val="00B92090"/>
    <w:rsid w:val="00BB09ED"/>
    <w:rsid w:val="00BC0DCD"/>
    <w:rsid w:val="00BC2A5B"/>
    <w:rsid w:val="00BF55A9"/>
    <w:rsid w:val="00BF68DA"/>
    <w:rsid w:val="00BF6A6C"/>
    <w:rsid w:val="00C0116B"/>
    <w:rsid w:val="00C278D1"/>
    <w:rsid w:val="00C30FE8"/>
    <w:rsid w:val="00C3598F"/>
    <w:rsid w:val="00C37695"/>
    <w:rsid w:val="00C4018A"/>
    <w:rsid w:val="00C4052D"/>
    <w:rsid w:val="00C46A14"/>
    <w:rsid w:val="00C5334B"/>
    <w:rsid w:val="00C7195D"/>
    <w:rsid w:val="00C72384"/>
    <w:rsid w:val="00C74A4C"/>
    <w:rsid w:val="00C74C66"/>
    <w:rsid w:val="00C775B7"/>
    <w:rsid w:val="00C77D39"/>
    <w:rsid w:val="00C81EA7"/>
    <w:rsid w:val="00C82093"/>
    <w:rsid w:val="00C9394B"/>
    <w:rsid w:val="00CA18CA"/>
    <w:rsid w:val="00CA357C"/>
    <w:rsid w:val="00CB2D75"/>
    <w:rsid w:val="00CB34B0"/>
    <w:rsid w:val="00CB3BF0"/>
    <w:rsid w:val="00CD6915"/>
    <w:rsid w:val="00CE510E"/>
    <w:rsid w:val="00D05032"/>
    <w:rsid w:val="00D200A5"/>
    <w:rsid w:val="00D220E1"/>
    <w:rsid w:val="00D227B6"/>
    <w:rsid w:val="00D35E23"/>
    <w:rsid w:val="00D417C5"/>
    <w:rsid w:val="00D52995"/>
    <w:rsid w:val="00D52C62"/>
    <w:rsid w:val="00D5404C"/>
    <w:rsid w:val="00D5539E"/>
    <w:rsid w:val="00D61A3F"/>
    <w:rsid w:val="00D72580"/>
    <w:rsid w:val="00D7563A"/>
    <w:rsid w:val="00D76F7E"/>
    <w:rsid w:val="00D95A64"/>
    <w:rsid w:val="00DA7CDE"/>
    <w:rsid w:val="00DD0273"/>
    <w:rsid w:val="00DD0FC1"/>
    <w:rsid w:val="00DD1F50"/>
    <w:rsid w:val="00DE5C8A"/>
    <w:rsid w:val="00DE633F"/>
    <w:rsid w:val="00DF14C2"/>
    <w:rsid w:val="00DF2A13"/>
    <w:rsid w:val="00DF2A45"/>
    <w:rsid w:val="00E00CEA"/>
    <w:rsid w:val="00E3329F"/>
    <w:rsid w:val="00E37BD0"/>
    <w:rsid w:val="00E4024C"/>
    <w:rsid w:val="00E446E6"/>
    <w:rsid w:val="00E46EC9"/>
    <w:rsid w:val="00E50643"/>
    <w:rsid w:val="00E53ED5"/>
    <w:rsid w:val="00E5502E"/>
    <w:rsid w:val="00E9110F"/>
    <w:rsid w:val="00E931CA"/>
    <w:rsid w:val="00E94AC6"/>
    <w:rsid w:val="00EA2664"/>
    <w:rsid w:val="00EA323A"/>
    <w:rsid w:val="00ED6254"/>
    <w:rsid w:val="00F01BF2"/>
    <w:rsid w:val="00F02E6F"/>
    <w:rsid w:val="00F06092"/>
    <w:rsid w:val="00F12759"/>
    <w:rsid w:val="00F1380C"/>
    <w:rsid w:val="00F23DEC"/>
    <w:rsid w:val="00F42E5A"/>
    <w:rsid w:val="00F60F37"/>
    <w:rsid w:val="00F62B6A"/>
    <w:rsid w:val="00F712C2"/>
    <w:rsid w:val="00F74717"/>
    <w:rsid w:val="00F83E46"/>
    <w:rsid w:val="00F973F1"/>
    <w:rsid w:val="00FA1F22"/>
    <w:rsid w:val="00FA54F8"/>
    <w:rsid w:val="00FB7DED"/>
    <w:rsid w:val="00FC4613"/>
    <w:rsid w:val="00FC6D75"/>
    <w:rsid w:val="00FE046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714B98"/>
  <w15:docId w15:val="{CAC014E5-A39B-4BFE-837B-6EF8493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250B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BF68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F68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F68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F6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F6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F68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BF68D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F68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F68D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50B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0BC4"/>
  </w:style>
  <w:style w:type="table" w:styleId="TableGrid">
    <w:name w:val="Table Grid"/>
    <w:basedOn w:val="TableNormal"/>
    <w:semiHidden/>
    <w:locked/>
    <w:rsid w:val="00BF68D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A18CA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A18CA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8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spacing w:after="0"/>
      <w:ind w:left="0" w:firstLine="0"/>
    </w:pPr>
  </w:style>
  <w:style w:type="paragraph" w:customStyle="1" w:styleId="QPPTableTextBold">
    <w:name w:val="QPP Table Text Bold"/>
    <w:basedOn w:val="QPPTableTextBody"/>
    <w:rsid w:val="00CA18C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18CA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locked/>
    <w:rsid w:val="000375BF"/>
    <w:rPr>
      <w:i/>
    </w:rPr>
  </w:style>
  <w:style w:type="paragraph" w:customStyle="1" w:styleId="QPPHeading4">
    <w:name w:val="QPP Heading 4"/>
    <w:basedOn w:val="Normal"/>
    <w:link w:val="QPPHeading4Char"/>
    <w:autoRedefine/>
    <w:rsid w:val="00CA18CA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A18CA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A18C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18C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A18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A18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A18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F68D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A18CA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18CA"/>
    <w:pPr>
      <w:numPr>
        <w:numId w:val="3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BF68DA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BulletPoint30">
    <w:name w:val="QPP Bullet Point 3"/>
    <w:basedOn w:val="Normal"/>
    <w:rsid w:val="00FC6D7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  <w:szCs w:val="20"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  <w:szCs w:val="20"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  <w:szCs w:val="20"/>
    </w:rPr>
  </w:style>
  <w:style w:type="paragraph" w:customStyle="1" w:styleId="QPPBulletPoint2">
    <w:name w:val="QPP Bullet Point 2"/>
    <w:basedOn w:val="Normal"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CA18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F68DA"/>
    <w:rPr>
      <w:rFonts w:ascii="Arial" w:hAnsi="Arial" w:cs="Arial"/>
      <w:color w:val="000000"/>
    </w:rPr>
  </w:style>
  <w:style w:type="paragraph" w:customStyle="1" w:styleId="QPPBulletpoint20">
    <w:name w:val="QPP Bullet point 2"/>
    <w:basedOn w:val="Normal"/>
    <w:locked/>
    <w:rsid w:val="00BF68DA"/>
    <w:pPr>
      <w:tabs>
        <w:tab w:val="num" w:pos="567"/>
      </w:tabs>
      <w:ind w:left="907" w:hanging="340"/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CA18CA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CA18CA"/>
    <w:pPr>
      <w:numPr>
        <w:numId w:val="2"/>
      </w:numPr>
      <w:spacing w:before="60" w:after="40"/>
    </w:pPr>
    <w:rPr>
      <w:rFonts w:eastAsia="MS Mincho"/>
    </w:rPr>
  </w:style>
  <w:style w:type="paragraph" w:customStyle="1" w:styleId="QPPBodyTextTables">
    <w:name w:val="QPP Body Text Tables"/>
    <w:basedOn w:val="QPPBodytext"/>
    <w:semiHidden/>
    <w:locked/>
    <w:rsid w:val="000375BF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BF68DA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F68DA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F68DA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CA18C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A18CA"/>
    <w:pPr>
      <w:numPr>
        <w:numId w:val="10"/>
      </w:numPr>
    </w:pPr>
  </w:style>
  <w:style w:type="paragraph" w:customStyle="1" w:styleId="QPPBodyTextITALIC">
    <w:name w:val="QPP Body Text ITALIC"/>
    <w:basedOn w:val="QPPBodytext"/>
    <w:autoRedefine/>
    <w:rsid w:val="00CA18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18CA"/>
    <w:rPr>
      <w:vertAlign w:val="superscript"/>
    </w:rPr>
  </w:style>
  <w:style w:type="character" w:customStyle="1" w:styleId="QPPSuperscriptChar">
    <w:name w:val="QPP Superscript Char"/>
    <w:link w:val="QPPSuperscript"/>
    <w:rsid w:val="00BF68DA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BF6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F68DA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BF68DA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CA18CA"/>
    <w:pPr>
      <w:tabs>
        <w:tab w:val="num" w:pos="360"/>
        <w:tab w:val="left" w:pos="567"/>
      </w:tabs>
      <w:ind w:left="360" w:hanging="360"/>
    </w:pPr>
  </w:style>
  <w:style w:type="character" w:customStyle="1" w:styleId="QPPHeading4Char">
    <w:name w:val="QPP Heading 4 Char"/>
    <w:link w:val="QPPHeading4"/>
    <w:rsid w:val="00BF68D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F68DA"/>
    <w:pPr>
      <w:numPr>
        <w:numId w:val="6"/>
      </w:numPr>
    </w:pPr>
  </w:style>
  <w:style w:type="paragraph" w:customStyle="1" w:styleId="HGTableBullet3">
    <w:name w:val="HG Table Bullet 3"/>
    <w:basedOn w:val="QPPTableTextBody"/>
    <w:rsid w:val="00CA18CA"/>
    <w:pPr>
      <w:numPr>
        <w:numId w:val="11"/>
      </w:numPr>
    </w:pPr>
  </w:style>
  <w:style w:type="character" w:customStyle="1" w:styleId="QPPSubscriptChar">
    <w:name w:val="QPP Subscript Char"/>
    <w:link w:val="QPPSubscript"/>
    <w:rsid w:val="00BF68D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F68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F68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7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F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7A8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CA18CA"/>
    <w:pPr>
      <w:numPr>
        <w:numId w:val="12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CA18CA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BF68DA"/>
    <w:pPr>
      <w:numPr>
        <w:numId w:val="13"/>
      </w:numPr>
    </w:pPr>
  </w:style>
  <w:style w:type="numbering" w:styleId="1ai">
    <w:name w:val="Outline List 1"/>
    <w:basedOn w:val="NoList"/>
    <w:semiHidden/>
    <w:locked/>
    <w:rsid w:val="00BF68D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F68D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A18CA"/>
  </w:style>
  <w:style w:type="paragraph" w:styleId="BlockText">
    <w:name w:val="Block Text"/>
    <w:basedOn w:val="Normal"/>
    <w:semiHidden/>
    <w:locked/>
    <w:rsid w:val="00BF68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F68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68D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F68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F68D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F6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F68D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F68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F68D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F68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68D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F68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F68D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F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F68D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F68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F68D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18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F68DA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F68D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F68D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18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18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18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F68DA"/>
  </w:style>
  <w:style w:type="character" w:customStyle="1" w:styleId="DateChar">
    <w:name w:val="Date Char"/>
    <w:basedOn w:val="DefaultParagraphFont"/>
    <w:link w:val="Date"/>
    <w:semiHidden/>
    <w:rsid w:val="00BF68D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F68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F68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F68DA"/>
  </w:style>
  <w:style w:type="character" w:customStyle="1" w:styleId="E-mailSignatureChar">
    <w:name w:val="E-mail Signature Char"/>
    <w:basedOn w:val="DefaultParagraphFont"/>
    <w:link w:val="E-mailSignature"/>
    <w:semiHidden/>
    <w:rsid w:val="00BF68D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F68DA"/>
    <w:rPr>
      <w:i/>
      <w:iCs/>
    </w:rPr>
  </w:style>
  <w:style w:type="character" w:styleId="EndnoteReference">
    <w:name w:val="endnote reference"/>
    <w:basedOn w:val="DefaultParagraphFont"/>
    <w:semiHidden/>
    <w:locked/>
    <w:rsid w:val="00BF68D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F68D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8D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F68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F68D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F68D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F68D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68D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F68DA"/>
  </w:style>
  <w:style w:type="paragraph" w:styleId="HTMLAddress">
    <w:name w:val="HTML Address"/>
    <w:basedOn w:val="Normal"/>
    <w:link w:val="HTMLAddressChar"/>
    <w:semiHidden/>
    <w:locked/>
    <w:rsid w:val="00BF68D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F68D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F68DA"/>
    <w:rPr>
      <w:i/>
      <w:iCs/>
    </w:rPr>
  </w:style>
  <w:style w:type="character" w:styleId="HTMLCode">
    <w:name w:val="HTML Code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F68DA"/>
    <w:rPr>
      <w:i/>
      <w:iCs/>
    </w:rPr>
  </w:style>
  <w:style w:type="character" w:styleId="HTMLKeyboard">
    <w:name w:val="HTML Keyboard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F68D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F68D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F68D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F68D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F68D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F68D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F68D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F68D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F68D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F68D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F68D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F68D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F68D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F68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18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18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8D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18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18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18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18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18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18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18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18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18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18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F68DA"/>
  </w:style>
  <w:style w:type="paragraph" w:styleId="List">
    <w:name w:val="List"/>
    <w:basedOn w:val="Normal"/>
    <w:semiHidden/>
    <w:locked/>
    <w:rsid w:val="00BF68D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F68D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F68D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F68D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F68D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F68DA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BF68DA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BF68DA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BF68D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BF68D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BF68D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F68D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F68D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F68D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F68D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F68DA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BF68DA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locked/>
    <w:rsid w:val="00BF68D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F68D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F68DA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BF6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F68D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18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18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18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1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18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1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F6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F68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18C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F68D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F68D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F68DA"/>
  </w:style>
  <w:style w:type="character" w:customStyle="1" w:styleId="NoteHeadingChar">
    <w:name w:val="Note Heading Char"/>
    <w:basedOn w:val="DefaultParagraphFont"/>
    <w:link w:val="NoteHeading"/>
    <w:semiHidden/>
    <w:rsid w:val="00BF68D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F68DA"/>
  </w:style>
  <w:style w:type="character" w:styleId="PlaceholderText">
    <w:name w:val="Placeholder Text"/>
    <w:basedOn w:val="DefaultParagraphFont"/>
    <w:uiPriority w:val="99"/>
    <w:semiHidden/>
    <w:rsid w:val="00CA18C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F68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F68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18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F68D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F68DA"/>
  </w:style>
  <w:style w:type="character" w:customStyle="1" w:styleId="SalutationChar">
    <w:name w:val="Salutation Char"/>
    <w:basedOn w:val="DefaultParagraphFont"/>
    <w:link w:val="Salutation"/>
    <w:semiHidden/>
    <w:rsid w:val="00BF68D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F68D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F68D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F68D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F6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F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18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18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F68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F68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F68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F68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F68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F68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F68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F68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F68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F68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F68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F68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F68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F68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F6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F68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F68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F68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F68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F68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F68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F68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F6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F68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F6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F68D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F68DA"/>
  </w:style>
  <w:style w:type="table" w:styleId="TableProfessional">
    <w:name w:val="Table Professional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F68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F68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F68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F68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F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F68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F68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F68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F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F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F68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F68D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F68D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F68D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F68D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F68D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F68D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F68D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F68D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F68D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8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18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18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F68D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A18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F62B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3652</CharactersWithSpaces>
  <SharedDoc>false</SharedDoc>
  <HLinks>
    <vt:vector size="12" baseType="variant"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RegProfEngQld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http://www.tmr.qld.gov.au/Business-industry/Technical-standards-publications/Manual-of-uniform-traffic-control-devices.aspx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64</cp:revision>
  <cp:lastPrinted>2017-01-31T22:54:00Z</cp:lastPrinted>
  <dcterms:created xsi:type="dcterms:W3CDTF">2013-06-20T22:48:00Z</dcterms:created>
  <dcterms:modified xsi:type="dcterms:W3CDTF">2018-11-06T02:45:00Z</dcterms:modified>
</cp:coreProperties>
</file>