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D2C38" w14:textId="77777777" w:rsidR="00DD5085" w:rsidRPr="004308DB" w:rsidRDefault="00733A9E" w:rsidP="00F97D24">
      <w:pPr>
        <w:pStyle w:val="QPPHeading4"/>
      </w:pPr>
      <w:bookmarkStart w:id="0" w:name="_GoBack"/>
      <w:bookmarkEnd w:id="0"/>
      <w:r>
        <w:t xml:space="preserve">7.2.19.2 </w:t>
      </w:r>
      <w:r w:rsidR="00DD5085" w:rsidRPr="004308DB">
        <w:t xml:space="preserve">Sandgate Road </w:t>
      </w:r>
      <w:r w:rsidR="000E1684">
        <w:t>neighbourhood plan</w:t>
      </w:r>
      <w:r w:rsidR="00DD5085" w:rsidRPr="004308DB">
        <w:t xml:space="preserve"> code</w:t>
      </w:r>
    </w:p>
    <w:p w14:paraId="7F961790" w14:textId="77777777" w:rsidR="00DD5085" w:rsidRPr="00D23DF0" w:rsidRDefault="00DD5085" w:rsidP="00F97D24">
      <w:pPr>
        <w:pStyle w:val="QPPHeading4"/>
      </w:pPr>
      <w:r>
        <w:t>7</w:t>
      </w:r>
      <w:r w:rsidRPr="00D23DF0">
        <w:t>.</w:t>
      </w:r>
      <w:r w:rsidR="00733A9E">
        <w:t xml:space="preserve">2.19.2.1 </w:t>
      </w:r>
      <w:r w:rsidRPr="00D23DF0">
        <w:t>Application</w:t>
      </w:r>
    </w:p>
    <w:p w14:paraId="3C12EA7F" w14:textId="77777777" w:rsidR="00063DDE" w:rsidRPr="00E8779E" w:rsidRDefault="00063DDE" w:rsidP="00063DDE">
      <w:pPr>
        <w:pStyle w:val="QPPBulletPoint1"/>
      </w:pPr>
      <w:r w:rsidRPr="00063DDE">
        <w:t xml:space="preserve">This code applies to assessing a </w:t>
      </w:r>
      <w:r w:rsidRPr="00E8779E">
        <w:t>material change of use, reconfiguring a lot, operational work or building work in the Sandgate Road neighbourhood plan area if:</w:t>
      </w:r>
    </w:p>
    <w:p w14:paraId="3CBAD54A" w14:textId="2E65CDD7" w:rsidR="00063DDE" w:rsidRPr="00E8779E" w:rsidRDefault="00063DDE" w:rsidP="00063DDE">
      <w:pPr>
        <w:pStyle w:val="QPPBulletpoint2"/>
      </w:pPr>
      <w:r w:rsidRPr="00E8779E">
        <w:t xml:space="preserve">assessable development where this code is an applicable code identified in the assessment </w:t>
      </w:r>
      <w:r w:rsidR="000D13BF">
        <w:t>benchmarks</w:t>
      </w:r>
      <w:r w:rsidR="000D13BF" w:rsidRPr="00E8779E">
        <w:t xml:space="preserve"> </w:t>
      </w:r>
      <w:r w:rsidRPr="00E8779E">
        <w:t xml:space="preserve">column of a table of assessment for </w:t>
      </w:r>
      <w:r w:rsidR="004B7BAC">
        <w:t xml:space="preserve">a </w:t>
      </w:r>
      <w:r w:rsidRPr="00E8779E">
        <w:t>neighbourhood plan (</w:t>
      </w:r>
      <w:r w:rsidRPr="004D45C5">
        <w:rPr>
          <w:rPrChange w:id="1" w:author="David Clark" w:date="2019-07-24T09:08:00Z">
            <w:rPr/>
          </w:rPrChange>
        </w:rPr>
        <w:t>section 5.</w:t>
      </w:r>
      <w:r w:rsidR="00315D49" w:rsidRPr="004D45C5">
        <w:rPr>
          <w:rPrChange w:id="2" w:author="David Clark" w:date="2019-07-24T09:08:00Z">
            <w:rPr/>
          </w:rPrChange>
        </w:rPr>
        <w:t>9</w:t>
      </w:r>
      <w:r w:rsidRPr="00E8779E">
        <w:t>);</w:t>
      </w:r>
      <w:r w:rsidR="00613657">
        <w:t xml:space="preserve"> or</w:t>
      </w:r>
    </w:p>
    <w:p w14:paraId="669558D7" w14:textId="77777777" w:rsidR="00074296" w:rsidRPr="00E8779E" w:rsidRDefault="004E5B25" w:rsidP="00074296">
      <w:pPr>
        <w:pStyle w:val="QPPBulletpoint2"/>
      </w:pPr>
      <w:r>
        <w:t>impact assessable development.</w:t>
      </w:r>
    </w:p>
    <w:p w14:paraId="0A7E0B99" w14:textId="33D8FD89" w:rsidR="00074296" w:rsidRDefault="000646D0" w:rsidP="00074296">
      <w:pPr>
        <w:pStyle w:val="QPPBulletPoint1"/>
      </w:pPr>
      <w:r w:rsidRPr="00E8779E">
        <w:t>Land in the Sandgate Road neighbourhood plan area</w:t>
      </w:r>
      <w:r w:rsidR="00B64D3F" w:rsidRPr="00E8779E">
        <w:t xml:space="preserve"> </w:t>
      </w:r>
      <w:r w:rsidR="00063DDE" w:rsidRPr="00E8779E">
        <w:t xml:space="preserve">is </w:t>
      </w:r>
      <w:r w:rsidR="00B64D3F" w:rsidRPr="00E8779E">
        <w:t xml:space="preserve">identified on the </w:t>
      </w:r>
      <w:r w:rsidR="0002568C" w:rsidRPr="004D45C5">
        <w:rPr>
          <w:rPrChange w:id="3" w:author="David Clark" w:date="2019-07-24T09:08:00Z">
            <w:rPr/>
          </w:rPrChange>
        </w:rPr>
        <w:t>NPM-019.2</w:t>
      </w:r>
      <w:r w:rsidR="00B64D3F" w:rsidRPr="004D45C5">
        <w:rPr>
          <w:rPrChange w:id="4" w:author="David Clark" w:date="2019-07-24T09:08:00Z">
            <w:rPr/>
          </w:rPrChange>
        </w:rPr>
        <w:t xml:space="preserve"> Sandgate Road neighbourhood plan map</w:t>
      </w:r>
      <w:r w:rsidR="004E5B25">
        <w:t>.</w:t>
      </w:r>
    </w:p>
    <w:p w14:paraId="208F97BE" w14:textId="13592ECD" w:rsidR="00DD5085" w:rsidRPr="00E8779E" w:rsidRDefault="00DD5085" w:rsidP="00B64D3F">
      <w:pPr>
        <w:pStyle w:val="QPPBulletPoint1"/>
      </w:pPr>
      <w:r w:rsidRPr="00D23DF0">
        <w:t xml:space="preserve">When using this code, reference should be made </w:t>
      </w:r>
      <w:r w:rsidRPr="00E8779E">
        <w:t>to</w:t>
      </w:r>
      <w:r w:rsidR="00E8779E">
        <w:t xml:space="preserve"> </w:t>
      </w:r>
      <w:r w:rsidR="00E8779E" w:rsidRPr="004D45C5">
        <w:rPr>
          <w:rPrChange w:id="5" w:author="David Clark" w:date="2019-07-24T09:08:00Z">
            <w:rPr/>
          </w:rPrChange>
        </w:rPr>
        <w:t>section 1.5</w:t>
      </w:r>
      <w:r w:rsidR="001330CC">
        <w:t>,</w:t>
      </w:r>
      <w:r w:rsidR="00E60452">
        <w:t xml:space="preserve"> </w:t>
      </w:r>
      <w:r w:rsidR="009D18E9" w:rsidRPr="004D45C5">
        <w:rPr>
          <w:rPrChange w:id="6" w:author="David Clark" w:date="2019-07-24T09:08:00Z">
            <w:rPr/>
          </w:rPrChange>
        </w:rPr>
        <w:t>section 5.3.2</w:t>
      </w:r>
      <w:r w:rsidR="001330CC">
        <w:t xml:space="preserve"> </w:t>
      </w:r>
      <w:r w:rsidR="00E8779E">
        <w:t xml:space="preserve">and </w:t>
      </w:r>
      <w:r w:rsidR="00E8779E" w:rsidRPr="004D45C5">
        <w:rPr>
          <w:rPrChange w:id="7" w:author="David Clark" w:date="2019-07-24T09:08:00Z">
            <w:rPr/>
          </w:rPrChange>
        </w:rPr>
        <w:t xml:space="preserve">section </w:t>
      </w:r>
      <w:r w:rsidR="00B64D3F" w:rsidRPr="004D45C5">
        <w:rPr>
          <w:rPrChange w:id="8" w:author="David Clark" w:date="2019-07-24T09:08:00Z">
            <w:rPr/>
          </w:rPrChange>
        </w:rPr>
        <w:t>5.3.3</w:t>
      </w:r>
      <w:r w:rsidR="004B7BAC">
        <w:t>.</w:t>
      </w:r>
    </w:p>
    <w:p w14:paraId="3FBD1F7A" w14:textId="77777777" w:rsidR="000F0475" w:rsidRPr="000F0475" w:rsidRDefault="000F0475" w:rsidP="000F0475">
      <w:pPr>
        <w:pStyle w:val="QPPEditorsNoteStyle1"/>
      </w:pPr>
      <w:r w:rsidRPr="000F0475">
        <w:t>Note—The following purpose, overall outcomes, performance outcomes and acceptable outcomes comprise the assessment benchmarks of this code.</w:t>
      </w:r>
    </w:p>
    <w:p w14:paraId="556D61C9" w14:textId="6F93B52E" w:rsidR="003112E7" w:rsidRPr="00E03F3A" w:rsidRDefault="003112E7" w:rsidP="00074296">
      <w:pPr>
        <w:pStyle w:val="QPPEditorsNoteStyle1"/>
      </w:pPr>
      <w:r w:rsidRPr="00E03F3A">
        <w:t xml:space="preserve">Note—This </w:t>
      </w:r>
      <w:r>
        <w:t>neighbourhood plan</w:t>
      </w:r>
      <w:r w:rsidRPr="00E03F3A">
        <w:t xml:space="preserve"> includes</w:t>
      </w:r>
      <w:r w:rsidR="00D62352">
        <w:t xml:space="preserve"> a</w:t>
      </w:r>
      <w:r w:rsidRPr="00E03F3A">
        <w:t xml:space="preserve"> table of assessment. Refer to</w:t>
      </w:r>
      <w:r w:rsidR="00E8779E">
        <w:t xml:space="preserve"> </w:t>
      </w:r>
      <w:r w:rsidR="00E60452" w:rsidRPr="004D45C5">
        <w:rPr>
          <w:rPrChange w:id="9" w:author="David Clark" w:date="2019-07-24T09:08:00Z">
            <w:rPr/>
          </w:rPrChange>
        </w:rPr>
        <w:t>Table 5.</w:t>
      </w:r>
      <w:r w:rsidR="00315D49" w:rsidRPr="004D45C5">
        <w:rPr>
          <w:rPrChange w:id="10" w:author="David Clark" w:date="2019-07-24T09:08:00Z">
            <w:rPr/>
          </w:rPrChange>
        </w:rPr>
        <w:t>9</w:t>
      </w:r>
      <w:r w:rsidR="00E60452" w:rsidRPr="004D45C5">
        <w:rPr>
          <w:rPrChange w:id="11" w:author="David Clark" w:date="2019-07-24T09:08:00Z">
            <w:rPr/>
          </w:rPrChange>
        </w:rPr>
        <w:t>.61.A</w:t>
      </w:r>
      <w:r w:rsidR="004B7BAC">
        <w:t xml:space="preserve">, </w:t>
      </w:r>
      <w:r w:rsidR="00E60452" w:rsidRPr="004D45C5">
        <w:rPr>
          <w:rPrChange w:id="12" w:author="David Clark" w:date="2019-07-24T09:08:00Z">
            <w:rPr/>
          </w:rPrChange>
        </w:rPr>
        <w:t>Table 5.</w:t>
      </w:r>
      <w:r w:rsidR="00315D49" w:rsidRPr="004D45C5">
        <w:rPr>
          <w:rPrChange w:id="13" w:author="David Clark" w:date="2019-07-24T09:08:00Z">
            <w:rPr/>
          </w:rPrChange>
        </w:rPr>
        <w:t>9</w:t>
      </w:r>
      <w:r w:rsidR="00E60452" w:rsidRPr="004D45C5">
        <w:rPr>
          <w:rPrChange w:id="14" w:author="David Clark" w:date="2019-07-24T09:08:00Z">
            <w:rPr/>
          </w:rPrChange>
        </w:rPr>
        <w:t>.61.B</w:t>
      </w:r>
      <w:r w:rsidR="004B7BAC">
        <w:t xml:space="preserve">, </w:t>
      </w:r>
      <w:r w:rsidR="00E60452" w:rsidRPr="004D45C5">
        <w:rPr>
          <w:rPrChange w:id="15" w:author="David Clark" w:date="2019-07-24T09:08:00Z">
            <w:rPr/>
          </w:rPrChange>
        </w:rPr>
        <w:t>Table 5.</w:t>
      </w:r>
      <w:r w:rsidR="00315D49" w:rsidRPr="004D45C5">
        <w:rPr>
          <w:rPrChange w:id="16" w:author="David Clark" w:date="2019-07-24T09:08:00Z">
            <w:rPr/>
          </w:rPrChange>
        </w:rPr>
        <w:t>9</w:t>
      </w:r>
      <w:r w:rsidR="00E60452" w:rsidRPr="004D45C5">
        <w:rPr>
          <w:rPrChange w:id="17" w:author="David Clark" w:date="2019-07-24T09:08:00Z">
            <w:rPr/>
          </w:rPrChange>
        </w:rPr>
        <w:t>.61.C</w:t>
      </w:r>
      <w:r w:rsidR="004B7BAC">
        <w:t xml:space="preserve"> and </w:t>
      </w:r>
      <w:r w:rsidR="00E60452" w:rsidRPr="004D45C5">
        <w:rPr>
          <w:rPrChange w:id="18" w:author="David Clark" w:date="2019-07-24T09:08:00Z">
            <w:rPr/>
          </w:rPrChange>
        </w:rPr>
        <w:t>Table 5.</w:t>
      </w:r>
      <w:r w:rsidR="00315D49" w:rsidRPr="004D45C5">
        <w:rPr>
          <w:rPrChange w:id="19" w:author="David Clark" w:date="2019-07-24T09:08:00Z">
            <w:rPr/>
          </w:rPrChange>
        </w:rPr>
        <w:t>9</w:t>
      </w:r>
      <w:r w:rsidR="00E60452" w:rsidRPr="004D45C5">
        <w:rPr>
          <w:rPrChange w:id="20" w:author="David Clark" w:date="2019-07-24T09:08:00Z">
            <w:rPr/>
          </w:rPrChange>
        </w:rPr>
        <w:t>.61.D</w:t>
      </w:r>
      <w:r w:rsidR="004B7BAC">
        <w:t>.</w:t>
      </w:r>
    </w:p>
    <w:p w14:paraId="604D4D62" w14:textId="77777777" w:rsidR="00DD5085" w:rsidRPr="00D23DF0" w:rsidRDefault="00DD5085" w:rsidP="00F97D24">
      <w:pPr>
        <w:pStyle w:val="QPPHeading4"/>
      </w:pPr>
      <w:r>
        <w:t>7.2</w:t>
      </w:r>
      <w:r w:rsidR="000C20C9">
        <w:t xml:space="preserve">.19.2.2 </w:t>
      </w:r>
      <w:r w:rsidR="00D64970">
        <w:t>Purpose</w:t>
      </w:r>
    </w:p>
    <w:p w14:paraId="109EA1FD" w14:textId="77777777" w:rsidR="00D62352" w:rsidRDefault="00DD5085" w:rsidP="00F867AB">
      <w:pPr>
        <w:pStyle w:val="QPPBulletPoint1"/>
        <w:numPr>
          <w:ilvl w:val="0"/>
          <w:numId w:val="14"/>
        </w:numPr>
      </w:pPr>
      <w:r w:rsidRPr="00D23DF0">
        <w:t xml:space="preserve">The purpose of the </w:t>
      </w:r>
      <w:r>
        <w:t xml:space="preserve">Sandgate Road </w:t>
      </w:r>
      <w:r w:rsidR="000E1684">
        <w:t>neighbourhood plan</w:t>
      </w:r>
      <w:r>
        <w:t xml:space="preserve"> </w:t>
      </w:r>
      <w:r w:rsidRPr="00D23DF0">
        <w:t>code is to</w:t>
      </w:r>
      <w:r>
        <w:t xml:space="preserve"> provide finer grained planning at a local level for the Sandgate Road</w:t>
      </w:r>
      <w:r w:rsidR="00B64D3F">
        <w:t xml:space="preserve"> neighbourhood plan</w:t>
      </w:r>
      <w:r w:rsidR="000742B4">
        <w:t xml:space="preserve"> area</w:t>
      </w:r>
      <w:r w:rsidR="00D62352">
        <w:t>.</w:t>
      </w:r>
    </w:p>
    <w:p w14:paraId="30B92447" w14:textId="77777777" w:rsidR="00D62352" w:rsidRDefault="000742B4" w:rsidP="00F867AB">
      <w:pPr>
        <w:pStyle w:val="QPPBulletPoint1"/>
        <w:numPr>
          <w:ilvl w:val="0"/>
          <w:numId w:val="14"/>
        </w:numPr>
      </w:pPr>
      <w:r>
        <w:t xml:space="preserve">The purpose of the Sandgate Road neighbourhood plan code will be achieved through </w:t>
      </w:r>
      <w:r w:rsidR="00733A9E">
        <w:t>the following overall outcomes:</w:t>
      </w:r>
    </w:p>
    <w:p w14:paraId="49B18891" w14:textId="77777777" w:rsidR="00DD5085" w:rsidRPr="008A641B" w:rsidRDefault="00DD5085" w:rsidP="00F867AB">
      <w:pPr>
        <w:pStyle w:val="QPPBulletpoint2"/>
        <w:numPr>
          <w:ilvl w:val="0"/>
          <w:numId w:val="15"/>
        </w:numPr>
      </w:pPr>
      <w:r w:rsidRPr="008A641B">
        <w:t>Development does not exacerbate flooding or detrimentally impact on the environmental values of Zillman Waterholes, Downfall Creek and Nundah Creek.</w:t>
      </w:r>
    </w:p>
    <w:p w14:paraId="3AD0F52C" w14:textId="15499173" w:rsidR="00DD5085" w:rsidRPr="00BA4378" w:rsidRDefault="00DD5085" w:rsidP="00BA4378">
      <w:pPr>
        <w:pStyle w:val="QPPBulletpoint2"/>
      </w:pPr>
      <w:r w:rsidRPr="00BA4378">
        <w:t xml:space="preserve">Open space, </w:t>
      </w:r>
      <w:r w:rsidRPr="004D45C5">
        <w:rPr>
          <w:rPrChange w:id="21" w:author="David Clark" w:date="2019-07-24T09:08:00Z">
            <w:rPr/>
          </w:rPrChange>
        </w:rPr>
        <w:t>parks</w:t>
      </w:r>
      <w:r w:rsidRPr="00BA4378">
        <w:t xml:space="preserve"> and recreational facilities meet the needs of the community and are located in accessible locations that are well connected within the </w:t>
      </w:r>
      <w:r w:rsidR="000E1684">
        <w:t>neighbourhood plan</w:t>
      </w:r>
      <w:r w:rsidR="00D64970">
        <w:t xml:space="preserve"> area.</w:t>
      </w:r>
    </w:p>
    <w:p w14:paraId="7D5A724C" w14:textId="77777777" w:rsidR="00DD5085" w:rsidRPr="00BA4378" w:rsidRDefault="00DD5085" w:rsidP="00BA4378">
      <w:pPr>
        <w:pStyle w:val="QPPBulletpoint2"/>
      </w:pPr>
      <w:r w:rsidRPr="00BA4378">
        <w:t xml:space="preserve">Where on </w:t>
      </w:r>
      <w:r w:rsidR="004B7BAC">
        <w:t xml:space="preserve">a </w:t>
      </w:r>
      <w:r w:rsidRPr="00BA4378">
        <w:t>site fronting Sandgate Road:</w:t>
      </w:r>
    </w:p>
    <w:p w14:paraId="11DFBB3C" w14:textId="1BF85E85" w:rsidR="00DD5085" w:rsidRDefault="00DD5085" w:rsidP="00DD5085">
      <w:pPr>
        <w:pStyle w:val="QPPBulletpoint3"/>
      </w:pPr>
      <w:r w:rsidRPr="004D45C5">
        <w:rPr>
          <w:rPrChange w:id="22" w:author="David Clark" w:date="2019-07-24T09:08:00Z">
            <w:rPr/>
          </w:rPrChange>
        </w:rPr>
        <w:t>showroom</w:t>
      </w:r>
      <w:r w:rsidRPr="00291054">
        <w:t xml:space="preserve"> </w:t>
      </w:r>
      <w:r>
        <w:t>d</w:t>
      </w:r>
      <w:r w:rsidRPr="0057558B">
        <w:t xml:space="preserve">evelopment </w:t>
      </w:r>
      <w:r>
        <w:t>requiring large floor space is accommodated;</w:t>
      </w:r>
    </w:p>
    <w:p w14:paraId="4F1E9662" w14:textId="63CE2AA9" w:rsidR="00DD5085" w:rsidRDefault="00DD5085" w:rsidP="00DD5085">
      <w:pPr>
        <w:pStyle w:val="QPPBulletpoint3"/>
      </w:pPr>
      <w:r>
        <w:t>development</w:t>
      </w:r>
      <w:r w:rsidRPr="000803DF">
        <w:t xml:space="preserve"> </w:t>
      </w:r>
      <w:r>
        <w:t xml:space="preserve">does not involve the expansion of </w:t>
      </w:r>
      <w:r w:rsidR="00163A1F" w:rsidRPr="004D45C5">
        <w:rPr>
          <w:rPrChange w:id="23" w:author="David Clark" w:date="2019-07-24T09:08:00Z">
            <w:rPr/>
          </w:rPrChange>
        </w:rPr>
        <w:t>showroom</w:t>
      </w:r>
      <w:r w:rsidRPr="00291054">
        <w:t xml:space="preserve"> acti</w:t>
      </w:r>
      <w:r>
        <w:t>vities into</w:t>
      </w:r>
      <w:r w:rsidRPr="00D12CC8">
        <w:t xml:space="preserve"> </w:t>
      </w:r>
      <w:r>
        <w:t>adjoining</w:t>
      </w:r>
      <w:r w:rsidRPr="00AD7D27">
        <w:t xml:space="preserve"> </w:t>
      </w:r>
      <w:r w:rsidR="001F093B" w:rsidRPr="004D45C5">
        <w:rPr>
          <w:rPrChange w:id="24" w:author="David Clark" w:date="2019-07-24T09:08:00Z">
            <w:rPr/>
          </w:rPrChange>
        </w:rPr>
        <w:t>m</w:t>
      </w:r>
      <w:r w:rsidR="00AD7D27" w:rsidRPr="004D45C5">
        <w:rPr>
          <w:rPrChange w:id="25" w:author="David Clark" w:date="2019-07-24T09:08:00Z">
            <w:rPr/>
          </w:rPrChange>
        </w:rPr>
        <w:t>edium i</w:t>
      </w:r>
      <w:r w:rsidRPr="004D45C5">
        <w:rPr>
          <w:rPrChange w:id="26" w:author="David Clark" w:date="2019-07-24T09:08:00Z">
            <w:rPr/>
          </w:rPrChange>
        </w:rPr>
        <w:t>mpact industry</w:t>
      </w:r>
      <w:r w:rsidRPr="00291054">
        <w:t xml:space="preserve"> and </w:t>
      </w:r>
      <w:r w:rsidR="001F093B" w:rsidRPr="004D45C5">
        <w:rPr>
          <w:rPrChange w:id="27" w:author="David Clark" w:date="2019-07-24T09:08:00Z">
            <w:rPr/>
          </w:rPrChange>
        </w:rPr>
        <w:t>l</w:t>
      </w:r>
      <w:r w:rsidR="00AD7D27" w:rsidRPr="004D45C5">
        <w:rPr>
          <w:rPrChange w:id="28" w:author="David Clark" w:date="2019-07-24T09:08:00Z">
            <w:rPr/>
          </w:rPrChange>
        </w:rPr>
        <w:t>ow i</w:t>
      </w:r>
      <w:r w:rsidRPr="004D45C5">
        <w:rPr>
          <w:rPrChange w:id="29" w:author="David Clark" w:date="2019-07-24T09:08:00Z">
            <w:rPr/>
          </w:rPrChange>
        </w:rPr>
        <w:t>mpact industry</w:t>
      </w:r>
      <w:r>
        <w:t xml:space="preserve"> a</w:t>
      </w:r>
      <w:r w:rsidRPr="00D12CC8">
        <w:t>reas</w:t>
      </w:r>
      <w:r>
        <w:t>;</w:t>
      </w:r>
    </w:p>
    <w:p w14:paraId="637C002C" w14:textId="2968DAB0" w:rsidR="00DD5085" w:rsidRPr="00291054" w:rsidRDefault="00DD5085" w:rsidP="00DD5085">
      <w:pPr>
        <w:pStyle w:val="QPPBulletpoint3"/>
      </w:pPr>
      <w:r>
        <w:t>n</w:t>
      </w:r>
      <w:r w:rsidRPr="00C36985">
        <w:t xml:space="preserve">o </w:t>
      </w:r>
      <w:r>
        <w:t xml:space="preserve">further </w:t>
      </w:r>
      <w:r w:rsidRPr="00AD7D27">
        <w:t xml:space="preserve">business or </w:t>
      </w:r>
      <w:r w:rsidRPr="004D45C5">
        <w:rPr>
          <w:rPrChange w:id="30" w:author="David Clark" w:date="2019-07-24T09:08:00Z">
            <w:rPr/>
          </w:rPrChange>
        </w:rPr>
        <w:t>centre activities</w:t>
      </w:r>
      <w:r w:rsidRPr="00AD7D27">
        <w:t xml:space="preserve"> (other than </w:t>
      </w:r>
      <w:r w:rsidRPr="004D45C5">
        <w:rPr>
          <w:rPrChange w:id="31" w:author="David Clark" w:date="2019-07-24T09:08:00Z">
            <w:rPr/>
          </w:rPrChange>
        </w:rPr>
        <w:t>showrooms</w:t>
      </w:r>
      <w:r w:rsidRPr="00291054">
        <w:t>) are</w:t>
      </w:r>
      <w:r w:rsidR="00D64970">
        <w:t xml:space="preserve"> accommodated;</w:t>
      </w:r>
    </w:p>
    <w:p w14:paraId="271F7845" w14:textId="58403B5A" w:rsidR="00C507E6" w:rsidRPr="00291054" w:rsidRDefault="00DD5085" w:rsidP="00C507E6">
      <w:pPr>
        <w:pStyle w:val="QPPBulletpoint3"/>
      </w:pPr>
      <w:r w:rsidRPr="00291054">
        <w:t xml:space="preserve">no further industrial development is accommodated other than the ongoing use of existing industrial buildings for </w:t>
      </w:r>
      <w:r w:rsidR="001F093B" w:rsidRPr="004D45C5">
        <w:rPr>
          <w:rPrChange w:id="32" w:author="David Clark" w:date="2019-07-24T09:08:00Z">
            <w:rPr/>
          </w:rPrChange>
        </w:rPr>
        <w:t>l</w:t>
      </w:r>
      <w:r w:rsidRPr="004D45C5">
        <w:rPr>
          <w:rPrChange w:id="33" w:author="David Clark" w:date="2019-07-24T09:08:00Z">
            <w:rPr/>
          </w:rPrChange>
        </w:rPr>
        <w:t>ow impact industry</w:t>
      </w:r>
      <w:r w:rsidRPr="00291054">
        <w:t>.</w:t>
      </w:r>
    </w:p>
    <w:p w14:paraId="7D55B233" w14:textId="77777777" w:rsidR="004B7BAC" w:rsidRDefault="00911F33" w:rsidP="00911F33">
      <w:pPr>
        <w:pStyle w:val="QPPBulletpoint2"/>
      </w:pPr>
      <w:r w:rsidRPr="00291054">
        <w:t xml:space="preserve">Development is of a height, scale and form </w:t>
      </w:r>
      <w:r w:rsidR="00561D95">
        <w:t>which is consistent with the amenity and character, community expectations and infrastructure assumptions intended for the relevant precinct, sub-precinct or site and is only developed at a greater height, scale and form where there is both a community need and an economic need for the development.</w:t>
      </w:r>
    </w:p>
    <w:p w14:paraId="5BA24523" w14:textId="77777777" w:rsidR="00911F33" w:rsidRDefault="00911F33" w:rsidP="00911F33">
      <w:pPr>
        <w:pStyle w:val="QPPBulletpoint2"/>
      </w:pPr>
      <w:r w:rsidRPr="00291054">
        <w:t>W</w:t>
      </w:r>
      <w:r>
        <w:t>hile making efficient use of land, development is consistent with community expectations and infrastructure assumptions.</w:t>
      </w:r>
    </w:p>
    <w:p w14:paraId="7B433E3B" w14:textId="77777777" w:rsidR="00DD5085" w:rsidRDefault="00AF2EE3" w:rsidP="00F97D24">
      <w:pPr>
        <w:pStyle w:val="QPPHeading4"/>
      </w:pPr>
      <w:r>
        <w:t>7.2.19.2.3</w:t>
      </w:r>
      <w:r w:rsidR="000C20C9">
        <w:t xml:space="preserve"> </w:t>
      </w:r>
      <w:r w:rsidR="000D13BF" w:rsidRPr="000D13BF">
        <w:t>Performance outcomes and acceptable outcomes</w:t>
      </w:r>
    </w:p>
    <w:p w14:paraId="5DB75A90" w14:textId="77777777" w:rsidR="00DD5085" w:rsidRPr="00D23DF0" w:rsidRDefault="00DD5085" w:rsidP="00F97D24">
      <w:pPr>
        <w:pStyle w:val="QPPTableHeadingStyle1"/>
      </w:pPr>
      <w:r w:rsidRPr="00D23DF0">
        <w:t xml:space="preserve">Table </w:t>
      </w:r>
      <w:r>
        <w:t>7.2</w:t>
      </w:r>
      <w:r w:rsidR="00AF2EE3">
        <w:t>.19</w:t>
      </w:r>
      <w:r w:rsidRPr="00D23DF0">
        <w:t>.</w:t>
      </w:r>
      <w:r w:rsidR="00AF2EE3">
        <w:t>2.</w:t>
      </w:r>
      <w:r>
        <w:t>3</w:t>
      </w:r>
      <w:r w:rsidR="00733A9E">
        <w:t>.</w:t>
      </w:r>
      <w:r w:rsidR="00063DDE">
        <w:t>A</w:t>
      </w:r>
      <w:r w:rsidRPr="00D23DF0">
        <w:t>—</w:t>
      </w:r>
      <w:r w:rsidR="000D13BF" w:rsidRPr="000D13BF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10"/>
        <w:gridCol w:w="4148"/>
      </w:tblGrid>
      <w:tr w:rsidR="00DD5085" w:rsidRPr="00482701" w14:paraId="12966341" w14:textId="77777777">
        <w:trPr>
          <w:trHeight w:val="434"/>
        </w:trPr>
        <w:tc>
          <w:tcPr>
            <w:tcW w:w="4150" w:type="dxa"/>
            <w:gridSpan w:val="2"/>
            <w:shd w:val="clear" w:color="auto" w:fill="auto"/>
          </w:tcPr>
          <w:p w14:paraId="5E1A2D56" w14:textId="77777777" w:rsidR="00DD5085" w:rsidRPr="00482701" w:rsidRDefault="00DD5085" w:rsidP="00505089">
            <w:pPr>
              <w:pStyle w:val="QPPTableTextBold"/>
            </w:pPr>
            <w:r w:rsidRPr="00482701">
              <w:t>Performance outcomes</w:t>
            </w:r>
          </w:p>
        </w:tc>
        <w:tc>
          <w:tcPr>
            <w:tcW w:w="4151" w:type="dxa"/>
            <w:shd w:val="clear" w:color="auto" w:fill="auto"/>
          </w:tcPr>
          <w:p w14:paraId="2D4A3314" w14:textId="77777777" w:rsidR="00DD5085" w:rsidRPr="00482701" w:rsidRDefault="00DD5085" w:rsidP="00505089">
            <w:pPr>
              <w:pStyle w:val="QPPTableTextBold"/>
            </w:pPr>
            <w:r w:rsidRPr="00482701">
              <w:t>Acceptable outcomes</w:t>
            </w:r>
          </w:p>
        </w:tc>
      </w:tr>
      <w:tr w:rsidR="00911F33" w:rsidRPr="00CB52AC" w14:paraId="458C507B" w14:textId="77777777">
        <w:trPr>
          <w:trHeight w:val="284"/>
        </w:trPr>
        <w:tc>
          <w:tcPr>
            <w:tcW w:w="8301" w:type="dxa"/>
            <w:gridSpan w:val="3"/>
            <w:shd w:val="clear" w:color="auto" w:fill="auto"/>
          </w:tcPr>
          <w:p w14:paraId="2E6A780D" w14:textId="77777777" w:rsidR="00911F33" w:rsidRPr="00AD7D27" w:rsidRDefault="00911F33" w:rsidP="00505089">
            <w:pPr>
              <w:pStyle w:val="QPPTableTextBold"/>
            </w:pPr>
            <w:r>
              <w:t>Building height</w:t>
            </w:r>
          </w:p>
        </w:tc>
      </w:tr>
      <w:tr w:rsidR="00911F33" w:rsidRPr="0043402F" w14:paraId="4FF72D3E" w14:textId="77777777">
        <w:trPr>
          <w:trHeight w:val="284"/>
        </w:trPr>
        <w:tc>
          <w:tcPr>
            <w:tcW w:w="4140" w:type="dxa"/>
            <w:shd w:val="clear" w:color="auto" w:fill="auto"/>
          </w:tcPr>
          <w:p w14:paraId="32F85CA5" w14:textId="77777777" w:rsidR="00911F33" w:rsidRDefault="000C20C9" w:rsidP="000C20C9">
            <w:pPr>
              <w:pStyle w:val="QPPTableTextBold"/>
            </w:pPr>
            <w:r>
              <w:t>PO1</w:t>
            </w:r>
          </w:p>
          <w:p w14:paraId="7D06F73C" w14:textId="16713615" w:rsidR="009B1FCC" w:rsidRDefault="00911F33" w:rsidP="000B3110">
            <w:pPr>
              <w:pStyle w:val="QPPTableTextBody"/>
            </w:pPr>
            <w:r w:rsidRPr="00F61486">
              <w:t xml:space="preserve">Development is of a </w:t>
            </w:r>
            <w:r>
              <w:t>height, scale and form t</w:t>
            </w:r>
            <w:r w:rsidR="009B1FCC">
              <w:t>hat</w:t>
            </w:r>
            <w:r w:rsidR="00E76FA9">
              <w:t xml:space="preserve"> </w:t>
            </w:r>
            <w:r>
              <w:t>achieve</w:t>
            </w:r>
            <w:r w:rsidR="009B1FCC">
              <w:t>s the intended outcome</w:t>
            </w:r>
            <w:r w:rsidR="00E76FA9">
              <w:t xml:space="preserve"> for the precinct, </w:t>
            </w:r>
            <w:r>
              <w:t xml:space="preserve">improves the </w:t>
            </w:r>
            <w:r w:rsidRPr="004D45C5">
              <w:rPr>
                <w:rPrChange w:id="34" w:author="David Clark" w:date="2019-07-24T09:08:00Z">
                  <w:rPr/>
                </w:rPrChange>
              </w:rPr>
              <w:t>amenity</w:t>
            </w:r>
            <w:r>
              <w:t xml:space="preserve"> of the </w:t>
            </w:r>
            <w:r w:rsidR="000E1684">
              <w:t>neighbourhood plan</w:t>
            </w:r>
            <w:r w:rsidR="009B1FCC">
              <w:t xml:space="preserve"> area</w:t>
            </w:r>
            <w:r w:rsidR="00E76FA9">
              <w:t xml:space="preserve">, </w:t>
            </w:r>
            <w:r>
              <w:t xml:space="preserve">contributes to a </w:t>
            </w:r>
            <w:r w:rsidRPr="00F61486">
              <w:lastRenderedPageBreak/>
              <w:t>cohesive streetscape</w:t>
            </w:r>
            <w:r>
              <w:t xml:space="preserve"> and built form</w:t>
            </w:r>
            <w:r w:rsidRPr="00F61486">
              <w:t xml:space="preserve"> character</w:t>
            </w:r>
            <w:r w:rsidR="00E76FA9">
              <w:t xml:space="preserve"> and is:</w:t>
            </w:r>
          </w:p>
          <w:p w14:paraId="0F47BC13" w14:textId="77777777" w:rsidR="009B1FCC" w:rsidRDefault="00911F33" w:rsidP="009B1FCC">
            <w:pPr>
              <w:pStyle w:val="HGTableBullet2"/>
            </w:pPr>
            <w:r>
              <w:t>consistent with anticipated density and</w:t>
            </w:r>
            <w:r w:rsidR="009B1FCC">
              <w:t xml:space="preserve"> assumed infrastructure demand;</w:t>
            </w:r>
          </w:p>
          <w:p w14:paraId="4E06E15E" w14:textId="4B8FED07" w:rsidR="00735669" w:rsidRDefault="00911F33" w:rsidP="00735669">
            <w:pPr>
              <w:pStyle w:val="HGTableBullet2"/>
            </w:pPr>
            <w:r>
              <w:t xml:space="preserve">aligned to community expectations about the number of </w:t>
            </w:r>
            <w:r w:rsidR="003B1E97" w:rsidRPr="004D45C5">
              <w:rPr>
                <w:rPrChange w:id="35" w:author="David Clark" w:date="2019-07-24T09:08:00Z">
                  <w:rPr/>
                </w:rPrChange>
              </w:rPr>
              <w:t>storeys</w:t>
            </w:r>
            <w:r>
              <w:t xml:space="preserve"> to be built;</w:t>
            </w:r>
          </w:p>
          <w:p w14:paraId="7900C363" w14:textId="77777777" w:rsidR="00735669" w:rsidRDefault="00911F33" w:rsidP="00735669">
            <w:pPr>
              <w:pStyle w:val="HGTableBullet2"/>
            </w:pPr>
            <w:r>
              <w:t xml:space="preserve">proportionate to and commensurate with the utility of the site area </w:t>
            </w:r>
            <w:r w:rsidRPr="00F61486">
              <w:t>and frontage</w:t>
            </w:r>
            <w:r>
              <w:t xml:space="preserve"> width;</w:t>
            </w:r>
          </w:p>
          <w:p w14:paraId="2D54B0EA" w14:textId="67AAEB41" w:rsidR="00735669" w:rsidRDefault="00911F33" w:rsidP="00735669">
            <w:pPr>
              <w:pStyle w:val="HGTableBullet2"/>
            </w:pPr>
            <w:r>
              <w:t xml:space="preserve">designed to </w:t>
            </w:r>
            <w:r w:rsidR="004B7BAC">
              <w:t xml:space="preserve">avoid </w:t>
            </w:r>
            <w:r>
              <w:t xml:space="preserve">significant and undue adverse </w:t>
            </w:r>
            <w:r w:rsidR="00561D95" w:rsidRPr="004D45C5">
              <w:rPr>
                <w:rPrChange w:id="36" w:author="David Clark" w:date="2019-07-24T09:08:00Z">
                  <w:rPr/>
                </w:rPrChange>
              </w:rPr>
              <w:t>amenity</w:t>
            </w:r>
            <w:r w:rsidRPr="000B3110">
              <w:t xml:space="preserve"> </w:t>
            </w:r>
            <w:r>
              <w:t>impact to adjoining development;</w:t>
            </w:r>
          </w:p>
          <w:p w14:paraId="2513D5E7" w14:textId="77777777" w:rsidR="00911F33" w:rsidRDefault="00911F33" w:rsidP="00735669">
            <w:pPr>
              <w:pStyle w:val="HGTableBullet2"/>
            </w:pPr>
            <w:r>
              <w:t>sited to enable</w:t>
            </w:r>
            <w:r w:rsidRPr="00F61486">
              <w:t xml:space="preserve"> existing and future buildings to be</w:t>
            </w:r>
            <w:r>
              <w:t xml:space="preserve"> well separated from each other and to </w:t>
            </w:r>
            <w:r w:rsidR="004B7BAC">
              <w:t>avoid affecting the potential</w:t>
            </w:r>
            <w:r>
              <w:t xml:space="preserve"> development of adjoining sites.</w:t>
            </w:r>
          </w:p>
          <w:p w14:paraId="0501D10B" w14:textId="4459E499" w:rsidR="00911F33" w:rsidRDefault="00E74BE0" w:rsidP="00911F33">
            <w:pPr>
              <w:pStyle w:val="QPPEditorsNoteStyle1"/>
            </w:pPr>
            <w:r>
              <w:t>Note—</w:t>
            </w:r>
            <w:r w:rsidR="00911F33">
              <w:t xml:space="preserve">Development that exceeds the intended number of </w:t>
            </w:r>
            <w:r w:rsidR="003B1E97" w:rsidRPr="004D45C5">
              <w:rPr>
                <w:rPrChange w:id="37" w:author="David Clark" w:date="2019-07-24T09:08:00Z">
                  <w:rPr/>
                </w:rPrChange>
              </w:rPr>
              <w:t>storeys</w:t>
            </w:r>
            <w:r w:rsidR="00911F33">
              <w:t xml:space="preserve"> or </w:t>
            </w:r>
            <w:r w:rsidR="003B1E97" w:rsidRPr="004D45C5">
              <w:rPr>
                <w:rPrChange w:id="38" w:author="David Clark" w:date="2019-07-24T09:08:00Z">
                  <w:rPr/>
                </w:rPrChange>
              </w:rPr>
              <w:t>building height</w:t>
            </w:r>
            <w:r w:rsidR="003B1E97">
              <w:t xml:space="preserve"> </w:t>
            </w:r>
            <w:r w:rsidR="00911F33">
              <w:t xml:space="preserve">can place disproportionate pressure on the transport network, public space or </w:t>
            </w:r>
            <w:r w:rsidR="00911F33" w:rsidRPr="004D45C5">
              <w:rPr>
                <w:rPrChange w:id="39" w:author="David Clark" w:date="2019-07-24T09:08:00Z">
                  <w:rPr/>
                </w:rPrChange>
              </w:rPr>
              <w:t>community facilities</w:t>
            </w:r>
            <w:r w:rsidR="00911F33">
              <w:t xml:space="preserve"> in particular.</w:t>
            </w:r>
          </w:p>
          <w:p w14:paraId="31BD4978" w14:textId="6A0A15DA" w:rsidR="00911F33" w:rsidRPr="00AD7D27" w:rsidRDefault="00E74BE0" w:rsidP="00911F33">
            <w:pPr>
              <w:pStyle w:val="QPPEditorsNoteStyle1"/>
            </w:pPr>
            <w:r>
              <w:t>Note—</w:t>
            </w:r>
            <w:r w:rsidR="00911F33">
              <w:t xml:space="preserve">Development that is over-scaled for its site can result in an undesirable dominance of vehicle access, parking and </w:t>
            </w:r>
            <w:r w:rsidR="004B7BAC">
              <w:t>manoeuvring</w:t>
            </w:r>
            <w:r w:rsidR="00911F33">
              <w:t xml:space="preserve"> areas that significantly reduce streetscape character and </w:t>
            </w:r>
            <w:r w:rsidR="003B1E97" w:rsidRPr="004D45C5">
              <w:rPr>
                <w:rPrChange w:id="40" w:author="David Clark" w:date="2019-07-24T09:08:00Z">
                  <w:rPr/>
                </w:rPrChange>
              </w:rPr>
              <w:t>amenity</w:t>
            </w:r>
            <w:r w:rsidR="00911F33">
              <w:t>.</w:t>
            </w:r>
          </w:p>
        </w:tc>
        <w:tc>
          <w:tcPr>
            <w:tcW w:w="4161" w:type="dxa"/>
            <w:gridSpan w:val="2"/>
            <w:shd w:val="clear" w:color="auto" w:fill="auto"/>
          </w:tcPr>
          <w:p w14:paraId="45B85C75" w14:textId="77777777" w:rsidR="00911F33" w:rsidRDefault="00911F33" w:rsidP="00505089">
            <w:pPr>
              <w:pStyle w:val="QPPTableTextBold"/>
            </w:pPr>
            <w:r>
              <w:lastRenderedPageBreak/>
              <w:t>AO1</w:t>
            </w:r>
          </w:p>
          <w:p w14:paraId="4CBFC281" w14:textId="62FE224A" w:rsidR="00911F33" w:rsidRPr="003B1E97" w:rsidRDefault="00735669" w:rsidP="00FA66C6">
            <w:pPr>
              <w:pStyle w:val="QPPTableTextBody"/>
            </w:pPr>
            <w:r w:rsidRPr="003B1E97">
              <w:t>Development complies with t</w:t>
            </w:r>
            <w:r w:rsidR="00911F33" w:rsidRPr="003B1E97">
              <w:t xml:space="preserve">he </w:t>
            </w:r>
            <w:r w:rsidR="00911F33" w:rsidRPr="004D45C5">
              <w:rPr>
                <w:rPrChange w:id="41" w:author="David Clark" w:date="2019-07-24T09:08:00Z">
                  <w:rPr/>
                </w:rPrChange>
              </w:rPr>
              <w:t>building height</w:t>
            </w:r>
            <w:r w:rsidRPr="003B1E97">
              <w:t xml:space="preserve"> in</w:t>
            </w:r>
            <w:r w:rsidR="00E60452">
              <w:t xml:space="preserve"> </w:t>
            </w:r>
            <w:r w:rsidR="00911F33" w:rsidRPr="004D45C5">
              <w:rPr>
                <w:rPrChange w:id="42" w:author="David Clark" w:date="2019-07-24T09:08:00Z">
                  <w:rPr/>
                </w:rPrChange>
              </w:rPr>
              <w:t>Table 7.2.19.2.3.B</w:t>
            </w:r>
            <w:r w:rsidR="00911F33" w:rsidRPr="003B1E97">
              <w:t>.</w:t>
            </w:r>
          </w:p>
          <w:p w14:paraId="7395AC12" w14:textId="211CB7A6" w:rsidR="00911F33" w:rsidRPr="00AD7D27" w:rsidRDefault="00E74BE0" w:rsidP="00C90479">
            <w:pPr>
              <w:pStyle w:val="QPPEditorsNoteStyle1"/>
            </w:pPr>
            <w:r>
              <w:t>Note—</w:t>
            </w:r>
            <w:r w:rsidR="000E1684">
              <w:t>Neighbourhood plan</w:t>
            </w:r>
            <w:r w:rsidR="00911F33">
              <w:t xml:space="preserve">s will mostly specify </w:t>
            </w:r>
            <w:r w:rsidR="00063DDE">
              <w:t xml:space="preserve">a </w:t>
            </w:r>
            <w:r w:rsidR="00911F33">
              <w:t>m</w:t>
            </w:r>
            <w:r w:rsidR="00911F33" w:rsidRPr="00A76A8B">
              <w:t xml:space="preserve">aximum </w:t>
            </w:r>
            <w:r w:rsidR="00911F33">
              <w:t xml:space="preserve">number of </w:t>
            </w:r>
            <w:r w:rsidR="003B1E97" w:rsidRPr="004D45C5">
              <w:rPr>
                <w:rPrChange w:id="43" w:author="David Clark" w:date="2019-07-24T09:08:00Z">
                  <w:rPr/>
                </w:rPrChange>
              </w:rPr>
              <w:t>storeys</w:t>
            </w:r>
            <w:r w:rsidR="00911F33">
              <w:t xml:space="preserve"> where zone outcomes</w:t>
            </w:r>
            <w:r w:rsidR="00C432D9">
              <w:t xml:space="preserve"> </w:t>
            </w:r>
            <w:r w:rsidR="00C432D9">
              <w:lastRenderedPageBreak/>
              <w:t>have been varied</w:t>
            </w:r>
            <w:r w:rsidR="00911F33">
              <w:t xml:space="preserve"> in relation to </w:t>
            </w:r>
            <w:r w:rsidR="003B1E97" w:rsidRPr="004D45C5">
              <w:rPr>
                <w:rPrChange w:id="44" w:author="David Clark" w:date="2019-07-24T09:08:00Z">
                  <w:rPr/>
                </w:rPrChange>
              </w:rPr>
              <w:t>building height</w:t>
            </w:r>
            <w:r w:rsidR="00911F33">
              <w:t xml:space="preserve">. Some </w:t>
            </w:r>
            <w:r w:rsidR="000E1684">
              <w:t>neighbourhood plan</w:t>
            </w:r>
            <w:r w:rsidR="00911F33">
              <w:t xml:space="preserve">s may also specify </w:t>
            </w:r>
            <w:r w:rsidR="00733A9E">
              <w:t xml:space="preserve">the </w:t>
            </w:r>
            <w:r w:rsidR="00911F33" w:rsidRPr="00A76A8B">
              <w:t>height in metres.</w:t>
            </w:r>
            <w:r w:rsidR="00911F33">
              <w:t xml:space="preserve"> Development must comply with both parameters where maximum number of </w:t>
            </w:r>
            <w:r w:rsidR="00561D95" w:rsidRPr="004D45C5">
              <w:rPr>
                <w:rPrChange w:id="45" w:author="David Clark" w:date="2019-07-24T09:08:00Z">
                  <w:rPr/>
                </w:rPrChange>
              </w:rPr>
              <w:t>storeys</w:t>
            </w:r>
            <w:r w:rsidR="00911F33" w:rsidRPr="00585D6E">
              <w:t xml:space="preserve"> </w:t>
            </w:r>
            <w:r w:rsidR="00911F33">
              <w:t xml:space="preserve">and </w:t>
            </w:r>
            <w:r w:rsidR="00733A9E">
              <w:t xml:space="preserve">the </w:t>
            </w:r>
            <w:r w:rsidR="003B1E97" w:rsidRPr="00B36582">
              <w:t>height</w:t>
            </w:r>
            <w:r w:rsidR="00911F33">
              <w:t xml:space="preserve"> in metres </w:t>
            </w:r>
            <w:r w:rsidR="008E682A">
              <w:t xml:space="preserve">are </w:t>
            </w:r>
            <w:r w:rsidR="00D64970">
              <w:t>specified.</w:t>
            </w:r>
          </w:p>
        </w:tc>
      </w:tr>
      <w:tr w:rsidR="00DD5085" w:rsidRPr="00C74F43" w14:paraId="14AF201D" w14:textId="77777777">
        <w:trPr>
          <w:trHeight w:val="284"/>
        </w:trPr>
        <w:tc>
          <w:tcPr>
            <w:tcW w:w="8301" w:type="dxa"/>
            <w:gridSpan w:val="3"/>
            <w:shd w:val="clear" w:color="auto" w:fill="auto"/>
          </w:tcPr>
          <w:p w14:paraId="588F835B" w14:textId="77777777" w:rsidR="00DD5085" w:rsidRPr="00AD7D27" w:rsidRDefault="00735669" w:rsidP="00505089">
            <w:pPr>
              <w:pStyle w:val="QPPTableTextBold"/>
            </w:pPr>
            <w:r>
              <w:lastRenderedPageBreak/>
              <w:t xml:space="preserve">If </w:t>
            </w:r>
            <w:r w:rsidR="00DD5085" w:rsidRPr="00AD7D27">
              <w:t>on a site fronting Sandgate Road</w:t>
            </w:r>
          </w:p>
        </w:tc>
      </w:tr>
      <w:tr w:rsidR="00023775" w:rsidRPr="00CB52AC" w14:paraId="1B7EE2B0" w14:textId="77777777">
        <w:trPr>
          <w:trHeight w:val="1000"/>
        </w:trPr>
        <w:tc>
          <w:tcPr>
            <w:tcW w:w="4150" w:type="dxa"/>
            <w:gridSpan w:val="2"/>
            <w:vMerge w:val="restart"/>
            <w:shd w:val="clear" w:color="auto" w:fill="auto"/>
          </w:tcPr>
          <w:p w14:paraId="1D6FBB26" w14:textId="77777777" w:rsidR="00023775" w:rsidRPr="001E6F94" w:rsidRDefault="000C20C9" w:rsidP="000C20C9">
            <w:pPr>
              <w:pStyle w:val="QPPTableTextBold"/>
            </w:pPr>
            <w:r>
              <w:t>PO2</w:t>
            </w:r>
          </w:p>
          <w:p w14:paraId="626B66A3" w14:textId="4B7CEFF6" w:rsidR="00023775" w:rsidRPr="00B679DE" w:rsidRDefault="004B7BAC" w:rsidP="00565F9F">
            <w:pPr>
              <w:pStyle w:val="QPPTableTextBody"/>
            </w:pPr>
            <w:r>
              <w:t xml:space="preserve">Development is of a scale and location that must be appropriate for the display and sale of bulky goods on an </w:t>
            </w:r>
            <w:r w:rsidR="00023775" w:rsidRPr="004D45C5">
              <w:rPr>
                <w:rPrChange w:id="46" w:author="David Clark" w:date="2019-07-24T09:08:00Z">
                  <w:rPr/>
                </w:rPrChange>
              </w:rPr>
              <w:t>arterial road</w:t>
            </w:r>
            <w:r w:rsidR="00023775" w:rsidRPr="007631B2">
              <w:t xml:space="preserve"> setting</w:t>
            </w:r>
            <w:r w:rsidR="00023775">
              <w:t>.</w:t>
            </w:r>
          </w:p>
        </w:tc>
        <w:tc>
          <w:tcPr>
            <w:tcW w:w="4151" w:type="dxa"/>
            <w:shd w:val="clear" w:color="auto" w:fill="auto"/>
          </w:tcPr>
          <w:p w14:paraId="4D4D6025" w14:textId="77777777" w:rsidR="00023775" w:rsidRPr="00565F9F" w:rsidRDefault="00911F33" w:rsidP="00565F9F">
            <w:pPr>
              <w:pStyle w:val="QPPTableTextBold"/>
            </w:pPr>
            <w:r>
              <w:t>AO2</w:t>
            </w:r>
            <w:r w:rsidR="00023775" w:rsidRPr="00565F9F">
              <w:t>.1</w:t>
            </w:r>
          </w:p>
          <w:p w14:paraId="2C6E389E" w14:textId="77777777" w:rsidR="00023775" w:rsidRPr="00D64970" w:rsidRDefault="00C06863" w:rsidP="00D64970">
            <w:pPr>
              <w:pStyle w:val="QPPTableTextBody"/>
            </w:pPr>
            <w:r>
              <w:t xml:space="preserve">Development </w:t>
            </w:r>
            <w:r w:rsidR="003B7B17">
              <w:t xml:space="preserve">for a shop </w:t>
            </w:r>
            <w:r w:rsidR="00F619C2">
              <w:t>has a minimum tenancy size of</w:t>
            </w:r>
            <w:r w:rsidR="00023775" w:rsidRPr="0021331C">
              <w:t xml:space="preserve"> 350m</w:t>
            </w:r>
            <w:r w:rsidR="00023775" w:rsidRPr="00CB52AC">
              <w:rPr>
                <w:vertAlign w:val="superscript"/>
              </w:rPr>
              <w:t>2</w:t>
            </w:r>
            <w:r w:rsidR="00023775">
              <w:t>.</w:t>
            </w:r>
          </w:p>
        </w:tc>
      </w:tr>
      <w:tr w:rsidR="00DD5085" w:rsidRPr="00D23DF0" w14:paraId="0DC3AD59" w14:textId="77777777">
        <w:trPr>
          <w:trHeight w:val="284"/>
        </w:trPr>
        <w:tc>
          <w:tcPr>
            <w:tcW w:w="4150" w:type="dxa"/>
            <w:gridSpan w:val="2"/>
            <w:vMerge/>
            <w:shd w:val="clear" w:color="auto" w:fill="auto"/>
          </w:tcPr>
          <w:p w14:paraId="6DCB32E1" w14:textId="77777777" w:rsidR="00DD5085" w:rsidRDefault="00DD5085" w:rsidP="00CB52AC">
            <w:pPr>
              <w:ind w:left="360" w:hanging="360"/>
            </w:pPr>
          </w:p>
        </w:tc>
        <w:tc>
          <w:tcPr>
            <w:tcW w:w="4151" w:type="dxa"/>
            <w:shd w:val="clear" w:color="auto" w:fill="auto"/>
          </w:tcPr>
          <w:p w14:paraId="276BE3BE" w14:textId="77777777" w:rsidR="00DD5085" w:rsidRPr="00565F9F" w:rsidRDefault="00911F33" w:rsidP="00565F9F">
            <w:pPr>
              <w:pStyle w:val="QPPTableTextBold"/>
            </w:pPr>
            <w:r>
              <w:t>AO2</w:t>
            </w:r>
            <w:r w:rsidR="00DD5085" w:rsidRPr="00565F9F">
              <w:t>.</w:t>
            </w:r>
            <w:r w:rsidR="001F0821">
              <w:t>2</w:t>
            </w:r>
          </w:p>
          <w:p w14:paraId="710CA931" w14:textId="2EC4F158" w:rsidR="00DD5085" w:rsidRPr="00D23DF0" w:rsidRDefault="00F619C2" w:rsidP="000B3110">
            <w:pPr>
              <w:pStyle w:val="QPPTableTextBody"/>
            </w:pPr>
            <w:r>
              <w:t>Development has a m</w:t>
            </w:r>
            <w:r w:rsidR="00DD5085">
              <w:t xml:space="preserve">aximum </w:t>
            </w:r>
            <w:r w:rsidR="00DD5085" w:rsidRPr="004D45C5">
              <w:rPr>
                <w:rPrChange w:id="47" w:author="David Clark" w:date="2019-07-24T09:08:00Z">
                  <w:rPr/>
                </w:rPrChange>
              </w:rPr>
              <w:t>site cover</w:t>
            </w:r>
            <w:r w:rsidR="00561D95" w:rsidRPr="000B3110">
              <w:t xml:space="preserve"> </w:t>
            </w:r>
            <w:r>
              <w:t>of</w:t>
            </w:r>
            <w:r w:rsidR="00DD5085" w:rsidRPr="003A284D">
              <w:t xml:space="preserve"> 70%</w:t>
            </w:r>
            <w:r w:rsidR="00DD5085">
              <w:t>.</w:t>
            </w:r>
          </w:p>
        </w:tc>
      </w:tr>
      <w:tr w:rsidR="00DD5085" w:rsidRPr="00D23DF0" w14:paraId="7415CFCC" w14:textId="77777777">
        <w:trPr>
          <w:trHeight w:val="284"/>
        </w:trPr>
        <w:tc>
          <w:tcPr>
            <w:tcW w:w="4150" w:type="dxa"/>
            <w:gridSpan w:val="2"/>
            <w:vMerge/>
            <w:shd w:val="clear" w:color="auto" w:fill="auto"/>
          </w:tcPr>
          <w:p w14:paraId="26DDDC37" w14:textId="77777777" w:rsidR="00DD5085" w:rsidRDefault="00DD5085" w:rsidP="00CB52AC">
            <w:pPr>
              <w:ind w:left="360" w:hanging="360"/>
            </w:pPr>
          </w:p>
        </w:tc>
        <w:tc>
          <w:tcPr>
            <w:tcW w:w="4151" w:type="dxa"/>
            <w:shd w:val="clear" w:color="auto" w:fill="auto"/>
          </w:tcPr>
          <w:p w14:paraId="2855FC41" w14:textId="77777777" w:rsidR="00DD5085" w:rsidRPr="003A284D" w:rsidRDefault="00911F33" w:rsidP="00E03F3A">
            <w:pPr>
              <w:pStyle w:val="QPPTableTextBold"/>
            </w:pPr>
            <w:r>
              <w:t>AO2</w:t>
            </w:r>
            <w:r w:rsidR="00DD5085">
              <w:t>.</w:t>
            </w:r>
            <w:r w:rsidR="001F0821">
              <w:t>3</w:t>
            </w:r>
          </w:p>
          <w:p w14:paraId="05BB0E07" w14:textId="3A80432C" w:rsidR="00DD5085" w:rsidRPr="00D23DF0" w:rsidRDefault="00F619C2" w:rsidP="000B3110">
            <w:pPr>
              <w:pStyle w:val="QPPTableTextBody"/>
            </w:pPr>
            <w:r>
              <w:t xml:space="preserve">Development has </w:t>
            </w:r>
            <w:r w:rsidR="00791C2C">
              <w:t xml:space="preserve">a </w:t>
            </w:r>
            <w:r w:rsidR="005F0A93">
              <w:t xml:space="preserve">minimum </w:t>
            </w:r>
            <w:r>
              <w:t xml:space="preserve">building </w:t>
            </w:r>
            <w:r w:rsidR="0002568C" w:rsidRPr="004D45C5">
              <w:rPr>
                <w:rPrChange w:id="48" w:author="David Clark" w:date="2019-07-24T09:08:00Z">
                  <w:rPr/>
                </w:rPrChange>
              </w:rPr>
              <w:t>setback</w:t>
            </w:r>
            <w:r w:rsidR="00DD5085" w:rsidRPr="003A284D">
              <w:t xml:space="preserve"> of 15m</w:t>
            </w:r>
            <w:r w:rsidR="00DD5085">
              <w:t xml:space="preserve"> </w:t>
            </w:r>
            <w:r w:rsidR="005F0A93">
              <w:t>to</w:t>
            </w:r>
            <w:r w:rsidR="005F0A93" w:rsidRPr="003A284D">
              <w:t xml:space="preserve"> </w:t>
            </w:r>
            <w:r w:rsidR="00DD5085" w:rsidRPr="003A284D">
              <w:t>the Sandgate Road frontage</w:t>
            </w:r>
            <w:r>
              <w:t>.</w:t>
            </w:r>
          </w:p>
        </w:tc>
      </w:tr>
      <w:tr w:rsidR="00DD5085" w:rsidRPr="00CB52AC" w14:paraId="3C6DDC2D" w14:textId="77777777">
        <w:trPr>
          <w:trHeight w:val="1967"/>
        </w:trPr>
        <w:tc>
          <w:tcPr>
            <w:tcW w:w="4150" w:type="dxa"/>
            <w:gridSpan w:val="2"/>
            <w:vMerge w:val="restart"/>
            <w:shd w:val="clear" w:color="auto" w:fill="auto"/>
          </w:tcPr>
          <w:p w14:paraId="03D1BA3A" w14:textId="77777777" w:rsidR="00DD5085" w:rsidRPr="007631B2" w:rsidRDefault="000C20C9" w:rsidP="000C20C9">
            <w:pPr>
              <w:pStyle w:val="QPPTableTextBold"/>
            </w:pPr>
            <w:r>
              <w:t>PO3</w:t>
            </w:r>
          </w:p>
          <w:p w14:paraId="1FE1F2F4" w14:textId="77777777" w:rsidR="00DD5085" w:rsidRDefault="00F619C2" w:rsidP="00C90479">
            <w:pPr>
              <w:pStyle w:val="QPPTableTextBody"/>
            </w:pPr>
            <w:r>
              <w:t>Development has</w:t>
            </w:r>
            <w:r w:rsidR="00DD5085">
              <w:t xml:space="preserve"> building </w:t>
            </w:r>
            <w:r w:rsidR="00733A9E" w:rsidRPr="00733A9E">
              <w:t>fa</w:t>
            </w:r>
            <w:r w:rsidR="00713259">
              <w:t>c</w:t>
            </w:r>
            <w:r w:rsidR="00733A9E" w:rsidRPr="00733A9E">
              <w:t>ade</w:t>
            </w:r>
            <w:r w:rsidR="00733A9E">
              <w:t xml:space="preserve">s </w:t>
            </w:r>
            <w:r w:rsidR="00063DDE">
              <w:t xml:space="preserve">that </w:t>
            </w:r>
            <w:r w:rsidR="00DD5085" w:rsidRPr="001D7429">
              <w:t>avoid large blank walls, allow for signage and address Sandgate Road</w:t>
            </w:r>
            <w:r w:rsidR="00DD5085">
              <w:t>.</w:t>
            </w:r>
          </w:p>
        </w:tc>
        <w:tc>
          <w:tcPr>
            <w:tcW w:w="4151" w:type="dxa"/>
            <w:shd w:val="clear" w:color="auto" w:fill="auto"/>
          </w:tcPr>
          <w:p w14:paraId="3A3230BD" w14:textId="77777777" w:rsidR="00DD5085" w:rsidRPr="007631B2" w:rsidRDefault="00911F33" w:rsidP="00E03F3A">
            <w:pPr>
              <w:pStyle w:val="QPPTableTextBold"/>
            </w:pPr>
            <w:r>
              <w:t>AO3</w:t>
            </w:r>
            <w:r w:rsidR="00DD5085">
              <w:t>.1</w:t>
            </w:r>
          </w:p>
          <w:p w14:paraId="3284A20C" w14:textId="77777777" w:rsidR="00DD5085" w:rsidRPr="001D7429" w:rsidRDefault="00422E0F" w:rsidP="00565F9F">
            <w:pPr>
              <w:pStyle w:val="QPPTableTextBody"/>
            </w:pPr>
            <w:r>
              <w:t xml:space="preserve">Development </w:t>
            </w:r>
            <w:r w:rsidR="00063DDE">
              <w:t xml:space="preserve">provides </w:t>
            </w:r>
            <w:r w:rsidR="003B7B17">
              <w:rPr>
                <w:rFonts w:cs="Times New Roman"/>
                <w:szCs w:val="24"/>
              </w:rPr>
              <w:t>fa</w:t>
            </w:r>
            <w:r w:rsidR="001F093B">
              <w:t>c</w:t>
            </w:r>
            <w:r w:rsidR="003B7B17">
              <w:rPr>
                <w:rFonts w:cs="Times New Roman"/>
                <w:szCs w:val="24"/>
              </w:rPr>
              <w:t>ade articulation that</w:t>
            </w:r>
            <w:r w:rsidR="00DD5085" w:rsidRPr="001D7429">
              <w:t xml:space="preserve"> </w:t>
            </w:r>
            <w:r w:rsidR="00DD5085">
              <w:t>incorporate</w:t>
            </w:r>
            <w:r w:rsidR="003B7B17">
              <w:t>s</w:t>
            </w:r>
            <w:r w:rsidR="00DD5085" w:rsidRPr="001D7429">
              <w:t>:</w:t>
            </w:r>
          </w:p>
          <w:p w14:paraId="2549629B" w14:textId="77777777" w:rsidR="00EE7F13" w:rsidRDefault="00DD5085" w:rsidP="00F867AB">
            <w:pPr>
              <w:pStyle w:val="HGTableBullet2"/>
              <w:numPr>
                <w:ilvl w:val="0"/>
                <w:numId w:val="12"/>
              </w:numPr>
              <w:tabs>
                <w:tab w:val="clear" w:pos="567"/>
                <w:tab w:val="num" w:pos="528"/>
              </w:tabs>
              <w:ind w:left="528" w:hanging="528"/>
            </w:pPr>
            <w:r w:rsidRPr="001D7429">
              <w:t>freestanding wall panels</w:t>
            </w:r>
            <w:r>
              <w:t>;</w:t>
            </w:r>
          </w:p>
          <w:p w14:paraId="0B588949" w14:textId="77777777" w:rsidR="00DD5085" w:rsidRPr="001F093B" w:rsidRDefault="00DD5085" w:rsidP="000B3110">
            <w:pPr>
              <w:pStyle w:val="HGTableBullet2"/>
              <w:numPr>
                <w:ilvl w:val="0"/>
                <w:numId w:val="12"/>
              </w:numPr>
            </w:pPr>
            <w:r w:rsidRPr="001F093B">
              <w:t>pedestrian awnings to the front and side elevations;</w:t>
            </w:r>
          </w:p>
          <w:p w14:paraId="5E97791A" w14:textId="77777777" w:rsidR="00DD5085" w:rsidRDefault="00DD5085" w:rsidP="00CB52AC">
            <w:pPr>
              <w:pStyle w:val="HGTableBullet2"/>
              <w:tabs>
                <w:tab w:val="clear" w:pos="567"/>
                <w:tab w:val="num" w:pos="528"/>
              </w:tabs>
              <w:ind w:left="528" w:hanging="528"/>
            </w:pPr>
            <w:r w:rsidRPr="001D7429">
              <w:t>articulated wall panels</w:t>
            </w:r>
            <w:r>
              <w:t>;</w:t>
            </w:r>
          </w:p>
          <w:p w14:paraId="740DD480" w14:textId="77777777" w:rsidR="001330CC" w:rsidRPr="00B679DE" w:rsidRDefault="00DD5085" w:rsidP="00F600A7">
            <w:pPr>
              <w:pStyle w:val="HGTableBullet2"/>
              <w:tabs>
                <w:tab w:val="clear" w:pos="567"/>
                <w:tab w:val="num" w:pos="528"/>
              </w:tabs>
              <w:ind w:left="528" w:hanging="528"/>
            </w:pPr>
            <w:r w:rsidRPr="001D7429">
              <w:t>textural and material variation</w:t>
            </w:r>
            <w:r>
              <w:t>.</w:t>
            </w:r>
          </w:p>
          <w:p w14:paraId="519E2E95" w14:textId="58670636" w:rsidR="00DD5085" w:rsidRPr="00CB52AC" w:rsidRDefault="00C264A3" w:rsidP="00C264A3">
            <w:pPr>
              <w:pStyle w:val="QPPEditorsNoteStyle1"/>
            </w:pPr>
            <w:r>
              <w:t xml:space="preserve">Note—Refer to </w:t>
            </w:r>
            <w:r w:rsidRPr="004D45C5">
              <w:rPr>
                <w:rPrChange w:id="49" w:author="David Clark" w:date="2019-07-24T09:08:00Z">
                  <w:rPr/>
                </w:rPrChange>
              </w:rPr>
              <w:t>Figure a</w:t>
            </w:r>
            <w:r>
              <w:t xml:space="preserve"> and </w:t>
            </w:r>
            <w:r w:rsidRPr="004D45C5">
              <w:rPr>
                <w:rPrChange w:id="50" w:author="David Clark" w:date="2019-07-24T09:08:00Z">
                  <w:rPr/>
                </w:rPrChange>
              </w:rPr>
              <w:t>Figure b</w:t>
            </w:r>
          </w:p>
        </w:tc>
      </w:tr>
      <w:tr w:rsidR="00DD5085" w:rsidRPr="00CB52AC" w14:paraId="0386F355" w14:textId="77777777">
        <w:trPr>
          <w:trHeight w:val="284"/>
        </w:trPr>
        <w:tc>
          <w:tcPr>
            <w:tcW w:w="4150" w:type="dxa"/>
            <w:gridSpan w:val="2"/>
            <w:vMerge/>
            <w:shd w:val="clear" w:color="auto" w:fill="auto"/>
          </w:tcPr>
          <w:p w14:paraId="5DA48037" w14:textId="77777777" w:rsidR="00DD5085" w:rsidRDefault="00DD5085" w:rsidP="00CB52AC">
            <w:pPr>
              <w:ind w:left="360" w:hanging="360"/>
            </w:pPr>
          </w:p>
        </w:tc>
        <w:tc>
          <w:tcPr>
            <w:tcW w:w="4151" w:type="dxa"/>
            <w:shd w:val="clear" w:color="auto" w:fill="auto"/>
          </w:tcPr>
          <w:p w14:paraId="0AD79DF8" w14:textId="77777777" w:rsidR="00DD5085" w:rsidRPr="007631B2" w:rsidRDefault="00911F33" w:rsidP="00E03F3A">
            <w:pPr>
              <w:pStyle w:val="QPPTableTextBold"/>
            </w:pPr>
            <w:r>
              <w:t>AO3</w:t>
            </w:r>
            <w:r w:rsidR="00DD5085" w:rsidRPr="007631B2">
              <w:t>.2</w:t>
            </w:r>
          </w:p>
          <w:p w14:paraId="0CD3DA5C" w14:textId="77777777" w:rsidR="00DD5085" w:rsidRPr="00BE1672" w:rsidRDefault="00422E0F" w:rsidP="00FA66C6">
            <w:pPr>
              <w:pStyle w:val="QPPTableTextBody"/>
            </w:pPr>
            <w:r>
              <w:t xml:space="preserve">Development </w:t>
            </w:r>
            <w:r w:rsidR="00063DDE">
              <w:t>provides a building fa</w:t>
            </w:r>
            <w:r w:rsidR="00713259">
              <w:t>c</w:t>
            </w:r>
            <w:r w:rsidR="00063DDE">
              <w:t>ade that</w:t>
            </w:r>
            <w:r w:rsidR="00DD5085" w:rsidRPr="008A641B">
              <w:t xml:space="preserve"> allows for large</w:t>
            </w:r>
            <w:r w:rsidR="00713259">
              <w:t>-</w:t>
            </w:r>
            <w:r w:rsidR="00DD5085" w:rsidRPr="008A641B">
              <w:t>scale signage.</w:t>
            </w:r>
          </w:p>
          <w:p w14:paraId="366CB5CB" w14:textId="5697C512" w:rsidR="00DD5085" w:rsidRPr="00CB52AC" w:rsidRDefault="001330CC" w:rsidP="001330CC">
            <w:pPr>
              <w:pStyle w:val="QPPEditorsNoteStyle1"/>
              <w:rPr>
                <w:i/>
              </w:rPr>
            </w:pPr>
            <w:r>
              <w:t>Note—</w:t>
            </w:r>
            <w:r w:rsidR="00DD5085" w:rsidRPr="00B679DE">
              <w:t xml:space="preserve">Refer to </w:t>
            </w:r>
            <w:r w:rsidR="00995EA7" w:rsidRPr="004D45C5">
              <w:rPr>
                <w:rPrChange w:id="51" w:author="David Clark" w:date="2019-07-24T09:08:00Z">
                  <w:rPr/>
                </w:rPrChange>
              </w:rPr>
              <w:t>Figure a</w:t>
            </w:r>
            <w:r w:rsidR="00995EA7">
              <w:t xml:space="preserve"> and </w:t>
            </w:r>
            <w:r w:rsidR="00995EA7" w:rsidRPr="004D45C5">
              <w:rPr>
                <w:rPrChange w:id="52" w:author="David Clark" w:date="2019-07-24T09:08:00Z">
                  <w:rPr/>
                </w:rPrChange>
              </w:rPr>
              <w:t>Figure b</w:t>
            </w:r>
            <w:r w:rsidR="00DD5085" w:rsidRPr="00B679DE">
              <w:t>.</w:t>
            </w:r>
          </w:p>
        </w:tc>
      </w:tr>
      <w:tr w:rsidR="00DD5085" w:rsidRPr="00CB52AC" w14:paraId="7AA598A4" w14:textId="77777777">
        <w:trPr>
          <w:trHeight w:val="284"/>
        </w:trPr>
        <w:tc>
          <w:tcPr>
            <w:tcW w:w="4150" w:type="dxa"/>
            <w:gridSpan w:val="2"/>
            <w:vMerge/>
            <w:shd w:val="clear" w:color="auto" w:fill="auto"/>
          </w:tcPr>
          <w:p w14:paraId="6B31BB66" w14:textId="77777777" w:rsidR="00DD5085" w:rsidRDefault="00DD5085" w:rsidP="00CB52AC">
            <w:pPr>
              <w:ind w:left="360" w:hanging="360"/>
            </w:pPr>
          </w:p>
        </w:tc>
        <w:tc>
          <w:tcPr>
            <w:tcW w:w="4151" w:type="dxa"/>
            <w:shd w:val="clear" w:color="auto" w:fill="auto"/>
          </w:tcPr>
          <w:p w14:paraId="6DEF28BF" w14:textId="77777777" w:rsidR="00DD5085" w:rsidRPr="007631B2" w:rsidRDefault="00911F33" w:rsidP="00E03F3A">
            <w:pPr>
              <w:pStyle w:val="QPPTableTextBold"/>
            </w:pPr>
            <w:r>
              <w:t>AO3</w:t>
            </w:r>
            <w:r w:rsidR="00DD5085" w:rsidRPr="007631B2">
              <w:t>.3</w:t>
            </w:r>
          </w:p>
          <w:p w14:paraId="0AFB086C" w14:textId="5D2AB147" w:rsidR="00DD5085" w:rsidRPr="00BE1672" w:rsidRDefault="00DD5085" w:rsidP="00565F9F">
            <w:pPr>
              <w:pStyle w:val="QPPTableTextBody"/>
            </w:pPr>
            <w:r w:rsidRPr="00BE1672">
              <w:lastRenderedPageBreak/>
              <w:t>Development can incorporate a single</w:t>
            </w:r>
            <w:r w:rsidR="001F093B">
              <w:t>-</w:t>
            </w:r>
            <w:r w:rsidRPr="00BE1672">
              <w:t>level</w:t>
            </w:r>
            <w:r w:rsidR="00733A9E">
              <w:t xml:space="preserve"> </w:t>
            </w:r>
            <w:r w:rsidR="0002568C" w:rsidRPr="004D45C5">
              <w:rPr>
                <w:rPrChange w:id="53" w:author="David Clark" w:date="2019-07-24T09:08:00Z">
                  <w:rPr/>
                </w:rPrChange>
              </w:rPr>
              <w:t>showroom</w:t>
            </w:r>
            <w:r>
              <w:t xml:space="preserve"> </w:t>
            </w:r>
            <w:r w:rsidRPr="00BE1672">
              <w:t xml:space="preserve">within the 15m front </w:t>
            </w:r>
            <w:r w:rsidRPr="004D45C5">
              <w:rPr>
                <w:rPrChange w:id="54" w:author="David Clark" w:date="2019-07-24T09:08:00Z">
                  <w:rPr/>
                </w:rPrChange>
              </w:rPr>
              <w:t>setback</w:t>
            </w:r>
            <w:r w:rsidRPr="00BE1672">
              <w:t>,</w:t>
            </w:r>
            <w:r>
              <w:t xml:space="preserve"> </w:t>
            </w:r>
            <w:r w:rsidRPr="00BE1672">
              <w:t xml:space="preserve">provided </w:t>
            </w:r>
            <w:r w:rsidR="00063DDE">
              <w:t xml:space="preserve">that </w:t>
            </w:r>
            <w:r w:rsidRPr="00BE1672">
              <w:t xml:space="preserve">the </w:t>
            </w:r>
            <w:r w:rsidR="0002568C">
              <w:t>showroom</w:t>
            </w:r>
            <w:r w:rsidRPr="00BE1672">
              <w:t>:</w:t>
            </w:r>
          </w:p>
          <w:p w14:paraId="5B7ED367" w14:textId="77777777" w:rsidR="00EE7F13" w:rsidRDefault="00DD5085" w:rsidP="00F867AB">
            <w:pPr>
              <w:pStyle w:val="HGTableBullet2"/>
              <w:numPr>
                <w:ilvl w:val="0"/>
                <w:numId w:val="13"/>
              </w:numPr>
              <w:tabs>
                <w:tab w:val="clear" w:pos="567"/>
                <w:tab w:val="left" w:pos="528"/>
                <w:tab w:val="num" w:pos="1379"/>
              </w:tabs>
              <w:ind w:left="528" w:hanging="528"/>
            </w:pPr>
            <w:r w:rsidRPr="00BE1672">
              <w:t>is a maximum of 50m</w:t>
            </w:r>
            <w:r w:rsidRPr="00CB52AC">
              <w:rPr>
                <w:vertAlign w:val="superscript"/>
              </w:rPr>
              <w:t>2</w:t>
            </w:r>
            <w:r>
              <w:t>;</w:t>
            </w:r>
          </w:p>
          <w:p w14:paraId="2B80EACA" w14:textId="77777777" w:rsidR="00EE7F13" w:rsidRPr="008E682A" w:rsidRDefault="00DD5085" w:rsidP="000B3110">
            <w:pPr>
              <w:pStyle w:val="HGTableBullet2"/>
              <w:numPr>
                <w:ilvl w:val="0"/>
                <w:numId w:val="13"/>
              </w:numPr>
            </w:pPr>
            <w:r w:rsidRPr="001F093B">
              <w:t xml:space="preserve">is physically interconnected to and part of </w:t>
            </w:r>
            <w:r w:rsidR="00A52F50" w:rsidRPr="001F093B">
              <w:t>a minimum</w:t>
            </w:r>
            <w:r w:rsidRPr="008E682A">
              <w:t xml:space="preserve"> tenancy;</w:t>
            </w:r>
          </w:p>
          <w:p w14:paraId="0BBC0F18" w14:textId="77777777" w:rsidR="00EE7F13" w:rsidRPr="001F093B" w:rsidRDefault="00DD5085" w:rsidP="000B3110">
            <w:pPr>
              <w:pStyle w:val="HGTableBullet2"/>
              <w:numPr>
                <w:ilvl w:val="0"/>
                <w:numId w:val="13"/>
              </w:numPr>
            </w:pPr>
            <w:r w:rsidRPr="001F093B">
              <w:t>has external walls made of a minimum of 80% clear glass;</w:t>
            </w:r>
          </w:p>
          <w:p w14:paraId="489BB8AD" w14:textId="77777777" w:rsidR="00DD5085" w:rsidRPr="001F093B" w:rsidRDefault="00DD5085" w:rsidP="000B3110">
            <w:pPr>
              <w:pStyle w:val="HGTableBullet2"/>
              <w:numPr>
                <w:ilvl w:val="0"/>
                <w:numId w:val="13"/>
              </w:numPr>
            </w:pPr>
            <w:r w:rsidRPr="001F093B">
              <w:t>allows for car access into adjoining sites.</w:t>
            </w:r>
          </w:p>
          <w:p w14:paraId="19089E17" w14:textId="769F0C22" w:rsidR="00DD5085" w:rsidRPr="00CB52AC" w:rsidRDefault="001330CC" w:rsidP="001330CC">
            <w:pPr>
              <w:pStyle w:val="QPPEditorsNoteStyle1"/>
              <w:rPr>
                <w:i/>
              </w:rPr>
            </w:pPr>
            <w:r>
              <w:t>Note—</w:t>
            </w:r>
            <w:r w:rsidR="00DD5085" w:rsidRPr="00B679DE">
              <w:t xml:space="preserve">Refer to </w:t>
            </w:r>
            <w:r w:rsidR="00995EA7" w:rsidRPr="004D45C5">
              <w:rPr>
                <w:rPrChange w:id="55" w:author="David Clark" w:date="2019-07-24T09:08:00Z">
                  <w:rPr/>
                </w:rPrChange>
              </w:rPr>
              <w:t>Figure a</w:t>
            </w:r>
            <w:r w:rsidR="00995EA7">
              <w:t xml:space="preserve"> and </w:t>
            </w:r>
            <w:r w:rsidR="00995EA7" w:rsidRPr="004D45C5">
              <w:rPr>
                <w:rPrChange w:id="56" w:author="David Clark" w:date="2019-07-24T09:08:00Z">
                  <w:rPr/>
                </w:rPrChange>
              </w:rPr>
              <w:t>Figure b</w:t>
            </w:r>
            <w:r w:rsidR="00DD5085" w:rsidRPr="00B679DE">
              <w:t>.</w:t>
            </w:r>
          </w:p>
        </w:tc>
      </w:tr>
      <w:tr w:rsidR="00DD5085" w:rsidRPr="00D23DF0" w14:paraId="15947096" w14:textId="77777777">
        <w:trPr>
          <w:trHeight w:val="284"/>
        </w:trPr>
        <w:tc>
          <w:tcPr>
            <w:tcW w:w="4150" w:type="dxa"/>
            <w:gridSpan w:val="2"/>
            <w:vMerge/>
            <w:shd w:val="clear" w:color="auto" w:fill="auto"/>
          </w:tcPr>
          <w:p w14:paraId="3DDDC5F0" w14:textId="77777777" w:rsidR="00DD5085" w:rsidRDefault="00DD5085" w:rsidP="00CB52AC">
            <w:pPr>
              <w:ind w:left="360" w:hanging="360"/>
            </w:pPr>
          </w:p>
        </w:tc>
        <w:tc>
          <w:tcPr>
            <w:tcW w:w="4151" w:type="dxa"/>
            <w:shd w:val="clear" w:color="auto" w:fill="auto"/>
          </w:tcPr>
          <w:p w14:paraId="7FFF537D" w14:textId="77777777" w:rsidR="00DD5085" w:rsidRPr="007631B2" w:rsidRDefault="00DD5085" w:rsidP="00E03F3A">
            <w:pPr>
              <w:pStyle w:val="QPPTableTextBold"/>
            </w:pPr>
            <w:r>
              <w:t>A</w:t>
            </w:r>
            <w:r w:rsidR="00911F33">
              <w:t>O3</w:t>
            </w:r>
            <w:r w:rsidRPr="007631B2">
              <w:t>.4</w:t>
            </w:r>
          </w:p>
          <w:p w14:paraId="0132D14F" w14:textId="77777777" w:rsidR="00DD5085" w:rsidRPr="00B17783" w:rsidRDefault="00422E0F" w:rsidP="00565F9F">
            <w:pPr>
              <w:pStyle w:val="QPPTableTextBody"/>
            </w:pPr>
            <w:r>
              <w:t xml:space="preserve">Development </w:t>
            </w:r>
            <w:r w:rsidR="00A52F50">
              <w:t xml:space="preserve">of </w:t>
            </w:r>
            <w:r w:rsidR="00063DDE">
              <w:t xml:space="preserve">a building </w:t>
            </w:r>
            <w:r>
              <w:t>has w</w:t>
            </w:r>
            <w:r w:rsidR="00DD5085" w:rsidRPr="00BE1672">
              <w:t>all and glass surfaces visible from Sandgate</w:t>
            </w:r>
            <w:r w:rsidR="00DD5085">
              <w:t xml:space="preserve"> </w:t>
            </w:r>
            <w:r w:rsidR="00DD5085" w:rsidRPr="00BE1672">
              <w:t>Road</w:t>
            </w:r>
            <w:r>
              <w:t xml:space="preserve"> </w:t>
            </w:r>
            <w:r w:rsidR="00A52F50">
              <w:t>with</w:t>
            </w:r>
            <w:r w:rsidR="00DD5085" w:rsidRPr="00BE1672">
              <w:t xml:space="preserve"> a maximum of 20%</w:t>
            </w:r>
            <w:r w:rsidR="00DD5085">
              <w:t xml:space="preserve"> </w:t>
            </w:r>
            <w:r w:rsidR="00DD5085" w:rsidRPr="00BE1672">
              <w:t>reflectivity</w:t>
            </w:r>
            <w:r w:rsidR="00DD5085">
              <w:t>.</w:t>
            </w:r>
          </w:p>
        </w:tc>
      </w:tr>
      <w:tr w:rsidR="00DD5085" w:rsidRPr="00CB52AC" w14:paraId="1DC9C97F" w14:textId="77777777">
        <w:trPr>
          <w:trHeight w:val="284"/>
        </w:trPr>
        <w:tc>
          <w:tcPr>
            <w:tcW w:w="4150" w:type="dxa"/>
            <w:gridSpan w:val="2"/>
            <w:vMerge w:val="restart"/>
            <w:shd w:val="clear" w:color="auto" w:fill="auto"/>
          </w:tcPr>
          <w:p w14:paraId="7AAFD666" w14:textId="77777777" w:rsidR="00DD5085" w:rsidRPr="00505089" w:rsidRDefault="000C20C9" w:rsidP="000C20C9">
            <w:pPr>
              <w:pStyle w:val="QPPTableTextBold"/>
            </w:pPr>
            <w:r>
              <w:t>PO4</w:t>
            </w:r>
          </w:p>
          <w:p w14:paraId="46C0FD54" w14:textId="77777777" w:rsidR="00DD5085" w:rsidRPr="00C86EBA" w:rsidRDefault="00DD5085" w:rsidP="00565F9F">
            <w:pPr>
              <w:pStyle w:val="QPPTableTextBody"/>
            </w:pPr>
            <w:r w:rsidRPr="00C86EBA">
              <w:t xml:space="preserve">Development </w:t>
            </w:r>
            <w:r w:rsidR="00312F25">
              <w:t>is</w:t>
            </w:r>
            <w:r w:rsidRPr="00C86EBA">
              <w:t xml:space="preserve"> located and designed to</w:t>
            </w:r>
            <w:r>
              <w:t xml:space="preserve"> </w:t>
            </w:r>
            <w:r w:rsidRPr="00C86EBA">
              <w:t>create an internal integrated vehicle circulation</w:t>
            </w:r>
            <w:r>
              <w:t xml:space="preserve"> </w:t>
            </w:r>
            <w:r w:rsidRPr="00C86EBA">
              <w:t xml:space="preserve">system </w:t>
            </w:r>
            <w:r w:rsidR="00422E0F">
              <w:t>between individual sites and</w:t>
            </w:r>
            <w:r w:rsidRPr="00C86EBA">
              <w:t xml:space="preserve"> minimise</w:t>
            </w:r>
            <w:r>
              <w:t xml:space="preserve"> </w:t>
            </w:r>
            <w:r w:rsidRPr="00C86EBA">
              <w:t>vehicle access points to Sandgate Road</w:t>
            </w:r>
            <w:r>
              <w:t>.</w:t>
            </w:r>
          </w:p>
        </w:tc>
        <w:tc>
          <w:tcPr>
            <w:tcW w:w="4151" w:type="dxa"/>
            <w:shd w:val="clear" w:color="auto" w:fill="auto"/>
          </w:tcPr>
          <w:p w14:paraId="74C361E5" w14:textId="77777777" w:rsidR="00DD5085" w:rsidRPr="007631B2" w:rsidRDefault="00DD5085" w:rsidP="00E03F3A">
            <w:pPr>
              <w:pStyle w:val="QPPTableTextBold"/>
            </w:pPr>
            <w:r>
              <w:t>AO</w:t>
            </w:r>
            <w:r w:rsidR="00911F33">
              <w:t>4</w:t>
            </w:r>
            <w:r w:rsidRPr="007631B2">
              <w:t>.1</w:t>
            </w:r>
          </w:p>
          <w:p w14:paraId="068F7AFE" w14:textId="2DA4CF19" w:rsidR="00DD5085" w:rsidRPr="00B67A15" w:rsidRDefault="00422E0F" w:rsidP="00FA66C6">
            <w:pPr>
              <w:pStyle w:val="QPPTableTextBody"/>
            </w:pPr>
            <w:r w:rsidRPr="00FA66C6">
              <w:t>Development i</w:t>
            </w:r>
            <w:r w:rsidR="00DD5085" w:rsidRPr="00FA66C6">
              <w:t>ntegrate</w:t>
            </w:r>
            <w:r w:rsidR="00A52F50" w:rsidRPr="00FA66C6">
              <w:t>s</w:t>
            </w:r>
            <w:r w:rsidR="00DD5085" w:rsidRPr="00FA66C6">
              <w:t xml:space="preserve"> </w:t>
            </w:r>
            <w:r w:rsidR="004C7F86" w:rsidRPr="00FA66C6">
              <w:t xml:space="preserve">vehicular </w:t>
            </w:r>
            <w:r w:rsidR="00DD5085" w:rsidRPr="00FA66C6">
              <w:t>parking</w:t>
            </w:r>
            <w:r w:rsidR="00A52F50" w:rsidRPr="00FA66C6">
              <w:t xml:space="preserve"> and </w:t>
            </w:r>
            <w:r w:rsidR="00DD5085" w:rsidRPr="00FA66C6">
              <w:t xml:space="preserve">access between sites, as shown </w:t>
            </w:r>
            <w:r w:rsidR="00D438E0">
              <w:t>i</w:t>
            </w:r>
            <w:r w:rsidR="00DD5085" w:rsidRPr="00FA66C6">
              <w:t>n</w:t>
            </w:r>
            <w:r w:rsidR="00DD5085" w:rsidRPr="008A641B">
              <w:t xml:space="preserve"> </w:t>
            </w:r>
            <w:r w:rsidR="00995EA7" w:rsidRPr="004D45C5">
              <w:rPr>
                <w:rPrChange w:id="57" w:author="David Clark" w:date="2019-07-24T09:08:00Z">
                  <w:rPr/>
                </w:rPrChange>
              </w:rPr>
              <w:t>Figure a</w:t>
            </w:r>
            <w:r w:rsidR="00995EA7">
              <w:t xml:space="preserve"> and </w:t>
            </w:r>
            <w:r w:rsidR="00995EA7" w:rsidRPr="004D45C5">
              <w:rPr>
                <w:rPrChange w:id="58" w:author="David Clark" w:date="2019-07-24T09:08:00Z">
                  <w:rPr/>
                </w:rPrChange>
              </w:rPr>
              <w:t>Figure b</w:t>
            </w:r>
            <w:r w:rsidR="00063DDE">
              <w:t>,</w:t>
            </w:r>
            <w:r>
              <w:t xml:space="preserve"> </w:t>
            </w:r>
            <w:r w:rsidR="00DD5085" w:rsidRPr="00FA66C6">
              <w:t>through the creation of internal easements.</w:t>
            </w:r>
          </w:p>
          <w:p w14:paraId="496E0BDC" w14:textId="77777777" w:rsidR="00DD5085" w:rsidRPr="00B67A15" w:rsidRDefault="00DD5085" w:rsidP="00DD5085">
            <w:pPr>
              <w:pStyle w:val="QPPEditorsNoteStyle1"/>
            </w:pPr>
            <w:r>
              <w:t>Note—</w:t>
            </w:r>
            <w:r w:rsidRPr="007631B2">
              <w:t>Creation of easements will require an application for reconfiguring a lot</w:t>
            </w:r>
            <w:r>
              <w:t>.</w:t>
            </w:r>
          </w:p>
        </w:tc>
      </w:tr>
      <w:tr w:rsidR="00DD5085" w:rsidRPr="00D23DF0" w14:paraId="6404981B" w14:textId="77777777">
        <w:trPr>
          <w:trHeight w:val="284"/>
        </w:trPr>
        <w:tc>
          <w:tcPr>
            <w:tcW w:w="4150" w:type="dxa"/>
            <w:gridSpan w:val="2"/>
            <w:vMerge/>
            <w:shd w:val="clear" w:color="auto" w:fill="auto"/>
          </w:tcPr>
          <w:p w14:paraId="6143C70E" w14:textId="77777777" w:rsidR="00DD5085" w:rsidRDefault="00DD5085" w:rsidP="00CB52AC">
            <w:pPr>
              <w:ind w:left="360" w:hanging="360"/>
            </w:pPr>
          </w:p>
        </w:tc>
        <w:tc>
          <w:tcPr>
            <w:tcW w:w="4151" w:type="dxa"/>
            <w:shd w:val="clear" w:color="auto" w:fill="auto"/>
          </w:tcPr>
          <w:p w14:paraId="00384D97" w14:textId="77777777" w:rsidR="00DD5085" w:rsidRPr="007631B2" w:rsidRDefault="00DD5085" w:rsidP="00E03F3A">
            <w:pPr>
              <w:pStyle w:val="QPPTableTextBold"/>
            </w:pPr>
            <w:r>
              <w:t>AO</w:t>
            </w:r>
            <w:r w:rsidR="00911F33">
              <w:t>4</w:t>
            </w:r>
            <w:r w:rsidRPr="007631B2">
              <w:t>.2</w:t>
            </w:r>
          </w:p>
          <w:p w14:paraId="0B0543BE" w14:textId="77777777" w:rsidR="00DD5085" w:rsidRPr="00A52F50" w:rsidRDefault="00A52F50" w:rsidP="00A52F50">
            <w:pPr>
              <w:pStyle w:val="QPPTableTextBody"/>
            </w:pPr>
            <w:r w:rsidRPr="00FA274F">
              <w:t xml:space="preserve">Development </w:t>
            </w:r>
            <w:r>
              <w:t>locates</w:t>
            </w:r>
            <w:r w:rsidRPr="00FA274F">
              <w:t xml:space="preserve"> car</w:t>
            </w:r>
            <w:r>
              <w:t xml:space="preserve"> </w:t>
            </w:r>
            <w:r w:rsidRPr="00FA274F">
              <w:t xml:space="preserve">parks at the front of the site </w:t>
            </w:r>
            <w:r>
              <w:t>where they do</w:t>
            </w:r>
            <w:r w:rsidRPr="00FA274F">
              <w:t xml:space="preserve"> not impede access to adjoining sites</w:t>
            </w:r>
          </w:p>
        </w:tc>
      </w:tr>
      <w:tr w:rsidR="00DD5085" w:rsidRPr="00D23DF0" w14:paraId="13865FA1" w14:textId="77777777">
        <w:trPr>
          <w:trHeight w:val="284"/>
        </w:trPr>
        <w:tc>
          <w:tcPr>
            <w:tcW w:w="4150" w:type="dxa"/>
            <w:gridSpan w:val="2"/>
            <w:vMerge w:val="restart"/>
            <w:shd w:val="clear" w:color="auto" w:fill="auto"/>
          </w:tcPr>
          <w:p w14:paraId="1F4C21FD" w14:textId="77777777" w:rsidR="00DD5085" w:rsidRPr="00505089" w:rsidRDefault="000C20C9" w:rsidP="000C20C9">
            <w:pPr>
              <w:pStyle w:val="QPPTableTextBold"/>
            </w:pPr>
            <w:r>
              <w:t>PO5</w:t>
            </w:r>
          </w:p>
          <w:p w14:paraId="46C09777" w14:textId="77777777" w:rsidR="00DD5085" w:rsidRDefault="00422E0F" w:rsidP="00C90479">
            <w:pPr>
              <w:pStyle w:val="QPPTableTextBody"/>
            </w:pPr>
            <w:r>
              <w:t xml:space="preserve">Development has a </w:t>
            </w:r>
            <w:r w:rsidR="00DD5085" w:rsidRPr="00053DAF">
              <w:t>well</w:t>
            </w:r>
            <w:r w:rsidR="00713259">
              <w:t>-</w:t>
            </w:r>
            <w:r w:rsidR="00DD5085" w:rsidRPr="00053DAF">
              <w:t>connected street system</w:t>
            </w:r>
            <w:r>
              <w:t xml:space="preserve"> that </w:t>
            </w:r>
            <w:r w:rsidR="00DD5085" w:rsidRPr="00053DAF">
              <w:t>fac</w:t>
            </w:r>
            <w:r w:rsidR="00DD5085">
              <w:t>ilitate</w:t>
            </w:r>
            <w:r>
              <w:t>s</w:t>
            </w:r>
            <w:r w:rsidR="00DD5085">
              <w:t xml:space="preserve"> safe vehicular movement.</w:t>
            </w:r>
          </w:p>
        </w:tc>
        <w:tc>
          <w:tcPr>
            <w:tcW w:w="4151" w:type="dxa"/>
            <w:shd w:val="clear" w:color="auto" w:fill="auto"/>
          </w:tcPr>
          <w:p w14:paraId="657F7EAE" w14:textId="77777777" w:rsidR="00DD5085" w:rsidRPr="007631B2" w:rsidRDefault="00DD5085" w:rsidP="00E03F3A">
            <w:pPr>
              <w:pStyle w:val="QPPTableTextBold"/>
            </w:pPr>
            <w:r>
              <w:t>AO</w:t>
            </w:r>
            <w:r w:rsidR="00911F33">
              <w:t>5</w:t>
            </w:r>
            <w:r w:rsidRPr="007631B2">
              <w:t>.1</w:t>
            </w:r>
          </w:p>
          <w:p w14:paraId="672BB9DE" w14:textId="5757D891" w:rsidR="00DD5085" w:rsidRPr="00053DAF" w:rsidRDefault="00422E0F" w:rsidP="00565F9F">
            <w:pPr>
              <w:pStyle w:val="QPPTableTextBody"/>
            </w:pPr>
            <w:r>
              <w:t>Development of a</w:t>
            </w:r>
            <w:r w:rsidR="00DD5085" w:rsidRPr="00053DAF">
              <w:t xml:space="preserve"> road connection between Lathe Street and Hadley Street is provided in accordance with</w:t>
            </w:r>
            <w:r w:rsidR="00995EA7">
              <w:t xml:space="preserve"> </w:t>
            </w:r>
            <w:r w:rsidR="00995EA7" w:rsidRPr="004D45C5">
              <w:rPr>
                <w:rPrChange w:id="59" w:author="David Clark" w:date="2019-07-24T09:08:00Z">
                  <w:rPr/>
                </w:rPrChange>
              </w:rPr>
              <w:t>Figure c</w:t>
            </w:r>
            <w:r w:rsidR="00DD5085">
              <w:t>.</w:t>
            </w:r>
          </w:p>
        </w:tc>
      </w:tr>
      <w:tr w:rsidR="00DD5085" w:rsidRPr="00CB52AC" w14:paraId="347E0C87" w14:textId="77777777">
        <w:trPr>
          <w:trHeight w:val="284"/>
        </w:trPr>
        <w:tc>
          <w:tcPr>
            <w:tcW w:w="4150" w:type="dxa"/>
            <w:gridSpan w:val="2"/>
            <w:vMerge/>
            <w:shd w:val="clear" w:color="auto" w:fill="auto"/>
          </w:tcPr>
          <w:p w14:paraId="250F5F22" w14:textId="77777777" w:rsidR="00DD5085" w:rsidRDefault="00DD5085" w:rsidP="00CB52AC">
            <w:pPr>
              <w:ind w:left="360" w:hanging="360"/>
            </w:pPr>
          </w:p>
        </w:tc>
        <w:tc>
          <w:tcPr>
            <w:tcW w:w="4151" w:type="dxa"/>
            <w:shd w:val="clear" w:color="auto" w:fill="auto"/>
          </w:tcPr>
          <w:p w14:paraId="59C1654E" w14:textId="77777777" w:rsidR="00DD5085" w:rsidRPr="007631B2" w:rsidRDefault="00DD5085" w:rsidP="00E03F3A">
            <w:pPr>
              <w:pStyle w:val="QPPTableTextBold"/>
            </w:pPr>
            <w:r>
              <w:t>AO</w:t>
            </w:r>
            <w:r w:rsidR="00911F33">
              <w:t>5</w:t>
            </w:r>
            <w:r w:rsidRPr="007631B2">
              <w:t>.2</w:t>
            </w:r>
          </w:p>
          <w:p w14:paraId="6B5845E3" w14:textId="2F24751C" w:rsidR="00DD5085" w:rsidRPr="00D23DF0" w:rsidRDefault="00422E0F" w:rsidP="00063DDE">
            <w:pPr>
              <w:pStyle w:val="QPPTableTextBody"/>
            </w:pPr>
            <w:r>
              <w:t xml:space="preserve">Development of a </w:t>
            </w:r>
            <w:r w:rsidR="00DD5085" w:rsidRPr="006050E2">
              <w:t>service road running parallel to Sandgate</w:t>
            </w:r>
            <w:r w:rsidR="00565F9F">
              <w:t xml:space="preserve"> </w:t>
            </w:r>
            <w:r w:rsidR="00DD5085" w:rsidRPr="006050E2">
              <w:t>Road between Radley Street and Telford</w:t>
            </w:r>
            <w:r w:rsidR="00565F9F">
              <w:t xml:space="preserve"> </w:t>
            </w:r>
            <w:r w:rsidR="00DD5085" w:rsidRPr="00565F9F">
              <w:t xml:space="preserve">Street is provided in accordance with </w:t>
            </w:r>
            <w:r w:rsidR="00995EA7" w:rsidRPr="004D45C5">
              <w:rPr>
                <w:rPrChange w:id="60" w:author="David Clark" w:date="2019-07-24T09:08:00Z">
                  <w:rPr/>
                </w:rPrChange>
              </w:rPr>
              <w:t>Figure c</w:t>
            </w:r>
            <w:r w:rsidR="00063DDE">
              <w:t>.</w:t>
            </w:r>
          </w:p>
        </w:tc>
      </w:tr>
      <w:tr w:rsidR="004C7F86" w:rsidRPr="00CB52AC" w14:paraId="6417C601" w14:textId="77777777">
        <w:trPr>
          <w:trHeight w:val="284"/>
        </w:trPr>
        <w:tc>
          <w:tcPr>
            <w:tcW w:w="4150" w:type="dxa"/>
            <w:gridSpan w:val="2"/>
            <w:vMerge w:val="restart"/>
            <w:shd w:val="clear" w:color="auto" w:fill="auto"/>
          </w:tcPr>
          <w:p w14:paraId="62B362A5" w14:textId="77777777" w:rsidR="004C7F86" w:rsidRPr="007631B2" w:rsidRDefault="004C7F86" w:rsidP="000C20C9">
            <w:pPr>
              <w:pStyle w:val="QPPTableTextBold"/>
            </w:pPr>
            <w:r>
              <w:t>PO6</w:t>
            </w:r>
          </w:p>
          <w:p w14:paraId="16DC3859" w14:textId="2E7DDAFE" w:rsidR="004C7F86" w:rsidRPr="00F62985" w:rsidRDefault="004C7F86" w:rsidP="00565F9F">
            <w:pPr>
              <w:pStyle w:val="QPPTableTextBody"/>
            </w:pPr>
            <w:r>
              <w:t>Development provides l</w:t>
            </w:r>
            <w:r w:rsidRPr="00F62985">
              <w:t xml:space="preserve">andscaping and shade structures </w:t>
            </w:r>
            <w:r>
              <w:t xml:space="preserve">to </w:t>
            </w:r>
            <w:r w:rsidRPr="00F62985">
              <w:t>contribute</w:t>
            </w:r>
            <w:r>
              <w:t xml:space="preserve"> </w:t>
            </w:r>
            <w:r w:rsidRPr="00F62985">
              <w:t>to th</w:t>
            </w:r>
            <w:r>
              <w:t xml:space="preserve">e visual </w:t>
            </w:r>
            <w:r w:rsidRPr="004D45C5">
              <w:rPr>
                <w:rPrChange w:id="61" w:author="David Clark" w:date="2019-07-24T09:08:00Z">
                  <w:rPr/>
                </w:rPrChange>
              </w:rPr>
              <w:t>amenity</w:t>
            </w:r>
            <w:r>
              <w:t xml:space="preserve"> of the area</w:t>
            </w:r>
            <w:r w:rsidRPr="00F62985">
              <w:t>, provide</w:t>
            </w:r>
            <w:r>
              <w:t xml:space="preserve"> </w:t>
            </w:r>
            <w:r w:rsidRPr="00F62985">
              <w:t xml:space="preserve">solar shading </w:t>
            </w:r>
            <w:r w:rsidRPr="005E3A0F">
              <w:t xml:space="preserve">to </w:t>
            </w:r>
            <w:r w:rsidR="00CD550D" w:rsidRPr="00CD550D">
              <w:t>car parks</w:t>
            </w:r>
            <w:r w:rsidRPr="005E3A0F">
              <w:t>, and is outside signage sightlines from</w:t>
            </w:r>
            <w:r w:rsidRPr="00F62985">
              <w:t xml:space="preserve"> Sandgate Road</w:t>
            </w:r>
            <w:r>
              <w:t>.</w:t>
            </w:r>
          </w:p>
        </w:tc>
        <w:tc>
          <w:tcPr>
            <w:tcW w:w="4151" w:type="dxa"/>
            <w:shd w:val="clear" w:color="auto" w:fill="auto"/>
          </w:tcPr>
          <w:p w14:paraId="196A7119" w14:textId="77777777" w:rsidR="004C7F86" w:rsidRPr="007631B2" w:rsidRDefault="004C7F86" w:rsidP="00E03F3A">
            <w:pPr>
              <w:pStyle w:val="QPPTableTextBold"/>
            </w:pPr>
            <w:r>
              <w:t>AO6</w:t>
            </w:r>
            <w:r w:rsidRPr="007631B2">
              <w:t>.1</w:t>
            </w:r>
          </w:p>
          <w:p w14:paraId="2381797E" w14:textId="77777777" w:rsidR="004C7F86" w:rsidRDefault="004C7F86" w:rsidP="00565F9F">
            <w:pPr>
              <w:pStyle w:val="QPPTableTextBody"/>
            </w:pPr>
            <w:r>
              <w:t>Development provides for a</w:t>
            </w:r>
            <w:r w:rsidRPr="00F62985">
              <w:t xml:space="preserve"> landscape strip with low</w:t>
            </w:r>
            <w:r w:rsidR="008E682A">
              <w:t>-</w:t>
            </w:r>
            <w:r w:rsidRPr="00F62985">
              <w:t>level dense</w:t>
            </w:r>
            <w:r>
              <w:t xml:space="preserve"> </w:t>
            </w:r>
            <w:r w:rsidRPr="00F62985">
              <w:t xml:space="preserve">planting </w:t>
            </w:r>
            <w:r w:rsidRPr="00B0565A">
              <w:t>along the Sandgate Road frontage with a minimum width of 3m</w:t>
            </w:r>
            <w:r>
              <w:t>.</w:t>
            </w:r>
          </w:p>
          <w:p w14:paraId="391E8D19" w14:textId="7658A3EC" w:rsidR="004C7F86" w:rsidRPr="00B0565A" w:rsidRDefault="004C7F86" w:rsidP="00565F9F">
            <w:pPr>
              <w:pStyle w:val="QPPTableTextBody"/>
            </w:pPr>
            <w:r>
              <w:t xml:space="preserve">Refer to </w:t>
            </w:r>
            <w:r w:rsidRPr="004D45C5">
              <w:rPr>
                <w:rPrChange w:id="62" w:author="David Clark" w:date="2019-07-24T09:08:00Z">
                  <w:rPr/>
                </w:rPrChange>
              </w:rPr>
              <w:t>Figure a</w:t>
            </w:r>
            <w:r>
              <w:t xml:space="preserve"> and </w:t>
            </w:r>
            <w:r w:rsidRPr="004D45C5">
              <w:rPr>
                <w:rPrChange w:id="63" w:author="David Clark" w:date="2019-07-24T09:08:00Z">
                  <w:rPr/>
                </w:rPrChange>
              </w:rPr>
              <w:t>Figure b</w:t>
            </w:r>
            <w:r>
              <w:t>.</w:t>
            </w:r>
          </w:p>
        </w:tc>
      </w:tr>
      <w:tr w:rsidR="004C7F86" w:rsidRPr="00D23DF0" w14:paraId="22DCA071" w14:textId="77777777">
        <w:trPr>
          <w:trHeight w:val="284"/>
        </w:trPr>
        <w:tc>
          <w:tcPr>
            <w:tcW w:w="4150" w:type="dxa"/>
            <w:gridSpan w:val="2"/>
            <w:vMerge/>
            <w:shd w:val="clear" w:color="auto" w:fill="auto"/>
          </w:tcPr>
          <w:p w14:paraId="7F1410F7" w14:textId="77777777" w:rsidR="004C7F86" w:rsidRDefault="004C7F86" w:rsidP="00CB52AC">
            <w:pPr>
              <w:ind w:left="360" w:hanging="360"/>
            </w:pPr>
          </w:p>
        </w:tc>
        <w:tc>
          <w:tcPr>
            <w:tcW w:w="4151" w:type="dxa"/>
            <w:shd w:val="clear" w:color="auto" w:fill="auto"/>
          </w:tcPr>
          <w:p w14:paraId="3FDBD68E" w14:textId="77777777" w:rsidR="004C7F86" w:rsidRPr="007631B2" w:rsidRDefault="004C7F86" w:rsidP="00E03F3A">
            <w:pPr>
              <w:pStyle w:val="QPPTableTextBold"/>
            </w:pPr>
            <w:r>
              <w:t>AO6</w:t>
            </w:r>
            <w:r w:rsidRPr="007631B2">
              <w:t>.2</w:t>
            </w:r>
          </w:p>
          <w:p w14:paraId="6FC2E51E" w14:textId="77777777" w:rsidR="004C7F86" w:rsidRPr="00F62985" w:rsidRDefault="004C7F86" w:rsidP="00063DDE">
            <w:pPr>
              <w:pStyle w:val="QPPTableTextBody"/>
            </w:pPr>
            <w:r>
              <w:t>Development provides for g</w:t>
            </w:r>
            <w:r w:rsidRPr="00F62985">
              <w:t>roupings of large trees and spreading</w:t>
            </w:r>
            <w:r>
              <w:t xml:space="preserve"> </w:t>
            </w:r>
            <w:r w:rsidRPr="00F62985">
              <w:t>groundcovers in all landscape</w:t>
            </w:r>
            <w:r>
              <w:t xml:space="preserve">d </w:t>
            </w:r>
            <w:r w:rsidRPr="00F62985">
              <w:t xml:space="preserve">areas outside </w:t>
            </w:r>
            <w:r>
              <w:t xml:space="preserve">of </w:t>
            </w:r>
            <w:r w:rsidRPr="00F62985">
              <w:t>signage sightlines</w:t>
            </w:r>
            <w:r>
              <w:t>.</w:t>
            </w:r>
          </w:p>
        </w:tc>
      </w:tr>
      <w:tr w:rsidR="004C7F86" w:rsidRPr="00CB52AC" w14:paraId="726F2FE7" w14:textId="77777777">
        <w:trPr>
          <w:trHeight w:val="284"/>
        </w:trPr>
        <w:tc>
          <w:tcPr>
            <w:tcW w:w="4150" w:type="dxa"/>
            <w:gridSpan w:val="2"/>
            <w:vMerge/>
            <w:shd w:val="clear" w:color="auto" w:fill="auto"/>
          </w:tcPr>
          <w:p w14:paraId="0503E24D" w14:textId="77777777" w:rsidR="004C7F86" w:rsidRDefault="004C7F86" w:rsidP="00CB52AC">
            <w:pPr>
              <w:ind w:left="360" w:hanging="360"/>
            </w:pPr>
          </w:p>
        </w:tc>
        <w:tc>
          <w:tcPr>
            <w:tcW w:w="4151" w:type="dxa"/>
            <w:shd w:val="clear" w:color="auto" w:fill="auto"/>
          </w:tcPr>
          <w:p w14:paraId="010D4FE3" w14:textId="77777777" w:rsidR="004C7F86" w:rsidRPr="007631B2" w:rsidRDefault="004C7F86" w:rsidP="00E03F3A">
            <w:pPr>
              <w:pStyle w:val="QPPTableTextBold"/>
            </w:pPr>
            <w:r>
              <w:t>AO6</w:t>
            </w:r>
            <w:r w:rsidRPr="007631B2">
              <w:t>.3</w:t>
            </w:r>
          </w:p>
          <w:p w14:paraId="76BE5582" w14:textId="77777777" w:rsidR="004C7F86" w:rsidRPr="003C77DB" w:rsidRDefault="004C7F86" w:rsidP="00565F9F">
            <w:pPr>
              <w:pStyle w:val="QPPTableTextBody"/>
            </w:pPr>
            <w:r>
              <w:t>Development provides s</w:t>
            </w:r>
            <w:r w:rsidRPr="00F62985">
              <w:t xml:space="preserve">hade trees with </w:t>
            </w:r>
            <w:r>
              <w:t>a minimum of</w:t>
            </w:r>
            <w:r w:rsidRPr="00F62985">
              <w:t xml:space="preserve"> 1.5m clear trunk in car</w:t>
            </w:r>
            <w:r w:rsidR="008E682A">
              <w:t xml:space="preserve"> </w:t>
            </w:r>
            <w:r w:rsidRPr="00F62985">
              <w:t>parking areas at a ratio of 1</w:t>
            </w:r>
            <w:r>
              <w:t xml:space="preserve"> tree for every </w:t>
            </w:r>
            <w:r w:rsidRPr="00F62985">
              <w:t>6 car</w:t>
            </w:r>
            <w:r>
              <w:t>-</w:t>
            </w:r>
            <w:r w:rsidRPr="00F62985">
              <w:t>parking spaces and shade</w:t>
            </w:r>
            <w:r>
              <w:t xml:space="preserve"> </w:t>
            </w:r>
            <w:r w:rsidRPr="00F62985">
              <w:t xml:space="preserve">structures to </w:t>
            </w:r>
            <w:r w:rsidRPr="00F62985">
              <w:lastRenderedPageBreak/>
              <w:t>shade at least 30%</w:t>
            </w:r>
            <w:r>
              <w:t xml:space="preserve"> </w:t>
            </w:r>
            <w:r w:rsidRPr="00F62985">
              <w:t>of the car</w:t>
            </w:r>
            <w:r w:rsidR="008E682A">
              <w:t xml:space="preserve"> </w:t>
            </w:r>
            <w:r w:rsidRPr="00F62985">
              <w:t>parking spaces</w:t>
            </w:r>
            <w:r>
              <w:t>.</w:t>
            </w:r>
          </w:p>
          <w:p w14:paraId="7EE35635" w14:textId="6532DD96" w:rsidR="004C7F86" w:rsidRPr="003C77DB" w:rsidRDefault="004C7F86" w:rsidP="00565F9F">
            <w:pPr>
              <w:pStyle w:val="QPPTableTextBody"/>
            </w:pPr>
            <w:r w:rsidRPr="003C77DB">
              <w:t xml:space="preserve">Refer to </w:t>
            </w:r>
            <w:r w:rsidRPr="004D45C5">
              <w:rPr>
                <w:rPrChange w:id="64" w:author="David Clark" w:date="2019-07-24T09:08:00Z">
                  <w:rPr/>
                </w:rPrChange>
              </w:rPr>
              <w:t>Figure a</w:t>
            </w:r>
            <w:r>
              <w:t xml:space="preserve"> and </w:t>
            </w:r>
            <w:r w:rsidRPr="004D45C5">
              <w:rPr>
                <w:rPrChange w:id="65" w:author="David Clark" w:date="2019-07-24T09:08:00Z">
                  <w:rPr/>
                </w:rPrChange>
              </w:rPr>
              <w:t>Figure b</w:t>
            </w:r>
            <w:r w:rsidRPr="003C77DB">
              <w:t>.</w:t>
            </w:r>
          </w:p>
        </w:tc>
      </w:tr>
      <w:tr w:rsidR="004C7F86" w:rsidRPr="00CB52AC" w14:paraId="03A9E687" w14:textId="77777777">
        <w:trPr>
          <w:trHeight w:val="284"/>
        </w:trPr>
        <w:tc>
          <w:tcPr>
            <w:tcW w:w="4150" w:type="dxa"/>
            <w:gridSpan w:val="2"/>
            <w:vMerge/>
            <w:shd w:val="clear" w:color="auto" w:fill="auto"/>
          </w:tcPr>
          <w:p w14:paraId="2E8DAC7A" w14:textId="77777777" w:rsidR="004C7F86" w:rsidRDefault="004C7F86" w:rsidP="00CB52AC">
            <w:pPr>
              <w:ind w:left="360" w:hanging="360"/>
            </w:pPr>
          </w:p>
        </w:tc>
        <w:tc>
          <w:tcPr>
            <w:tcW w:w="4151" w:type="dxa"/>
            <w:shd w:val="clear" w:color="auto" w:fill="auto"/>
          </w:tcPr>
          <w:p w14:paraId="0C1E8C08" w14:textId="77777777" w:rsidR="004C7F86" w:rsidRDefault="004C7F86" w:rsidP="00E03F3A">
            <w:pPr>
              <w:pStyle w:val="QPPTableTextBold"/>
            </w:pPr>
            <w:r>
              <w:t>AO6.4</w:t>
            </w:r>
          </w:p>
          <w:p w14:paraId="0AEEBBDE" w14:textId="1E53CB74" w:rsidR="004C7F86" w:rsidRPr="004C7F86" w:rsidRDefault="004C7F86" w:rsidP="005F4A35">
            <w:pPr>
              <w:pStyle w:val="QPPTableTextBody"/>
            </w:pPr>
            <w:r w:rsidRPr="004C7F86">
              <w:t xml:space="preserve">Street trees are provided in accordance with </w:t>
            </w:r>
            <w:r w:rsidR="000E30AE" w:rsidRPr="004D45C5">
              <w:rPr>
                <w:rPrChange w:id="66" w:author="David Clark" w:date="2019-07-24T09:08:00Z">
                  <w:rPr/>
                </w:rPrChange>
              </w:rPr>
              <w:t>Figure c</w:t>
            </w:r>
            <w:r w:rsidR="000E30AE">
              <w:t>.</w:t>
            </w:r>
          </w:p>
        </w:tc>
      </w:tr>
    </w:tbl>
    <w:p w14:paraId="27FD8955" w14:textId="77777777" w:rsidR="00023775" w:rsidRDefault="0002568C" w:rsidP="00F97D24">
      <w:pPr>
        <w:pStyle w:val="QPPTableHeadingStyle1"/>
      </w:pPr>
      <w:bookmarkStart w:id="67" w:name="Table721923B"/>
      <w:r>
        <w:t>Table 7.2.19.2.3.B—</w:t>
      </w:r>
      <w:r w:rsidR="00B01B8C">
        <w:t>Maximum building height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3960"/>
      </w:tblGrid>
      <w:tr w:rsidR="00023775" w14:paraId="390124DF" w14:textId="77777777" w:rsidTr="00717A00">
        <w:tc>
          <w:tcPr>
            <w:tcW w:w="2558" w:type="pct"/>
            <w:shd w:val="clear" w:color="auto" w:fill="auto"/>
          </w:tcPr>
          <w:bookmarkEnd w:id="67"/>
          <w:p w14:paraId="448A55E0" w14:textId="77777777" w:rsidR="00023775" w:rsidRDefault="004C7F86" w:rsidP="000C20C9">
            <w:pPr>
              <w:pStyle w:val="QPPTableTextBold"/>
            </w:pPr>
            <w:r>
              <w:t>Development</w:t>
            </w:r>
          </w:p>
        </w:tc>
        <w:tc>
          <w:tcPr>
            <w:tcW w:w="2442" w:type="pct"/>
            <w:shd w:val="clear" w:color="auto" w:fill="auto"/>
          </w:tcPr>
          <w:p w14:paraId="0A0D3D9B" w14:textId="0FEA6B47" w:rsidR="00023775" w:rsidRDefault="00733A9E" w:rsidP="000C20C9">
            <w:pPr>
              <w:pStyle w:val="QPPTableTextBold"/>
            </w:pPr>
            <w:r w:rsidRPr="00D36C3E">
              <w:t xml:space="preserve">Building </w:t>
            </w:r>
            <w:r w:rsidR="004C7F86" w:rsidRPr="00D36C3E">
              <w:t>h</w:t>
            </w:r>
            <w:r w:rsidRPr="00D36C3E">
              <w:t>eight</w:t>
            </w:r>
            <w:r>
              <w:t xml:space="preserve"> (m</w:t>
            </w:r>
            <w:r w:rsidR="00023775">
              <w:t>)</w:t>
            </w:r>
          </w:p>
        </w:tc>
      </w:tr>
      <w:tr w:rsidR="00023775" w14:paraId="6CB59BB8" w14:textId="77777777" w:rsidTr="00717A00">
        <w:tc>
          <w:tcPr>
            <w:tcW w:w="2558" w:type="pct"/>
            <w:shd w:val="clear" w:color="auto" w:fill="auto"/>
          </w:tcPr>
          <w:p w14:paraId="7BF05660" w14:textId="77777777" w:rsidR="00023775" w:rsidRDefault="004C7F86" w:rsidP="00023775">
            <w:pPr>
              <w:pStyle w:val="QPPTableTextBody"/>
            </w:pPr>
            <w:r>
              <w:t>Development</w:t>
            </w:r>
            <w:r w:rsidRPr="00AD7D27">
              <w:t xml:space="preserve"> </w:t>
            </w:r>
            <w:r w:rsidR="00023775" w:rsidRPr="00AD7D27">
              <w:t>on a site fronting Sandgate Road</w:t>
            </w:r>
          </w:p>
        </w:tc>
        <w:tc>
          <w:tcPr>
            <w:tcW w:w="2442" w:type="pct"/>
            <w:shd w:val="clear" w:color="auto" w:fill="auto"/>
          </w:tcPr>
          <w:p w14:paraId="4E2E9922" w14:textId="77777777" w:rsidR="00023775" w:rsidRDefault="00023775" w:rsidP="00023775">
            <w:pPr>
              <w:pStyle w:val="QPPTableTextBody"/>
            </w:pPr>
            <w:r>
              <w:t>10</w:t>
            </w:r>
          </w:p>
        </w:tc>
      </w:tr>
    </w:tbl>
    <w:p w14:paraId="0E23D10A" w14:textId="77777777" w:rsidR="00023775" w:rsidRDefault="00023775" w:rsidP="00E03F3A">
      <w:pPr>
        <w:pStyle w:val="QPPBodytext"/>
      </w:pPr>
    </w:p>
    <w:p w14:paraId="0F173564" w14:textId="77777777" w:rsidR="00FF6021" w:rsidRDefault="00341623" w:rsidP="00E03F3A">
      <w:pPr>
        <w:pStyle w:val="QPPBodytext"/>
      </w:pPr>
      <w:bookmarkStart w:id="68" w:name="Figurea"/>
      <w:r>
        <w:rPr>
          <w:noProof/>
        </w:rPr>
        <w:drawing>
          <wp:inline distT="0" distB="0" distL="0" distR="0" wp14:anchorId="4C0FB65A" wp14:editId="11D3785C">
            <wp:extent cx="5274310" cy="4078605"/>
            <wp:effectExtent l="0" t="0" r="2540" b="0"/>
            <wp:docPr id="4" name="Picture 4" descr="Figure a—Landscaping and building fac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gateRdNP_Figure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7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8"/>
    </w:p>
    <w:p w14:paraId="0867FF1E" w14:textId="77777777" w:rsidR="004C2141" w:rsidRDefault="0052202C" w:rsidP="00E03F3A">
      <w:pPr>
        <w:pStyle w:val="QPPBodytext"/>
      </w:pPr>
      <w:bookmarkStart w:id="69" w:name="Figureb"/>
      <w:r>
        <w:rPr>
          <w:noProof/>
        </w:rPr>
        <w:lastRenderedPageBreak/>
        <w:drawing>
          <wp:inline distT="0" distB="0" distL="0" distR="0" wp14:anchorId="78BD16D8" wp14:editId="092249DE">
            <wp:extent cx="5276850" cy="3733800"/>
            <wp:effectExtent l="0" t="0" r="0" b="0"/>
            <wp:docPr id="2" name="Picture 2" descr="Figure b—Parking/access, landscaping and building fac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b—Parking/access, landscaping and building facad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9"/>
    </w:p>
    <w:p w14:paraId="18B2E7CF" w14:textId="2DB44F68" w:rsidR="004C2141" w:rsidRDefault="005F58DB" w:rsidP="005F4A35">
      <w:pPr>
        <w:pStyle w:val="QPPBodytext"/>
      </w:pPr>
      <w:r>
        <w:rPr>
          <w:noProof/>
        </w:rPr>
        <w:lastRenderedPageBreak/>
        <w:drawing>
          <wp:inline distT="0" distB="0" distL="0" distR="0" wp14:anchorId="1230C811" wp14:editId="74780180">
            <wp:extent cx="5273675" cy="804735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804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73B5BC" w14:textId="4FD077FF" w:rsidR="000244C2" w:rsidRDefault="000244C2" w:rsidP="005F4A35">
      <w:pPr>
        <w:pStyle w:val="QPPBodytext"/>
      </w:pPr>
      <w:r>
        <w:t xml:space="preserve">View the high resolution of </w:t>
      </w:r>
      <w:r w:rsidRPr="004D45C5">
        <w:rPr>
          <w:rPrChange w:id="70" w:author="David Clark" w:date="2019-07-24T09:08:00Z">
            <w:rPr/>
          </w:rPrChange>
        </w:rPr>
        <w:t>Figure c–Access and connectivity plan</w:t>
      </w:r>
      <w:r>
        <w:t xml:space="preserve"> (PDF file size is 141Kb)</w:t>
      </w:r>
    </w:p>
    <w:sectPr w:rsidR="000244C2">
      <w:headerReference w:type="even" r:id="rId11"/>
      <w:footerReference w:type="default" r:id="rId12"/>
      <w:head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2EF3C" w14:textId="77777777" w:rsidR="00561D95" w:rsidRDefault="00561D95">
      <w:r>
        <w:separator/>
      </w:r>
    </w:p>
  </w:endnote>
  <w:endnote w:type="continuationSeparator" w:id="0">
    <w:p w14:paraId="46A29F5A" w14:textId="77777777" w:rsidR="00561D95" w:rsidRDefault="0056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4D2E4" w14:textId="37F0F6CB" w:rsidR="00561D95" w:rsidRDefault="009E0782" w:rsidP="001254BE">
    <w:pPr>
      <w:pStyle w:val="QPPFooter"/>
    </w:pPr>
    <w:r w:rsidRPr="009E0782">
      <w:t>Part 7 – Neighbourhood plans (Sandgate Road)</w:t>
    </w:r>
    <w:r>
      <w:ptab w:relativeTo="margin" w:alignment="center" w:leader="none"/>
    </w:r>
    <w:r>
      <w:ptab w:relativeTo="margin" w:alignment="right" w:leader="none"/>
    </w:r>
    <w:r w:rsidRPr="009E0782">
      <w:t xml:space="preserve">Effective </w:t>
    </w:r>
    <w:r w:rsidR="005905BC">
      <w:t>29 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E0415" w14:textId="77777777" w:rsidR="00561D95" w:rsidRDefault="00561D95">
      <w:r>
        <w:separator/>
      </w:r>
    </w:p>
  </w:footnote>
  <w:footnote w:type="continuationSeparator" w:id="0">
    <w:p w14:paraId="6E8A1D0F" w14:textId="77777777" w:rsidR="00561D95" w:rsidRDefault="00561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D96DA" w14:textId="77777777" w:rsidR="000A4D5C" w:rsidRDefault="004D45C5">
    <w:pPr>
      <w:pStyle w:val="Header"/>
    </w:pPr>
    <w:r>
      <w:rPr>
        <w:noProof/>
        <w:lang w:eastAsia="en-US"/>
      </w:rPr>
      <w:pict w14:anchorId="6BAF3C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0194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275F3" w14:textId="77777777" w:rsidR="000A4D5C" w:rsidRDefault="004D45C5">
    <w:pPr>
      <w:pStyle w:val="Header"/>
    </w:pPr>
    <w:r>
      <w:rPr>
        <w:noProof/>
        <w:lang w:eastAsia="en-US"/>
      </w:rPr>
      <w:pict w14:anchorId="3CA79D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0193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A6BFC"/>
    <w:multiLevelType w:val="multilevel"/>
    <w:tmpl w:val="BC18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92C105B"/>
    <w:multiLevelType w:val="hybridMultilevel"/>
    <w:tmpl w:val="BBC27A64"/>
    <w:lvl w:ilvl="0" w:tplc="1AF8212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5"/>
  </w:num>
  <w:num w:numId="2">
    <w:abstractNumId w:val="16"/>
  </w:num>
  <w:num w:numId="3">
    <w:abstractNumId w:val="17"/>
  </w:num>
  <w:num w:numId="4">
    <w:abstractNumId w:val="11"/>
  </w:num>
  <w:num w:numId="5">
    <w:abstractNumId w:val="29"/>
  </w:num>
  <w:num w:numId="6">
    <w:abstractNumId w:val="30"/>
  </w:num>
  <w:num w:numId="7">
    <w:abstractNumId w:val="19"/>
  </w:num>
  <w:num w:numId="8">
    <w:abstractNumId w:val="33"/>
  </w:num>
  <w:num w:numId="9">
    <w:abstractNumId w:val="23"/>
  </w:num>
  <w:num w:numId="10">
    <w:abstractNumId w:val="26"/>
  </w:num>
  <w:num w:numId="11">
    <w:abstractNumId w:val="13"/>
  </w:num>
  <w:num w:numId="12">
    <w:abstractNumId w:val="23"/>
    <w:lvlOverride w:ilvl="0">
      <w:startOverride w:val="1"/>
    </w:lvlOverride>
  </w:num>
  <w:num w:numId="13">
    <w:abstractNumId w:val="23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20"/>
  </w:num>
  <w:num w:numId="17">
    <w:abstractNumId w:val="12"/>
  </w:num>
  <w:num w:numId="18">
    <w:abstractNumId w:val="3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1"/>
  </w:num>
  <w:num w:numId="35">
    <w:abstractNumId w:val="18"/>
  </w:num>
  <w:num w:numId="36">
    <w:abstractNumId w:val="36"/>
  </w:num>
  <w:num w:numId="37">
    <w:abstractNumId w:val="15"/>
  </w:num>
  <w:num w:numId="38">
    <w:abstractNumId w:val="38"/>
  </w:num>
  <w:num w:numId="39">
    <w:abstractNumId w:val="14"/>
  </w:num>
  <w:num w:numId="40">
    <w:abstractNumId w:val="27"/>
  </w:num>
  <w:num w:numId="41">
    <w:abstractNumId w:val="22"/>
  </w:num>
  <w:num w:numId="42">
    <w:abstractNumId w:val="24"/>
  </w:num>
  <w:num w:numId="43">
    <w:abstractNumId w:val="28"/>
  </w:num>
  <w:num w:numId="44">
    <w:abstractNumId w:val="28"/>
    <w:lvlOverride w:ilvl="0">
      <w:startOverride w:val="1"/>
    </w:lvlOverride>
  </w:num>
  <w:num w:numId="45">
    <w:abstractNumId w:val="32"/>
  </w:num>
  <w:num w:numId="46">
    <w:abstractNumId w:val="31"/>
  </w:num>
  <w:num w:numId="47">
    <w:abstractNumId w:val="0"/>
  </w:num>
  <w:num w:numId="48">
    <w:abstractNumId w:val="34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Clark">
    <w15:presenceInfo w15:providerId="AD" w15:userId="S-1-5-21-185431370-872621613-1041720472-180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3zxLSo2BhMudRJD+/LVQK72qhwc1zGbG9vMmZChaCub11T5qp5kMCrz6xghLpkrSDpZHbTAmEGIDdbphc/ngHA==" w:salt="r0VyYiHOy+qmcmNxSMLLpQ=="/>
  <w:styleLockTheme/>
  <w:styleLockQFSet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085"/>
    <w:rsid w:val="00023775"/>
    <w:rsid w:val="000244C2"/>
    <w:rsid w:val="0002568C"/>
    <w:rsid w:val="00063DDE"/>
    <w:rsid w:val="000646D0"/>
    <w:rsid w:val="00072229"/>
    <w:rsid w:val="00074296"/>
    <w:rsid w:val="000742B4"/>
    <w:rsid w:val="000A4C8D"/>
    <w:rsid w:val="000A4D5C"/>
    <w:rsid w:val="000B3110"/>
    <w:rsid w:val="000C20C9"/>
    <w:rsid w:val="000D13BF"/>
    <w:rsid w:val="000E134C"/>
    <w:rsid w:val="000E1684"/>
    <w:rsid w:val="000E18BE"/>
    <w:rsid w:val="000E30AE"/>
    <w:rsid w:val="000F0475"/>
    <w:rsid w:val="000F4FA1"/>
    <w:rsid w:val="00104D0C"/>
    <w:rsid w:val="00123D24"/>
    <w:rsid w:val="001254BE"/>
    <w:rsid w:val="001330CC"/>
    <w:rsid w:val="00135F67"/>
    <w:rsid w:val="00151127"/>
    <w:rsid w:val="00163A1F"/>
    <w:rsid w:val="001672C0"/>
    <w:rsid w:val="00180E36"/>
    <w:rsid w:val="001C2AAF"/>
    <w:rsid w:val="001E5635"/>
    <w:rsid w:val="001E6F94"/>
    <w:rsid w:val="001F0821"/>
    <w:rsid w:val="001F093B"/>
    <w:rsid w:val="00207E68"/>
    <w:rsid w:val="00216C51"/>
    <w:rsid w:val="00226A1C"/>
    <w:rsid w:val="00231351"/>
    <w:rsid w:val="002654F6"/>
    <w:rsid w:val="00267BF5"/>
    <w:rsid w:val="00290870"/>
    <w:rsid w:val="00291054"/>
    <w:rsid w:val="002A3F56"/>
    <w:rsid w:val="002C2E62"/>
    <w:rsid w:val="003112E7"/>
    <w:rsid w:val="00312F25"/>
    <w:rsid w:val="00315D49"/>
    <w:rsid w:val="00326F8C"/>
    <w:rsid w:val="00331F3A"/>
    <w:rsid w:val="00334446"/>
    <w:rsid w:val="00341623"/>
    <w:rsid w:val="003765A4"/>
    <w:rsid w:val="003B1E97"/>
    <w:rsid w:val="003B7B17"/>
    <w:rsid w:val="00422E0F"/>
    <w:rsid w:val="004308DB"/>
    <w:rsid w:val="004856B0"/>
    <w:rsid w:val="004A3C7F"/>
    <w:rsid w:val="004B2040"/>
    <w:rsid w:val="004B7BAC"/>
    <w:rsid w:val="004C2141"/>
    <w:rsid w:val="004C4B1F"/>
    <w:rsid w:val="004C7F86"/>
    <w:rsid w:val="004D45C5"/>
    <w:rsid w:val="004E55ED"/>
    <w:rsid w:val="004E5B25"/>
    <w:rsid w:val="004F3FB3"/>
    <w:rsid w:val="00505089"/>
    <w:rsid w:val="0052202C"/>
    <w:rsid w:val="00537129"/>
    <w:rsid w:val="00544068"/>
    <w:rsid w:val="00547E19"/>
    <w:rsid w:val="00561D95"/>
    <w:rsid w:val="00565F9F"/>
    <w:rsid w:val="00575DB0"/>
    <w:rsid w:val="00585D6E"/>
    <w:rsid w:val="005905BC"/>
    <w:rsid w:val="005B16D3"/>
    <w:rsid w:val="005E3A0F"/>
    <w:rsid w:val="005F0A93"/>
    <w:rsid w:val="005F1C7D"/>
    <w:rsid w:val="005F1D2D"/>
    <w:rsid w:val="005F4A35"/>
    <w:rsid w:val="005F58DB"/>
    <w:rsid w:val="00606771"/>
    <w:rsid w:val="00612E67"/>
    <w:rsid w:val="00613657"/>
    <w:rsid w:val="006376B6"/>
    <w:rsid w:val="00644B31"/>
    <w:rsid w:val="006633A8"/>
    <w:rsid w:val="00686B61"/>
    <w:rsid w:val="006B7350"/>
    <w:rsid w:val="006E557D"/>
    <w:rsid w:val="00706149"/>
    <w:rsid w:val="00713259"/>
    <w:rsid w:val="00717A00"/>
    <w:rsid w:val="00733A9E"/>
    <w:rsid w:val="00735669"/>
    <w:rsid w:val="00736C19"/>
    <w:rsid w:val="0073763E"/>
    <w:rsid w:val="0076799C"/>
    <w:rsid w:val="007753F3"/>
    <w:rsid w:val="00776A6D"/>
    <w:rsid w:val="00791C2C"/>
    <w:rsid w:val="007A224B"/>
    <w:rsid w:val="007A54E2"/>
    <w:rsid w:val="007E0FC2"/>
    <w:rsid w:val="007E2A58"/>
    <w:rsid w:val="00802D24"/>
    <w:rsid w:val="0080373C"/>
    <w:rsid w:val="0082059C"/>
    <w:rsid w:val="00831DB6"/>
    <w:rsid w:val="008415F6"/>
    <w:rsid w:val="008476B4"/>
    <w:rsid w:val="00852666"/>
    <w:rsid w:val="008553C5"/>
    <w:rsid w:val="00895C13"/>
    <w:rsid w:val="008A641B"/>
    <w:rsid w:val="008E682A"/>
    <w:rsid w:val="00911F33"/>
    <w:rsid w:val="009347D5"/>
    <w:rsid w:val="00940F7F"/>
    <w:rsid w:val="009422D0"/>
    <w:rsid w:val="00987455"/>
    <w:rsid w:val="00995EA7"/>
    <w:rsid w:val="009B1FCC"/>
    <w:rsid w:val="009C2E27"/>
    <w:rsid w:val="009D18E9"/>
    <w:rsid w:val="009E0782"/>
    <w:rsid w:val="009F3B2A"/>
    <w:rsid w:val="00A17A0E"/>
    <w:rsid w:val="00A52F50"/>
    <w:rsid w:val="00A7798A"/>
    <w:rsid w:val="00AD7D27"/>
    <w:rsid w:val="00AE2E15"/>
    <w:rsid w:val="00AF2EE3"/>
    <w:rsid w:val="00B01B8C"/>
    <w:rsid w:val="00B11E79"/>
    <w:rsid w:val="00B13322"/>
    <w:rsid w:val="00B201F1"/>
    <w:rsid w:val="00B36582"/>
    <w:rsid w:val="00B64D3F"/>
    <w:rsid w:val="00B6646F"/>
    <w:rsid w:val="00B87B77"/>
    <w:rsid w:val="00BA4378"/>
    <w:rsid w:val="00BC226B"/>
    <w:rsid w:val="00BD4A40"/>
    <w:rsid w:val="00BD7268"/>
    <w:rsid w:val="00C06863"/>
    <w:rsid w:val="00C264A3"/>
    <w:rsid w:val="00C432D9"/>
    <w:rsid w:val="00C43929"/>
    <w:rsid w:val="00C507E6"/>
    <w:rsid w:val="00C70CB6"/>
    <w:rsid w:val="00C77801"/>
    <w:rsid w:val="00C82869"/>
    <w:rsid w:val="00C83980"/>
    <w:rsid w:val="00C87A76"/>
    <w:rsid w:val="00C90479"/>
    <w:rsid w:val="00C90871"/>
    <w:rsid w:val="00CA68B8"/>
    <w:rsid w:val="00CB52AC"/>
    <w:rsid w:val="00CD550D"/>
    <w:rsid w:val="00CE4861"/>
    <w:rsid w:val="00D16467"/>
    <w:rsid w:val="00D33DC1"/>
    <w:rsid w:val="00D36C3E"/>
    <w:rsid w:val="00D438E0"/>
    <w:rsid w:val="00D55DA4"/>
    <w:rsid w:val="00D62352"/>
    <w:rsid w:val="00D64970"/>
    <w:rsid w:val="00D83A19"/>
    <w:rsid w:val="00DD4D8F"/>
    <w:rsid w:val="00DD5085"/>
    <w:rsid w:val="00DE4740"/>
    <w:rsid w:val="00E03F3A"/>
    <w:rsid w:val="00E424B8"/>
    <w:rsid w:val="00E60452"/>
    <w:rsid w:val="00E70E54"/>
    <w:rsid w:val="00E74BE0"/>
    <w:rsid w:val="00E76FA9"/>
    <w:rsid w:val="00E82920"/>
    <w:rsid w:val="00E8779E"/>
    <w:rsid w:val="00E92BF3"/>
    <w:rsid w:val="00EA46D3"/>
    <w:rsid w:val="00EB1EE9"/>
    <w:rsid w:val="00EB4C48"/>
    <w:rsid w:val="00ED75E2"/>
    <w:rsid w:val="00EE7F13"/>
    <w:rsid w:val="00EF22E5"/>
    <w:rsid w:val="00EF2A94"/>
    <w:rsid w:val="00F44C5B"/>
    <w:rsid w:val="00F5421A"/>
    <w:rsid w:val="00F600A7"/>
    <w:rsid w:val="00F619C2"/>
    <w:rsid w:val="00F63747"/>
    <w:rsid w:val="00F640A7"/>
    <w:rsid w:val="00F867AB"/>
    <w:rsid w:val="00F90C8E"/>
    <w:rsid w:val="00F97D24"/>
    <w:rsid w:val="00FA331B"/>
    <w:rsid w:val="00FA6357"/>
    <w:rsid w:val="00FA66C6"/>
    <w:rsid w:val="00FB43EC"/>
    <w:rsid w:val="00FE59BA"/>
    <w:rsid w:val="00FE66A4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1843F86"/>
  <w15:docId w15:val="{E8891805-2C28-413D-83E6-85376A31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next w:val="QPPBodytext"/>
    <w:qFormat/>
    <w:rsid w:val="004D45C5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2C2E6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2C2E6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2C2E6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2C2E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2C2E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2C2E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2C2E6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2C2E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2C2E6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4D45C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D45C5"/>
  </w:style>
  <w:style w:type="paragraph" w:customStyle="1" w:styleId="QPPBulletpoint3">
    <w:name w:val="QPP Bullet point 3"/>
    <w:basedOn w:val="Normal"/>
    <w:rsid w:val="004D45C5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4D45C5"/>
    <w:rPr>
      <w:b/>
    </w:rPr>
  </w:style>
  <w:style w:type="paragraph" w:customStyle="1" w:styleId="QPPBulletpoint2">
    <w:name w:val="QPP Bullet point 2"/>
    <w:basedOn w:val="Normal"/>
    <w:rsid w:val="004D45C5"/>
    <w:pPr>
      <w:numPr>
        <w:numId w:val="2"/>
      </w:numPr>
    </w:pPr>
    <w:rPr>
      <w:rFonts w:cs="Arial"/>
      <w:szCs w:val="20"/>
      <w:lang w:eastAsia="en-US"/>
    </w:rPr>
  </w:style>
  <w:style w:type="paragraph" w:customStyle="1" w:styleId="QPPBodytext">
    <w:name w:val="QPP Body text"/>
    <w:basedOn w:val="Normal"/>
    <w:link w:val="QPPBodytextChar"/>
    <w:rsid w:val="004D45C5"/>
    <w:pPr>
      <w:autoSpaceDE w:val="0"/>
      <w:autoSpaceDN w:val="0"/>
      <w:adjustRightInd w:val="0"/>
    </w:pPr>
    <w:rPr>
      <w:rFonts w:cs="Arial"/>
      <w:color w:val="000000"/>
      <w:szCs w:val="20"/>
    </w:rPr>
  </w:style>
  <w:style w:type="paragraph" w:customStyle="1" w:styleId="QPPTableHeadingStyle1">
    <w:name w:val="QPP Table Heading Style 1"/>
    <w:basedOn w:val="QPPHeading4"/>
    <w:rsid w:val="004D45C5"/>
    <w:pPr>
      <w:spacing w:after="0"/>
      <w:ind w:left="0" w:firstLine="0"/>
    </w:pPr>
  </w:style>
  <w:style w:type="character" w:customStyle="1" w:styleId="QPPBodytextChar">
    <w:name w:val="QPP Body text Char"/>
    <w:link w:val="QPPBodytext"/>
    <w:rsid w:val="002C2E62"/>
    <w:rPr>
      <w:rFonts w:ascii="Arial" w:hAnsi="Arial" w:cs="Arial"/>
      <w:color w:val="000000"/>
    </w:rPr>
  </w:style>
  <w:style w:type="paragraph" w:customStyle="1" w:styleId="QPPFooter">
    <w:name w:val="QPP Footer"/>
    <w:basedOn w:val="Normal"/>
    <w:rsid w:val="004D45C5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4D45C5"/>
    <w:pPr>
      <w:spacing w:before="100" w:beforeAutospacing="1" w:after="100" w:afterAutospacing="1"/>
    </w:pPr>
    <w:rPr>
      <w:sz w:val="16"/>
      <w:szCs w:val="16"/>
    </w:rPr>
  </w:style>
  <w:style w:type="paragraph" w:customStyle="1" w:styleId="QPPTableTextBody">
    <w:name w:val="QPP Table Text Body"/>
    <w:basedOn w:val="QPPBodytext"/>
    <w:link w:val="QPPTableTextBodyChar"/>
    <w:autoRedefine/>
    <w:rsid w:val="004D45C5"/>
    <w:pPr>
      <w:spacing w:before="60" w:after="60"/>
    </w:pPr>
  </w:style>
  <w:style w:type="paragraph" w:customStyle="1" w:styleId="QPPTableBullet">
    <w:name w:val="QPP Table Bullet"/>
    <w:basedOn w:val="Normal"/>
    <w:locked/>
    <w:rsid w:val="002C2E62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4">
    <w:name w:val="QPP Heading 4"/>
    <w:basedOn w:val="Normal"/>
    <w:link w:val="QPPHeading4Char"/>
    <w:autoRedefine/>
    <w:rsid w:val="004D45C5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3">
    <w:name w:val="QPP Heading 3"/>
    <w:basedOn w:val="Normal"/>
    <w:autoRedefine/>
    <w:rsid w:val="004D45C5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4D45C5"/>
    <w:pPr>
      <w:numPr>
        <w:numId w:val="3"/>
      </w:numPr>
    </w:pPr>
  </w:style>
  <w:style w:type="character" w:styleId="CommentReference">
    <w:name w:val="annotation reference"/>
    <w:semiHidden/>
    <w:locked/>
    <w:rsid w:val="002C2E62"/>
    <w:rPr>
      <w:sz w:val="16"/>
      <w:szCs w:val="16"/>
    </w:rPr>
  </w:style>
  <w:style w:type="table" w:styleId="TableGrid">
    <w:name w:val="Table Grid"/>
    <w:basedOn w:val="TableNormal"/>
    <w:rsid w:val="004D45C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4D45C5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4D45C5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locked/>
    <w:rsid w:val="002C2E62"/>
    <w:pPr>
      <w:numPr>
        <w:numId w:val="7"/>
      </w:numPr>
    </w:pPr>
  </w:style>
  <w:style w:type="paragraph" w:customStyle="1" w:styleId="QPPHeading2">
    <w:name w:val="QPP Heading 2"/>
    <w:basedOn w:val="Normal"/>
    <w:autoRedefine/>
    <w:rsid w:val="004D45C5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4D45C5"/>
    <w:rPr>
      <w:i/>
      <w:iCs/>
    </w:rPr>
  </w:style>
  <w:style w:type="paragraph" w:customStyle="1" w:styleId="QPPEditorsNoteStyle2">
    <w:name w:val="QPP Editor's Note Style 2"/>
    <w:basedOn w:val="Normal"/>
    <w:next w:val="QPPBodytext"/>
    <w:rsid w:val="004D45C5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4D45C5"/>
    <w:pPr>
      <w:numPr>
        <w:numId w:val="5"/>
      </w:numPr>
      <w:tabs>
        <w:tab w:val="left" w:pos="426"/>
      </w:tabs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2C2E62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locked/>
    <w:rsid w:val="002C2E62"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2C2E62"/>
    <w:rPr>
      <w:rFonts w:ascii="Arial" w:hAnsi="Arial" w:cs="Arial"/>
      <w:color w:val="000000"/>
    </w:rPr>
  </w:style>
  <w:style w:type="paragraph" w:customStyle="1" w:styleId="QPPBullet">
    <w:name w:val="QPP Bullet"/>
    <w:basedOn w:val="Normal"/>
    <w:autoRedefine/>
    <w:rsid w:val="004D45C5"/>
    <w:pPr>
      <w:numPr>
        <w:numId w:val="1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4D45C5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4D45C5"/>
    <w:pPr>
      <w:numPr>
        <w:numId w:val="8"/>
      </w:numPr>
    </w:pPr>
  </w:style>
  <w:style w:type="paragraph" w:customStyle="1" w:styleId="QPPBodyTextITALIC">
    <w:name w:val="QPP Body Text ITALIC"/>
    <w:basedOn w:val="QPPBodytext"/>
    <w:autoRedefine/>
    <w:rsid w:val="004D45C5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4D45C5"/>
    <w:rPr>
      <w:vertAlign w:val="superscript"/>
    </w:rPr>
  </w:style>
  <w:style w:type="character" w:customStyle="1" w:styleId="QPPSuperscriptChar">
    <w:name w:val="QPP Superscript Char"/>
    <w:link w:val="QPPSuperscript"/>
    <w:rsid w:val="002C2E62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4D45C5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4D45C5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4D45C5"/>
    <w:pPr>
      <w:numPr>
        <w:numId w:val="11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locked/>
    <w:rsid w:val="002C2E6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locked/>
    <w:rsid w:val="002C2E6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63DDE"/>
    <w:rPr>
      <w:rFonts w:ascii="Arial" w:hAnsi="Arial"/>
      <w:szCs w:val="24"/>
    </w:rPr>
  </w:style>
  <w:style w:type="paragraph" w:styleId="Footer">
    <w:name w:val="footer"/>
    <w:basedOn w:val="Normal"/>
    <w:link w:val="FooterChar"/>
    <w:locked/>
    <w:rsid w:val="002C2E6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063DDE"/>
    <w:rPr>
      <w:rFonts w:ascii="Arial" w:hAnsi="Arial"/>
      <w:szCs w:val="24"/>
    </w:rPr>
  </w:style>
  <w:style w:type="paragraph" w:styleId="CommentText">
    <w:name w:val="annotation text"/>
    <w:basedOn w:val="Normal"/>
    <w:semiHidden/>
    <w:locked/>
    <w:rsid w:val="002C2E62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2C2E62"/>
    <w:rPr>
      <w:b/>
      <w:bCs/>
    </w:rPr>
  </w:style>
  <w:style w:type="character" w:styleId="FollowedHyperlink">
    <w:name w:val="FollowedHyperlink"/>
    <w:locked/>
    <w:rsid w:val="002C2E62"/>
    <w:rPr>
      <w:color w:val="800080"/>
      <w:u w:val="single"/>
    </w:rPr>
  </w:style>
  <w:style w:type="character" w:customStyle="1" w:styleId="QPPHeading4Char">
    <w:name w:val="QPP Heading 4 Char"/>
    <w:link w:val="QPPHeading4"/>
    <w:rsid w:val="002C2E62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2C2E62"/>
    <w:rPr>
      <w:rFonts w:ascii="Arial" w:hAnsi="Arial" w:cs="Arial"/>
      <w:color w:val="000000"/>
      <w:vertAlign w:val="subscript"/>
    </w:rPr>
  </w:style>
  <w:style w:type="numbering" w:styleId="111111">
    <w:name w:val="Outline List 2"/>
    <w:basedOn w:val="NoList"/>
    <w:locked/>
    <w:rsid w:val="002C2E62"/>
  </w:style>
  <w:style w:type="numbering" w:styleId="1ai">
    <w:name w:val="Outline List 1"/>
    <w:basedOn w:val="NoList"/>
    <w:locked/>
    <w:rsid w:val="002C2E62"/>
  </w:style>
  <w:style w:type="numbering" w:styleId="ArticleSection">
    <w:name w:val="Outline List 3"/>
    <w:basedOn w:val="NoList"/>
    <w:locked/>
    <w:rsid w:val="002C2E62"/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C2E62"/>
  </w:style>
  <w:style w:type="paragraph" w:styleId="BlockText">
    <w:name w:val="Block Text"/>
    <w:basedOn w:val="Normal"/>
    <w:locked/>
    <w:rsid w:val="002C2E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2C2E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C2E62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2C2E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C2E62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2C2E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C2E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2C2E6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2C2E62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2C2E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C2E62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2C2E6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2C2E62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2C2E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C2E62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2C2E6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C2E62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2C2E62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2C2E6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2C2E62"/>
    <w:pPr>
      <w:ind w:left="4252"/>
    </w:pPr>
  </w:style>
  <w:style w:type="character" w:customStyle="1" w:styleId="ClosingChar">
    <w:name w:val="Closing Char"/>
    <w:basedOn w:val="DefaultParagraphFont"/>
    <w:link w:val="Closing"/>
    <w:rsid w:val="002C2E62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2C2E6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2C2E6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2C2E6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2C2E6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2C2E6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2C2E6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2C2E6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2C2E6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2C2E6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2C2E6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2C2E6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2C2E6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2C2E6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2C2E6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2C2E6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2C2E6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2C2E6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2C2E6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2C2E6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2C2E6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2C2E6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2C2E6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2C2E6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2C2E6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2C2E6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2C2E6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2C2E6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2C2E6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2C2E62"/>
  </w:style>
  <w:style w:type="character" w:customStyle="1" w:styleId="DateChar">
    <w:name w:val="Date Char"/>
    <w:basedOn w:val="DefaultParagraphFont"/>
    <w:link w:val="Date"/>
    <w:rsid w:val="002C2E62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2C2E6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C2E6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2C2E62"/>
  </w:style>
  <w:style w:type="character" w:customStyle="1" w:styleId="E-mailSignatureChar">
    <w:name w:val="E-mail Signature Char"/>
    <w:basedOn w:val="DefaultParagraphFont"/>
    <w:link w:val="E-mailSignature"/>
    <w:rsid w:val="002C2E62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2C2E62"/>
    <w:rPr>
      <w:i/>
      <w:iCs/>
    </w:rPr>
  </w:style>
  <w:style w:type="character" w:styleId="EndnoteReference">
    <w:name w:val="endnote reference"/>
    <w:basedOn w:val="DefaultParagraphFont"/>
    <w:locked/>
    <w:rsid w:val="002C2E62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2C2E62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2C2E62"/>
    <w:rPr>
      <w:rFonts w:ascii="Arial" w:hAnsi="Arial"/>
    </w:rPr>
  </w:style>
  <w:style w:type="paragraph" w:styleId="EnvelopeAddress">
    <w:name w:val="envelope address"/>
    <w:basedOn w:val="Normal"/>
    <w:locked/>
    <w:rsid w:val="002C2E6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2C2E62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2C2E62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2C2E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C2E62"/>
    <w:rPr>
      <w:rFonts w:ascii="Arial" w:hAnsi="Arial"/>
    </w:rPr>
  </w:style>
  <w:style w:type="character" w:styleId="HTMLAcronym">
    <w:name w:val="HTML Acronym"/>
    <w:basedOn w:val="DefaultParagraphFont"/>
    <w:locked/>
    <w:rsid w:val="002C2E62"/>
  </w:style>
  <w:style w:type="paragraph" w:styleId="HTMLAddress">
    <w:name w:val="HTML Address"/>
    <w:basedOn w:val="Normal"/>
    <w:link w:val="HTMLAddressChar"/>
    <w:locked/>
    <w:rsid w:val="002C2E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C2E62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2C2E62"/>
    <w:rPr>
      <w:i/>
      <w:iCs/>
    </w:rPr>
  </w:style>
  <w:style w:type="character" w:styleId="HTMLCode">
    <w:name w:val="HTML Code"/>
    <w:basedOn w:val="DefaultParagraphFont"/>
    <w:locked/>
    <w:rsid w:val="002C2E6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2C2E62"/>
    <w:rPr>
      <w:i/>
      <w:iCs/>
    </w:rPr>
  </w:style>
  <w:style w:type="character" w:styleId="HTMLKeyboard">
    <w:name w:val="HTML Keyboard"/>
    <w:basedOn w:val="DefaultParagraphFont"/>
    <w:locked/>
    <w:rsid w:val="002C2E6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2C2E62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C2E62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2C2E6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2C2E6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2C2E62"/>
    <w:rPr>
      <w:i/>
      <w:iCs/>
    </w:rPr>
  </w:style>
  <w:style w:type="paragraph" w:styleId="Index1">
    <w:name w:val="index 1"/>
    <w:basedOn w:val="Normal"/>
    <w:next w:val="Normal"/>
    <w:autoRedefine/>
    <w:locked/>
    <w:rsid w:val="002C2E62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2C2E62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2C2E62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2C2E62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2C2E62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2C2E62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2C2E62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2C2E62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2C2E62"/>
    <w:pPr>
      <w:ind w:left="1800" w:hanging="200"/>
    </w:pPr>
  </w:style>
  <w:style w:type="paragraph" w:styleId="IndexHeading">
    <w:name w:val="index heading"/>
    <w:basedOn w:val="Normal"/>
    <w:next w:val="Index1"/>
    <w:locked/>
    <w:rsid w:val="002C2E6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2C2E6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C2E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2E62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2C2E62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2C2E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2C2E6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2C2E6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2C2E6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2C2E6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2C2E6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2C2E6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2C2E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2C2E6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2C2E6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2C2E6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2C2E6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2C2E6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2C2E6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2C2E6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2C2E6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2C2E6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2C2E6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2C2E6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2C2E6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2C2E6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2C2E62"/>
  </w:style>
  <w:style w:type="paragraph" w:styleId="List">
    <w:name w:val="List"/>
    <w:basedOn w:val="Normal"/>
    <w:locked/>
    <w:rsid w:val="002C2E62"/>
    <w:pPr>
      <w:ind w:left="283" w:hanging="283"/>
      <w:contextualSpacing/>
    </w:pPr>
  </w:style>
  <w:style w:type="paragraph" w:styleId="List2">
    <w:name w:val="List 2"/>
    <w:basedOn w:val="Normal"/>
    <w:locked/>
    <w:rsid w:val="002C2E62"/>
    <w:pPr>
      <w:ind w:left="566" w:hanging="283"/>
      <w:contextualSpacing/>
    </w:pPr>
  </w:style>
  <w:style w:type="paragraph" w:styleId="List3">
    <w:name w:val="List 3"/>
    <w:basedOn w:val="Normal"/>
    <w:locked/>
    <w:rsid w:val="002C2E62"/>
    <w:pPr>
      <w:ind w:left="849" w:hanging="283"/>
      <w:contextualSpacing/>
    </w:pPr>
  </w:style>
  <w:style w:type="paragraph" w:styleId="List4">
    <w:name w:val="List 4"/>
    <w:basedOn w:val="Normal"/>
    <w:locked/>
    <w:rsid w:val="002C2E62"/>
    <w:pPr>
      <w:ind w:left="1132" w:hanging="283"/>
      <w:contextualSpacing/>
    </w:pPr>
  </w:style>
  <w:style w:type="paragraph" w:styleId="List5">
    <w:name w:val="List 5"/>
    <w:basedOn w:val="Normal"/>
    <w:locked/>
    <w:rsid w:val="002C2E62"/>
    <w:pPr>
      <w:ind w:left="1415" w:hanging="283"/>
      <w:contextualSpacing/>
    </w:pPr>
  </w:style>
  <w:style w:type="paragraph" w:styleId="ListBullet">
    <w:name w:val="List Bullet"/>
    <w:basedOn w:val="Normal"/>
    <w:locked/>
    <w:rsid w:val="002C2E62"/>
    <w:pPr>
      <w:numPr>
        <w:numId w:val="19"/>
      </w:numPr>
      <w:contextualSpacing/>
    </w:pPr>
  </w:style>
  <w:style w:type="paragraph" w:styleId="ListBullet2">
    <w:name w:val="List Bullet 2"/>
    <w:basedOn w:val="Normal"/>
    <w:locked/>
    <w:rsid w:val="002C2E62"/>
    <w:pPr>
      <w:numPr>
        <w:numId w:val="20"/>
      </w:numPr>
      <w:contextualSpacing/>
    </w:pPr>
  </w:style>
  <w:style w:type="paragraph" w:styleId="ListBullet3">
    <w:name w:val="List Bullet 3"/>
    <w:basedOn w:val="Normal"/>
    <w:locked/>
    <w:rsid w:val="002C2E62"/>
    <w:pPr>
      <w:numPr>
        <w:numId w:val="21"/>
      </w:numPr>
      <w:contextualSpacing/>
    </w:pPr>
  </w:style>
  <w:style w:type="paragraph" w:styleId="ListBullet4">
    <w:name w:val="List Bullet 4"/>
    <w:basedOn w:val="Normal"/>
    <w:locked/>
    <w:rsid w:val="002C2E62"/>
    <w:pPr>
      <w:numPr>
        <w:numId w:val="22"/>
      </w:numPr>
      <w:contextualSpacing/>
    </w:pPr>
  </w:style>
  <w:style w:type="paragraph" w:styleId="ListBullet5">
    <w:name w:val="List Bullet 5"/>
    <w:basedOn w:val="Normal"/>
    <w:locked/>
    <w:rsid w:val="002C2E62"/>
    <w:pPr>
      <w:numPr>
        <w:numId w:val="23"/>
      </w:numPr>
      <w:contextualSpacing/>
    </w:pPr>
  </w:style>
  <w:style w:type="paragraph" w:styleId="ListContinue">
    <w:name w:val="List Continue"/>
    <w:basedOn w:val="Normal"/>
    <w:locked/>
    <w:rsid w:val="002C2E62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2C2E62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2C2E62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2C2E62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2C2E62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2C2E62"/>
    <w:pPr>
      <w:numPr>
        <w:numId w:val="24"/>
      </w:numPr>
      <w:contextualSpacing/>
    </w:pPr>
  </w:style>
  <w:style w:type="paragraph" w:styleId="ListNumber2">
    <w:name w:val="List Number 2"/>
    <w:basedOn w:val="Normal"/>
    <w:locked/>
    <w:rsid w:val="002C2E62"/>
    <w:pPr>
      <w:numPr>
        <w:numId w:val="25"/>
      </w:numPr>
      <w:contextualSpacing/>
    </w:pPr>
  </w:style>
  <w:style w:type="paragraph" w:styleId="ListNumber3">
    <w:name w:val="List Number 3"/>
    <w:basedOn w:val="Normal"/>
    <w:locked/>
    <w:rsid w:val="002C2E62"/>
    <w:pPr>
      <w:numPr>
        <w:numId w:val="26"/>
      </w:numPr>
      <w:contextualSpacing/>
    </w:pPr>
  </w:style>
  <w:style w:type="paragraph" w:styleId="ListNumber4">
    <w:name w:val="List Number 4"/>
    <w:basedOn w:val="Normal"/>
    <w:locked/>
    <w:rsid w:val="002C2E62"/>
    <w:pPr>
      <w:numPr>
        <w:numId w:val="27"/>
      </w:numPr>
      <w:contextualSpacing/>
    </w:pPr>
  </w:style>
  <w:style w:type="paragraph" w:styleId="ListNumber5">
    <w:name w:val="List Number 5"/>
    <w:basedOn w:val="Normal"/>
    <w:locked/>
    <w:rsid w:val="002C2E62"/>
    <w:pPr>
      <w:numPr>
        <w:numId w:val="28"/>
      </w:numPr>
      <w:contextualSpacing/>
    </w:pPr>
  </w:style>
  <w:style w:type="paragraph" w:styleId="MacroText">
    <w:name w:val="macro"/>
    <w:link w:val="MacroTextChar"/>
    <w:locked/>
    <w:rsid w:val="002C2E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2C2E62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2C2E6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2C2E6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2C2E6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2C2E6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2C2E6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2C2E6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2C2E6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2C2E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2C2E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2C2E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2C2E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2C2E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2C2E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2C2E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2C2E6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2C2E6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2C2E6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2C2E6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2C2E6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2C2E6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2C2E6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2C2E6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2C2E6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2C2E6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2C2E6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2C2E6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2C2E6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2C2E6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2C2E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2C2E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2C2E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2C2E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2C2E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2C2E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2C2E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2C2E6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2C2E6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2C2E6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2C2E6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2C2E6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2C2E6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2C2E6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2C2E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2C2E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2C2E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2C2E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2C2E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2C2E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2C2E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2C2E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2C2E6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2C2E62"/>
    <w:rPr>
      <w:rFonts w:ascii="Arial" w:hAnsi="Arial"/>
      <w:szCs w:val="24"/>
    </w:rPr>
  </w:style>
  <w:style w:type="paragraph" w:styleId="NormalWeb">
    <w:name w:val="Normal (Web)"/>
    <w:basedOn w:val="Normal"/>
    <w:locked/>
    <w:rsid w:val="002C2E62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2C2E62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2C2E62"/>
  </w:style>
  <w:style w:type="character" w:customStyle="1" w:styleId="NoteHeadingChar">
    <w:name w:val="Note Heading Char"/>
    <w:basedOn w:val="DefaultParagraphFont"/>
    <w:link w:val="NoteHeading"/>
    <w:rsid w:val="002C2E62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2C2E62"/>
  </w:style>
  <w:style w:type="character" w:styleId="PlaceholderText">
    <w:name w:val="Placeholder Text"/>
    <w:basedOn w:val="DefaultParagraphFont"/>
    <w:uiPriority w:val="99"/>
    <w:semiHidden/>
    <w:locked/>
    <w:rsid w:val="002C2E62"/>
    <w:rPr>
      <w:color w:val="808080"/>
    </w:rPr>
  </w:style>
  <w:style w:type="paragraph" w:styleId="PlainText">
    <w:name w:val="Plain Text"/>
    <w:basedOn w:val="Normal"/>
    <w:link w:val="PlainTextChar"/>
    <w:locked/>
    <w:rsid w:val="002C2E6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C2E62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C2E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C2E62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2C2E62"/>
  </w:style>
  <w:style w:type="character" w:customStyle="1" w:styleId="SalutationChar">
    <w:name w:val="Salutation Char"/>
    <w:basedOn w:val="DefaultParagraphFont"/>
    <w:link w:val="Salutation"/>
    <w:rsid w:val="002C2E62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2C2E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2C2E62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2C2E62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2C2E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2C2E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2C2E6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2C2E62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2C2E6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2C2E6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2C2E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2C2E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2C2E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2C2E6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2C2E6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2C2E6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2C2E6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2C2E6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2C2E6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2C2E6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2C2E6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2C2E6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2C2E6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2C2E6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2C2E6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2C2E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2C2E6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2C2E6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2C2E6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2C2E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2C2E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2C2E6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2C2E6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2C2E6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2C2E6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2C2E6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2C2E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2C2E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2C2E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2C2E6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2C2E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2C2E62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2C2E62"/>
  </w:style>
  <w:style w:type="table" w:styleId="TableProfessional">
    <w:name w:val="Table Professional"/>
    <w:basedOn w:val="TableNormal"/>
    <w:locked/>
    <w:rsid w:val="002C2E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2C2E6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2C2E6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2C2E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2C2E6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2C2E6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2C2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2C2E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2C2E6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2C2E6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2C2E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2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2C2E62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2C2E62"/>
    <w:pPr>
      <w:spacing w:after="100"/>
    </w:pPr>
  </w:style>
  <w:style w:type="paragraph" w:styleId="TOC2">
    <w:name w:val="toc 2"/>
    <w:basedOn w:val="Normal"/>
    <w:next w:val="Normal"/>
    <w:autoRedefine/>
    <w:locked/>
    <w:rsid w:val="002C2E62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2C2E62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2C2E62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2C2E62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2C2E62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2C2E62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2C2E62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2C2E62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2C2E62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4D45C5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4D45C5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2C2E62"/>
    <w:rPr>
      <w:rFonts w:ascii="Arial" w:hAnsi="Arial" w:cs="Arial"/>
      <w:i/>
      <w:color w:val="000000"/>
    </w:rPr>
  </w:style>
  <w:style w:type="character" w:customStyle="1" w:styleId="Heading3Char">
    <w:name w:val="Heading 3 Char"/>
    <w:basedOn w:val="DefaultParagraphFont"/>
    <w:link w:val="Heading3"/>
    <w:rsid w:val="00F640A7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F640A7"/>
    <w:rPr>
      <w:rFonts w:ascii="Arial" w:hAnsi="Arial" w:cs="Arial"/>
      <w:b/>
      <w:bCs/>
      <w:i/>
      <w:iCs/>
      <w:sz w:val="28"/>
      <w:szCs w:val="28"/>
    </w:rPr>
  </w:style>
  <w:style w:type="table" w:customStyle="1" w:styleId="QPPTableGrid">
    <w:name w:val="QPP Table Grid"/>
    <w:basedOn w:val="TableNormal"/>
    <w:uiPriority w:val="99"/>
    <w:rsid w:val="004D45C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F97D2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942\AppData\Roaming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D0C8D-9132-4549-A256-B8EEC987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3</TotalTime>
  <Pages>6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Brisbane City Council</Company>
  <LinksUpToDate>false</LinksUpToDate>
  <CharactersWithSpaces>7386</CharactersWithSpaces>
  <SharedDoc>false</SharedDoc>
  <HLinks>
    <vt:vector size="336" baseType="variant">
      <vt:variant>
        <vt:i4>1179655</vt:i4>
      </vt:variant>
      <vt:variant>
        <vt:i4>165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7929971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Figurec</vt:lpwstr>
      </vt:variant>
      <vt:variant>
        <vt:i4>7929971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Figureb</vt:lpwstr>
      </vt:variant>
      <vt:variant>
        <vt:i4>7929971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7929971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Figureb</vt:lpwstr>
      </vt:variant>
      <vt:variant>
        <vt:i4>7929971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1048607</vt:i4>
      </vt:variant>
      <vt:variant>
        <vt:i4>147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Carpark</vt:lpwstr>
      </vt:variant>
      <vt:variant>
        <vt:i4>262146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7929971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Figurec</vt:lpwstr>
      </vt:variant>
      <vt:variant>
        <vt:i4>7929971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Figurec</vt:lpwstr>
      </vt:variant>
      <vt:variant>
        <vt:i4>7929971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Figureb</vt:lpwstr>
      </vt:variant>
      <vt:variant>
        <vt:i4>7929971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7929971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Figureb</vt:lpwstr>
      </vt:variant>
      <vt:variant>
        <vt:i4>7929971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1507337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7209070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Showroom</vt:lpwstr>
      </vt:variant>
      <vt:variant>
        <vt:i4>7929971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Figureb</vt:lpwstr>
      </vt:variant>
      <vt:variant>
        <vt:i4>7929971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7929971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Figureb</vt:lpwstr>
      </vt:variant>
      <vt:variant>
        <vt:i4>7929971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1507337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7667837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6357097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ArterialR</vt:lpwstr>
      </vt:variant>
      <vt:variant>
        <vt:i4>917504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BldgHeight</vt:lpwstr>
      </vt:variant>
      <vt:variant>
        <vt:i4>786454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5963851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Table721923B</vt:lpwstr>
      </vt:variant>
      <vt:variant>
        <vt:i4>917504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BldgHeight</vt:lpwstr>
      </vt:variant>
      <vt:variant>
        <vt:i4>262146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1245196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917504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BldgHeight</vt:lpwstr>
      </vt:variant>
      <vt:variant>
        <vt:i4>786454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5963851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Table721923B</vt:lpwstr>
      </vt:variant>
      <vt:variant>
        <vt:i4>2031629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Lowimpactindustryusedef</vt:lpwstr>
      </vt:variant>
      <vt:variant>
        <vt:i4>7209070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Showroom</vt:lpwstr>
      </vt:variant>
      <vt:variant>
        <vt:i4>8257634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CentreActivities</vt:lpwstr>
      </vt:variant>
      <vt:variant>
        <vt:i4>2031629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Lowimpactindustryusedef</vt:lpwstr>
      </vt:variant>
      <vt:variant>
        <vt:i4>851984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MediumImpactIndustryusedef</vt:lpwstr>
      </vt:variant>
      <vt:variant>
        <vt:i4>7209070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Showroom</vt:lpwstr>
      </vt:variant>
      <vt:variant>
        <vt:i4>7209070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Showroom</vt:lpwstr>
      </vt:variant>
      <vt:variant>
        <vt:i4>7929965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655370</vt:i4>
      </vt:variant>
      <vt:variant>
        <vt:i4>39</vt:i4>
      </vt:variant>
      <vt:variant>
        <vt:i4>0</vt:i4>
      </vt:variant>
      <vt:variant>
        <vt:i4>5</vt:i4>
      </vt:variant>
      <vt:variant>
        <vt:lpwstr>../Part 5 - Tables of assessment/Part5NeighbourhoodPlans/SandgateRdTOA.doc</vt:lpwstr>
      </vt:variant>
      <vt:variant>
        <vt:lpwstr>Table5661D</vt:lpwstr>
      </vt:variant>
      <vt:variant>
        <vt:i4>851978</vt:i4>
      </vt:variant>
      <vt:variant>
        <vt:i4>36</vt:i4>
      </vt:variant>
      <vt:variant>
        <vt:i4>0</vt:i4>
      </vt:variant>
      <vt:variant>
        <vt:i4>5</vt:i4>
      </vt:variant>
      <vt:variant>
        <vt:lpwstr>../Part 5 - Tables of assessment/Part5NeighbourhoodPlans/SandgateRdTOA.doc</vt:lpwstr>
      </vt:variant>
      <vt:variant>
        <vt:lpwstr>Table5661C</vt:lpwstr>
      </vt:variant>
      <vt:variant>
        <vt:i4>786442</vt:i4>
      </vt:variant>
      <vt:variant>
        <vt:i4>33</vt:i4>
      </vt:variant>
      <vt:variant>
        <vt:i4>0</vt:i4>
      </vt:variant>
      <vt:variant>
        <vt:i4>5</vt:i4>
      </vt:variant>
      <vt:variant>
        <vt:lpwstr>../Part 5 - Tables of assessment/Part5NeighbourhoodPlans/SandgateRdTOA.doc</vt:lpwstr>
      </vt:variant>
      <vt:variant>
        <vt:lpwstr>Table5661B</vt:lpwstr>
      </vt:variant>
      <vt:variant>
        <vt:i4>983050</vt:i4>
      </vt:variant>
      <vt:variant>
        <vt:i4>30</vt:i4>
      </vt:variant>
      <vt:variant>
        <vt:i4>0</vt:i4>
      </vt:variant>
      <vt:variant>
        <vt:i4>5</vt:i4>
      </vt:variant>
      <vt:variant>
        <vt:lpwstr>../Part 5 - Tables of assessment/Part5NeighbourhoodPlans/SandgateRdTOA.doc</vt:lpwstr>
      </vt:variant>
      <vt:variant>
        <vt:lpwstr>Table5661A</vt:lpwstr>
      </vt:variant>
      <vt:variant>
        <vt:i4>7274559</vt:i4>
      </vt:variant>
      <vt:variant>
        <vt:i4>27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  <vt:variant>
        <vt:i4>4325377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assessment/Part5OperationalWork.doc</vt:lpwstr>
      </vt:variant>
      <vt:variant>
        <vt:lpwstr/>
      </vt:variant>
      <vt:variant>
        <vt:i4>6946852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assessment/Part5BuildingWork.doc</vt:lpwstr>
      </vt:variant>
      <vt:variant>
        <vt:lpwstr/>
      </vt:variant>
      <vt:variant>
        <vt:i4>1572937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assessment/Part5ReconfigureLot.doc</vt:lpwstr>
      </vt:variant>
      <vt:variant>
        <vt:lpwstr/>
      </vt:variant>
      <vt:variant>
        <vt:i4>6422588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>LevelsofAssessment55</vt:lpwstr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524294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BCC</dc:creator>
  <cp:lastModifiedBy>David Clark</cp:lastModifiedBy>
  <cp:revision>7</cp:revision>
  <cp:lastPrinted>2012-10-31T05:24:00Z</cp:lastPrinted>
  <dcterms:created xsi:type="dcterms:W3CDTF">2018-03-21T06:16:00Z</dcterms:created>
  <dcterms:modified xsi:type="dcterms:W3CDTF">2019-07-23T23:08:00Z</dcterms:modified>
</cp:coreProperties>
</file>