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C7AB" w14:textId="77777777" w:rsidR="00A06D8A" w:rsidRDefault="00F14619" w:rsidP="003140CA">
      <w:pPr>
        <w:pStyle w:val="QPPHeading4"/>
      </w:pPr>
      <w:bookmarkStart w:id="0" w:name="_GoBack"/>
      <w:bookmarkEnd w:id="0"/>
      <w:r w:rsidRPr="006C7781">
        <w:t>7.2.23.</w:t>
      </w:r>
      <w:r w:rsidR="00B81FE7">
        <w:t>7</w:t>
      </w:r>
      <w:r w:rsidR="009D29A0">
        <w:t xml:space="preserve"> </w:t>
      </w:r>
      <w:r w:rsidRPr="006C7781">
        <w:t xml:space="preserve">Wynnum West </w:t>
      </w:r>
      <w:r w:rsidR="0051738A">
        <w:t>neighbourhood plan</w:t>
      </w:r>
      <w:r w:rsidRPr="006C7781">
        <w:t xml:space="preserve"> code</w:t>
      </w:r>
    </w:p>
    <w:p w14:paraId="1231A891" w14:textId="77777777" w:rsidR="00991A56" w:rsidRPr="00F011C9" w:rsidRDefault="00991A56" w:rsidP="00094BF2">
      <w:pPr>
        <w:pStyle w:val="QPPHeading4"/>
      </w:pPr>
      <w:r>
        <w:t>7.2.23.</w:t>
      </w:r>
      <w:r w:rsidR="00B81FE7">
        <w:t>7</w:t>
      </w:r>
      <w:r>
        <w:t>.1</w:t>
      </w:r>
      <w:r w:rsidR="009D29A0">
        <w:t xml:space="preserve"> </w:t>
      </w:r>
      <w:r>
        <w:t>Application</w:t>
      </w:r>
    </w:p>
    <w:p w14:paraId="161C740E" w14:textId="77777777" w:rsidR="00991A56" w:rsidRDefault="00FC4CE4" w:rsidP="007560AD">
      <w:pPr>
        <w:pStyle w:val="QPPBulletPoint1"/>
      </w:pPr>
      <w:r w:rsidRPr="00FC4CE4">
        <w:t xml:space="preserve">This code applies to assessing a material change of use, reconfiguring a lot, operational work or building work in the </w:t>
      </w:r>
      <w:r w:rsidR="009438CD" w:rsidRPr="00973FE9">
        <w:t xml:space="preserve">Wynnum West </w:t>
      </w:r>
      <w:r w:rsidR="0051738A" w:rsidRPr="00973FE9">
        <w:t>neighbourhood plan</w:t>
      </w:r>
      <w:r w:rsidR="00094BF2" w:rsidRPr="00973FE9">
        <w:t xml:space="preserve"> area</w:t>
      </w:r>
      <w:r>
        <w:t xml:space="preserve"> if:</w:t>
      </w:r>
    </w:p>
    <w:p w14:paraId="5C9D0B76" w14:textId="77777777" w:rsidR="00FC4CE4" w:rsidRPr="00FC4CE4" w:rsidRDefault="00FC4CE4" w:rsidP="00FC4CE4">
      <w:pPr>
        <w:pStyle w:val="QPPBulletpoint2"/>
      </w:pPr>
      <w:r w:rsidRPr="00FC4CE4">
        <w:t xml:space="preserve">assessable development where this code is an applicable code identified in the assessment </w:t>
      </w:r>
      <w:r w:rsidR="00695D1D">
        <w:t>benchmarks</w:t>
      </w:r>
      <w:r w:rsidR="00695D1D" w:rsidRPr="00FC4CE4">
        <w:t xml:space="preserve"> </w:t>
      </w:r>
      <w:r w:rsidRPr="00FC4CE4">
        <w:t xml:space="preserve">column of a table of assessment for </w:t>
      </w:r>
      <w:r w:rsidR="001013EF">
        <w:t xml:space="preserve">a </w:t>
      </w:r>
      <w:r w:rsidRPr="00FC4CE4">
        <w:t>neighbourhood plan (</w:t>
      </w:r>
      <w:hyperlink r:id="rId7" w:history="1">
        <w:r w:rsidRPr="00EE631E">
          <w:rPr>
            <w:rStyle w:val="Hyperlink"/>
          </w:rPr>
          <w:t>section 5.</w:t>
        </w:r>
        <w:r w:rsidR="00FE2A9D" w:rsidRPr="003140CA">
          <w:rPr>
            <w:rStyle w:val="Hyperlink"/>
          </w:rPr>
          <w:t>9</w:t>
        </w:r>
      </w:hyperlink>
      <w:r w:rsidRPr="00FC4CE4">
        <w:t>);</w:t>
      </w:r>
      <w:r w:rsidR="0063690D">
        <w:t xml:space="preserve"> or</w:t>
      </w:r>
    </w:p>
    <w:p w14:paraId="0FCD878F" w14:textId="77777777" w:rsidR="002E350A" w:rsidRDefault="00FC4CE4" w:rsidP="002E0FA6">
      <w:pPr>
        <w:pStyle w:val="QPPBulletpoint2"/>
      </w:pPr>
      <w:r w:rsidRPr="00FC4CE4">
        <w:t>impact assessable development.</w:t>
      </w:r>
    </w:p>
    <w:p w14:paraId="5AD63CAF" w14:textId="77777777" w:rsidR="002E350A" w:rsidRDefault="007560AD" w:rsidP="002E350A">
      <w:pPr>
        <w:pStyle w:val="QPPBulletPoint1"/>
      </w:pPr>
      <w:r>
        <w:t xml:space="preserve">Land in the Wynnum West neighbourhood plan area is identified on </w:t>
      </w:r>
      <w:r w:rsidR="00294477" w:rsidRPr="002F7EF9">
        <w:t xml:space="preserve">the </w:t>
      </w:r>
      <w:hyperlink r:id="rId8" w:history="1">
        <w:r w:rsidR="00294477" w:rsidRPr="00B52148">
          <w:rPr>
            <w:rStyle w:val="Hyperlink"/>
          </w:rPr>
          <w:t>NPM-023.</w:t>
        </w:r>
        <w:r w:rsidR="00B81FE7" w:rsidRPr="00B52148">
          <w:rPr>
            <w:rStyle w:val="Hyperlink"/>
          </w:rPr>
          <w:t>7</w:t>
        </w:r>
        <w:r w:rsidR="00294477" w:rsidRPr="00B52148">
          <w:rPr>
            <w:rStyle w:val="Hyperlink"/>
          </w:rPr>
          <w:t xml:space="preserve"> Wynnum West neighbourhood plan map.</w:t>
        </w:r>
      </w:hyperlink>
    </w:p>
    <w:p w14:paraId="67E2E734" w14:textId="77777777" w:rsidR="0007152F" w:rsidRDefault="00991A56" w:rsidP="003140CA">
      <w:pPr>
        <w:pStyle w:val="QPPBulletPoint1"/>
      </w:pPr>
      <w:r w:rsidRPr="00A05DEA">
        <w:t xml:space="preserve">When using this code, reference should be made to </w:t>
      </w:r>
      <w:hyperlink r:id="rId9" w:anchor="Part1Pt5" w:history="1">
        <w:r w:rsidR="0046062F" w:rsidRPr="00093106">
          <w:rPr>
            <w:rStyle w:val="Hyperlink"/>
          </w:rPr>
          <w:t>section 1.5</w:t>
        </w:r>
      </w:hyperlink>
      <w:r w:rsidR="0007152F">
        <w:t xml:space="preserve">, </w:t>
      </w:r>
      <w:hyperlink r:id="rId10" w:anchor="Part532" w:history="1">
        <w:r w:rsidR="0007152F" w:rsidRPr="00D269AC">
          <w:rPr>
            <w:rStyle w:val="Hyperlink"/>
          </w:rPr>
          <w:t>section 5.3.2</w:t>
        </w:r>
      </w:hyperlink>
      <w:r w:rsidR="00AF748C" w:rsidRPr="00A05DEA">
        <w:t xml:space="preserve"> and </w:t>
      </w:r>
      <w:hyperlink r:id="rId11" w:anchor="Part533" w:history="1">
        <w:r w:rsidR="007560AD" w:rsidRPr="00973FE9">
          <w:rPr>
            <w:rStyle w:val="Hyperlink"/>
          </w:rPr>
          <w:t>section 5.3.3</w:t>
        </w:r>
      </w:hyperlink>
      <w:r w:rsidR="001013EF">
        <w:t>.</w:t>
      </w:r>
    </w:p>
    <w:p w14:paraId="06CCA9BC" w14:textId="77777777" w:rsidR="00C1461D" w:rsidRPr="00C1461D" w:rsidRDefault="00C1461D" w:rsidP="00C1461D">
      <w:pPr>
        <w:pStyle w:val="QPPEditorsNoteStyle1"/>
      </w:pPr>
      <w:r w:rsidRPr="00C1461D">
        <w:t>Note—The following purpose, overall outcomes, performance outcomes and acceptable outcomes comprise the assessment benchmarks of this code.</w:t>
      </w:r>
    </w:p>
    <w:p w14:paraId="74983DBA" w14:textId="77777777" w:rsidR="00056538" w:rsidRDefault="00056538" w:rsidP="00414651">
      <w:pPr>
        <w:pStyle w:val="QPPEditorsNoteStyle1"/>
      </w:pPr>
      <w:r w:rsidRPr="00056538">
        <w:t xml:space="preserve">Note—This neighbourhood plan includes a table of assessment. Refer to </w:t>
      </w:r>
      <w:hyperlink r:id="rId12" w:anchor="Table5973A" w:tgtFrame="_blank" w:history="1">
        <w:r w:rsidRPr="00C10DDD">
          <w:rPr>
            <w:rStyle w:val="Hyperlink"/>
          </w:rPr>
          <w:t>Table 5.9.73.A</w:t>
        </w:r>
      </w:hyperlink>
      <w:r w:rsidRPr="00056538">
        <w:t xml:space="preserve">, </w:t>
      </w:r>
      <w:hyperlink r:id="rId13" w:anchor="Table5973B" w:tgtFrame="_blank" w:history="1">
        <w:r w:rsidRPr="00C10DDD">
          <w:rPr>
            <w:rStyle w:val="Hyperlink"/>
          </w:rPr>
          <w:t>Table 5.9.73.B</w:t>
        </w:r>
      </w:hyperlink>
      <w:r w:rsidRPr="00056538">
        <w:t xml:space="preserve">, </w:t>
      </w:r>
      <w:hyperlink r:id="rId14" w:anchor="Table5973C" w:tgtFrame="_blank" w:history="1">
        <w:r w:rsidRPr="00C10DDD">
          <w:rPr>
            <w:rStyle w:val="Hyperlink"/>
          </w:rPr>
          <w:t>Table 5.9.73.C</w:t>
        </w:r>
      </w:hyperlink>
      <w:r w:rsidRPr="00056538">
        <w:t xml:space="preserve"> and </w:t>
      </w:r>
      <w:hyperlink r:id="rId15" w:anchor="Table5973D" w:tgtFrame="_blank" w:history="1">
        <w:r w:rsidRPr="00C10DDD">
          <w:rPr>
            <w:rStyle w:val="Hyperlink"/>
          </w:rPr>
          <w:t>Table 5.9.73.D</w:t>
        </w:r>
      </w:hyperlink>
      <w:r w:rsidRPr="00056538">
        <w:t>.</w:t>
      </w:r>
    </w:p>
    <w:p w14:paraId="0F84FDC3" w14:textId="77777777" w:rsidR="00991A56" w:rsidRPr="00F011C9" w:rsidRDefault="00845BA7" w:rsidP="006C7781">
      <w:pPr>
        <w:pStyle w:val="QPPHeading4"/>
      </w:pPr>
      <w:r>
        <w:t>7.2.23.</w:t>
      </w:r>
      <w:r w:rsidR="00B81FE7">
        <w:t>7</w:t>
      </w:r>
      <w:r>
        <w:t>.2</w:t>
      </w:r>
      <w:r w:rsidR="009D29A0">
        <w:t xml:space="preserve"> </w:t>
      </w:r>
      <w:r w:rsidR="00991A56" w:rsidRPr="00F011C9">
        <w:t>Purpose</w:t>
      </w:r>
    </w:p>
    <w:p w14:paraId="7C07D89C" w14:textId="77777777" w:rsidR="00AB40D3" w:rsidRDefault="00991A56" w:rsidP="004C528A">
      <w:pPr>
        <w:pStyle w:val="QPPBulletPoint1"/>
        <w:numPr>
          <w:ilvl w:val="0"/>
          <w:numId w:val="12"/>
        </w:numPr>
      </w:pPr>
      <w:r w:rsidRPr="00A14347">
        <w:t xml:space="preserve">The purpose of the </w:t>
      </w:r>
      <w:r w:rsidRPr="009F7408">
        <w:t xml:space="preserve">Wynnum West </w:t>
      </w:r>
      <w:r w:rsidR="0051738A">
        <w:t>neighbourhood plan</w:t>
      </w:r>
      <w:r w:rsidRPr="009F7408">
        <w:t xml:space="preserve"> code is to provide finer grained planning at a local</w:t>
      </w:r>
      <w:r w:rsidR="007560AD">
        <w:t xml:space="preserve"> level for the Wynnu</w:t>
      </w:r>
      <w:r w:rsidR="00CF28B2">
        <w:t>m West neighbourhood plan area.</w:t>
      </w:r>
    </w:p>
    <w:p w14:paraId="540DD068" w14:textId="77777777" w:rsidR="001013EF" w:rsidRDefault="007560AD" w:rsidP="00DD205F">
      <w:pPr>
        <w:pStyle w:val="QPPBulletPoint1"/>
      </w:pPr>
      <w:r>
        <w:t>The purpose of the Wynnum West neighbourhood plan code will be ac</w:t>
      </w:r>
      <w:r w:rsidR="00AB40D3">
        <w:t xml:space="preserve">hieved through </w:t>
      </w:r>
      <w:r w:rsidR="00FC4CE4">
        <w:t>overall outcomes</w:t>
      </w:r>
      <w:r w:rsidR="001013EF">
        <w:t>.</w:t>
      </w:r>
    </w:p>
    <w:p w14:paraId="310109D0" w14:textId="77777777" w:rsidR="007560AD" w:rsidRDefault="001013EF" w:rsidP="00DD205F">
      <w:pPr>
        <w:pStyle w:val="QPPBulletPoint1"/>
      </w:pPr>
      <w:r>
        <w:t>The overall outcomes for the neighbourhood plan area are:</w:t>
      </w:r>
    </w:p>
    <w:p w14:paraId="0FE236D9" w14:textId="77777777" w:rsidR="00991A56" w:rsidRPr="00BF203E" w:rsidRDefault="00991A56" w:rsidP="004C528A">
      <w:pPr>
        <w:pStyle w:val="QPPBulletpoint2"/>
        <w:numPr>
          <w:ilvl w:val="0"/>
          <w:numId w:val="13"/>
        </w:numPr>
      </w:pPr>
      <w:r w:rsidRPr="00BF203E">
        <w:t>Development creates functio</w:t>
      </w:r>
      <w:r w:rsidR="00CF28B2">
        <w:t>nal and integrated communities.</w:t>
      </w:r>
    </w:p>
    <w:p w14:paraId="745EE4D7" w14:textId="77777777" w:rsidR="00E74B45" w:rsidRPr="00BF203E" w:rsidRDefault="00991A56" w:rsidP="00BF203E">
      <w:pPr>
        <w:pStyle w:val="QPPBulletpoint2"/>
      </w:pPr>
      <w:r w:rsidRPr="00BF203E">
        <w:t>Land subject to development constraints</w:t>
      </w:r>
      <w:r w:rsidR="00294477">
        <w:t>,</w:t>
      </w:r>
      <w:r w:rsidRPr="00BF203E">
        <w:t xml:space="preserve"> character or environmental values </w:t>
      </w:r>
      <w:r w:rsidR="001013EF">
        <w:t xml:space="preserve">specified </w:t>
      </w:r>
      <w:r w:rsidRPr="00BF203E">
        <w:t>in</w:t>
      </w:r>
      <w:r w:rsidR="00E826D0">
        <w:t xml:space="preserve"> </w:t>
      </w:r>
      <w:hyperlink w:anchor="Figurea" w:history="1">
        <w:r w:rsidR="00E826D0" w:rsidRPr="00CF28B2">
          <w:rPr>
            <w:rStyle w:val="Hyperlink"/>
          </w:rPr>
          <w:t>Figure a</w:t>
        </w:r>
      </w:hyperlink>
      <w:r w:rsidR="001013EF">
        <w:t xml:space="preserve"> </w:t>
      </w:r>
      <w:r w:rsidRPr="00BF203E">
        <w:t xml:space="preserve">in this </w:t>
      </w:r>
      <w:r w:rsidR="0051738A">
        <w:t>neighbourhood plan</w:t>
      </w:r>
      <w:r w:rsidRPr="00BF203E">
        <w:t xml:space="preserve"> </w:t>
      </w:r>
      <w:r w:rsidR="00845BA7">
        <w:t>code or shown on an overlay map</w:t>
      </w:r>
      <w:r w:rsidRPr="00BF203E">
        <w:t xml:space="preserve"> </w:t>
      </w:r>
      <w:r w:rsidR="00845BA7">
        <w:t xml:space="preserve">is </w:t>
      </w:r>
      <w:r w:rsidRPr="00BF203E">
        <w:t xml:space="preserve">protected from inappropriate development in order to maintain </w:t>
      </w:r>
      <w:r w:rsidR="00845BA7">
        <w:t>its character,</w:t>
      </w:r>
      <w:r w:rsidR="00C86A9A">
        <w:t xml:space="preserve"> and</w:t>
      </w:r>
      <w:r w:rsidR="00845BA7">
        <w:t xml:space="preserve"> </w:t>
      </w:r>
      <w:r w:rsidRPr="00BF203E">
        <w:t>natural and ecological significance.</w:t>
      </w:r>
    </w:p>
    <w:p w14:paraId="777E0D47" w14:textId="77777777" w:rsidR="00991A56" w:rsidRPr="009F7408" w:rsidRDefault="00991A56" w:rsidP="00BF203E">
      <w:pPr>
        <w:pStyle w:val="QPPBulletpoint2"/>
      </w:pPr>
      <w:r w:rsidRPr="00BF203E">
        <w:t xml:space="preserve">Residential development </w:t>
      </w:r>
      <w:r w:rsidR="001013EF">
        <w:t xml:space="preserve">in a potential development area identified in </w:t>
      </w:r>
      <w:hyperlink w:anchor="Figurea" w:history="1">
        <w:r w:rsidR="00E826D0" w:rsidRPr="00E14406">
          <w:rPr>
            <w:rStyle w:val="Hyperlink"/>
          </w:rPr>
          <w:t>Figure a</w:t>
        </w:r>
      </w:hyperlink>
      <w:r w:rsidR="001013EF">
        <w:t xml:space="preserve"> </w:t>
      </w:r>
      <w:r w:rsidRPr="00BF203E">
        <w:t>provides for a mix of housing types, styles and densities</w:t>
      </w:r>
      <w:r w:rsidR="00845BA7">
        <w:t>,</w:t>
      </w:r>
      <w:r w:rsidRPr="00BF203E">
        <w:t xml:space="preserve"> </w:t>
      </w:r>
      <w:r w:rsidR="00845BA7">
        <w:t>i</w:t>
      </w:r>
      <w:r w:rsidRPr="00BF203E">
        <w:t>n particular:</w:t>
      </w:r>
    </w:p>
    <w:p w14:paraId="39D062B1" w14:textId="77777777" w:rsidR="00991A56" w:rsidRDefault="00445E5F" w:rsidP="00BF203E">
      <w:pPr>
        <w:pStyle w:val="QPPBulletpoint3"/>
      </w:pPr>
      <w:r>
        <w:t>l</w:t>
      </w:r>
      <w:r w:rsidR="00991A56" w:rsidRPr="002D717A">
        <w:rPr>
          <w:bCs/>
        </w:rPr>
        <w:t>ow density residential</w:t>
      </w:r>
      <w:r w:rsidR="00991A56">
        <w:t xml:space="preserve"> </w:t>
      </w:r>
      <w:r w:rsidR="00991A56" w:rsidRPr="009438CD">
        <w:t xml:space="preserve">– </w:t>
      </w:r>
      <w:hyperlink r:id="rId16" w:anchor="DwgHse" w:history="1">
        <w:r w:rsidR="00991A56" w:rsidRPr="00973FE9">
          <w:rPr>
            <w:rStyle w:val="Hyperlink"/>
          </w:rPr>
          <w:t>dwelling houses</w:t>
        </w:r>
      </w:hyperlink>
      <w:r w:rsidR="00991A56" w:rsidRPr="00973FE9">
        <w:t xml:space="preserve">: </w:t>
      </w:r>
      <w:r w:rsidR="00485C6D">
        <w:t>c</w:t>
      </w:r>
      <w:r w:rsidR="00FC4CE4">
        <w:t>ontains</w:t>
      </w:r>
      <w:r w:rsidR="00FC4CE4" w:rsidRPr="002D717A">
        <w:t xml:space="preserve"> </w:t>
      </w:r>
      <w:r w:rsidR="00991A56" w:rsidRPr="002D717A">
        <w:t xml:space="preserve">predominantly </w:t>
      </w:r>
      <w:r w:rsidR="00991A56" w:rsidRPr="00973FE9">
        <w:t>dwelling houses</w:t>
      </w:r>
      <w:r w:rsidR="00991A56" w:rsidRPr="002D717A">
        <w:t xml:space="preserve"> </w:t>
      </w:r>
      <w:r w:rsidR="00991A56">
        <w:t xml:space="preserve">at a yield of 11 </w:t>
      </w:r>
      <w:hyperlink r:id="rId17" w:anchor="Dwelling" w:history="1">
        <w:r w:rsidR="00991A56" w:rsidRPr="002A7D55">
          <w:rPr>
            <w:rStyle w:val="Hyperlink"/>
          </w:rPr>
          <w:t>dwellings</w:t>
        </w:r>
      </w:hyperlink>
      <w:r w:rsidR="00991A56">
        <w:t xml:space="preserve"> per hectare;</w:t>
      </w:r>
    </w:p>
    <w:p w14:paraId="0A66EA8F" w14:textId="77777777" w:rsidR="00991A56" w:rsidRDefault="00445E5F" w:rsidP="00BF203E">
      <w:pPr>
        <w:pStyle w:val="QPPBulletpoint3"/>
      </w:pPr>
      <w:r>
        <w:t>l</w:t>
      </w:r>
      <w:r w:rsidR="00991A56">
        <w:t xml:space="preserve">ow density </w:t>
      </w:r>
      <w:r w:rsidR="00991A56" w:rsidRPr="009438CD">
        <w:t xml:space="preserve">residential – </w:t>
      </w:r>
      <w:r w:rsidR="00991A56" w:rsidRPr="002F7EF9">
        <w:t xml:space="preserve">dwelling houses and multiple dwellings: </w:t>
      </w:r>
      <w:r w:rsidR="001013EF">
        <w:t>c</w:t>
      </w:r>
      <w:r w:rsidR="00FC4CE4" w:rsidRPr="002F7EF9">
        <w:t xml:space="preserve">ontains </w:t>
      </w:r>
      <w:r w:rsidR="00991A56" w:rsidRPr="002F7EF9">
        <w:t xml:space="preserve">a mix of </w:t>
      </w:r>
      <w:hyperlink r:id="rId18" w:anchor="DwgHse" w:history="1">
        <w:r w:rsidR="00AF748C" w:rsidRPr="002F7EF9">
          <w:rPr>
            <w:rStyle w:val="Hyperlink"/>
          </w:rPr>
          <w:t>dwelling houses</w:t>
        </w:r>
      </w:hyperlink>
      <w:r w:rsidR="00AF748C" w:rsidRPr="002F7EF9">
        <w:t xml:space="preserve"> </w:t>
      </w:r>
      <w:r w:rsidR="00991A56" w:rsidRPr="002F7EF9">
        <w:t xml:space="preserve">and </w:t>
      </w:r>
      <w:hyperlink r:id="rId19" w:anchor="Multiple" w:history="1">
        <w:r w:rsidR="00991A56" w:rsidRPr="002F7EF9">
          <w:rPr>
            <w:rStyle w:val="Hyperlink"/>
          </w:rPr>
          <w:t>multiple dwellings</w:t>
        </w:r>
      </w:hyperlink>
      <w:r w:rsidR="00991A56" w:rsidRPr="002D717A">
        <w:t xml:space="preserve"> </w:t>
      </w:r>
      <w:r w:rsidR="00991A56">
        <w:t xml:space="preserve">at a yield of 16 </w:t>
      </w:r>
      <w:hyperlink r:id="rId20" w:anchor="Dwelling" w:history="1">
        <w:r w:rsidR="00991A56" w:rsidRPr="002A7D55">
          <w:rPr>
            <w:rStyle w:val="Hyperlink"/>
          </w:rPr>
          <w:t>dwellings</w:t>
        </w:r>
      </w:hyperlink>
      <w:r w:rsidR="00991A56">
        <w:t xml:space="preserve"> per hectare;</w:t>
      </w:r>
    </w:p>
    <w:p w14:paraId="294123A7" w14:textId="77777777" w:rsidR="00991A56" w:rsidRPr="00BF203E" w:rsidRDefault="00445E5F" w:rsidP="00BF203E">
      <w:pPr>
        <w:pStyle w:val="QPPBulletpoint3"/>
      </w:pPr>
      <w:r>
        <w:t>l</w:t>
      </w:r>
      <w:r w:rsidR="00991A56" w:rsidRPr="00C35E07">
        <w:rPr>
          <w:bCs/>
        </w:rPr>
        <w:t>ow–medium density residential</w:t>
      </w:r>
      <w:r w:rsidR="00FC4CE4">
        <w:t xml:space="preserve">: </w:t>
      </w:r>
      <w:r w:rsidR="00485C6D">
        <w:t>c</w:t>
      </w:r>
      <w:r w:rsidR="00FC4CE4" w:rsidRPr="00C35E07">
        <w:t>ontain</w:t>
      </w:r>
      <w:r w:rsidR="00FC4CE4">
        <w:t>s</w:t>
      </w:r>
      <w:r w:rsidR="00FC4CE4" w:rsidRPr="00C35E07">
        <w:t xml:space="preserve"> </w:t>
      </w:r>
      <w:r w:rsidR="00991A56" w:rsidRPr="00C35E07">
        <w:t xml:space="preserve">a mix of </w:t>
      </w:r>
      <w:r w:rsidR="00991A56">
        <w:t xml:space="preserve">mostly established </w:t>
      </w:r>
      <w:hyperlink r:id="rId21" w:anchor="DwgHse" w:history="1">
        <w:r w:rsidR="00AF748C" w:rsidRPr="002F7EF9">
          <w:rPr>
            <w:rStyle w:val="Hyperlink"/>
          </w:rPr>
          <w:t>dwelling houses</w:t>
        </w:r>
      </w:hyperlink>
      <w:r w:rsidR="00AF748C" w:rsidRPr="002F7EF9">
        <w:t xml:space="preserve"> </w:t>
      </w:r>
      <w:r w:rsidR="00991A56" w:rsidRPr="002F7EF9">
        <w:t xml:space="preserve">and </w:t>
      </w:r>
      <w:hyperlink r:id="rId22" w:anchor="Multiple" w:history="1">
        <w:r w:rsidR="00AF748C" w:rsidRPr="002F7EF9">
          <w:rPr>
            <w:rStyle w:val="Hyperlink"/>
          </w:rPr>
          <w:t>multiple dwellings</w:t>
        </w:r>
      </w:hyperlink>
      <w:r w:rsidR="00991A56">
        <w:t xml:space="preserve"> at a yield of 23</w:t>
      </w:r>
      <w:r w:rsidR="00991A56" w:rsidRPr="00C35E07">
        <w:t xml:space="preserve"> </w:t>
      </w:r>
      <w:hyperlink r:id="rId23" w:anchor="Dwelling" w:history="1">
        <w:r w:rsidR="00991A56" w:rsidRPr="002A7D55">
          <w:rPr>
            <w:rStyle w:val="Hyperlink"/>
          </w:rPr>
          <w:t>dwellings</w:t>
        </w:r>
      </w:hyperlink>
      <w:r w:rsidR="00991A56" w:rsidRPr="00C35E07">
        <w:t xml:space="preserve"> per hectare.</w:t>
      </w:r>
    </w:p>
    <w:p w14:paraId="43017DE2" w14:textId="77777777" w:rsidR="00991A56" w:rsidRPr="00EB0E28" w:rsidRDefault="00991A56" w:rsidP="00EB0E28">
      <w:pPr>
        <w:pStyle w:val="QPPEditorsNoteStyle2"/>
      </w:pPr>
      <w:r w:rsidRPr="00EB0E28">
        <w:t>Note—Densities and yields are to be calculated excluding parts of the site that are not withi</w:t>
      </w:r>
      <w:r w:rsidR="00845BA7">
        <w:t>n a potential development area. T</w:t>
      </w:r>
      <w:r w:rsidRPr="00EB0E28">
        <w:t xml:space="preserve">hese include areas with development constraints or character or environmental values identified in overlay maps. Yields and maximum </w:t>
      </w:r>
      <w:hyperlink r:id="rId24" w:anchor="GFA" w:history="1">
        <w:r w:rsidRPr="00973FE9">
          <w:rPr>
            <w:rStyle w:val="Hyperlink"/>
          </w:rPr>
          <w:t>gross floor area</w:t>
        </w:r>
      </w:hyperlink>
      <w:r w:rsidRPr="00EB0E28">
        <w:t xml:space="preserve"> for </w:t>
      </w:r>
      <w:hyperlink r:id="rId25" w:anchor="Multiple" w:history="1">
        <w:r w:rsidR="00AF748C" w:rsidRPr="002F7EF9">
          <w:rPr>
            <w:rStyle w:val="Hyperlink"/>
          </w:rPr>
          <w:t>multiple dwellings</w:t>
        </w:r>
      </w:hyperlink>
      <w:r w:rsidR="00AF748C" w:rsidRPr="002F7EF9">
        <w:t xml:space="preserve"> </w:t>
      </w:r>
      <w:r w:rsidRPr="002F7EF9">
        <w:t xml:space="preserve">and </w:t>
      </w:r>
      <w:hyperlink r:id="rId26" w:anchor="DualOcc" w:history="1">
        <w:r w:rsidRPr="002F7EF9">
          <w:rPr>
            <w:rStyle w:val="Hyperlink"/>
          </w:rPr>
          <w:t>dual occupancy</w:t>
        </w:r>
      </w:hyperlink>
      <w:r w:rsidRPr="00EB0E28">
        <w:t xml:space="preserve"> are to be calculated across the potential development area including all </w:t>
      </w:r>
      <w:hyperlink r:id="rId27" w:anchor="AccessWay" w:history="1">
        <w:r w:rsidRPr="002A7D55">
          <w:rPr>
            <w:rStyle w:val="Hyperlink"/>
          </w:rPr>
          <w:t>access</w:t>
        </w:r>
        <w:r w:rsidR="0045634A" w:rsidRPr="002A7D55">
          <w:rPr>
            <w:rStyle w:val="Hyperlink"/>
          </w:rPr>
          <w:t xml:space="preserve"> </w:t>
        </w:r>
        <w:r w:rsidRPr="002A7D55">
          <w:rPr>
            <w:rStyle w:val="Hyperlink"/>
          </w:rPr>
          <w:t>ways</w:t>
        </w:r>
      </w:hyperlink>
      <w:r w:rsidRPr="00EB0E28">
        <w:t xml:space="preserve"> and roads respectively.</w:t>
      </w:r>
    </w:p>
    <w:p w14:paraId="2B471421" w14:textId="77777777" w:rsidR="00203381" w:rsidRDefault="00203381" w:rsidP="00203381">
      <w:pPr>
        <w:pStyle w:val="QPPBulletpoint2"/>
      </w:pPr>
      <w:r w:rsidRPr="00203381">
        <w:t>Multiple dwellings are not accommodated in the Low density residential zone, including where in a potential development area.</w:t>
      </w:r>
    </w:p>
    <w:p w14:paraId="60DC0556" w14:textId="77777777" w:rsidR="00991A56" w:rsidRPr="00222A8B" w:rsidRDefault="00991A56" w:rsidP="00AD1DA6">
      <w:pPr>
        <w:pStyle w:val="QPPBulletpoint2"/>
      </w:pPr>
      <w:r w:rsidRPr="00E15569">
        <w:t>No further subdivision</w:t>
      </w:r>
      <w:r>
        <w:t xml:space="preserve"> or intensification of development</w:t>
      </w:r>
      <w:r w:rsidRPr="00E15569">
        <w:t xml:space="preserve"> </w:t>
      </w:r>
      <w:r>
        <w:t>occurs</w:t>
      </w:r>
      <w:r w:rsidRPr="00E15569">
        <w:t xml:space="preserve"> on low</w:t>
      </w:r>
      <w:r>
        <w:t>-lying</w:t>
      </w:r>
      <w:r w:rsidRPr="00E15569">
        <w:t xml:space="preserve"> land </w:t>
      </w:r>
      <w:r>
        <w:t xml:space="preserve">identified </w:t>
      </w:r>
      <w:r w:rsidR="00485C6D">
        <w:t>i</w:t>
      </w:r>
      <w:r>
        <w:t>n</w:t>
      </w:r>
      <w:hyperlink w:anchor="Figurea" w:history="1">
        <w:r w:rsidRPr="00CF28B2">
          <w:t xml:space="preserve"> </w:t>
        </w:r>
        <w:r w:rsidR="00661788" w:rsidRPr="00E14406">
          <w:rPr>
            <w:rStyle w:val="Hyperlink"/>
          </w:rPr>
          <w:t>Figure a</w:t>
        </w:r>
      </w:hyperlink>
      <w:r>
        <w:t xml:space="preserve"> </w:t>
      </w:r>
      <w:r w:rsidRPr="00E15569">
        <w:t>fronting Wynnum Road</w:t>
      </w:r>
      <w:r w:rsidR="0045634A">
        <w:t>, ensuring</w:t>
      </w:r>
      <w:r w:rsidRPr="00E15569">
        <w:t xml:space="preserve"> the unimpeded passage of overland stormwater flows through the precinct and the maintenance of acceptable traffic levels on Wynnum Road.</w:t>
      </w:r>
    </w:p>
    <w:p w14:paraId="73C59BCA" w14:textId="77777777" w:rsidR="00991A56" w:rsidRPr="002A5392" w:rsidRDefault="00991A56" w:rsidP="00BF203E">
      <w:pPr>
        <w:pStyle w:val="QPPBulletpoint2"/>
      </w:pPr>
      <w:r w:rsidRPr="002A5392">
        <w:t xml:space="preserve">The caravan park fronting Manly Road is </w:t>
      </w:r>
      <w:r>
        <w:t>retained</w:t>
      </w:r>
      <w:r w:rsidRPr="002A5392">
        <w:t xml:space="preserve"> to preserve its role in providing </w:t>
      </w:r>
      <w:hyperlink r:id="rId28" w:anchor="AffordHsg" w:history="1">
        <w:r w:rsidRPr="002F7EF9">
          <w:rPr>
            <w:rStyle w:val="Hyperlink"/>
          </w:rPr>
          <w:t>affordable housing</w:t>
        </w:r>
      </w:hyperlink>
      <w:r w:rsidRPr="002F7EF9">
        <w:t xml:space="preserve"> for the lo</w:t>
      </w:r>
      <w:r w:rsidRPr="002A5392">
        <w:t>cal area.</w:t>
      </w:r>
    </w:p>
    <w:p w14:paraId="7EF695A1" w14:textId="77777777" w:rsidR="00991A56" w:rsidRPr="002A5392" w:rsidRDefault="00991A56" w:rsidP="00BF203E">
      <w:pPr>
        <w:pStyle w:val="QPPBulletpoint2"/>
      </w:pPr>
      <w:r>
        <w:t>Development in the industry a</w:t>
      </w:r>
      <w:r w:rsidRPr="002A5392">
        <w:t xml:space="preserve">rea fronting </w:t>
      </w:r>
      <w:proofErr w:type="spellStart"/>
      <w:r w:rsidRPr="002A5392">
        <w:t>Wondall</w:t>
      </w:r>
      <w:proofErr w:type="spellEnd"/>
      <w:r w:rsidRPr="002A5392">
        <w:t xml:space="preserve"> Road</w:t>
      </w:r>
      <w:r>
        <w:t xml:space="preserve"> </w:t>
      </w:r>
      <w:r w:rsidRPr="002A5392">
        <w:t>create</w:t>
      </w:r>
      <w:r>
        <w:t>s</w:t>
      </w:r>
      <w:r w:rsidRPr="002A5392">
        <w:t xml:space="preserve"> a landmark seen </w:t>
      </w:r>
      <w:r>
        <w:t>from the road frontage</w:t>
      </w:r>
      <w:r w:rsidR="00FC4CE4">
        <w:t>,</w:t>
      </w:r>
      <w:r>
        <w:t xml:space="preserve"> and is</w:t>
      </w:r>
      <w:r w:rsidRPr="002A5392">
        <w:t xml:space="preserve"> designed to respond to Robinson Park and increase casual surveillance.</w:t>
      </w:r>
    </w:p>
    <w:p w14:paraId="54D74E6D" w14:textId="77777777" w:rsidR="00991A56" w:rsidRPr="002A5392" w:rsidRDefault="00991A56" w:rsidP="00BF203E">
      <w:pPr>
        <w:pStyle w:val="QPPBulletpoint2"/>
      </w:pPr>
      <w:r w:rsidRPr="002A5392">
        <w:lastRenderedPageBreak/>
        <w:t xml:space="preserve">Development of the </w:t>
      </w:r>
      <w:proofErr w:type="spellStart"/>
      <w:r w:rsidRPr="002A5392">
        <w:t>Wondall</w:t>
      </w:r>
      <w:proofErr w:type="spellEnd"/>
      <w:r w:rsidRPr="002A5392">
        <w:t xml:space="preserve"> Road frontage of the Marching Girls Association </w:t>
      </w:r>
      <w:r w:rsidR="00445E5F">
        <w:t>l</w:t>
      </w:r>
      <w:r w:rsidRPr="002A5392">
        <w:t xml:space="preserve">and </w:t>
      </w:r>
      <w:r>
        <w:t xml:space="preserve">comprises </w:t>
      </w:r>
      <w:r w:rsidRPr="002A7D55">
        <w:t>non-residential</w:t>
      </w:r>
      <w:r>
        <w:t xml:space="preserve"> uses and acts as a buffer between</w:t>
      </w:r>
      <w:r w:rsidRPr="002A5392">
        <w:t xml:space="preserve"> existing residences</w:t>
      </w:r>
      <w:r>
        <w:t xml:space="preserve"> and</w:t>
      </w:r>
      <w:r w:rsidRPr="002A5392">
        <w:t xml:space="preserve"> the nearby industrial area.</w:t>
      </w:r>
    </w:p>
    <w:p w14:paraId="62E89F0F" w14:textId="77777777" w:rsidR="00991A56" w:rsidRPr="00F011C9" w:rsidRDefault="00845BA7" w:rsidP="006C7781">
      <w:pPr>
        <w:pStyle w:val="QPPHeading4"/>
      </w:pPr>
      <w:r>
        <w:t>7.</w:t>
      </w:r>
      <w:r w:rsidR="009D29A0">
        <w:t>2.23.</w:t>
      </w:r>
      <w:r w:rsidR="00B81FE7">
        <w:t>7</w:t>
      </w:r>
      <w:r w:rsidR="009D29A0">
        <w:t xml:space="preserve">.3 </w:t>
      </w:r>
      <w:r w:rsidR="00695D1D" w:rsidRPr="00695D1D">
        <w:t>Performance outcomes and acceptable outcomes</w:t>
      </w:r>
    </w:p>
    <w:p w14:paraId="112AFF22" w14:textId="77777777" w:rsidR="00513E32" w:rsidRPr="000426D8" w:rsidRDefault="00991A56" w:rsidP="006C7781">
      <w:pPr>
        <w:pStyle w:val="QPPTableHeadingStyle1"/>
      </w:pPr>
      <w:bookmarkStart w:id="1" w:name="Table722373"/>
      <w:r>
        <w:t>Table 7.2.23.</w:t>
      </w:r>
      <w:r w:rsidR="00B81FE7">
        <w:t>7</w:t>
      </w:r>
      <w:r>
        <w:t>.</w:t>
      </w:r>
      <w:r w:rsidR="00AB40D3">
        <w:t>3</w:t>
      </w:r>
      <w:r w:rsidRPr="000731F4">
        <w:t>—</w:t>
      </w:r>
      <w:r w:rsidR="00695D1D" w:rsidRPr="00695D1D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76"/>
      </w:tblGrid>
      <w:tr w:rsidR="00991A56" w:rsidRPr="00A9168F" w14:paraId="2EB90755" w14:textId="77777777">
        <w:tc>
          <w:tcPr>
            <w:tcW w:w="4140" w:type="dxa"/>
            <w:shd w:val="clear" w:color="auto" w:fill="auto"/>
          </w:tcPr>
          <w:bookmarkEnd w:id="1"/>
          <w:p w14:paraId="398A786B" w14:textId="77777777" w:rsidR="00991A56" w:rsidRPr="000426D8" w:rsidRDefault="00991A56" w:rsidP="00351E18">
            <w:pPr>
              <w:pStyle w:val="QPPTableTextBold"/>
            </w:pPr>
            <w:r w:rsidRPr="000426D8">
              <w:t>Performance outcomes</w:t>
            </w:r>
          </w:p>
        </w:tc>
        <w:tc>
          <w:tcPr>
            <w:tcW w:w="4376" w:type="dxa"/>
            <w:shd w:val="clear" w:color="auto" w:fill="auto"/>
          </w:tcPr>
          <w:p w14:paraId="103A7C23" w14:textId="77777777" w:rsidR="00991A56" w:rsidRPr="000426D8" w:rsidRDefault="00991A56" w:rsidP="00351E18">
            <w:pPr>
              <w:pStyle w:val="QPPTableTextBold"/>
            </w:pPr>
            <w:r w:rsidRPr="000426D8">
              <w:t>Acceptable outcomes</w:t>
            </w:r>
          </w:p>
        </w:tc>
      </w:tr>
      <w:tr w:rsidR="00991A56" w:rsidRPr="00FE7B15" w14:paraId="41DBC502" w14:textId="77777777">
        <w:tc>
          <w:tcPr>
            <w:tcW w:w="8516" w:type="dxa"/>
            <w:gridSpan w:val="2"/>
            <w:shd w:val="clear" w:color="auto" w:fill="auto"/>
          </w:tcPr>
          <w:p w14:paraId="0B5B1FB3" w14:textId="77777777" w:rsidR="00991A56" w:rsidRPr="00351E18" w:rsidRDefault="00513E32" w:rsidP="00351E18">
            <w:pPr>
              <w:pStyle w:val="QPPTableTextBold"/>
            </w:pPr>
            <w:r w:rsidRPr="00351E18">
              <w:t xml:space="preserve">If </w:t>
            </w:r>
            <w:r w:rsidR="00991A56" w:rsidRPr="00351E18">
              <w:t>for</w:t>
            </w:r>
            <w:r w:rsidR="00351E18">
              <w:t xml:space="preserve"> </w:t>
            </w:r>
            <w:hyperlink r:id="rId29" w:anchor="Multiple" w:history="1">
              <w:r w:rsidR="00351E18" w:rsidRPr="00351E18">
                <w:rPr>
                  <w:rStyle w:val="Hyperlink"/>
                </w:rPr>
                <w:t>multiple dwellings</w:t>
              </w:r>
            </w:hyperlink>
            <w:r w:rsidR="00351E18">
              <w:t xml:space="preserve"> in a potential development area</w:t>
            </w:r>
            <w:r w:rsidR="001D2B1E">
              <w:t>,</w:t>
            </w:r>
            <w:r w:rsidR="00203381">
              <w:t xml:space="preserve"> </w:t>
            </w:r>
            <w:r w:rsidR="00203381" w:rsidRPr="00203381">
              <w:t>where not in the Low density residential zone</w:t>
            </w:r>
          </w:p>
        </w:tc>
      </w:tr>
      <w:tr w:rsidR="00991A56" w:rsidRPr="00A9168F" w14:paraId="7C868F0A" w14:textId="77777777">
        <w:tc>
          <w:tcPr>
            <w:tcW w:w="4140" w:type="dxa"/>
            <w:vMerge w:val="restart"/>
            <w:shd w:val="clear" w:color="auto" w:fill="auto"/>
          </w:tcPr>
          <w:p w14:paraId="2721B34C" w14:textId="77777777" w:rsidR="00991A56" w:rsidRPr="00351E18" w:rsidRDefault="00991A56" w:rsidP="00351E18">
            <w:pPr>
              <w:pStyle w:val="QPPTableTextBold"/>
              <w:rPr>
                <w:highlight w:val="yellow"/>
              </w:rPr>
            </w:pPr>
            <w:r w:rsidRPr="00351E18">
              <w:t>PO1</w:t>
            </w:r>
          </w:p>
          <w:p w14:paraId="52E82EB8" w14:textId="77777777" w:rsidR="00991A56" w:rsidRPr="00351E18" w:rsidRDefault="00351E18" w:rsidP="00351E18">
            <w:pPr>
              <w:pStyle w:val="QPPTableTextBody"/>
            </w:pPr>
            <w:r>
              <w:t xml:space="preserve">Development for </w:t>
            </w:r>
            <w:hyperlink r:id="rId30" w:anchor="Multiple" w:history="1">
              <w:r w:rsidRPr="00351E18">
                <w:rPr>
                  <w:rStyle w:val="Hyperlink"/>
                </w:rPr>
                <w:t>multiple dwellings</w:t>
              </w:r>
            </w:hyperlink>
            <w:r>
              <w:t xml:space="preserve"> </w:t>
            </w:r>
            <w:r w:rsidR="00991A56" w:rsidRPr="00351E18">
              <w:t>must be designed to integrate with the surrounding neighbourhood and street network.</w:t>
            </w:r>
          </w:p>
        </w:tc>
        <w:tc>
          <w:tcPr>
            <w:tcW w:w="4376" w:type="dxa"/>
            <w:shd w:val="clear" w:color="auto" w:fill="auto"/>
          </w:tcPr>
          <w:p w14:paraId="305526F4" w14:textId="77777777" w:rsidR="00991A56" w:rsidRPr="00351E18" w:rsidRDefault="00991A56" w:rsidP="00351E18">
            <w:pPr>
              <w:pStyle w:val="QPPTableTextBold"/>
            </w:pPr>
            <w:r w:rsidRPr="00351E18">
              <w:t>AO1.1</w:t>
            </w:r>
          </w:p>
          <w:p w14:paraId="4DC43DE0" w14:textId="77777777" w:rsidR="00991A56" w:rsidRPr="00351E18" w:rsidRDefault="00513E32" w:rsidP="00DF6405">
            <w:pPr>
              <w:pStyle w:val="QPPTableTextBody"/>
              <w:rPr>
                <w:highlight w:val="green"/>
              </w:rPr>
            </w:pPr>
            <w:r w:rsidRPr="00351E18">
              <w:t xml:space="preserve">Development </w:t>
            </w:r>
            <w:r w:rsidR="00CA3EAF" w:rsidRPr="00351E18">
              <w:t xml:space="preserve">for </w:t>
            </w:r>
            <w:hyperlink r:id="rId31" w:anchor="Multiple" w:history="1">
              <w:r w:rsidR="00CA3EAF" w:rsidRPr="004B7DB8">
                <w:rPr>
                  <w:rStyle w:val="Hyperlink"/>
                </w:rPr>
                <w:t>multiple dwellings</w:t>
              </w:r>
            </w:hyperlink>
            <w:r w:rsidR="00CA3EAF" w:rsidRPr="00351E18">
              <w:t xml:space="preserve"> </w:t>
            </w:r>
            <w:r w:rsidRPr="00351E18">
              <w:t>in the</w:t>
            </w:r>
            <w:r w:rsidR="00991A56" w:rsidRPr="00351E18">
              <w:t xml:space="preserve"> </w:t>
            </w:r>
            <w:r w:rsidR="0045634A" w:rsidRPr="00351E18">
              <w:t>l</w:t>
            </w:r>
            <w:r w:rsidR="00991A56" w:rsidRPr="00351E18">
              <w:t>ow density residential</w:t>
            </w:r>
            <w:r w:rsidR="00DF6405">
              <w:t xml:space="preserve"> – </w:t>
            </w:r>
            <w:r w:rsidR="00991A56" w:rsidRPr="00351E18">
              <w:t>dwelling houses potential development area</w:t>
            </w:r>
            <w:r w:rsidR="00173E34" w:rsidRPr="00351E18">
              <w:t xml:space="preserve"> </w:t>
            </w:r>
            <w:r w:rsidR="00991A56" w:rsidRPr="00351E18">
              <w:t>do</w:t>
            </w:r>
            <w:r w:rsidR="00294477" w:rsidRPr="00351E18">
              <w:t>es</w:t>
            </w:r>
            <w:r w:rsidR="00991A56" w:rsidRPr="00351E18">
              <w:t xml:space="preserve"> not exceed 15% of the site area</w:t>
            </w:r>
            <w:r w:rsidR="00845BA7" w:rsidRPr="00351E18">
              <w:t xml:space="preserve">, </w:t>
            </w:r>
            <w:r w:rsidR="00991A56" w:rsidRPr="00351E18">
              <w:t>excluding areas identified</w:t>
            </w:r>
            <w:r w:rsidR="00CA3EAF" w:rsidRPr="00351E18">
              <w:t xml:space="preserve"> as waterway corridors in</w:t>
            </w:r>
            <w:r w:rsidR="004B7DB8">
              <w:t xml:space="preserve"> the </w:t>
            </w:r>
            <w:hyperlink r:id="rId32" w:history="1">
              <w:r w:rsidR="004B7DB8" w:rsidRPr="004B7DB8">
                <w:rPr>
                  <w:rStyle w:val="Hyperlink"/>
                </w:rPr>
                <w:t>Waterway corridor overlay map</w:t>
              </w:r>
            </w:hyperlink>
            <w:r w:rsidR="004B7DB8">
              <w:t xml:space="preserve">, </w:t>
            </w:r>
            <w:r w:rsidR="00CA3EAF" w:rsidRPr="00351E18">
              <w:t xml:space="preserve">habitat areas and ecological corridors as shown </w:t>
            </w:r>
            <w:r w:rsidR="00445E5F" w:rsidRPr="00351E18">
              <w:t>i</w:t>
            </w:r>
            <w:r w:rsidR="00CA3EAF" w:rsidRPr="00351E18">
              <w:t>n</w:t>
            </w:r>
            <w:hyperlink w:anchor="Figurea" w:history="1">
              <w:r w:rsidR="00CA3EAF" w:rsidRPr="004B7DB8">
                <w:t xml:space="preserve"> </w:t>
              </w:r>
              <w:r w:rsidR="00CA3EAF" w:rsidRPr="004B7DB8">
                <w:rPr>
                  <w:rStyle w:val="Hyperlink"/>
                </w:rPr>
                <w:t>Figure a</w:t>
              </w:r>
            </w:hyperlink>
            <w:r w:rsidR="00CA3EAF" w:rsidRPr="00351E18">
              <w:t>, or as park identified</w:t>
            </w:r>
            <w:r w:rsidR="004B7DB8">
              <w:t xml:space="preserve"> in</w:t>
            </w:r>
            <w:r w:rsidR="007651CE">
              <w:t xml:space="preserve"> the</w:t>
            </w:r>
            <w:r w:rsidR="004B7DB8">
              <w:t xml:space="preserve"> </w:t>
            </w:r>
            <w:hyperlink r:id="rId33" w:history="1">
              <w:r w:rsidR="00EB08C3">
                <w:rPr>
                  <w:rStyle w:val="Hyperlink"/>
                </w:rPr>
                <w:t>Local government</w:t>
              </w:r>
              <w:r w:rsidR="004B7DB8" w:rsidRPr="004B7DB8">
                <w:rPr>
                  <w:rStyle w:val="Hyperlink"/>
                </w:rPr>
                <w:t xml:space="preserve"> infrastructure plan</w:t>
              </w:r>
            </w:hyperlink>
            <w:r w:rsidR="004B7DB8">
              <w:t>.</w:t>
            </w:r>
          </w:p>
        </w:tc>
      </w:tr>
      <w:tr w:rsidR="00991A56" w:rsidRPr="00A9168F" w14:paraId="1063F622" w14:textId="77777777">
        <w:tc>
          <w:tcPr>
            <w:tcW w:w="4140" w:type="dxa"/>
            <w:vMerge/>
            <w:shd w:val="clear" w:color="auto" w:fill="auto"/>
          </w:tcPr>
          <w:p w14:paraId="512A7C93" w14:textId="77777777" w:rsidR="00991A56" w:rsidRPr="00A9168F" w:rsidRDefault="00991A56" w:rsidP="00991A56"/>
        </w:tc>
        <w:tc>
          <w:tcPr>
            <w:tcW w:w="4376" w:type="dxa"/>
            <w:shd w:val="clear" w:color="auto" w:fill="auto"/>
          </w:tcPr>
          <w:p w14:paraId="65F9FCAD" w14:textId="77777777" w:rsidR="00991A56" w:rsidRDefault="00991A56" w:rsidP="00351E18">
            <w:pPr>
              <w:pStyle w:val="QPPTableTextBold"/>
            </w:pPr>
            <w:r>
              <w:t>AO1.2</w:t>
            </w:r>
          </w:p>
          <w:p w14:paraId="425F5A8E" w14:textId="77777777" w:rsidR="00991A56" w:rsidRPr="00D044B5" w:rsidRDefault="00513E32" w:rsidP="00D044B5">
            <w:pPr>
              <w:pStyle w:val="QPPTableTextBody"/>
            </w:pPr>
            <w:r w:rsidRPr="00D044B5">
              <w:t>Development has a m</w:t>
            </w:r>
            <w:r w:rsidR="00991A56" w:rsidRPr="00D044B5">
              <w:t>inimum lot size and frontage for</w:t>
            </w:r>
            <w:r w:rsidR="00D044B5">
              <w:t xml:space="preserve"> </w:t>
            </w:r>
            <w:hyperlink r:id="rId34" w:anchor="Multiple" w:history="1">
              <w:r w:rsidR="00D044B5" w:rsidRPr="00D044B5">
                <w:rPr>
                  <w:rStyle w:val="Hyperlink"/>
                </w:rPr>
                <w:t>multiple dwellings</w:t>
              </w:r>
            </w:hyperlink>
            <w:r w:rsidR="00D044B5">
              <w:t xml:space="preserve"> </w:t>
            </w:r>
            <w:r w:rsidR="00845BA7" w:rsidRPr="00D044B5">
              <w:t>as follows</w:t>
            </w:r>
            <w:r w:rsidR="00991A56" w:rsidRPr="00D044B5">
              <w:t>:</w:t>
            </w:r>
          </w:p>
          <w:p w14:paraId="5F21CE07" w14:textId="77777777" w:rsidR="00991A56" w:rsidRPr="0074520A" w:rsidRDefault="00991A56" w:rsidP="00351E18">
            <w:pPr>
              <w:pStyle w:val="HGTableBullet2"/>
            </w:pPr>
            <w:r>
              <w:t>800m</w:t>
            </w:r>
            <w:r w:rsidRPr="00B34468">
              <w:rPr>
                <w:rStyle w:val="QPPSuperscriptChar"/>
                <w:rFonts w:eastAsiaTheme="minorHAnsi"/>
              </w:rPr>
              <w:t>2</w:t>
            </w:r>
            <w:r>
              <w:t xml:space="preserve"> and 20m</w:t>
            </w:r>
            <w:r w:rsidR="00845BA7">
              <w:t xml:space="preserve"> respectively</w:t>
            </w:r>
            <w:r>
              <w:t xml:space="preserve"> in the </w:t>
            </w:r>
            <w:r w:rsidR="0045634A">
              <w:t>l</w:t>
            </w:r>
            <w:r w:rsidRPr="00261243">
              <w:t xml:space="preserve">ow density </w:t>
            </w:r>
            <w:r w:rsidRPr="004D4DB6">
              <w:t xml:space="preserve">residential </w:t>
            </w:r>
            <w:r w:rsidR="00916DBD">
              <w:t xml:space="preserve">– </w:t>
            </w:r>
            <w:hyperlink r:id="rId35" w:anchor="DwgHse" w:history="1">
              <w:r w:rsidRPr="00973FE9">
                <w:rPr>
                  <w:rStyle w:val="Hyperlink"/>
                </w:rPr>
                <w:t>dwelling houses</w:t>
              </w:r>
            </w:hyperlink>
            <w:r w:rsidRPr="004D4DB6">
              <w:t xml:space="preserve"> and </w:t>
            </w:r>
            <w:hyperlink r:id="rId36" w:anchor="Multiple" w:history="1">
              <w:r w:rsidRPr="002A7D55">
                <w:rPr>
                  <w:rStyle w:val="Hyperlink"/>
                </w:rPr>
                <w:t>multiple dwellings</w:t>
              </w:r>
            </w:hyperlink>
            <w:r w:rsidRPr="004D4DB6">
              <w:t xml:space="preserve"> potential</w:t>
            </w:r>
            <w:r>
              <w:t xml:space="preserve"> development area;</w:t>
            </w:r>
          </w:p>
          <w:p w14:paraId="2EE9D795" w14:textId="77777777" w:rsidR="0007152F" w:rsidRDefault="00991A56" w:rsidP="00351E18">
            <w:pPr>
              <w:pStyle w:val="HGTableBullet2"/>
            </w:pPr>
            <w:r>
              <w:t>600m</w:t>
            </w:r>
            <w:r w:rsidRPr="00B34468">
              <w:rPr>
                <w:rStyle w:val="QPPSuperscriptChar"/>
                <w:rFonts w:eastAsiaTheme="minorHAnsi"/>
              </w:rPr>
              <w:t>2</w:t>
            </w:r>
            <w:r>
              <w:t xml:space="preserve"> and 17m </w:t>
            </w:r>
            <w:r w:rsidR="00845BA7">
              <w:t xml:space="preserve">respectively </w:t>
            </w:r>
            <w:r>
              <w:t xml:space="preserve">in the </w:t>
            </w:r>
            <w:r w:rsidR="0045634A">
              <w:t>l</w:t>
            </w:r>
            <w:r>
              <w:t>ow</w:t>
            </w:r>
            <w:r w:rsidR="00485C6D">
              <w:t>–</w:t>
            </w:r>
            <w:r>
              <w:t xml:space="preserve">medium </w:t>
            </w:r>
            <w:r w:rsidRPr="00261243">
              <w:t xml:space="preserve">density residential </w:t>
            </w:r>
            <w:r>
              <w:t>potential development area.</w:t>
            </w:r>
          </w:p>
          <w:p w14:paraId="5C003E54" w14:textId="77777777" w:rsidR="00991A56" w:rsidRPr="0074520A" w:rsidRDefault="0007152F" w:rsidP="0007152F">
            <w:pPr>
              <w:pStyle w:val="QPPEditorsNoteStyle1"/>
            </w:pPr>
            <w:r>
              <w:t>Note–</w:t>
            </w:r>
            <w:r w:rsidR="003A6024">
              <w:t>Refer to</w:t>
            </w:r>
            <w:hyperlink w:anchor="Figurea" w:history="1">
              <w:r w:rsidR="003A6024" w:rsidRPr="007613C7">
                <w:t xml:space="preserve"> </w:t>
              </w:r>
              <w:r w:rsidR="00E826D0" w:rsidRPr="00204456">
                <w:rPr>
                  <w:rStyle w:val="Hyperlink"/>
                </w:rPr>
                <w:t>Figure a</w:t>
              </w:r>
            </w:hyperlink>
            <w:r w:rsidR="003A6024">
              <w:t xml:space="preserve"> for potential development areas.</w:t>
            </w:r>
          </w:p>
        </w:tc>
      </w:tr>
      <w:tr w:rsidR="00991A56" w:rsidRPr="0074520A" w14:paraId="4B43EBA7" w14:textId="77777777">
        <w:tc>
          <w:tcPr>
            <w:tcW w:w="8516" w:type="dxa"/>
            <w:gridSpan w:val="2"/>
            <w:shd w:val="clear" w:color="auto" w:fill="auto"/>
          </w:tcPr>
          <w:p w14:paraId="65E6331E" w14:textId="77777777" w:rsidR="00991A56" w:rsidRPr="00E12F7E" w:rsidRDefault="00513E32" w:rsidP="00E12F7E">
            <w:pPr>
              <w:pStyle w:val="QPPTableTextBold"/>
            </w:pPr>
            <w:r w:rsidRPr="00E12F7E">
              <w:t xml:space="preserve">If </w:t>
            </w:r>
            <w:r w:rsidR="00991A56" w:rsidRPr="00E12F7E">
              <w:t>involving development in the low</w:t>
            </w:r>
            <w:r w:rsidR="00845BA7" w:rsidRPr="00E12F7E">
              <w:t>-</w:t>
            </w:r>
            <w:r w:rsidR="00991A56" w:rsidRPr="00E12F7E">
              <w:t>lying land fronting Wynnum Road</w:t>
            </w:r>
            <w:r w:rsidR="00502222" w:rsidRPr="00E12F7E">
              <w:t xml:space="preserve"> area</w:t>
            </w:r>
            <w:r w:rsidR="00991A56" w:rsidRPr="00E12F7E">
              <w:t xml:space="preserve"> and where</w:t>
            </w:r>
            <w:r w:rsidR="00E12F7E">
              <w:t xml:space="preserve"> the </w:t>
            </w:r>
            <w:hyperlink r:id="rId37" w:history="1">
              <w:r w:rsidR="00E12F7E" w:rsidRPr="00E12F7E">
                <w:rPr>
                  <w:rStyle w:val="Hyperlink"/>
                </w:rPr>
                <w:t>Stormwater code</w:t>
              </w:r>
            </w:hyperlink>
            <w:r w:rsidR="00E12F7E">
              <w:t xml:space="preserve"> is </w:t>
            </w:r>
            <w:r w:rsidR="00991A56" w:rsidRPr="00E12F7E">
              <w:t>applicable</w:t>
            </w:r>
          </w:p>
        </w:tc>
      </w:tr>
      <w:tr w:rsidR="00991A56" w:rsidRPr="00FE7B15" w14:paraId="6A7A7119" w14:textId="77777777">
        <w:tc>
          <w:tcPr>
            <w:tcW w:w="4140" w:type="dxa"/>
            <w:shd w:val="clear" w:color="auto" w:fill="auto"/>
          </w:tcPr>
          <w:p w14:paraId="07B432C6" w14:textId="77777777" w:rsidR="00991A56" w:rsidRPr="00AD1DA6" w:rsidRDefault="00991A56" w:rsidP="00351E18">
            <w:pPr>
              <w:pStyle w:val="QPPTableTextBold"/>
            </w:pPr>
            <w:r w:rsidRPr="00AD1DA6">
              <w:t>PO2</w:t>
            </w:r>
          </w:p>
          <w:p w14:paraId="270C85E3" w14:textId="77777777" w:rsidR="00991A56" w:rsidRPr="00AD1DA6" w:rsidRDefault="00845BA7" w:rsidP="00351E18">
            <w:pPr>
              <w:pStyle w:val="QPPTableTextBody"/>
            </w:pPr>
            <w:r>
              <w:t xml:space="preserve">Development, </w:t>
            </w:r>
            <w:r w:rsidR="00991A56" w:rsidRPr="00AD1DA6">
              <w:t>including on</w:t>
            </w:r>
            <w:r w:rsidR="00485C6D">
              <w:t>-</w:t>
            </w:r>
            <w:r w:rsidR="00991A56" w:rsidRPr="00AD1DA6">
              <w:t>site access to Wynnum Road</w:t>
            </w:r>
            <w:r>
              <w:t>,</w:t>
            </w:r>
            <w:r w:rsidR="00991A56" w:rsidRPr="00AD1DA6">
              <w:t xml:space="preserve"> </w:t>
            </w:r>
            <w:r w:rsidR="008472DD">
              <w:t>does</w:t>
            </w:r>
            <w:r w:rsidR="00991A56" w:rsidRPr="00AD1DA6">
              <w:t xml:space="preserve"> not impede the existing overland flow of stormwater to the detriment of neighbouring houses.</w:t>
            </w:r>
          </w:p>
        </w:tc>
        <w:tc>
          <w:tcPr>
            <w:tcW w:w="4376" w:type="dxa"/>
            <w:shd w:val="clear" w:color="auto" w:fill="auto"/>
          </w:tcPr>
          <w:p w14:paraId="26791289" w14:textId="77777777" w:rsidR="00991A56" w:rsidRPr="00AD1DA6" w:rsidRDefault="00991A56" w:rsidP="00351E18">
            <w:pPr>
              <w:pStyle w:val="QPPTableTextBold"/>
            </w:pPr>
            <w:r w:rsidRPr="00AD1DA6">
              <w:t>AO2</w:t>
            </w:r>
          </w:p>
          <w:p w14:paraId="0DC8C6AC" w14:textId="77777777" w:rsidR="00991A56" w:rsidRPr="00552B77" w:rsidRDefault="00991A56" w:rsidP="00351E18">
            <w:pPr>
              <w:pStyle w:val="QPPTableTextBody"/>
            </w:pPr>
            <w:r w:rsidRPr="00AD1DA6">
              <w:t>Development incorporates on</w:t>
            </w:r>
            <w:r w:rsidR="00485C6D">
              <w:t>-</w:t>
            </w:r>
            <w:r w:rsidRPr="00AD1DA6">
              <w:t xml:space="preserve">site overland flow paths secured by </w:t>
            </w:r>
            <w:r w:rsidR="00845BA7">
              <w:t xml:space="preserve">the </w:t>
            </w:r>
            <w:r w:rsidRPr="00AD1DA6">
              <w:t xml:space="preserve">dedication of drainage easements to </w:t>
            </w:r>
            <w:r w:rsidR="00485C6D">
              <w:t xml:space="preserve">the </w:t>
            </w:r>
            <w:r w:rsidRPr="00AD1DA6">
              <w:t>Council.</w:t>
            </w:r>
          </w:p>
        </w:tc>
      </w:tr>
      <w:tr w:rsidR="00991A56" w:rsidRPr="0074520A" w14:paraId="3AC941AF" w14:textId="77777777">
        <w:tc>
          <w:tcPr>
            <w:tcW w:w="8516" w:type="dxa"/>
            <w:gridSpan w:val="2"/>
            <w:shd w:val="clear" w:color="auto" w:fill="auto"/>
          </w:tcPr>
          <w:p w14:paraId="7651CA42" w14:textId="77777777" w:rsidR="00991A56" w:rsidRPr="0074520A" w:rsidRDefault="00513E32" w:rsidP="00351E18">
            <w:pPr>
              <w:pStyle w:val="QPPTableTextBold"/>
            </w:pPr>
            <w:r>
              <w:t xml:space="preserve">If </w:t>
            </w:r>
            <w:r w:rsidR="00991A56" w:rsidRPr="0074520A">
              <w:t xml:space="preserve">involving development in a </w:t>
            </w:r>
            <w:r w:rsidR="00502222" w:rsidRPr="00502222">
              <w:t>n</w:t>
            </w:r>
            <w:r w:rsidR="00991A56" w:rsidRPr="00502222">
              <w:t>eighbourhood centre</w:t>
            </w:r>
          </w:p>
        </w:tc>
      </w:tr>
      <w:tr w:rsidR="00991A56" w:rsidRPr="00FE7B15" w14:paraId="0928EA0A" w14:textId="77777777">
        <w:tc>
          <w:tcPr>
            <w:tcW w:w="4140" w:type="dxa"/>
            <w:shd w:val="clear" w:color="auto" w:fill="auto"/>
          </w:tcPr>
          <w:p w14:paraId="55E9AC37" w14:textId="77777777" w:rsidR="00991A56" w:rsidRPr="00AD1DA6" w:rsidRDefault="00991A56" w:rsidP="00351E18">
            <w:pPr>
              <w:pStyle w:val="QPPTableTextBold"/>
            </w:pPr>
            <w:r w:rsidRPr="00AD1DA6">
              <w:t>PO3</w:t>
            </w:r>
          </w:p>
          <w:p w14:paraId="0080AB6D" w14:textId="77777777" w:rsidR="00991A56" w:rsidRPr="00AD1DA6" w:rsidRDefault="00513E32" w:rsidP="00351E18">
            <w:pPr>
              <w:pStyle w:val="QPPTableTextBody"/>
            </w:pPr>
            <w:r>
              <w:t xml:space="preserve">Development in </w:t>
            </w:r>
            <w:r w:rsidR="00845BA7">
              <w:t>a</w:t>
            </w:r>
            <w:r w:rsidR="00E826D0">
              <w:t xml:space="preserve"> neighbourhood centre</w:t>
            </w:r>
            <w:r w:rsidR="00991A56" w:rsidRPr="00AD1DA6">
              <w:t xml:space="preserve"> support</w:t>
            </w:r>
            <w:r w:rsidR="001C305A">
              <w:t>s</w:t>
            </w:r>
            <w:r w:rsidR="00991A56" w:rsidRPr="00AD1DA6">
              <w:t xml:space="preserve"> and consolidate</w:t>
            </w:r>
            <w:r w:rsidR="001C305A">
              <w:t>s</w:t>
            </w:r>
            <w:r w:rsidR="00991A56" w:rsidRPr="00AD1DA6">
              <w:t xml:space="preserve"> the established network of centres in the area.</w:t>
            </w:r>
          </w:p>
        </w:tc>
        <w:tc>
          <w:tcPr>
            <w:tcW w:w="4376" w:type="dxa"/>
            <w:shd w:val="clear" w:color="auto" w:fill="auto"/>
          </w:tcPr>
          <w:p w14:paraId="633D2839" w14:textId="77777777" w:rsidR="00991A56" w:rsidRPr="00017503" w:rsidRDefault="00991A56" w:rsidP="00017503">
            <w:pPr>
              <w:pStyle w:val="QPPTableTextBold"/>
            </w:pPr>
            <w:r w:rsidRPr="00017503">
              <w:t>AO3</w:t>
            </w:r>
          </w:p>
          <w:p w14:paraId="3C3CF251" w14:textId="77777777" w:rsidR="00991A56" w:rsidRPr="00017503" w:rsidRDefault="00017503" w:rsidP="00017503">
            <w:pPr>
              <w:pStyle w:val="QPPTableTextBody"/>
            </w:pPr>
            <w:r>
              <w:t xml:space="preserve">Development of the neighbourhood centre at the intersection of Evelyn Road and </w:t>
            </w:r>
            <w:proofErr w:type="spellStart"/>
            <w:r>
              <w:t>Kianawah</w:t>
            </w:r>
            <w:proofErr w:type="spellEnd"/>
            <w:r>
              <w:t xml:space="preserve"> Road as shown in </w:t>
            </w:r>
            <w:hyperlink w:anchor="Figurea" w:history="1">
              <w:r w:rsidRPr="00017503">
                <w:rPr>
                  <w:rStyle w:val="Hyperlink"/>
                </w:rPr>
                <w:t>Figure a</w:t>
              </w:r>
            </w:hyperlink>
            <w:r>
              <w:t xml:space="preserve"> has a maximum </w:t>
            </w:r>
            <w:hyperlink r:id="rId38" w:anchor="GFA" w:history="1">
              <w:r w:rsidRPr="00017503">
                <w:rPr>
                  <w:rStyle w:val="Hyperlink"/>
                </w:rPr>
                <w:t>gross floor area</w:t>
              </w:r>
            </w:hyperlink>
            <w:r>
              <w:t xml:space="preserve"> of 1,500m</w:t>
            </w:r>
            <w:r w:rsidRPr="00017503">
              <w:rPr>
                <w:rStyle w:val="QPPSuperscriptChar"/>
                <w:rFonts w:eastAsiaTheme="minorHAnsi"/>
              </w:rPr>
              <w:t>2</w:t>
            </w:r>
            <w:r>
              <w:t>.</w:t>
            </w:r>
          </w:p>
        </w:tc>
      </w:tr>
      <w:tr w:rsidR="008F1BCF" w:rsidRPr="00FE7B15" w14:paraId="0998A339" w14:textId="77777777" w:rsidTr="00E74B45">
        <w:tc>
          <w:tcPr>
            <w:tcW w:w="8516" w:type="dxa"/>
            <w:gridSpan w:val="2"/>
            <w:shd w:val="clear" w:color="auto" w:fill="auto"/>
          </w:tcPr>
          <w:p w14:paraId="01A74898" w14:textId="77777777" w:rsidR="008F1BCF" w:rsidRPr="00AD1DA6" w:rsidRDefault="008F1BCF" w:rsidP="00351E18">
            <w:pPr>
              <w:pStyle w:val="QPPTableTextBold"/>
            </w:pPr>
            <w:r>
              <w:t>If involving development in the Habitat areas and ecological corridors (public)</w:t>
            </w:r>
          </w:p>
        </w:tc>
      </w:tr>
      <w:tr w:rsidR="008F1BCF" w:rsidRPr="00FE7B15" w14:paraId="3EBB53F3" w14:textId="77777777">
        <w:tc>
          <w:tcPr>
            <w:tcW w:w="4140" w:type="dxa"/>
            <w:shd w:val="clear" w:color="auto" w:fill="auto"/>
          </w:tcPr>
          <w:p w14:paraId="3FBA776F" w14:textId="77777777" w:rsidR="008F1BCF" w:rsidRDefault="008F1BCF" w:rsidP="00351E18">
            <w:pPr>
              <w:pStyle w:val="QPPTableTextBold"/>
            </w:pPr>
            <w:r>
              <w:t>PO4</w:t>
            </w:r>
          </w:p>
          <w:p w14:paraId="6F84A55D" w14:textId="77777777" w:rsidR="008F1BCF" w:rsidRPr="00AD1DA6" w:rsidRDefault="008F1BCF" w:rsidP="00351E18">
            <w:pPr>
              <w:pStyle w:val="QPPTableTextBody"/>
            </w:pPr>
            <w:r>
              <w:t>Development must protect biodiversity and landscape values and provide access along the public corridor.</w:t>
            </w:r>
          </w:p>
        </w:tc>
        <w:tc>
          <w:tcPr>
            <w:tcW w:w="4376" w:type="dxa"/>
            <w:shd w:val="clear" w:color="auto" w:fill="auto"/>
          </w:tcPr>
          <w:p w14:paraId="4EC8E69B" w14:textId="77777777" w:rsidR="008F1BCF" w:rsidRDefault="008F1BCF" w:rsidP="00351E18">
            <w:pPr>
              <w:pStyle w:val="QPPTableTextBold"/>
            </w:pPr>
            <w:r>
              <w:t>AO4</w:t>
            </w:r>
          </w:p>
          <w:p w14:paraId="0C43B209" w14:textId="77777777" w:rsidR="008F1BCF" w:rsidRDefault="008F1BCF" w:rsidP="00351E18">
            <w:pPr>
              <w:pStyle w:val="QPPTableTextBody"/>
            </w:pPr>
            <w:r>
              <w:t xml:space="preserve">Development that includes land within the habitat areas and ecological corridors (public) as identified </w:t>
            </w:r>
            <w:r w:rsidR="00B65D95">
              <w:t>i</w:t>
            </w:r>
            <w:r>
              <w:t>n</w:t>
            </w:r>
            <w:hyperlink w:anchor="Figurea" w:history="1">
              <w:r w:rsidRPr="00AB793F">
                <w:t xml:space="preserve"> </w:t>
              </w:r>
              <w:r w:rsidRPr="00204456">
                <w:rPr>
                  <w:rStyle w:val="Hyperlink"/>
                </w:rPr>
                <w:t>Figure a</w:t>
              </w:r>
            </w:hyperlink>
            <w:r>
              <w:t xml:space="preserve"> ensures that:</w:t>
            </w:r>
          </w:p>
          <w:p w14:paraId="1C11C210" w14:textId="77777777" w:rsidR="008F1BCF" w:rsidRDefault="008F1BCF" w:rsidP="00351E18">
            <w:pPr>
              <w:pStyle w:val="HGTableBullet2"/>
              <w:numPr>
                <w:ilvl w:val="0"/>
                <w:numId w:val="43"/>
              </w:numPr>
            </w:pPr>
            <w:r>
              <w:t>the land is rehabilitated and stabilised in accordance with an approved rehabilitation plan;</w:t>
            </w:r>
          </w:p>
          <w:p w14:paraId="704E9B87" w14:textId="77777777" w:rsidR="008F1BCF" w:rsidRDefault="008F1BCF" w:rsidP="00351E18">
            <w:pPr>
              <w:pStyle w:val="HGTableBullet2"/>
              <w:numPr>
                <w:ilvl w:val="0"/>
                <w:numId w:val="43"/>
              </w:numPr>
            </w:pPr>
            <w:r>
              <w:t xml:space="preserve">land is transferred to the Council for public </w:t>
            </w:r>
            <w:r>
              <w:lastRenderedPageBreak/>
              <w:t>ownership and included in the Conservation zone;</w:t>
            </w:r>
          </w:p>
          <w:p w14:paraId="12B18155" w14:textId="77777777" w:rsidR="008F1BCF" w:rsidRPr="00AD1DA6" w:rsidRDefault="008F1BCF" w:rsidP="00351E18">
            <w:pPr>
              <w:pStyle w:val="HGTableBullet2"/>
              <w:numPr>
                <w:ilvl w:val="0"/>
                <w:numId w:val="43"/>
              </w:numPr>
            </w:pPr>
            <w:r>
              <w:t>a road with a shared use (pedestrian and cyclist) path in an adjoining 6m wide verge is constructed within the Potential development area.</w:t>
            </w:r>
          </w:p>
        </w:tc>
      </w:tr>
    </w:tbl>
    <w:p w14:paraId="3390625A" w14:textId="77777777" w:rsidR="00991A56" w:rsidRDefault="00991A56" w:rsidP="00EB0E28">
      <w:pPr>
        <w:pStyle w:val="QPPBodytext"/>
      </w:pPr>
    </w:p>
    <w:p w14:paraId="4519DEB4" w14:textId="77777777" w:rsidR="00661788" w:rsidRDefault="00C86648" w:rsidP="00EB0E28">
      <w:pPr>
        <w:pStyle w:val="QPPBodytext"/>
      </w:pPr>
      <w:bookmarkStart w:id="2" w:name="Figurea"/>
      <w:r>
        <w:rPr>
          <w:noProof/>
        </w:rPr>
        <w:lastRenderedPageBreak/>
        <w:drawing>
          <wp:inline distT="0" distB="0" distL="0" distR="0" wp14:anchorId="5B881B76" wp14:editId="0F926605">
            <wp:extent cx="5270500" cy="8035925"/>
            <wp:effectExtent l="0" t="0" r="6350" b="3175"/>
            <wp:docPr id="3" name="Picture 3" descr="Figure a—Wynnum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Wynnum_Wes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C816839" w14:textId="77777777" w:rsidR="00CC61A4" w:rsidRPr="00684BB0" w:rsidRDefault="00CC61A4" w:rsidP="00EB0E28">
      <w:pPr>
        <w:pStyle w:val="QPPBodytext"/>
      </w:pPr>
      <w:r>
        <w:t xml:space="preserve">View the high resolution of </w:t>
      </w:r>
      <w:hyperlink r:id="rId40" w:tgtFrame="_blank" w:history="1">
        <w:r w:rsidRPr="004A722C">
          <w:rPr>
            <w:rStyle w:val="Hyperlink"/>
          </w:rPr>
          <w:t>Figure a–Wynnum west</w:t>
        </w:r>
      </w:hyperlink>
      <w:r>
        <w:t xml:space="preserve"> (PDF file size is 272Kb)</w:t>
      </w:r>
    </w:p>
    <w:sectPr w:rsidR="00CC61A4" w:rsidRPr="00684BB0" w:rsidSect="00991A5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FEB3" w14:textId="77777777" w:rsidR="00E74B45" w:rsidRDefault="00E74B45" w:rsidP="004F407E">
      <w:r>
        <w:separator/>
      </w:r>
    </w:p>
  </w:endnote>
  <w:endnote w:type="continuationSeparator" w:id="0">
    <w:p w14:paraId="22371E70" w14:textId="77777777" w:rsidR="00E74B45" w:rsidRDefault="00E74B45" w:rsidP="004F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9579" w14:textId="77777777" w:rsidR="001D2B1E" w:rsidRDefault="001D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FFA2" w14:textId="46631D67" w:rsidR="00E74B45" w:rsidRDefault="00E74B45" w:rsidP="00E55218">
    <w:pPr>
      <w:pStyle w:val="QPPFooter"/>
    </w:pPr>
    <w:r w:rsidRPr="003F780C">
      <w:t>Part 7 – Neighbourhood plans (Wynnum West)</w:t>
    </w:r>
    <w:r>
      <w:ptab w:relativeTo="margin" w:alignment="center" w:leader="none"/>
    </w:r>
    <w:r>
      <w:ptab w:relativeTo="margin" w:alignment="right" w:leader="none"/>
    </w:r>
    <w:r w:rsidRPr="003F780C">
      <w:t xml:space="preserve">Effective </w:t>
    </w:r>
    <w:r w:rsidR="00333A41">
      <w:t>1 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7A3A" w14:textId="77777777" w:rsidR="001D2B1E" w:rsidRDefault="001D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093B9" w14:textId="77777777" w:rsidR="00E74B45" w:rsidRDefault="00E74B45" w:rsidP="004F407E">
      <w:r>
        <w:separator/>
      </w:r>
    </w:p>
  </w:footnote>
  <w:footnote w:type="continuationSeparator" w:id="0">
    <w:p w14:paraId="34AD30DD" w14:textId="77777777" w:rsidR="00E74B45" w:rsidRDefault="00E74B45" w:rsidP="004F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7F10" w14:textId="77777777" w:rsidR="00E74B45" w:rsidRDefault="009C77E6">
    <w:pPr>
      <w:pStyle w:val="Header"/>
    </w:pPr>
    <w:r>
      <w:rPr>
        <w:noProof/>
      </w:rPr>
      <w:pict w14:anchorId="59069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597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4E05" w14:textId="77777777" w:rsidR="001D2B1E" w:rsidRDefault="001D2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408F" w14:textId="77777777" w:rsidR="00E74B45" w:rsidRDefault="009C77E6">
    <w:pPr>
      <w:pStyle w:val="Header"/>
    </w:pPr>
    <w:r>
      <w:rPr>
        <w:noProof/>
      </w:rPr>
      <w:pict w14:anchorId="6D45B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596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 w:numId="43">
    <w:abstractNumId w:val="22"/>
    <w:lvlOverride w:ilvl="0">
      <w:startOverride w:val="1"/>
    </w:lvlOverride>
  </w:num>
  <w:num w:numId="44">
    <w:abstractNumId w:val="0"/>
  </w:num>
  <w:num w:numId="4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YzyVnUcMln6O+Y2Y4scNJD0CfQLdlCXrCYNVEczwrQjTd5nYCiEExIOfP/GAInzLxd0VZQz+ggcmBncyqVfLJA==" w:salt="9lKYg/PCrVNLqhy4tblOO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17503"/>
    <w:rsid w:val="00055620"/>
    <w:rsid w:val="00056538"/>
    <w:rsid w:val="0007152F"/>
    <w:rsid w:val="000815F4"/>
    <w:rsid w:val="000844B2"/>
    <w:rsid w:val="00094BF2"/>
    <w:rsid w:val="000A27A7"/>
    <w:rsid w:val="000A5B2C"/>
    <w:rsid w:val="000D35DB"/>
    <w:rsid w:val="001013EF"/>
    <w:rsid w:val="00106801"/>
    <w:rsid w:val="001637E1"/>
    <w:rsid w:val="00173E34"/>
    <w:rsid w:val="00176432"/>
    <w:rsid w:val="00197A51"/>
    <w:rsid w:val="001B0CEA"/>
    <w:rsid w:val="001B383D"/>
    <w:rsid w:val="001C305A"/>
    <w:rsid w:val="001D2B1E"/>
    <w:rsid w:val="001D3C4D"/>
    <w:rsid w:val="00203381"/>
    <w:rsid w:val="00204456"/>
    <w:rsid w:val="00294477"/>
    <w:rsid w:val="002A7D55"/>
    <w:rsid w:val="002D3224"/>
    <w:rsid w:val="002E0FA6"/>
    <w:rsid w:val="002E350A"/>
    <w:rsid w:val="002F7EF9"/>
    <w:rsid w:val="00301687"/>
    <w:rsid w:val="003140CA"/>
    <w:rsid w:val="00333A41"/>
    <w:rsid w:val="00336282"/>
    <w:rsid w:val="00351E18"/>
    <w:rsid w:val="003626C6"/>
    <w:rsid w:val="00382166"/>
    <w:rsid w:val="003A6024"/>
    <w:rsid w:val="003C39AD"/>
    <w:rsid w:val="003F1D94"/>
    <w:rsid w:val="003F780C"/>
    <w:rsid w:val="004117AE"/>
    <w:rsid w:val="00414651"/>
    <w:rsid w:val="00430993"/>
    <w:rsid w:val="00445E5F"/>
    <w:rsid w:val="0045634A"/>
    <w:rsid w:val="0046062F"/>
    <w:rsid w:val="00471765"/>
    <w:rsid w:val="00477E39"/>
    <w:rsid w:val="00485C6D"/>
    <w:rsid w:val="004970F1"/>
    <w:rsid w:val="00497173"/>
    <w:rsid w:val="004A722C"/>
    <w:rsid w:val="004B77E4"/>
    <w:rsid w:val="004B7DB8"/>
    <w:rsid w:val="004C4B10"/>
    <w:rsid w:val="004C528A"/>
    <w:rsid w:val="004D4DB6"/>
    <w:rsid w:val="004F407E"/>
    <w:rsid w:val="00502222"/>
    <w:rsid w:val="005027B9"/>
    <w:rsid w:val="00513E32"/>
    <w:rsid w:val="0051738A"/>
    <w:rsid w:val="00520D49"/>
    <w:rsid w:val="00595A1B"/>
    <w:rsid w:val="00600DF5"/>
    <w:rsid w:val="006124CD"/>
    <w:rsid w:val="006141DE"/>
    <w:rsid w:val="0063690D"/>
    <w:rsid w:val="00641C87"/>
    <w:rsid w:val="00643D8B"/>
    <w:rsid w:val="00661788"/>
    <w:rsid w:val="00684BB0"/>
    <w:rsid w:val="00695D1D"/>
    <w:rsid w:val="006A26C7"/>
    <w:rsid w:val="006A6881"/>
    <w:rsid w:val="006B4D7E"/>
    <w:rsid w:val="006C7781"/>
    <w:rsid w:val="006E4805"/>
    <w:rsid w:val="006F440B"/>
    <w:rsid w:val="007370F1"/>
    <w:rsid w:val="00744A5B"/>
    <w:rsid w:val="007560AD"/>
    <w:rsid w:val="007606E9"/>
    <w:rsid w:val="007613C7"/>
    <w:rsid w:val="007651CE"/>
    <w:rsid w:val="007840D3"/>
    <w:rsid w:val="00792EAB"/>
    <w:rsid w:val="007A7514"/>
    <w:rsid w:val="007F1F75"/>
    <w:rsid w:val="00824DE2"/>
    <w:rsid w:val="00844995"/>
    <w:rsid w:val="00845BA7"/>
    <w:rsid w:val="008472DD"/>
    <w:rsid w:val="00871569"/>
    <w:rsid w:val="008B6E21"/>
    <w:rsid w:val="008D06C3"/>
    <w:rsid w:val="008D2E3A"/>
    <w:rsid w:val="008F1BCF"/>
    <w:rsid w:val="0090754D"/>
    <w:rsid w:val="00916DBD"/>
    <w:rsid w:val="009438CD"/>
    <w:rsid w:val="00973FE9"/>
    <w:rsid w:val="009827C5"/>
    <w:rsid w:val="0099096B"/>
    <w:rsid w:val="00991A56"/>
    <w:rsid w:val="009C77E6"/>
    <w:rsid w:val="009D29A0"/>
    <w:rsid w:val="00A0045E"/>
    <w:rsid w:val="00A06D8A"/>
    <w:rsid w:val="00A148A3"/>
    <w:rsid w:val="00A1651C"/>
    <w:rsid w:val="00A21472"/>
    <w:rsid w:val="00A24445"/>
    <w:rsid w:val="00A3135A"/>
    <w:rsid w:val="00AB1390"/>
    <w:rsid w:val="00AB40D3"/>
    <w:rsid w:val="00AB70AB"/>
    <w:rsid w:val="00AB793F"/>
    <w:rsid w:val="00AD1DA6"/>
    <w:rsid w:val="00AD725A"/>
    <w:rsid w:val="00AF3BF9"/>
    <w:rsid w:val="00AF6716"/>
    <w:rsid w:val="00AF748C"/>
    <w:rsid w:val="00B06DD5"/>
    <w:rsid w:val="00B3085B"/>
    <w:rsid w:val="00B34468"/>
    <w:rsid w:val="00B52148"/>
    <w:rsid w:val="00B65D95"/>
    <w:rsid w:val="00B80AEF"/>
    <w:rsid w:val="00B81FE7"/>
    <w:rsid w:val="00BA68B8"/>
    <w:rsid w:val="00BD62E6"/>
    <w:rsid w:val="00BE628F"/>
    <w:rsid w:val="00BF203E"/>
    <w:rsid w:val="00BF3833"/>
    <w:rsid w:val="00C10DDD"/>
    <w:rsid w:val="00C1461D"/>
    <w:rsid w:val="00C22B15"/>
    <w:rsid w:val="00C54ABA"/>
    <w:rsid w:val="00C5774B"/>
    <w:rsid w:val="00C66092"/>
    <w:rsid w:val="00C86648"/>
    <w:rsid w:val="00C86A9A"/>
    <w:rsid w:val="00C90D9E"/>
    <w:rsid w:val="00C96198"/>
    <w:rsid w:val="00CA3EAF"/>
    <w:rsid w:val="00CC61A4"/>
    <w:rsid w:val="00CE1B5B"/>
    <w:rsid w:val="00CF28B2"/>
    <w:rsid w:val="00D02E5F"/>
    <w:rsid w:val="00D044B5"/>
    <w:rsid w:val="00D12B92"/>
    <w:rsid w:val="00D269AC"/>
    <w:rsid w:val="00D51D83"/>
    <w:rsid w:val="00D6768B"/>
    <w:rsid w:val="00DB5B94"/>
    <w:rsid w:val="00DB7E5D"/>
    <w:rsid w:val="00DD205F"/>
    <w:rsid w:val="00DD220C"/>
    <w:rsid w:val="00DD75A6"/>
    <w:rsid w:val="00DF6405"/>
    <w:rsid w:val="00E12F7E"/>
    <w:rsid w:val="00E14406"/>
    <w:rsid w:val="00E41628"/>
    <w:rsid w:val="00E544E8"/>
    <w:rsid w:val="00E55218"/>
    <w:rsid w:val="00E61A91"/>
    <w:rsid w:val="00E74B45"/>
    <w:rsid w:val="00E826D0"/>
    <w:rsid w:val="00E84885"/>
    <w:rsid w:val="00EB08C3"/>
    <w:rsid w:val="00EB0E28"/>
    <w:rsid w:val="00EE631E"/>
    <w:rsid w:val="00F10BE7"/>
    <w:rsid w:val="00F14619"/>
    <w:rsid w:val="00F36D43"/>
    <w:rsid w:val="00F4335A"/>
    <w:rsid w:val="00F47EDF"/>
    <w:rsid w:val="00F7008D"/>
    <w:rsid w:val="00F75CD1"/>
    <w:rsid w:val="00FC4CE4"/>
    <w:rsid w:val="00FE2A9D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555AA1"/>
  <w15:docId w15:val="{583691CB-0421-4F1B-8823-40C4541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9C77E6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C77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C77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C77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C77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C77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C77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C77E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C77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C77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C77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77E6"/>
  </w:style>
  <w:style w:type="paragraph" w:customStyle="1" w:styleId="QPPBodytext">
    <w:name w:val="QPP Body text"/>
    <w:basedOn w:val="Normal"/>
    <w:link w:val="QPPBodytextChar"/>
    <w:rsid w:val="009C77E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C77E6"/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semiHidden/>
    <w:locked/>
    <w:rsid w:val="009C7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117A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locked/>
    <w:rsid w:val="009C77E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77E6"/>
    <w:rPr>
      <w:rFonts w:ascii="Arial" w:eastAsia="Times New Roman" w:hAnsi="Arial"/>
    </w:rPr>
  </w:style>
  <w:style w:type="character" w:styleId="CommentReference">
    <w:name w:val="annotation reference"/>
    <w:semiHidden/>
    <w:locked/>
    <w:rsid w:val="009C7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C77E6"/>
    <w:rPr>
      <w:szCs w:val="20"/>
    </w:rPr>
  </w:style>
  <w:style w:type="character" w:customStyle="1" w:styleId="CommentTextChar">
    <w:name w:val="Comment Text Char"/>
    <w:link w:val="CommentText"/>
    <w:semiHidden/>
    <w:rsid w:val="004117AE"/>
    <w:rPr>
      <w:rFonts w:ascii="Arial" w:eastAsia="Times New Roman" w:hAnsi="Arial"/>
    </w:rPr>
  </w:style>
  <w:style w:type="character" w:customStyle="1" w:styleId="CommentSubjectChar">
    <w:name w:val="Comment Subject Char"/>
    <w:link w:val="CommentSubject"/>
    <w:semiHidden/>
    <w:rsid w:val="004117AE"/>
    <w:rPr>
      <w:rFonts w:ascii="Arial" w:eastAsia="Times New Roman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C77E6"/>
    <w:rPr>
      <w:b/>
      <w:bCs/>
    </w:rPr>
  </w:style>
  <w:style w:type="table" w:styleId="TableGrid">
    <w:name w:val="Table Grid"/>
    <w:basedOn w:val="TableNormal"/>
    <w:semiHidden/>
    <w:rsid w:val="009C77E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77E6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C77E6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C77E6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C77E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77E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9C77E6"/>
    <w:rPr>
      <w:rFonts w:ascii="Arial" w:eastAsia="Times New Roman" w:hAnsi="Arial" w:cs="Arial"/>
      <w:color w:val="000000"/>
    </w:rPr>
  </w:style>
  <w:style w:type="paragraph" w:customStyle="1" w:styleId="QPPBulletpoint2">
    <w:name w:val="QPP Bullet point 2"/>
    <w:basedOn w:val="Normal"/>
    <w:rsid w:val="009C77E6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C77E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77E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77E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77E6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77E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9C77E6"/>
    <w:rPr>
      <w:rFonts w:ascii="Arial" w:eastAsia="Times New Roman" w:hAnsi="Arial"/>
      <w:sz w:val="16"/>
      <w:szCs w:val="16"/>
    </w:rPr>
  </w:style>
  <w:style w:type="paragraph" w:customStyle="1" w:styleId="QPPFooter">
    <w:name w:val="QPP Footer"/>
    <w:basedOn w:val="Normal"/>
    <w:rsid w:val="009C77E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77E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77E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9C77E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C77E6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9C77E6"/>
    <w:pPr>
      <w:numPr>
        <w:numId w:val="4"/>
      </w:numPr>
    </w:pPr>
  </w:style>
  <w:style w:type="character" w:customStyle="1" w:styleId="HighlightingBlue">
    <w:name w:val="Highlighting Blue"/>
    <w:rsid w:val="009C77E6"/>
    <w:rPr>
      <w:szCs w:val="16"/>
      <w:bdr w:val="none" w:sz="0" w:space="0" w:color="auto"/>
      <w:shd w:val="clear" w:color="auto" w:fill="00FFFF"/>
    </w:rPr>
  </w:style>
  <w:style w:type="paragraph" w:customStyle="1" w:styleId="QPPBullet">
    <w:name w:val="QPP Bullet"/>
    <w:basedOn w:val="Normal"/>
    <w:autoRedefine/>
    <w:rsid w:val="009C77E6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C77E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C77E6"/>
    <w:pPr>
      <w:numPr>
        <w:numId w:val="8"/>
      </w:numPr>
    </w:pPr>
  </w:style>
  <w:style w:type="character" w:customStyle="1" w:styleId="HighlightingGreen">
    <w:name w:val="Highlighting Green"/>
    <w:rsid w:val="009C77E6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C77E6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C77E6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C77E6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C77E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77E6"/>
    <w:rPr>
      <w:vertAlign w:val="superscript"/>
    </w:rPr>
  </w:style>
  <w:style w:type="character" w:customStyle="1" w:styleId="QPPSuperscriptChar">
    <w:name w:val="QPP Superscript Char"/>
    <w:link w:val="QPPSuperscript"/>
    <w:rsid w:val="009C77E6"/>
    <w:rPr>
      <w:rFonts w:ascii="Arial" w:eastAsia="Times New Roman" w:hAnsi="Arial" w:cs="Arial"/>
      <w:color w:val="000000"/>
      <w:vertAlign w:val="superscript"/>
    </w:rPr>
  </w:style>
  <w:style w:type="character" w:styleId="Hyperlink">
    <w:name w:val="Hyperlink"/>
    <w:rsid w:val="009C77E6"/>
    <w:rPr>
      <w:color w:val="0000FF"/>
      <w:u w:val="single"/>
    </w:rPr>
  </w:style>
  <w:style w:type="paragraph" w:customStyle="1" w:styleId="HGTableBullet2">
    <w:name w:val="HG Table Bullet 2"/>
    <w:basedOn w:val="QPPTableTextBody"/>
    <w:rsid w:val="009C77E6"/>
    <w:pPr>
      <w:numPr>
        <w:numId w:val="9"/>
      </w:numPr>
      <w:tabs>
        <w:tab w:val="clear" w:pos="360"/>
        <w:tab w:val="left" w:pos="567"/>
      </w:tabs>
      <w:ind w:left="0" w:firstLine="0"/>
    </w:pPr>
  </w:style>
  <w:style w:type="paragraph" w:customStyle="1" w:styleId="HGTableBullet3">
    <w:name w:val="HG Table Bullet 3"/>
    <w:basedOn w:val="QPPTableTextBody"/>
    <w:rsid w:val="009C77E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C77E6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rsid w:val="009C7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C77E6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9C77E6"/>
    <w:rPr>
      <w:color w:val="800080"/>
      <w:u w:val="single"/>
    </w:rPr>
  </w:style>
  <w:style w:type="character" w:customStyle="1" w:styleId="QPPHeading4Char">
    <w:name w:val="QPP Heading 4 Char"/>
    <w:link w:val="QPPHeading4"/>
    <w:rsid w:val="009C77E6"/>
    <w:rPr>
      <w:rFonts w:ascii="Arial" w:eastAsia="Times New Roman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C77E6"/>
    <w:pPr>
      <w:numPr>
        <w:numId w:val="7"/>
      </w:numPr>
    </w:pPr>
  </w:style>
  <w:style w:type="character" w:customStyle="1" w:styleId="QPPSubscriptChar">
    <w:name w:val="QPP Subscript Char"/>
    <w:link w:val="QPPSubscript"/>
    <w:rsid w:val="009C77E6"/>
    <w:rPr>
      <w:rFonts w:ascii="Arial" w:eastAsia="Times New Roman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C77E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9C77E6"/>
    <w:pPr>
      <w:numPr>
        <w:numId w:val="14"/>
      </w:numPr>
    </w:pPr>
  </w:style>
  <w:style w:type="numbering" w:styleId="1ai">
    <w:name w:val="Outline List 1"/>
    <w:basedOn w:val="NoList"/>
    <w:semiHidden/>
    <w:locked/>
    <w:rsid w:val="009C77E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9C77E6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C77E6"/>
  </w:style>
  <w:style w:type="paragraph" w:styleId="BlockText">
    <w:name w:val="Block Text"/>
    <w:basedOn w:val="Normal"/>
    <w:semiHidden/>
    <w:locked/>
    <w:rsid w:val="009C77E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C77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77E6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C77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C77E6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C77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77E6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C77E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77E6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C7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77E6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C77E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77E6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C77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77E6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C77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77E6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C77E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C77E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C77E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C77E6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C77E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C77E6"/>
  </w:style>
  <w:style w:type="character" w:customStyle="1" w:styleId="DateChar">
    <w:name w:val="Date Char"/>
    <w:basedOn w:val="DefaultParagraphFont"/>
    <w:link w:val="Date"/>
    <w:semiHidden/>
    <w:rsid w:val="009C77E6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C77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77E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C77E6"/>
  </w:style>
  <w:style w:type="character" w:customStyle="1" w:styleId="E-mailSignatureChar">
    <w:name w:val="E-mail Signature Char"/>
    <w:basedOn w:val="DefaultParagraphFont"/>
    <w:link w:val="E-mailSignature"/>
    <w:semiHidden/>
    <w:rsid w:val="009C77E6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9C77E6"/>
    <w:rPr>
      <w:i/>
      <w:iCs/>
    </w:rPr>
  </w:style>
  <w:style w:type="character" w:styleId="EndnoteReference">
    <w:name w:val="endnote reference"/>
    <w:basedOn w:val="DefaultParagraphFont"/>
    <w:semiHidden/>
    <w:locked/>
    <w:rsid w:val="009C77E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C77E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77E6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9C77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C77E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C77E6"/>
    <w:rPr>
      <w:vertAlign w:val="superscript"/>
    </w:rPr>
  </w:style>
  <w:style w:type="character" w:styleId="HTMLAcronym">
    <w:name w:val="HTML Acronym"/>
    <w:basedOn w:val="DefaultParagraphFont"/>
    <w:semiHidden/>
    <w:locked/>
    <w:rsid w:val="009C77E6"/>
  </w:style>
  <w:style w:type="paragraph" w:styleId="HTMLAddress">
    <w:name w:val="HTML Address"/>
    <w:basedOn w:val="Normal"/>
    <w:link w:val="HTMLAddressChar"/>
    <w:semiHidden/>
    <w:locked/>
    <w:rsid w:val="009C77E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77E6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C77E6"/>
    <w:rPr>
      <w:i/>
      <w:iCs/>
    </w:rPr>
  </w:style>
  <w:style w:type="character" w:styleId="HTMLCode">
    <w:name w:val="HTML Code"/>
    <w:basedOn w:val="DefaultParagraphFont"/>
    <w:semiHidden/>
    <w:locked/>
    <w:rsid w:val="009C77E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C77E6"/>
    <w:rPr>
      <w:i/>
      <w:iCs/>
    </w:rPr>
  </w:style>
  <w:style w:type="character" w:styleId="HTMLKeyboard">
    <w:name w:val="HTML Keyboard"/>
    <w:basedOn w:val="DefaultParagraphFont"/>
    <w:semiHidden/>
    <w:locked/>
    <w:rsid w:val="009C77E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C77E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77E6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9C77E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C77E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C77E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C77E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C77E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C77E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C77E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C77E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C77E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C77E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C77E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C77E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C77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C77E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77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7E6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C77E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C77E6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C77E6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C77E6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C77E6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C77E6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C77E6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C77E6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C77E6"/>
  </w:style>
  <w:style w:type="paragraph" w:styleId="List">
    <w:name w:val="List"/>
    <w:basedOn w:val="Normal"/>
    <w:semiHidden/>
    <w:locked/>
    <w:rsid w:val="009C77E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C77E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C77E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C77E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C77E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C77E6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9C77E6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9C77E6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9C77E6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9C77E6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9C77E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C77E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C77E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C77E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C77E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C77E6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9C77E6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9C77E6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9C77E6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9C77E6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9C77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C77E6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C77E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C7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C77E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C77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77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C77E6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9C77E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C77E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C77E6"/>
  </w:style>
  <w:style w:type="character" w:customStyle="1" w:styleId="NoteHeadingChar">
    <w:name w:val="Note Heading Char"/>
    <w:basedOn w:val="DefaultParagraphFont"/>
    <w:link w:val="NoteHeading"/>
    <w:semiHidden/>
    <w:rsid w:val="009C77E6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9C77E6"/>
  </w:style>
  <w:style w:type="character" w:styleId="PlaceholderText">
    <w:name w:val="Placeholder Text"/>
    <w:basedOn w:val="DefaultParagraphFont"/>
    <w:uiPriority w:val="99"/>
    <w:semiHidden/>
    <w:rsid w:val="009C77E6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C77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77E6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C77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7E6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C77E6"/>
  </w:style>
  <w:style w:type="character" w:customStyle="1" w:styleId="SalutationChar">
    <w:name w:val="Salutation Char"/>
    <w:basedOn w:val="DefaultParagraphFont"/>
    <w:link w:val="Salutation"/>
    <w:semiHidden/>
    <w:rsid w:val="009C77E6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C77E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C77E6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9C77E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C7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C7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C77E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C77E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C77E6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C77E6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C77E6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C77E6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C77E6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C77E6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C77E6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C77E6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C77E6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C77E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C77E6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C77E6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C77E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C77E6"/>
  </w:style>
  <w:style w:type="table" w:styleId="TableProfessional">
    <w:name w:val="Table Professional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C77E6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C77E6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C77E6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C77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C77E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C77E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C77E6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C77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C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C77E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C77E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C77E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C77E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C77E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C77E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C77E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C77E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C77E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C77E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7E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77E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77E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C77E6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C77E6"/>
    <w:rPr>
      <w:i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41C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641C87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9C77E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yperlink" Target="WynnumWestTOA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hyperlink" Target="Definitions.docx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Definitions.docx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WynnumWestTOA.docx" TargetMode="External"/><Relationship Id="rId12" Type="http://schemas.openxmlformats.org/officeDocument/2006/relationships/hyperlink" Target="WynnumWestTOA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Part4PIP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Definitions.doc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art5TablesOfAssessmentIntro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http://www.brisbane.qld.gov.au/planning-building/planning-guidelines-tools/brisbane-city-plan-2014/city-plan-2014-mapping" TargetMode="External"/><Relationship Id="rId37" Type="http://schemas.openxmlformats.org/officeDocument/2006/relationships/hyperlink" Target="StormwaterCode.docx" TargetMode="External"/><Relationship Id="rId40" Type="http://schemas.openxmlformats.org/officeDocument/2006/relationships/hyperlink" Target="http://eplan.brisbane.qld.gov.au/New%20City%20Plan%20QPP/Part%2007%20-%20Local%20plans/Spatial%20Maps/FigureA_Wynnum_West.pdf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WynnumWestTOA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Definitions.docx" TargetMode="External"/><Relationship Id="rId10" Type="http://schemas.openxmlformats.org/officeDocument/2006/relationships/hyperlink" Target="Part5TablesOfAssessmentIntro.docx" TargetMode="External"/><Relationship Id="rId19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Part1.docx" TargetMode="External"/><Relationship Id="rId14" Type="http://schemas.openxmlformats.org/officeDocument/2006/relationships/hyperlink" Target="WynnumWestTOA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Definitions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Definitions.doc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207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8122</CharactersWithSpaces>
  <SharedDoc>false</SharedDoc>
  <HLinks>
    <vt:vector size="174" baseType="variant">
      <vt:variant>
        <vt:i4>1376264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2031704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codes/StormwaterCode.doc</vt:lpwstr>
      </vt:variant>
      <vt:variant>
        <vt:lpwstr/>
      </vt:variant>
      <vt:variant>
        <vt:i4>7929971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589855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5505043</vt:i4>
      </vt:variant>
      <vt:variant>
        <vt:i4>69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852038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6750315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1179667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NonResidential</vt:lpwstr>
      </vt:variant>
      <vt:variant>
        <vt:i4>7143538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589829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1376264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6750315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6619190</vt:i4>
      </vt:variant>
      <vt:variant>
        <vt:i4>15</vt:i4>
      </vt:variant>
      <vt:variant>
        <vt:i4>0</vt:i4>
      </vt:variant>
      <vt:variant>
        <vt:i4>5</vt:i4>
      </vt:variant>
      <vt:variant>
        <vt:lpwstr>WynnumWestLP.doc</vt:lpwstr>
      </vt:variant>
      <vt:variant>
        <vt:lpwstr>FigureA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73</cp:revision>
  <cp:lastPrinted>2011-12-21T21:24:00Z</cp:lastPrinted>
  <dcterms:created xsi:type="dcterms:W3CDTF">2013-06-20T23:11:00Z</dcterms:created>
  <dcterms:modified xsi:type="dcterms:W3CDTF">2020-04-07T12:18:00Z</dcterms:modified>
</cp:coreProperties>
</file>