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89" w:rsidRPr="00D23DF0" w:rsidRDefault="00A37A98" w:rsidP="00394674">
      <w:pPr>
        <w:pStyle w:val="QPPHeading3"/>
      </w:pPr>
      <w:bookmarkStart w:id="0" w:name="_GoBack"/>
      <w:bookmarkEnd w:id="0"/>
      <w:r>
        <w:t>9.4.</w:t>
      </w:r>
      <w:r w:rsidR="00DC1B58">
        <w:t>3</w:t>
      </w:r>
      <w:r w:rsidR="008B0516">
        <w:t xml:space="preserve"> </w:t>
      </w:r>
      <w:r w:rsidR="00115B89">
        <w:t xml:space="preserve">Filling and excavation </w:t>
      </w:r>
      <w:r w:rsidR="00115B89" w:rsidRPr="00D23DF0">
        <w:t>code</w:t>
      </w:r>
    </w:p>
    <w:p w:rsidR="00115B89" w:rsidRPr="00D23DF0" w:rsidRDefault="00A37A98" w:rsidP="00115B89">
      <w:pPr>
        <w:pStyle w:val="QPPHeading4"/>
      </w:pPr>
      <w:r>
        <w:t>9.4.</w:t>
      </w:r>
      <w:r w:rsidR="00DC1B58">
        <w:t>3</w:t>
      </w:r>
      <w:r w:rsidR="00975F58">
        <w:t>.1</w:t>
      </w:r>
      <w:r w:rsidR="008B0516">
        <w:t xml:space="preserve"> </w:t>
      </w:r>
      <w:r w:rsidR="00115B89" w:rsidRPr="00D23DF0">
        <w:t>Application</w:t>
      </w:r>
    </w:p>
    <w:p w:rsidR="00BC44DC" w:rsidRDefault="006A4C15" w:rsidP="006A5DB2">
      <w:pPr>
        <w:pStyle w:val="QPPBulletPoint1"/>
      </w:pPr>
      <w:r>
        <w:t>This code applies to assessing:</w:t>
      </w:r>
    </w:p>
    <w:p w:rsidR="009D5D1F" w:rsidRDefault="009D5D1F" w:rsidP="009D5D1F">
      <w:pPr>
        <w:pStyle w:val="QPPBulletpoint2"/>
      </w:pPr>
      <w:r>
        <w:t>accepted development subject to compliance with identified requirements, where acceptable outcomes of this code are identified requirements in a table of assessment for an overlay (</w:t>
      </w:r>
      <w:hyperlink r:id="rId8" w:history="1">
        <w:r w:rsidRPr="009D5D1F">
          <w:rPr>
            <w:rStyle w:val="Hyperlink"/>
          </w:rPr>
          <w:t>section 5.10</w:t>
        </w:r>
      </w:hyperlink>
      <w:r>
        <w:t>); or</w:t>
      </w:r>
    </w:p>
    <w:p w:rsidR="00004583" w:rsidRPr="00DF0ED6" w:rsidRDefault="00DC1B58" w:rsidP="006A5DB2">
      <w:pPr>
        <w:pStyle w:val="QPPBulletpoint2"/>
      </w:pPr>
      <w:r>
        <w:t xml:space="preserve">operational work for </w:t>
      </w:r>
      <w:hyperlink r:id="rId9" w:anchor="FillOrExc" w:history="1">
        <w:r w:rsidRPr="0088456A">
          <w:rPr>
            <w:rStyle w:val="Hyperlink"/>
          </w:rPr>
          <w:t>filling or excavation</w:t>
        </w:r>
      </w:hyperlink>
      <w:r>
        <w:t xml:space="preserve"> which is assessable development if this code is an applicable code identified in the assessment </w:t>
      </w:r>
      <w:r w:rsidR="0017014C">
        <w:t xml:space="preserve">benchmarks </w:t>
      </w:r>
      <w:r>
        <w:t>column of a table of assessment for operational work (</w:t>
      </w:r>
      <w:hyperlink r:id="rId10" w:history="1">
        <w:r w:rsidRPr="00DE5111">
          <w:rPr>
            <w:rStyle w:val="Hyperlink"/>
          </w:rPr>
          <w:t>section 5.</w:t>
        </w:r>
        <w:r w:rsidR="00A0718A" w:rsidRPr="00DE5111">
          <w:rPr>
            <w:rStyle w:val="Hyperlink"/>
          </w:rPr>
          <w:t>8</w:t>
        </w:r>
      </w:hyperlink>
      <w:r>
        <w:t>) or an overlay (</w:t>
      </w:r>
      <w:hyperlink r:id="rId11" w:history="1">
        <w:r w:rsidRPr="00C44E58">
          <w:rPr>
            <w:rStyle w:val="Hyperlink"/>
          </w:rPr>
          <w:t>section 5.10</w:t>
        </w:r>
      </w:hyperlink>
      <w:r>
        <w:t>);</w:t>
      </w:r>
      <w:r w:rsidR="00C963DA">
        <w:t xml:space="preserve"> or</w:t>
      </w:r>
    </w:p>
    <w:p w:rsidR="00004583" w:rsidRDefault="00DC1B58" w:rsidP="006A5DB2">
      <w:pPr>
        <w:pStyle w:val="QPPBulletpoint2"/>
      </w:pPr>
      <w:r>
        <w:t>a material change of use or reconfiguring a lot if:</w:t>
      </w:r>
    </w:p>
    <w:p w:rsidR="00DC1B58" w:rsidRDefault="00DC1B58" w:rsidP="00DC1B58">
      <w:pPr>
        <w:pStyle w:val="QPPBulletpoint3"/>
      </w:pPr>
      <w:r>
        <w:t xml:space="preserve">assessable development where this code is identified as a prescribed secondary code in the assessment </w:t>
      </w:r>
      <w:r w:rsidR="0017014C">
        <w:t xml:space="preserve">benchmarks </w:t>
      </w:r>
      <w:r>
        <w:t>column of a table of assessment for material change of use (</w:t>
      </w:r>
      <w:hyperlink r:id="rId12" w:history="1">
        <w:r w:rsidRPr="00C44E58">
          <w:rPr>
            <w:rStyle w:val="Hyperlink"/>
          </w:rPr>
          <w:t>section 5.5</w:t>
        </w:r>
      </w:hyperlink>
      <w:r>
        <w:t>) or reconfiguring a lot (</w:t>
      </w:r>
      <w:hyperlink r:id="rId13" w:history="1">
        <w:r w:rsidRPr="002D0483">
          <w:rPr>
            <w:rStyle w:val="Hyperlink"/>
          </w:rPr>
          <w:t>section 5.</w:t>
        </w:r>
        <w:r w:rsidR="00CC1D8E" w:rsidRPr="00D6346B">
          <w:rPr>
            <w:rStyle w:val="Hyperlink"/>
          </w:rPr>
          <w:t>6</w:t>
        </w:r>
      </w:hyperlink>
      <w:r>
        <w:t>);</w:t>
      </w:r>
      <w:r w:rsidR="0088456A">
        <w:t xml:space="preserve"> or</w:t>
      </w:r>
    </w:p>
    <w:p w:rsidR="00DC1B58" w:rsidRPr="00D23DF0" w:rsidRDefault="00143021" w:rsidP="00DC1B58">
      <w:pPr>
        <w:pStyle w:val="QPPBulletpoint3"/>
      </w:pPr>
      <w:r>
        <w:t xml:space="preserve">impact </w:t>
      </w:r>
      <w:r w:rsidR="00DC1B58">
        <w:t>assessable development, to the extent relevant.</w:t>
      </w:r>
    </w:p>
    <w:p w:rsidR="0017014C" w:rsidRPr="0017014C" w:rsidRDefault="0017014C" w:rsidP="0017014C">
      <w:pPr>
        <w:pStyle w:val="QPPEditorsNoteStyle1"/>
      </w:pPr>
      <w:r w:rsidRPr="0017014C">
        <w:t xml:space="preserve">Note—The following purpose, overall outcomes, performance outcomes and acceptable outcomes comprise the assessment benchmarks of this code. </w:t>
      </w:r>
    </w:p>
    <w:p w:rsidR="003A684A" w:rsidRPr="00BD176D" w:rsidRDefault="003A684A" w:rsidP="003A684A">
      <w:pPr>
        <w:pStyle w:val="QPPEditorsNoteStyle1"/>
      </w:pPr>
      <w:r w:rsidRPr="00BD176D">
        <w:t>Note—</w:t>
      </w:r>
      <w:r w:rsidR="00DC1B58">
        <w:t xml:space="preserve">This code does not </w:t>
      </w:r>
      <w:r w:rsidR="006A4C15">
        <w:t>apply to building work</w:t>
      </w:r>
      <w:r w:rsidR="003748A3">
        <w:t xml:space="preserve"> </w:t>
      </w:r>
      <w:r w:rsidR="00EA37D4">
        <w:t>as defined in the Act</w:t>
      </w:r>
      <w:r w:rsidR="003748A3" w:rsidRPr="00BD176D">
        <w:t>.</w:t>
      </w:r>
    </w:p>
    <w:p w:rsidR="003A684A" w:rsidRDefault="003A684A" w:rsidP="003A684A">
      <w:pPr>
        <w:pStyle w:val="QPPEditorsNoteStyle1"/>
      </w:pPr>
      <w:r w:rsidRPr="00BD176D">
        <w:t>Note—</w:t>
      </w:r>
      <w:r w:rsidR="003748A3">
        <w:t xml:space="preserve">A development application </w:t>
      </w:r>
      <w:r w:rsidRPr="00BD176D">
        <w:t xml:space="preserve">involving </w:t>
      </w:r>
      <w:r w:rsidR="003748A3">
        <w:t xml:space="preserve">a </w:t>
      </w:r>
      <w:r w:rsidRPr="00BD176D">
        <w:t xml:space="preserve">rock anchor within an adjoining site </w:t>
      </w:r>
      <w:r w:rsidR="003748A3">
        <w:t xml:space="preserve">is </w:t>
      </w:r>
      <w:r w:rsidRPr="00BD176D">
        <w:t xml:space="preserve">submitted with proof of consent from </w:t>
      </w:r>
      <w:r w:rsidR="003748A3">
        <w:t xml:space="preserve">an </w:t>
      </w:r>
      <w:r w:rsidRPr="00BD176D">
        <w:t>adjoining land and building owner.</w:t>
      </w:r>
    </w:p>
    <w:p w:rsidR="00B256BD" w:rsidRPr="00B256BD" w:rsidRDefault="00B256BD" w:rsidP="00B256BD">
      <w:pPr>
        <w:pStyle w:val="QPPEditorsNoteStyle1"/>
      </w:pPr>
      <w:r>
        <w:t>Editor’s note</w:t>
      </w:r>
      <w:r>
        <w:rPr>
          <w:rFonts w:cs="Arial"/>
        </w:rPr>
        <w:t xml:space="preserve">—Guidance on managing the spread of invasive species in filling or excavation activities is provided in </w:t>
      </w:r>
      <w:hyperlink r:id="rId14" w:history="1">
        <w:r w:rsidRPr="00B256BD">
          <w:rPr>
            <w:rStyle w:val="Hyperlink"/>
            <w:rFonts w:cs="Arial"/>
          </w:rPr>
          <w:t>Minimising Pest Spread Advisory Guidelines</w:t>
        </w:r>
      </w:hyperlink>
      <w:r w:rsidR="00A90476">
        <w:rPr>
          <w:rFonts w:cs="Arial"/>
        </w:rPr>
        <w:t xml:space="preserve"> prepared for the Petroleum industry.</w:t>
      </w:r>
    </w:p>
    <w:p w:rsidR="003A684A" w:rsidRPr="00DF0ED6" w:rsidRDefault="003A684A" w:rsidP="003A684A">
      <w:pPr>
        <w:pStyle w:val="QPPEditorsNoteStyle1"/>
        <w:rPr>
          <w:rFonts w:cs="Arial"/>
        </w:rPr>
      </w:pPr>
      <w:r>
        <w:rPr>
          <w:rFonts w:cs="Arial"/>
        </w:rPr>
        <w:t>Editor’s note—</w:t>
      </w:r>
      <w:r w:rsidRPr="00CF1DBA">
        <w:rPr>
          <w:rFonts w:cs="Arial"/>
        </w:rPr>
        <w:t xml:space="preserve">Where </w:t>
      </w:r>
      <w:hyperlink r:id="rId15" w:anchor="FillOrExc" w:history="1">
        <w:r w:rsidRPr="0088456A">
          <w:rPr>
            <w:rStyle w:val="Hyperlink"/>
            <w:rFonts w:cs="Arial"/>
          </w:rPr>
          <w:t xml:space="preserve">filling </w:t>
        </w:r>
        <w:r w:rsidR="003748A3" w:rsidRPr="0088456A">
          <w:rPr>
            <w:rStyle w:val="Hyperlink"/>
            <w:rFonts w:cs="Arial"/>
          </w:rPr>
          <w:t xml:space="preserve">or </w:t>
        </w:r>
        <w:r w:rsidRPr="0088456A">
          <w:rPr>
            <w:rStyle w:val="Hyperlink"/>
            <w:rFonts w:cs="Arial"/>
          </w:rPr>
          <w:t>excavation</w:t>
        </w:r>
      </w:hyperlink>
      <w:r w:rsidRPr="00CF1DBA">
        <w:rPr>
          <w:rFonts w:cs="Arial"/>
        </w:rPr>
        <w:t xml:space="preserve"> is conducted on land previously occupied by a </w:t>
      </w:r>
      <w:r w:rsidR="003748A3">
        <w:rPr>
          <w:rFonts w:cs="Arial"/>
        </w:rPr>
        <w:t xml:space="preserve">notifiable </w:t>
      </w:r>
      <w:r w:rsidRPr="00CF1DBA">
        <w:rPr>
          <w:rFonts w:cs="Arial"/>
        </w:rPr>
        <w:t xml:space="preserve">activity or on land listed on the </w:t>
      </w:r>
      <w:hyperlink r:id="rId16" w:history="1">
        <w:r w:rsidRPr="0042741F">
          <w:rPr>
            <w:rStyle w:val="Hyperlink"/>
            <w:rFonts w:cs="Arial"/>
          </w:rPr>
          <w:t>Env</w:t>
        </w:r>
        <w:r w:rsidR="00D649A9" w:rsidRPr="0042741F">
          <w:rPr>
            <w:rStyle w:val="Hyperlink"/>
            <w:rFonts w:cs="Arial"/>
          </w:rPr>
          <w:t>ironmental Management Register</w:t>
        </w:r>
      </w:hyperlink>
      <w:r w:rsidR="00D649A9">
        <w:rPr>
          <w:rFonts w:cs="Arial"/>
        </w:rPr>
        <w:t xml:space="preserve"> </w:t>
      </w:r>
      <w:r w:rsidRPr="00CF1DBA">
        <w:rPr>
          <w:rFonts w:cs="Arial"/>
        </w:rPr>
        <w:t xml:space="preserve">or the </w:t>
      </w:r>
      <w:hyperlink r:id="rId17" w:history="1">
        <w:r w:rsidRPr="0042741F">
          <w:rPr>
            <w:rStyle w:val="Hyperlink"/>
            <w:rFonts w:cs="Arial"/>
          </w:rPr>
          <w:t>C</w:t>
        </w:r>
        <w:r w:rsidR="00D649A9" w:rsidRPr="0042741F">
          <w:rPr>
            <w:rStyle w:val="Hyperlink"/>
            <w:rFonts w:cs="Arial"/>
          </w:rPr>
          <w:t>ontaminated Land Register</w:t>
        </w:r>
      </w:hyperlink>
      <w:r w:rsidR="00133146">
        <w:rPr>
          <w:rFonts w:cs="Arial"/>
        </w:rPr>
        <w:t>,</w:t>
      </w:r>
      <w:r w:rsidRPr="00CF1DBA">
        <w:rPr>
          <w:rFonts w:cs="Arial"/>
        </w:rPr>
        <w:t xml:space="preserve"> the </w:t>
      </w:r>
      <w:r w:rsidR="006A4C15">
        <w:rPr>
          <w:rFonts w:cs="Arial"/>
        </w:rPr>
        <w:t xml:space="preserve">relevant </w:t>
      </w:r>
      <w:r w:rsidR="0017014C">
        <w:t>Queensland</w:t>
      </w:r>
      <w:r w:rsidR="0017014C">
        <w:rPr>
          <w:rFonts w:cs="Arial"/>
        </w:rPr>
        <w:t xml:space="preserve"> </w:t>
      </w:r>
      <w:r w:rsidR="00555B93">
        <w:t>G</w:t>
      </w:r>
      <w:r w:rsidR="00604D61">
        <w:rPr>
          <w:rFonts w:cs="Arial"/>
        </w:rPr>
        <w:t xml:space="preserve">overnment </w:t>
      </w:r>
      <w:r w:rsidR="00D649A9">
        <w:rPr>
          <w:rFonts w:cs="Arial"/>
        </w:rPr>
        <w:t>d</w:t>
      </w:r>
      <w:r w:rsidRPr="00CF1DBA">
        <w:rPr>
          <w:rFonts w:cs="Arial"/>
        </w:rPr>
        <w:t>epartment should be contacted for advice and gu</w:t>
      </w:r>
      <w:r>
        <w:rPr>
          <w:rFonts w:cs="Arial"/>
        </w:rPr>
        <w:t>i</w:t>
      </w:r>
      <w:r w:rsidRPr="00CF1DBA">
        <w:rPr>
          <w:rFonts w:cs="Arial"/>
        </w:rPr>
        <w:t>delines.</w:t>
      </w:r>
    </w:p>
    <w:p w:rsidR="003A684A" w:rsidRDefault="000D7CF9" w:rsidP="006A5DB2">
      <w:pPr>
        <w:pStyle w:val="QPPBulletPoint1"/>
      </w:pPr>
      <w:r w:rsidRPr="00C463C0">
        <w:t xml:space="preserve">When using this </w:t>
      </w:r>
      <w:r w:rsidRPr="00E40D62">
        <w:t xml:space="preserve">code, reference </w:t>
      </w:r>
      <w:r w:rsidRPr="006A5DB2">
        <w:t>should</w:t>
      </w:r>
      <w:r w:rsidRPr="00E40D62">
        <w:t xml:space="preserve"> be made to </w:t>
      </w:r>
      <w:hyperlink r:id="rId18" w:anchor="Part1Pt5" w:history="1">
        <w:r w:rsidRPr="00E40D62">
          <w:rPr>
            <w:rStyle w:val="Hyperlink"/>
          </w:rPr>
          <w:t>section 1.5</w:t>
        </w:r>
      </w:hyperlink>
      <w:r w:rsidRPr="00E40D62">
        <w:t xml:space="preserve"> and </w:t>
      </w:r>
      <w:hyperlink r:id="rId19" w:anchor="Part533" w:history="1">
        <w:r w:rsidRPr="00E40D62">
          <w:rPr>
            <w:rStyle w:val="Hyperlink"/>
          </w:rPr>
          <w:t>section 5.3.3</w:t>
        </w:r>
      </w:hyperlink>
      <w:r w:rsidRPr="00E40D62">
        <w:t>.</w:t>
      </w:r>
    </w:p>
    <w:p w:rsidR="00004583" w:rsidRPr="00553B34" w:rsidRDefault="00004583" w:rsidP="00C3035C">
      <w:pPr>
        <w:pStyle w:val="QPPEditorsNoteStyle1"/>
      </w:pPr>
      <w:r w:rsidRPr="00C3035C">
        <w:t xml:space="preserve">Note—Where this code includes performance </w:t>
      </w:r>
      <w:r w:rsidRPr="00553B34">
        <w:t>outcomes or acceptable outcomes that relate to:</w:t>
      </w:r>
    </w:p>
    <w:p w:rsidR="00004583" w:rsidRDefault="00004583" w:rsidP="00004583">
      <w:pPr>
        <w:pStyle w:val="QPPEditorsnotebulletpoint1"/>
      </w:pPr>
      <w:r w:rsidRPr="00553B34">
        <w:t>air quality</w:t>
      </w:r>
      <w:r w:rsidR="00BD6079" w:rsidRPr="00553B34">
        <w:t xml:space="preserve"> assessment</w:t>
      </w:r>
      <w:r w:rsidRPr="00553B34">
        <w:t xml:space="preserve">, guidance is provided in the </w:t>
      </w:r>
      <w:hyperlink r:id="rId20" w:history="1">
        <w:r w:rsidRPr="00553B34">
          <w:rPr>
            <w:rStyle w:val="Hyperlink"/>
          </w:rPr>
          <w:t>Air quality planning scheme policy</w:t>
        </w:r>
      </w:hyperlink>
      <w:r w:rsidRPr="00553B34">
        <w:t>;</w:t>
      </w:r>
    </w:p>
    <w:p w:rsidR="00B32E01" w:rsidRPr="00553B34" w:rsidRDefault="00B32E01" w:rsidP="00004583">
      <w:pPr>
        <w:pStyle w:val="QPPEditorsnotebulletpoint1"/>
      </w:pPr>
      <w:r>
        <w:t xml:space="preserve">ecological assessment, koala habitat or development design, guidance is provided in the </w:t>
      </w:r>
      <w:hyperlink r:id="rId21" w:history="1">
        <w:r w:rsidRPr="00B32E01">
          <w:rPr>
            <w:rStyle w:val="Hyperlink"/>
          </w:rPr>
          <w:t>Biodiversity areas planning scheme policy</w:t>
        </w:r>
      </w:hyperlink>
      <w:r>
        <w:t>;</w:t>
      </w:r>
    </w:p>
    <w:p w:rsidR="00004583" w:rsidRDefault="00004583" w:rsidP="00004583">
      <w:pPr>
        <w:pStyle w:val="QPPEditorsnotebulletpoint1"/>
      </w:pPr>
      <w:r w:rsidRPr="00553B34">
        <w:t xml:space="preserve">retaining wall construction, guidance is provided in the </w:t>
      </w:r>
      <w:hyperlink r:id="rId22" w:history="1">
        <w:r w:rsidRPr="00553B34">
          <w:rPr>
            <w:rStyle w:val="Hyperlink"/>
          </w:rPr>
          <w:t>Infrastructure design planning scheme policy</w:t>
        </w:r>
      </w:hyperlink>
      <w:r w:rsidRPr="00553B34">
        <w:t>;</w:t>
      </w:r>
    </w:p>
    <w:p w:rsidR="00B32E01" w:rsidRDefault="00B32E01" w:rsidP="00004583">
      <w:pPr>
        <w:pStyle w:val="QPPEditorsnotebulletpoint1"/>
      </w:pPr>
      <w:r>
        <w:t xml:space="preserve">landscape design, guidance is provided in the </w:t>
      </w:r>
      <w:hyperlink r:id="rId23" w:history="1">
        <w:r w:rsidRPr="00B32E01">
          <w:rPr>
            <w:rStyle w:val="Hyperlink"/>
          </w:rPr>
          <w:t>Landscape design guidelines for water conservation planning scheme policy</w:t>
        </w:r>
      </w:hyperlink>
      <w:r>
        <w:t>;</w:t>
      </w:r>
    </w:p>
    <w:p w:rsidR="00B32E01" w:rsidRPr="00553B34" w:rsidRDefault="00B32E01" w:rsidP="00004583">
      <w:pPr>
        <w:pStyle w:val="QPPEditorsnotebulletpoint1"/>
      </w:pPr>
      <w:r>
        <w:t xml:space="preserve">noise and dust impacts during construction and/or demolition, guidance is provided in </w:t>
      </w:r>
      <w:r w:rsidRPr="00D358AF">
        <w:t xml:space="preserve">the </w:t>
      </w:r>
      <w:hyperlink r:id="rId24" w:history="1">
        <w:r w:rsidRPr="00D358AF">
          <w:rPr>
            <w:rStyle w:val="Hyperlink"/>
          </w:rPr>
          <w:t>Management plans planning scheme policy</w:t>
        </w:r>
      </w:hyperlink>
      <w:r w:rsidRPr="00D358AF">
        <w:t>;</w:t>
      </w:r>
    </w:p>
    <w:p w:rsidR="00194DE1" w:rsidRPr="00F94947" w:rsidRDefault="00BD6079" w:rsidP="00FE21FE">
      <w:pPr>
        <w:pStyle w:val="QPPEditorsnotebulletpoint1"/>
        <w:rPr>
          <w:rStyle w:val="Hyperlink"/>
          <w:color w:val="auto"/>
          <w:u w:val="none"/>
        </w:rPr>
      </w:pPr>
      <w:r w:rsidRPr="00553B34">
        <w:t>noise impact assessment</w:t>
      </w:r>
      <w:r w:rsidR="00004583" w:rsidRPr="00553B34">
        <w:t xml:space="preserve">, guidance is provided in the </w:t>
      </w:r>
      <w:hyperlink r:id="rId25" w:history="1">
        <w:r w:rsidR="00004583" w:rsidRPr="00553B34">
          <w:rPr>
            <w:rStyle w:val="Hyperlink"/>
          </w:rPr>
          <w:t>Noise impact as</w:t>
        </w:r>
        <w:r w:rsidR="0088209B" w:rsidRPr="00553B34">
          <w:rPr>
            <w:rStyle w:val="Hyperlink"/>
          </w:rPr>
          <w:t>sessment planning scheme policy</w:t>
        </w:r>
      </w:hyperlink>
      <w:r w:rsidR="00574F15" w:rsidRPr="00AC3D8E">
        <w:rPr>
          <w:rStyle w:val="QPPEditorsNoteStyle1Char"/>
        </w:rPr>
        <w:t>;</w:t>
      </w:r>
    </w:p>
    <w:p w:rsidR="00F94947" w:rsidRDefault="00F94947" w:rsidP="00F94947">
      <w:pPr>
        <w:pStyle w:val="QPPEditorsnotebulletpoint1"/>
      </w:pPr>
      <w:r w:rsidRPr="00F94947">
        <w:t xml:space="preserve">the selection of planting species, guidance is provided in the </w:t>
      </w:r>
      <w:hyperlink r:id="rId26" w:history="1">
        <w:r w:rsidRPr="00F94947">
          <w:rPr>
            <w:rStyle w:val="Hyperlink"/>
          </w:rPr>
          <w:t>Planting species planning scheme policy</w:t>
        </w:r>
      </w:hyperlink>
      <w:r w:rsidRPr="00AC3D8E">
        <w:rPr>
          <w:rStyle w:val="QPPEditorsNoteStyle1Char"/>
        </w:rPr>
        <w:t>;</w:t>
      </w:r>
    </w:p>
    <w:p w:rsidR="00574F15" w:rsidRPr="00553B34" w:rsidRDefault="00574F15" w:rsidP="00FE21FE">
      <w:pPr>
        <w:pStyle w:val="QPPEditorsnotebulletpoint1"/>
      </w:pPr>
      <w:r>
        <w:t xml:space="preserve">significant vegetation, guidance is provided in the </w:t>
      </w:r>
      <w:hyperlink r:id="rId27" w:history="1">
        <w:r w:rsidRPr="00574F15">
          <w:rPr>
            <w:rStyle w:val="Hyperlink"/>
          </w:rPr>
          <w:t>Vegetation planning scheme policy</w:t>
        </w:r>
      </w:hyperlink>
      <w:r>
        <w:t>.</w:t>
      </w:r>
    </w:p>
    <w:p w:rsidR="003748A3" w:rsidRPr="00F460E5" w:rsidRDefault="003748A3" w:rsidP="00F460E5">
      <w:pPr>
        <w:pStyle w:val="QPPEditorsNoteStyle1"/>
      </w:pPr>
      <w:r w:rsidRPr="00177323">
        <w:t xml:space="preserve">Editor’s note—For a proposal to be </w:t>
      </w:r>
      <w:r w:rsidR="00762949">
        <w:t>a</w:t>
      </w:r>
      <w:r w:rsidR="00762949" w:rsidRPr="00762949">
        <w:t>ccepted development, subject to compliance with identified requirements</w:t>
      </w:r>
      <w:r w:rsidRPr="00177323">
        <w:t>, it must meet all the</w:t>
      </w:r>
      <w:r w:rsidR="00F04D34">
        <w:t xml:space="preserve"> identified acceptable</w:t>
      </w:r>
      <w:r w:rsidRPr="00177323">
        <w:t xml:space="preserve"> outcomes of this code and any other applicable code. Where it does not meet all </w:t>
      </w:r>
      <w:r w:rsidR="00F04D34">
        <w:t xml:space="preserve">identified </w:t>
      </w:r>
      <w:proofErr w:type="gramStart"/>
      <w:r w:rsidR="00F04D34">
        <w:t xml:space="preserve">acceptable </w:t>
      </w:r>
      <w:r w:rsidRPr="00177323">
        <w:t xml:space="preserve"> outcomes</w:t>
      </w:r>
      <w:proofErr w:type="gramEnd"/>
      <w:r w:rsidRPr="00177323">
        <w:t>, the proposal becomes assessable development and a development application is required. Where a development application is triggered, only the specific acceptable outcome that the proposal fails to meet need</w:t>
      </w:r>
      <w:r w:rsidR="00D649A9">
        <w:t>s</w:t>
      </w:r>
      <w:r w:rsidRPr="00177323">
        <w:t xml:space="preserve"> to be assessed against the corresponding acceptable outcome or performance outcome</w:t>
      </w:r>
      <w:r w:rsidR="00F04D34">
        <w:t xml:space="preserve"> and relevant overall outcomes</w:t>
      </w:r>
      <w:r w:rsidRPr="00177323">
        <w:t xml:space="preserve">. Other </w:t>
      </w:r>
      <w:r w:rsidR="00F04D34">
        <w:t xml:space="preserve">identified </w:t>
      </w:r>
      <w:proofErr w:type="gramStart"/>
      <w:r w:rsidR="00F04D34">
        <w:t xml:space="preserve">acceptable </w:t>
      </w:r>
      <w:r w:rsidRPr="00177323">
        <w:t xml:space="preserve"> outcome</w:t>
      </w:r>
      <w:r w:rsidR="006A4C15">
        <w:t>s</w:t>
      </w:r>
      <w:proofErr w:type="gramEnd"/>
      <w:r w:rsidRPr="00177323">
        <w:t xml:space="preserve"> that are met are not assessed as part of the development application.</w:t>
      </w:r>
    </w:p>
    <w:p w:rsidR="00115B89" w:rsidRPr="00D23DF0" w:rsidRDefault="00A37A98" w:rsidP="00115B89">
      <w:pPr>
        <w:pStyle w:val="QPPHeading4"/>
      </w:pPr>
      <w:r>
        <w:lastRenderedPageBreak/>
        <w:t>9.4.</w:t>
      </w:r>
      <w:r w:rsidR="003748A3">
        <w:t>3</w:t>
      </w:r>
      <w:r w:rsidR="00975F58">
        <w:t>.2</w:t>
      </w:r>
      <w:r w:rsidR="008B0516">
        <w:t xml:space="preserve"> </w:t>
      </w:r>
      <w:r w:rsidR="00115B89" w:rsidRPr="00D23DF0">
        <w:t>Pur</w:t>
      </w:r>
      <w:r w:rsidR="001562C8">
        <w:t>pose</w:t>
      </w:r>
    </w:p>
    <w:p w:rsidR="00115B89" w:rsidRPr="00D23DF0" w:rsidRDefault="00115B89" w:rsidP="007C14DE">
      <w:pPr>
        <w:pStyle w:val="QPPBulletPoint1"/>
        <w:numPr>
          <w:ilvl w:val="0"/>
          <w:numId w:val="6"/>
        </w:numPr>
      </w:pPr>
      <w:r w:rsidRPr="00452245">
        <w:t>The</w:t>
      </w:r>
      <w:r w:rsidRPr="00D23DF0">
        <w:t xml:space="preserve"> purpose of the </w:t>
      </w:r>
      <w:r w:rsidRPr="00310EB2">
        <w:t xml:space="preserve">Filling and </w:t>
      </w:r>
      <w:r>
        <w:t>e</w:t>
      </w:r>
      <w:r w:rsidRPr="00310EB2">
        <w:t xml:space="preserve">xcavation </w:t>
      </w:r>
      <w:r>
        <w:t xml:space="preserve">code is to </w:t>
      </w:r>
      <w:r w:rsidR="001922C6">
        <w:t>assess the suitability of</w:t>
      </w:r>
      <w:r w:rsidR="001922C6" w:rsidRPr="00DE3430">
        <w:t xml:space="preserve"> development for </w:t>
      </w:r>
      <w:hyperlink r:id="rId28" w:anchor="FillOrExc" w:history="1">
        <w:r w:rsidRPr="0088456A">
          <w:rPr>
            <w:rStyle w:val="Hyperlink"/>
          </w:rPr>
          <w:t xml:space="preserve">filling </w:t>
        </w:r>
        <w:r w:rsidR="003748A3" w:rsidRPr="0088456A">
          <w:rPr>
            <w:rStyle w:val="Hyperlink"/>
          </w:rPr>
          <w:t xml:space="preserve">or </w:t>
        </w:r>
        <w:r w:rsidR="001922C6" w:rsidRPr="0088456A">
          <w:rPr>
            <w:rStyle w:val="Hyperlink"/>
          </w:rPr>
          <w:t>excavation</w:t>
        </w:r>
      </w:hyperlink>
      <w:r w:rsidR="00FF3A23">
        <w:t>.</w:t>
      </w:r>
    </w:p>
    <w:p w:rsidR="00115B89" w:rsidRPr="00553B34" w:rsidRDefault="00115B89" w:rsidP="00452245">
      <w:pPr>
        <w:pStyle w:val="QPPBulletPoint1"/>
      </w:pPr>
      <w:r w:rsidRPr="00D23DF0">
        <w:t xml:space="preserve">The purpose of </w:t>
      </w:r>
      <w:r w:rsidRPr="00553B34">
        <w:t>the code will be achieved through the following overall outcomes:</w:t>
      </w:r>
    </w:p>
    <w:p w:rsidR="00115B89" w:rsidRPr="00553B34" w:rsidRDefault="00DC3A09" w:rsidP="007C14DE">
      <w:pPr>
        <w:pStyle w:val="QPPBulletpoint2"/>
        <w:numPr>
          <w:ilvl w:val="0"/>
          <w:numId w:val="11"/>
        </w:numPr>
      </w:pPr>
      <w:hyperlink r:id="rId29" w:anchor="FillOrExc" w:history="1">
        <w:r w:rsidR="00C21542" w:rsidRPr="00267176">
          <w:rPr>
            <w:rStyle w:val="Hyperlink"/>
          </w:rPr>
          <w:t>Filling or excavation</w:t>
        </w:r>
      </w:hyperlink>
      <w:r w:rsidR="00115B89" w:rsidRPr="00553B34">
        <w:t xml:space="preserve"> does not adversely affect the visual character and amenity of the site or the surrounding area and provides access for maintenance to any structure as a result of </w:t>
      </w:r>
      <w:hyperlink r:id="rId30" w:anchor="FillOrExc" w:history="1">
        <w:r w:rsidR="00C21542" w:rsidRPr="00267176">
          <w:rPr>
            <w:rStyle w:val="Hyperlink"/>
          </w:rPr>
          <w:t>filling or excavation</w:t>
        </w:r>
      </w:hyperlink>
      <w:r w:rsidR="00452245" w:rsidRPr="00553B34">
        <w:t>.</w:t>
      </w:r>
    </w:p>
    <w:p w:rsidR="00115B89" w:rsidRPr="00553B34" w:rsidRDefault="00DC3A09" w:rsidP="00452245">
      <w:pPr>
        <w:pStyle w:val="QPPBulletpoint2"/>
      </w:pPr>
      <w:hyperlink r:id="rId31" w:anchor="FillOrExc" w:history="1">
        <w:r w:rsidR="00C21542" w:rsidRPr="00267176">
          <w:rPr>
            <w:rStyle w:val="Hyperlink"/>
          </w:rPr>
          <w:t>Filling or excavation</w:t>
        </w:r>
      </w:hyperlink>
      <w:r w:rsidR="009D1F0F">
        <w:t xml:space="preserve"> </w:t>
      </w:r>
      <w:r w:rsidR="00115B89" w:rsidRPr="00553B34">
        <w:t xml:space="preserve">does not adversely impact </w:t>
      </w:r>
      <w:hyperlink r:id="rId32" w:anchor="SignificantVegetation" w:history="1">
        <w:r w:rsidR="00574F15" w:rsidRPr="00D6346B">
          <w:rPr>
            <w:rStyle w:val="Hyperlink"/>
          </w:rPr>
          <w:t>significant</w:t>
        </w:r>
        <w:r w:rsidR="000E6D35" w:rsidRPr="00D6346B">
          <w:rPr>
            <w:rStyle w:val="Hyperlink"/>
          </w:rPr>
          <w:t xml:space="preserve"> vegetation</w:t>
        </w:r>
      </w:hyperlink>
      <w:r w:rsidR="000E6D35">
        <w:t xml:space="preserve">, </w:t>
      </w:r>
      <w:r w:rsidR="00115B89" w:rsidRPr="00553B34">
        <w:t>water quality or drainage of upstream, downstream and adjoining land</w:t>
      </w:r>
      <w:r w:rsidR="00452245" w:rsidRPr="00553B34">
        <w:t>.</w:t>
      </w:r>
    </w:p>
    <w:p w:rsidR="00115B89" w:rsidRPr="00D23DF0" w:rsidRDefault="00DC3A09" w:rsidP="00452245">
      <w:pPr>
        <w:pStyle w:val="QPPBulletpoint2"/>
      </w:pPr>
      <w:hyperlink r:id="rId33" w:anchor="FillOrExc" w:history="1">
        <w:r w:rsidR="00C21542" w:rsidRPr="00267176">
          <w:rPr>
            <w:rStyle w:val="Hyperlink"/>
          </w:rPr>
          <w:t>Filling or excavation</w:t>
        </w:r>
      </w:hyperlink>
      <w:r w:rsidR="00844D9A" w:rsidRPr="00553B34">
        <w:t xml:space="preserve"> </w:t>
      </w:r>
      <w:r w:rsidR="00844D9A">
        <w:t>effectively manages the i</w:t>
      </w:r>
      <w:r w:rsidR="00115B89" w:rsidRPr="00553B34">
        <w:t>mpacts associated with the activity</w:t>
      </w:r>
      <w:r w:rsidR="00452245">
        <w:t>.</w:t>
      </w:r>
    </w:p>
    <w:p w:rsidR="003D18C4" w:rsidRPr="00D23DF0" w:rsidRDefault="00DC3A09" w:rsidP="00115B89">
      <w:pPr>
        <w:pStyle w:val="QPPBulletpoint2"/>
      </w:pPr>
      <w:hyperlink r:id="rId34" w:anchor="FillOrExc" w:history="1">
        <w:r w:rsidR="00C21542" w:rsidRPr="00267176">
          <w:rPr>
            <w:rStyle w:val="Hyperlink"/>
          </w:rPr>
          <w:t>Filling or excavation</w:t>
        </w:r>
      </w:hyperlink>
      <w:r w:rsidR="009D1F0F">
        <w:t xml:space="preserve"> and any </w:t>
      </w:r>
      <w:r w:rsidR="00115B89">
        <w:t xml:space="preserve">retaining structure </w:t>
      </w:r>
      <w:r w:rsidR="009D1F0F">
        <w:t xml:space="preserve">is </w:t>
      </w:r>
      <w:r w:rsidR="00115B89">
        <w:t xml:space="preserve">designed and constructed </w:t>
      </w:r>
      <w:r w:rsidR="009D1F0F">
        <w:t xml:space="preserve">to be </w:t>
      </w:r>
      <w:r w:rsidR="00115B89">
        <w:t xml:space="preserve">fit for purpose </w:t>
      </w:r>
      <w:r w:rsidR="009D1F0F">
        <w:t xml:space="preserve">and to protect </w:t>
      </w:r>
      <w:r w:rsidR="00115B89">
        <w:t>services and utilities.</w:t>
      </w:r>
    </w:p>
    <w:p w:rsidR="00115B89" w:rsidRDefault="00A37A98" w:rsidP="00115B89">
      <w:pPr>
        <w:pStyle w:val="QPPHeading4"/>
      </w:pPr>
      <w:r>
        <w:t>9.4.</w:t>
      </w:r>
      <w:r w:rsidR="009D1F0F">
        <w:t>3</w:t>
      </w:r>
      <w:r w:rsidR="00975F58">
        <w:t>.</w:t>
      </w:r>
      <w:r w:rsidR="009D1F0F">
        <w:t>3</w:t>
      </w:r>
      <w:r w:rsidR="008B0516">
        <w:t xml:space="preserve"> </w:t>
      </w:r>
      <w:r w:rsidR="0051600C">
        <w:t>Performance outcomes and acceptable outcomes</w:t>
      </w:r>
    </w:p>
    <w:p w:rsidR="00115B89" w:rsidRPr="00D23DF0" w:rsidRDefault="00436DA5" w:rsidP="00115B89">
      <w:pPr>
        <w:pStyle w:val="QPPTableHeadingStyle1"/>
      </w:pPr>
      <w:bookmarkStart w:id="1" w:name="table9433a"/>
      <w:r>
        <w:t xml:space="preserve">Table </w:t>
      </w:r>
      <w:r w:rsidR="00565D1C">
        <w:t>9.4.3.3</w:t>
      </w:r>
      <w:r w:rsidR="00AB1D52">
        <w:t>.</w:t>
      </w:r>
      <w:r w:rsidR="0051600C">
        <w:t>A</w:t>
      </w:r>
      <w:r w:rsidR="00115B89" w:rsidRPr="00D23DF0">
        <w:t>—</w:t>
      </w:r>
      <w:r w:rsidR="0051600C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115B89" w:rsidRPr="00736017" w:rsidTr="002B1CD7">
        <w:trPr>
          <w:trHeight w:val="434"/>
        </w:trPr>
        <w:tc>
          <w:tcPr>
            <w:tcW w:w="4150" w:type="dxa"/>
            <w:shd w:val="clear" w:color="auto" w:fill="auto"/>
          </w:tcPr>
          <w:bookmarkEnd w:id="1"/>
          <w:p w:rsidR="00115B89" w:rsidRPr="00D23DF0" w:rsidRDefault="00115B89" w:rsidP="00F460E5">
            <w:pPr>
              <w:pStyle w:val="QPPTableTextBold"/>
            </w:pPr>
            <w:r w:rsidRPr="00D23DF0">
              <w:t xml:space="preserve">Performance </w:t>
            </w:r>
            <w:r w:rsidRPr="006E3C2B">
              <w:t>outcomes</w:t>
            </w:r>
          </w:p>
        </w:tc>
        <w:tc>
          <w:tcPr>
            <w:tcW w:w="4151" w:type="dxa"/>
            <w:shd w:val="clear" w:color="auto" w:fill="auto"/>
          </w:tcPr>
          <w:p w:rsidR="00115B89" w:rsidRPr="00D23DF0" w:rsidRDefault="00115B89" w:rsidP="00F460E5">
            <w:pPr>
              <w:pStyle w:val="QPPTableTextBold"/>
            </w:pPr>
            <w:r w:rsidRPr="00D23DF0">
              <w:t>Acceptable outcomes</w:t>
            </w:r>
          </w:p>
        </w:tc>
      </w:tr>
      <w:tr w:rsidR="001D1E25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D1E25" w:rsidRDefault="00E94E56" w:rsidP="00F460E5">
            <w:pPr>
              <w:pStyle w:val="QPPTableTextBold"/>
            </w:pPr>
            <w:r>
              <w:t>PO1</w:t>
            </w:r>
          </w:p>
          <w:p w:rsidR="001D1E25" w:rsidRPr="00BE1215" w:rsidRDefault="007178E6" w:rsidP="00BE1215">
            <w:pPr>
              <w:pStyle w:val="QPPTableTextBody"/>
            </w:pPr>
            <w:r w:rsidRPr="00BE1215">
              <w:rPr>
                <w:rStyle w:val="QPPTableTextBodyChar"/>
              </w:rPr>
              <w:t xml:space="preserve">Development </w:t>
            </w:r>
            <w:r w:rsidR="002A2A40" w:rsidRPr="00BE1215">
              <w:rPr>
                <w:rStyle w:val="QPPTableTextBodyChar"/>
              </w:rPr>
              <w:t>for</w:t>
            </w:r>
            <w:r w:rsidRPr="00BE1215">
              <w:rPr>
                <w:rStyle w:val="QPPTableTextBodyChar"/>
              </w:rPr>
              <w:t xml:space="preserve"> </w:t>
            </w:r>
            <w:hyperlink r:id="rId35" w:anchor="FillOrExc" w:history="1">
              <w:r w:rsidRPr="00BE1215">
                <w:rPr>
                  <w:rStyle w:val="Hyperlink"/>
                </w:rPr>
                <w:t xml:space="preserve">filling </w:t>
              </w:r>
              <w:r w:rsidR="00565D1C" w:rsidRPr="00BE1215">
                <w:rPr>
                  <w:rStyle w:val="Hyperlink"/>
                </w:rPr>
                <w:t xml:space="preserve">or </w:t>
              </w:r>
              <w:r w:rsidRPr="00BE1215">
                <w:rPr>
                  <w:rStyle w:val="Hyperlink"/>
                </w:rPr>
                <w:t>excavation</w:t>
              </w:r>
            </w:hyperlink>
            <w:r w:rsidR="001D1E25" w:rsidRPr="00BE1215">
              <w:rPr>
                <w:rStyle w:val="QPPTableTextBodyChar"/>
              </w:rPr>
              <w:t xml:space="preserve"> minimise</w:t>
            </w:r>
            <w:r w:rsidR="00565D1C" w:rsidRPr="00BE1215">
              <w:rPr>
                <w:rStyle w:val="QPPTableTextBodyChar"/>
              </w:rPr>
              <w:t>s</w:t>
            </w:r>
            <w:r w:rsidR="001D1E25" w:rsidRPr="00BE1215">
              <w:rPr>
                <w:rStyle w:val="QPPTableTextBodyChar"/>
              </w:rPr>
              <w:t xml:space="preserve"> visual impacts from retaining walls and earthworks</w:t>
            </w:r>
            <w:r w:rsidR="001D1E25" w:rsidRPr="00BE1215">
              <w:t>.</w:t>
            </w:r>
          </w:p>
        </w:tc>
        <w:tc>
          <w:tcPr>
            <w:tcW w:w="4151" w:type="dxa"/>
            <w:shd w:val="clear" w:color="auto" w:fill="auto"/>
          </w:tcPr>
          <w:p w:rsidR="001D1E25" w:rsidRDefault="001D1E25" w:rsidP="00F460E5">
            <w:pPr>
              <w:pStyle w:val="QPPTableTextBold"/>
            </w:pPr>
            <w:r>
              <w:t>AO1</w:t>
            </w:r>
          </w:p>
          <w:p w:rsidR="001D1E25" w:rsidRPr="004B43BD" w:rsidRDefault="007178E6" w:rsidP="00562768">
            <w:pPr>
              <w:pStyle w:val="QPPTableTextBody"/>
            </w:pPr>
            <w:r w:rsidRPr="004B43BD">
              <w:t>Development ensures that t</w:t>
            </w:r>
            <w:r w:rsidR="001D1E25" w:rsidRPr="004B43BD">
              <w:t xml:space="preserve">he </w:t>
            </w:r>
            <w:r w:rsidR="00D278AB">
              <w:t xml:space="preserve">total </w:t>
            </w:r>
            <w:r w:rsidR="001D1E25" w:rsidRPr="004B43BD">
              <w:t>height of any cut and fill, whether or not retained, does not exceed:</w:t>
            </w:r>
          </w:p>
          <w:p w:rsidR="001D1E25" w:rsidRPr="0011774A" w:rsidRDefault="001D1E25" w:rsidP="007C14DE">
            <w:pPr>
              <w:pStyle w:val="HGTableBullet2"/>
              <w:numPr>
                <w:ilvl w:val="0"/>
                <w:numId w:val="13"/>
              </w:numPr>
              <w:ind w:left="567" w:hanging="567"/>
            </w:pPr>
            <w:r w:rsidRPr="001D1E25">
              <w:t>2.</w:t>
            </w:r>
            <w:r w:rsidRPr="0011774A">
              <w:t>5m</w:t>
            </w:r>
            <w:r w:rsidR="009337B7">
              <w:t xml:space="preserve"> </w:t>
            </w:r>
            <w:r w:rsidR="00353181">
              <w:t>in</w:t>
            </w:r>
            <w:r w:rsidR="00A64BAF">
              <w:t xml:space="preserve"> a zone in the</w:t>
            </w:r>
            <w:r w:rsidR="00353181">
              <w:t xml:space="preserve"> </w:t>
            </w:r>
            <w:r w:rsidR="00A64BAF">
              <w:t>I</w:t>
            </w:r>
            <w:r w:rsidRPr="0011774A">
              <w:t>ndustr</w:t>
            </w:r>
            <w:r w:rsidR="00A64BAF">
              <w:t>y</w:t>
            </w:r>
            <w:r w:rsidRPr="0011774A">
              <w:t xml:space="preserve"> zones</w:t>
            </w:r>
            <w:r w:rsidR="00A64BAF">
              <w:t xml:space="preserve"> category</w:t>
            </w:r>
            <w:r w:rsidR="0011774A">
              <w:t>;</w:t>
            </w:r>
          </w:p>
          <w:p w:rsidR="001D1E25" w:rsidRPr="00181808" w:rsidRDefault="001D1E25" w:rsidP="00D6346B">
            <w:pPr>
              <w:pStyle w:val="HGTableBullet2"/>
              <w:numPr>
                <w:ilvl w:val="0"/>
                <w:numId w:val="13"/>
              </w:numPr>
            </w:pPr>
            <w:r w:rsidRPr="00181808">
              <w:t>1m</w:t>
            </w:r>
            <w:r w:rsidR="009337B7" w:rsidRPr="00181808">
              <w:t xml:space="preserve"> </w:t>
            </w:r>
            <w:r w:rsidRPr="00181808">
              <w:t>in all other zones</w:t>
            </w:r>
            <w:r w:rsidR="0026391A" w:rsidRPr="00181808">
              <w:t>, or if adjoining a sensitive zone.</w:t>
            </w:r>
          </w:p>
        </w:tc>
      </w:tr>
      <w:tr w:rsidR="00D801D6" w:rsidRPr="00736017" w:rsidTr="002B1CD7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D801D6" w:rsidRPr="00D23DF0" w:rsidRDefault="00D801D6" w:rsidP="00F460E5">
            <w:pPr>
              <w:pStyle w:val="QPPTableTextBold"/>
            </w:pPr>
            <w:r>
              <w:t>PO2</w:t>
            </w:r>
          </w:p>
          <w:p w:rsidR="00D801D6" w:rsidRPr="00E91907" w:rsidRDefault="00D801D6" w:rsidP="00562768">
            <w:pPr>
              <w:pStyle w:val="QPPTableTextBody"/>
            </w:pPr>
            <w:r w:rsidRPr="004B43BD">
              <w:t xml:space="preserve">Development of a retaining wall proposed as a result of </w:t>
            </w:r>
            <w:hyperlink r:id="rId36" w:anchor="FillOrExc" w:history="1">
              <w:r w:rsidRPr="0026391A">
                <w:rPr>
                  <w:rStyle w:val="Hyperlink"/>
                </w:rPr>
                <w:t>filling or excavation</w:t>
              </w:r>
            </w:hyperlink>
            <w:r w:rsidRPr="00E91907">
              <w:t>:</w:t>
            </w:r>
          </w:p>
          <w:p w:rsidR="00D801D6" w:rsidRDefault="00D801D6" w:rsidP="00D6346B">
            <w:pPr>
              <w:pStyle w:val="HGTableBullet2"/>
              <w:numPr>
                <w:ilvl w:val="0"/>
                <w:numId w:val="18"/>
              </w:numPr>
            </w:pPr>
            <w:r w:rsidRPr="00D6346B">
              <w:t>is designed and constructed</w:t>
            </w:r>
            <w:r>
              <w:t xml:space="preserve"> to be fit for purpose;</w:t>
            </w:r>
          </w:p>
          <w:p w:rsidR="00D801D6" w:rsidRPr="00181808" w:rsidRDefault="00D801D6" w:rsidP="00D6346B">
            <w:pPr>
              <w:pStyle w:val="HGTableBullet2"/>
              <w:numPr>
                <w:ilvl w:val="0"/>
                <w:numId w:val="18"/>
              </w:numPr>
            </w:pPr>
            <w:r w:rsidRPr="00181808">
              <w:t xml:space="preserve">does not impact adversely on </w:t>
            </w:r>
            <w:r>
              <w:t>significant vegetation;</w:t>
            </w:r>
          </w:p>
          <w:p w:rsidR="00D801D6" w:rsidRPr="00D23DF0" w:rsidRDefault="00D801D6" w:rsidP="007C14DE">
            <w:pPr>
              <w:pStyle w:val="HGTableBullet2"/>
              <w:numPr>
                <w:ilvl w:val="0"/>
                <w:numId w:val="13"/>
              </w:numPr>
              <w:ind w:left="567" w:hanging="567"/>
            </w:pPr>
            <w:r>
              <w:t>is capable of easy maintenance</w:t>
            </w:r>
            <w:r w:rsidRPr="00D23DF0">
              <w:t>.</w:t>
            </w:r>
          </w:p>
          <w:p w:rsidR="00D801D6" w:rsidRDefault="00D801D6" w:rsidP="00353181">
            <w:pPr>
              <w:pStyle w:val="QPPEditorsNoteStyle1"/>
            </w:pPr>
            <w:r w:rsidRPr="00DC637E">
              <w:t>Editor</w:t>
            </w:r>
            <w:r>
              <w:t>’s note—A r</w:t>
            </w:r>
            <w:r w:rsidRPr="00DC637E">
              <w:t>etaining wall also need</w:t>
            </w:r>
            <w:r>
              <w:t>s</w:t>
            </w:r>
            <w:r w:rsidRPr="00DC637E">
              <w:t xml:space="preserve"> to comply with the </w:t>
            </w:r>
            <w:hyperlink r:id="rId37" w:history="1">
              <w:r w:rsidRPr="00932686">
                <w:rPr>
                  <w:rStyle w:val="Hyperlink"/>
                </w:rPr>
                <w:t>Building Regulation</w:t>
              </w:r>
            </w:hyperlink>
            <w:r w:rsidRPr="00DC637E">
              <w:t xml:space="preserve"> and embankment gradients will need to comply with the </w:t>
            </w:r>
            <w:hyperlink r:id="rId38" w:history="1">
              <w:r w:rsidRPr="00932686">
                <w:rPr>
                  <w:rStyle w:val="Hyperlink"/>
                </w:rPr>
                <w:t>Building Regulation</w:t>
              </w:r>
            </w:hyperlink>
            <w:r w:rsidRPr="00DC637E">
              <w:t>.</w:t>
            </w:r>
          </w:p>
          <w:p w:rsidR="00D801D6" w:rsidRPr="0048412A" w:rsidRDefault="00D801D6" w:rsidP="0048412A">
            <w:pPr>
              <w:pStyle w:val="QPPEditorsNoteStyle1"/>
            </w:pPr>
            <w:r>
              <w:t xml:space="preserve">Note—Guidance on the protection of native vegetation is included in the </w:t>
            </w:r>
            <w:hyperlink r:id="rId39" w:history="1">
              <w:r w:rsidRPr="00EB0BE0">
                <w:rPr>
                  <w:rStyle w:val="Hyperlink"/>
                </w:rPr>
                <w:t>Biodiversity areas planning scheme policy</w:t>
              </w:r>
            </w:hyperlink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D801D6" w:rsidRPr="00D23DF0" w:rsidRDefault="00D801D6" w:rsidP="00F460E5">
            <w:pPr>
              <w:pStyle w:val="QPPTableTextBold"/>
            </w:pPr>
            <w:r>
              <w:t>AO2.1</w:t>
            </w:r>
          </w:p>
          <w:p w:rsidR="00D801D6" w:rsidRPr="004B43BD" w:rsidRDefault="00D801D6" w:rsidP="00562768">
            <w:pPr>
              <w:pStyle w:val="QPPTableTextBody"/>
            </w:pPr>
            <w:r w:rsidRPr="004B43BD">
              <w:t>Development of a retaining structure, including footings, surface drainage and subsoil drainage:</w:t>
            </w:r>
          </w:p>
          <w:p w:rsidR="00D801D6" w:rsidRDefault="00D801D6" w:rsidP="007C14DE">
            <w:pPr>
              <w:pStyle w:val="HGTableBullet2"/>
              <w:numPr>
                <w:ilvl w:val="0"/>
                <w:numId w:val="16"/>
              </w:numPr>
              <w:ind w:left="567" w:hanging="567"/>
            </w:pPr>
            <w:r>
              <w:t>is wholly contained within the site;</w:t>
            </w:r>
          </w:p>
          <w:p w:rsidR="00D801D6" w:rsidRPr="00181808" w:rsidRDefault="00D801D6" w:rsidP="00D6346B">
            <w:pPr>
              <w:pStyle w:val="HGTableBullet2"/>
              <w:numPr>
                <w:ilvl w:val="0"/>
                <w:numId w:val="16"/>
              </w:numPr>
            </w:pPr>
            <w:r w:rsidRPr="00181808">
              <w:t>if the total height to be retained is greater than 1m, then:</w:t>
            </w:r>
          </w:p>
          <w:p w:rsidR="00D801D6" w:rsidRPr="00353181" w:rsidRDefault="00D801D6" w:rsidP="00736017">
            <w:pPr>
              <w:pStyle w:val="HGTableBullet3"/>
              <w:tabs>
                <w:tab w:val="left" w:pos="953"/>
              </w:tabs>
              <w:ind w:left="953" w:hanging="425"/>
            </w:pPr>
            <w:r w:rsidRPr="00353181">
              <w:t xml:space="preserve">the retaining wall at the property boundary is no greater than 1m above the </w:t>
            </w:r>
            <w:hyperlink r:id="rId40" w:anchor="Groundlevel" w:history="1">
              <w:r w:rsidRPr="00136A93">
                <w:rPr>
                  <w:rStyle w:val="Hyperlink"/>
                </w:rPr>
                <w:t>ground level</w:t>
              </w:r>
            </w:hyperlink>
            <w:r w:rsidRPr="00353181">
              <w:t>;</w:t>
            </w:r>
          </w:p>
          <w:p w:rsidR="00D801D6" w:rsidRPr="00353181" w:rsidRDefault="00D801D6" w:rsidP="00736017">
            <w:pPr>
              <w:pStyle w:val="HGTableBullet3"/>
              <w:tabs>
                <w:tab w:val="left" w:pos="953"/>
              </w:tabs>
              <w:ind w:left="953" w:hanging="425"/>
            </w:pPr>
            <w:r w:rsidRPr="00353181">
              <w:t>all further terracing from the 1m high boundary retaining wall is 1 vertical unit:1 horizontal unit;</w:t>
            </w:r>
          </w:p>
          <w:p w:rsidR="00D801D6" w:rsidRPr="00D23DF0" w:rsidRDefault="00D801D6" w:rsidP="00736017">
            <w:pPr>
              <w:pStyle w:val="HGTableBullet3"/>
              <w:tabs>
                <w:tab w:val="left" w:pos="953"/>
              </w:tabs>
              <w:ind w:left="953" w:hanging="425"/>
            </w:pPr>
            <w:r w:rsidRPr="00353181">
              <w:t xml:space="preserve">the distance between each successive retaining wall (back of lower wall to face of higher wall) is no less than 1m horizontally </w:t>
            </w:r>
            <w:r>
              <w:t xml:space="preserve">to </w:t>
            </w:r>
            <w:r w:rsidRPr="00353181">
              <w:t>incorporate</w:t>
            </w:r>
            <w:r>
              <w:t xml:space="preserve"> planting areas.</w:t>
            </w:r>
          </w:p>
        </w:tc>
      </w:tr>
      <w:tr w:rsidR="00D801D6" w:rsidRPr="00736017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D801D6" w:rsidRPr="00D23DF0" w:rsidRDefault="00D801D6" w:rsidP="00115B89"/>
        </w:tc>
        <w:tc>
          <w:tcPr>
            <w:tcW w:w="4151" w:type="dxa"/>
            <w:shd w:val="clear" w:color="auto" w:fill="auto"/>
          </w:tcPr>
          <w:p w:rsidR="00D801D6" w:rsidRPr="00D23DF0" w:rsidRDefault="00D801D6" w:rsidP="00F460E5">
            <w:pPr>
              <w:pStyle w:val="QPPTableTextBold"/>
            </w:pPr>
            <w:r>
              <w:t>AO2</w:t>
            </w:r>
            <w:r w:rsidRPr="00D23DF0">
              <w:t>.2</w:t>
            </w:r>
          </w:p>
          <w:p w:rsidR="00D801D6" w:rsidRPr="004B43BD" w:rsidRDefault="00D801D6" w:rsidP="00B82FC3">
            <w:pPr>
              <w:pStyle w:val="QPPTableTextBody"/>
            </w:pPr>
            <w:r>
              <w:t xml:space="preserve">Development of a retaining wall over 1m in height protects significant vegetation on the site and on adjoining land and is designed and constructed in accordance with the structures standards in the </w:t>
            </w:r>
            <w:hyperlink r:id="rId41" w:history="1">
              <w:r w:rsidRPr="00D6346B">
                <w:rPr>
                  <w:rStyle w:val="Hyperlink"/>
                </w:rPr>
                <w:t>Infrastructure design planning scheme policy</w:t>
              </w:r>
            </w:hyperlink>
            <w:r>
              <w:t xml:space="preserve"> and certified by a </w:t>
            </w:r>
            <w:hyperlink r:id="rId42" w:anchor="RegProfEngQld" w:history="1">
              <w:r w:rsidRPr="0048096B">
                <w:rPr>
                  <w:rStyle w:val="Hyperlink"/>
                </w:rPr>
                <w:t>Registered Professional Engineer Queensland</w:t>
              </w:r>
            </w:hyperlink>
            <w:r>
              <w:t>.</w:t>
            </w:r>
          </w:p>
        </w:tc>
      </w:tr>
      <w:tr w:rsidR="00D801D6" w:rsidRPr="007F1EA3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D801D6" w:rsidRPr="007F1EA3" w:rsidRDefault="00D801D6" w:rsidP="00115B89"/>
        </w:tc>
        <w:tc>
          <w:tcPr>
            <w:tcW w:w="4151" w:type="dxa"/>
            <w:shd w:val="clear" w:color="auto" w:fill="auto"/>
          </w:tcPr>
          <w:p w:rsidR="00D801D6" w:rsidRPr="00D6055A" w:rsidRDefault="00D801D6" w:rsidP="00F460E5">
            <w:pPr>
              <w:pStyle w:val="QPPTableTextBold"/>
            </w:pPr>
            <w:r w:rsidRPr="00D6055A">
              <w:t>AO</w:t>
            </w:r>
            <w:r>
              <w:t>2</w:t>
            </w:r>
            <w:r w:rsidRPr="00D6055A">
              <w:t>.3</w:t>
            </w:r>
          </w:p>
          <w:p w:rsidR="00D801D6" w:rsidRPr="004B43BD" w:rsidRDefault="00D801D6" w:rsidP="00B82FC3">
            <w:pPr>
              <w:pStyle w:val="QPPTableTextBody"/>
            </w:pPr>
            <w:r w:rsidRPr="004B43BD">
              <w:t xml:space="preserve">Development provides a retaining wall finish </w:t>
            </w:r>
            <w:r w:rsidRPr="004B43BD">
              <w:lastRenderedPageBreak/>
              <w:t xml:space="preserve">that presents to adjoining land that is maintenance free if the </w:t>
            </w:r>
            <w:hyperlink r:id="rId43" w:anchor="Setback" w:history="1">
              <w:r w:rsidRPr="006431F1">
                <w:rPr>
                  <w:rStyle w:val="Hyperlink"/>
                </w:rPr>
                <w:t>setback</w:t>
              </w:r>
            </w:hyperlink>
            <w:r w:rsidRPr="004B43BD">
              <w:t xml:space="preserve"> is less than 750mm from the boundary.</w:t>
            </w:r>
          </w:p>
        </w:tc>
      </w:tr>
      <w:tr w:rsidR="00D801D6" w:rsidRPr="00736017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D801D6" w:rsidRDefault="00D801D6" w:rsidP="00F460E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D801D6" w:rsidRPr="00D6055A" w:rsidRDefault="00D801D6" w:rsidP="00A858B9">
            <w:pPr>
              <w:pStyle w:val="QPPTableTextBold"/>
            </w:pPr>
            <w:r w:rsidRPr="00D6055A">
              <w:t>AO</w:t>
            </w:r>
            <w:r>
              <w:t>2.4</w:t>
            </w:r>
          </w:p>
          <w:p w:rsidR="00D801D6" w:rsidRDefault="00D801D6" w:rsidP="00D6346B">
            <w:pPr>
              <w:pStyle w:val="QPPTableTextBody"/>
            </w:pPr>
            <w:r w:rsidRPr="004B43BD">
              <w:t>Development</w:t>
            </w:r>
            <w:r>
              <w:t xml:space="preserve"> for filling only uses clean fill that does not include any construction rubble</w:t>
            </w:r>
            <w:r w:rsidR="00AE057E">
              <w:t>,</w:t>
            </w:r>
            <w:r>
              <w:t xml:space="preserve"> debris</w:t>
            </w:r>
            <w:r w:rsidR="00AE057E">
              <w:t xml:space="preserve">, weed seed or viable parts of plant species listed as an undesirable plant species in the Planting species planning scheme policy </w:t>
            </w:r>
            <w:r>
              <w:t>.</w:t>
            </w:r>
          </w:p>
        </w:tc>
      </w:tr>
      <w:tr w:rsidR="00115B89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15B89" w:rsidRPr="00D23DF0" w:rsidRDefault="00E94E56" w:rsidP="00F460E5">
            <w:pPr>
              <w:pStyle w:val="QPPTableTextBold"/>
            </w:pPr>
            <w:r>
              <w:t>PO3</w:t>
            </w:r>
          </w:p>
          <w:p w:rsidR="00115B89" w:rsidRPr="00D23DF0" w:rsidRDefault="00E62C75" w:rsidP="00D6346B">
            <w:pPr>
              <w:pStyle w:val="QPPTableTextBody"/>
            </w:pPr>
            <w:r w:rsidRPr="004B43BD">
              <w:t xml:space="preserve">Development ensures that </w:t>
            </w:r>
            <w:r w:rsidR="00565D1C" w:rsidRPr="004B43BD">
              <w:t xml:space="preserve">a </w:t>
            </w:r>
            <w:r w:rsidRPr="004B43BD">
              <w:t>r</w:t>
            </w:r>
            <w:r w:rsidR="00115B89" w:rsidRPr="004B43BD">
              <w:t xml:space="preserve">ock anchor </w:t>
            </w:r>
            <w:r w:rsidR="00565D1C" w:rsidRPr="004B43BD">
              <w:t xml:space="preserve">is </w:t>
            </w:r>
            <w:r w:rsidR="00115B89" w:rsidRPr="004B43BD">
              <w:t>designed and constructed</w:t>
            </w:r>
            <w:r w:rsidR="00A858B9">
              <w:t xml:space="preserve"> to be fit for purpose.</w:t>
            </w:r>
          </w:p>
        </w:tc>
        <w:tc>
          <w:tcPr>
            <w:tcW w:w="4151" w:type="dxa"/>
            <w:shd w:val="clear" w:color="auto" w:fill="auto"/>
          </w:tcPr>
          <w:p w:rsidR="00115B89" w:rsidRPr="00D23DF0" w:rsidRDefault="00115B89" w:rsidP="00F460E5">
            <w:pPr>
              <w:pStyle w:val="QPPTableTextBold"/>
            </w:pPr>
            <w:r>
              <w:t>AO</w:t>
            </w:r>
            <w:r w:rsidR="00BB7A4A">
              <w:t>3</w:t>
            </w:r>
          </w:p>
          <w:p w:rsidR="005868FC" w:rsidRPr="004B43BD" w:rsidRDefault="00E62C75" w:rsidP="00562768">
            <w:pPr>
              <w:pStyle w:val="QPPTableTextBody"/>
            </w:pPr>
            <w:r w:rsidRPr="004B43BD">
              <w:t xml:space="preserve">Development ensures that </w:t>
            </w:r>
            <w:r w:rsidR="00133146">
              <w:t xml:space="preserve">a </w:t>
            </w:r>
            <w:r w:rsidRPr="004B43BD">
              <w:t>r</w:t>
            </w:r>
            <w:r w:rsidR="00115B89" w:rsidRPr="004B43BD">
              <w:t>ock anchor</w:t>
            </w:r>
            <w:r w:rsidR="005868FC" w:rsidRPr="004B43BD">
              <w:t>:</w:t>
            </w:r>
          </w:p>
          <w:p w:rsidR="005868FC" w:rsidRDefault="0026391A" w:rsidP="007C14DE">
            <w:pPr>
              <w:pStyle w:val="HGTableBullet2"/>
              <w:numPr>
                <w:ilvl w:val="0"/>
                <w:numId w:val="24"/>
              </w:numPr>
            </w:pPr>
            <w:r>
              <w:t>is</w:t>
            </w:r>
            <w:r w:rsidR="005868FC">
              <w:t xml:space="preserve"> </w:t>
            </w:r>
            <w:r w:rsidR="00115B89" w:rsidRPr="006B5FBB">
              <w:t>constructed</w:t>
            </w:r>
            <w:r w:rsidR="00115B89" w:rsidRPr="00BC6EEE">
              <w:t xml:space="preserve"> in accordance with the </w:t>
            </w:r>
            <w:r w:rsidR="00F80762">
              <w:t>standards in</w:t>
            </w:r>
            <w:r>
              <w:t xml:space="preserve"> the</w:t>
            </w:r>
            <w:r w:rsidR="00F80762">
              <w:t xml:space="preserve"> </w:t>
            </w:r>
            <w:hyperlink r:id="rId44" w:history="1">
              <w:r w:rsidR="00115B89" w:rsidRPr="00BC6EEE">
                <w:rPr>
                  <w:rStyle w:val="Hyperlink"/>
                </w:rPr>
                <w:t>Infrastructure design planning scheme policy</w:t>
              </w:r>
            </w:hyperlink>
            <w:r w:rsidR="005868FC">
              <w:t>;</w:t>
            </w:r>
          </w:p>
          <w:p w:rsidR="00115B89" w:rsidRPr="00D23DF0" w:rsidRDefault="00A858B9" w:rsidP="002B1CD7">
            <w:pPr>
              <w:pStyle w:val="HGTableBullet2"/>
            </w:pPr>
            <w:r>
              <w:t xml:space="preserve">where it </w:t>
            </w:r>
            <w:r w:rsidR="005868FC">
              <w:t xml:space="preserve">extends beyond the property boundary, is supported by </w:t>
            </w:r>
            <w:r w:rsidR="00115B89" w:rsidRPr="00BC6EEE">
              <w:t xml:space="preserve">a letter of consent from </w:t>
            </w:r>
            <w:r w:rsidR="005868FC">
              <w:t xml:space="preserve">the </w:t>
            </w:r>
            <w:r w:rsidR="00115B89" w:rsidRPr="00BC6EEE">
              <w:t>adjoining</w:t>
            </w:r>
            <w:r w:rsidR="00115B89">
              <w:t xml:space="preserve"> </w:t>
            </w:r>
            <w:r w:rsidR="005868FC">
              <w:t>land and building owners</w:t>
            </w:r>
            <w:r w:rsidR="00115B89" w:rsidRPr="007B1649">
              <w:t>.</w:t>
            </w:r>
          </w:p>
        </w:tc>
      </w:tr>
      <w:tr w:rsidR="00115B89" w:rsidRPr="00D23DF0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15B89" w:rsidRDefault="00E94E56" w:rsidP="00F460E5">
            <w:pPr>
              <w:pStyle w:val="QPPTableTextBold"/>
            </w:pPr>
            <w:r>
              <w:t>PO</w:t>
            </w:r>
            <w:r w:rsidR="00A858B9">
              <w:t>4</w:t>
            </w:r>
          </w:p>
          <w:p w:rsidR="00115B89" w:rsidRPr="004B43BD" w:rsidRDefault="00E62C75" w:rsidP="00562768">
            <w:pPr>
              <w:pStyle w:val="QPPTableTextBody"/>
            </w:pPr>
            <w:r w:rsidRPr="004B43BD">
              <w:t xml:space="preserve">Development </w:t>
            </w:r>
            <w:r w:rsidR="007260D1" w:rsidRPr="004B43BD">
              <w:t>protects</w:t>
            </w:r>
            <w:r w:rsidRPr="004B43BD">
              <w:t xml:space="preserve"> a</w:t>
            </w:r>
            <w:r w:rsidR="00115B89" w:rsidRPr="004B43BD">
              <w:t>ll services and public utilities.</w:t>
            </w:r>
          </w:p>
        </w:tc>
        <w:tc>
          <w:tcPr>
            <w:tcW w:w="4151" w:type="dxa"/>
            <w:shd w:val="clear" w:color="auto" w:fill="auto"/>
          </w:tcPr>
          <w:p w:rsidR="00115B89" w:rsidRDefault="00115B89" w:rsidP="00F460E5">
            <w:pPr>
              <w:pStyle w:val="QPPTableTextBold"/>
            </w:pPr>
            <w:r>
              <w:t>AO</w:t>
            </w:r>
            <w:r w:rsidR="00A858B9">
              <w:t>4</w:t>
            </w:r>
          </w:p>
          <w:p w:rsidR="00115B89" w:rsidRPr="004B43BD" w:rsidRDefault="00E62C75">
            <w:pPr>
              <w:pStyle w:val="QPPTableTextBody"/>
            </w:pPr>
            <w:r w:rsidRPr="004B43BD">
              <w:t xml:space="preserve">Development </w:t>
            </w:r>
            <w:r w:rsidR="007260D1" w:rsidRPr="004B43BD">
              <w:t>protects</w:t>
            </w:r>
            <w:r w:rsidRPr="004B43BD">
              <w:t xml:space="preserve"> s</w:t>
            </w:r>
            <w:r w:rsidR="00115B89" w:rsidRPr="004B43BD">
              <w:t>ervices and public utilities</w:t>
            </w:r>
            <w:r w:rsidR="005868FC" w:rsidRPr="004B43BD">
              <w:t xml:space="preserve"> and ensures that any </w:t>
            </w:r>
            <w:r w:rsidR="00115B89" w:rsidRPr="004B43BD">
              <w:t xml:space="preserve">alteration or relocation of services or public utilities meets the standard design specifications </w:t>
            </w:r>
            <w:r w:rsidR="005868FC" w:rsidRPr="004B43BD">
              <w:t>of</w:t>
            </w:r>
            <w:r w:rsidR="00115B89" w:rsidRPr="004B43BD">
              <w:t xml:space="preserve"> the </w:t>
            </w:r>
            <w:r w:rsidR="005868FC" w:rsidRPr="004B43BD">
              <w:t xml:space="preserve">responsible </w:t>
            </w:r>
            <w:r w:rsidR="00115B89" w:rsidRPr="004B43BD">
              <w:t>service authorities.</w:t>
            </w:r>
          </w:p>
        </w:tc>
      </w:tr>
      <w:tr w:rsidR="00115B89" w:rsidRPr="00D23DF0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15B89" w:rsidRDefault="00E94E56" w:rsidP="00F460E5">
            <w:pPr>
              <w:pStyle w:val="QPPTableTextBold"/>
            </w:pPr>
            <w:r>
              <w:t>PO</w:t>
            </w:r>
            <w:r w:rsidR="00A858B9">
              <w:t>5</w:t>
            </w:r>
          </w:p>
          <w:p w:rsidR="00115B89" w:rsidRPr="00736017" w:rsidRDefault="009A7703">
            <w:pPr>
              <w:pStyle w:val="QPPTableTextBody"/>
            </w:pPr>
            <w:r w:rsidRPr="00736017">
              <w:rPr>
                <w:rStyle w:val="QPPTableTextBodyChar"/>
              </w:rPr>
              <w:t>Development</w:t>
            </w:r>
            <w:r w:rsidR="00115B89" w:rsidRPr="00736017">
              <w:rPr>
                <w:rStyle w:val="QPPTableTextBodyChar"/>
              </w:rPr>
              <w:t xml:space="preserve"> provide</w:t>
            </w:r>
            <w:r w:rsidRPr="00736017">
              <w:rPr>
                <w:rStyle w:val="QPPTableTextBodyChar"/>
              </w:rPr>
              <w:t>s</w:t>
            </w:r>
            <w:r w:rsidR="00115B89" w:rsidRPr="00736017">
              <w:rPr>
                <w:rStyle w:val="QPPTableTextBodyChar"/>
              </w:rPr>
              <w:t xml:space="preserve"> surface and sub</w:t>
            </w:r>
            <w:r w:rsidR="00A43CA2">
              <w:t>-</w:t>
            </w:r>
            <w:r w:rsidR="00115B89" w:rsidRPr="00736017">
              <w:rPr>
                <w:rStyle w:val="QPPTableTextBodyChar"/>
              </w:rPr>
              <w:t>surface drainage to prevent water seepage</w:t>
            </w:r>
            <w:r w:rsidR="009D5EE2" w:rsidRPr="00736017">
              <w:rPr>
                <w:rStyle w:val="QPPTableTextBodyChar"/>
              </w:rPr>
              <w:t xml:space="preserve">, </w:t>
            </w:r>
            <w:r w:rsidR="00115B89" w:rsidRPr="00736017">
              <w:rPr>
                <w:rStyle w:val="QPPTableTextBodyChar"/>
              </w:rPr>
              <w:t>concentration of run</w:t>
            </w:r>
            <w:r w:rsidR="00F80762" w:rsidRPr="00736017">
              <w:rPr>
                <w:rStyle w:val="QPPTableTextBodyChar"/>
              </w:rPr>
              <w:t>-</w:t>
            </w:r>
            <w:r w:rsidR="00115B89" w:rsidRPr="00736017">
              <w:rPr>
                <w:rStyle w:val="QPPTableTextBodyChar"/>
              </w:rPr>
              <w:t xml:space="preserve">off </w:t>
            </w:r>
            <w:r w:rsidR="009D5EE2" w:rsidRPr="00736017">
              <w:rPr>
                <w:rStyle w:val="QPPTableTextBodyChar"/>
              </w:rPr>
              <w:t xml:space="preserve">or ponding of stormwater on adjacent </w:t>
            </w:r>
            <w:r w:rsidR="00A8620D" w:rsidRPr="00736017">
              <w:rPr>
                <w:rStyle w:val="QPPTableTextBodyChar"/>
              </w:rPr>
              <w:t>land</w:t>
            </w:r>
            <w:r w:rsidR="00115B89" w:rsidRPr="00736017">
              <w:t>.</w:t>
            </w:r>
          </w:p>
        </w:tc>
        <w:tc>
          <w:tcPr>
            <w:tcW w:w="4151" w:type="dxa"/>
            <w:shd w:val="clear" w:color="auto" w:fill="auto"/>
          </w:tcPr>
          <w:p w:rsidR="00115B89" w:rsidRPr="00170648" w:rsidRDefault="00115B89" w:rsidP="00F460E5">
            <w:pPr>
              <w:pStyle w:val="QPPTableTextBold"/>
            </w:pPr>
            <w:r w:rsidRPr="00170648">
              <w:t>AO</w:t>
            </w:r>
            <w:r w:rsidR="00A858B9">
              <w:t>5</w:t>
            </w:r>
          </w:p>
          <w:p w:rsidR="00115B89" w:rsidRPr="004B43BD" w:rsidRDefault="00E62C75" w:rsidP="00B52556">
            <w:pPr>
              <w:pStyle w:val="QPPTableTextBody"/>
            </w:pPr>
            <w:r w:rsidRPr="004B43BD">
              <w:t xml:space="preserve">Development </w:t>
            </w:r>
            <w:r w:rsidR="005868FC" w:rsidRPr="004B43BD">
              <w:t xml:space="preserve">ensures all flows </w:t>
            </w:r>
            <w:r w:rsidR="00C03E54">
              <w:t xml:space="preserve">and subsoil drainage </w:t>
            </w:r>
            <w:r w:rsidR="005868FC" w:rsidRPr="004B43BD">
              <w:t xml:space="preserve">are directed </w:t>
            </w:r>
            <w:r w:rsidR="00987DC8" w:rsidRPr="004B43BD">
              <w:t xml:space="preserve">to a lawful point of discharge of a </w:t>
            </w:r>
            <w:r w:rsidR="00F80762">
              <w:t>surface water diversion drain,</w:t>
            </w:r>
            <w:r w:rsidR="009A7703" w:rsidRPr="004B43BD">
              <w:t xml:space="preserve"> including </w:t>
            </w:r>
            <w:r w:rsidR="00987DC8" w:rsidRPr="004B43BD">
              <w:t xml:space="preserve">to </w:t>
            </w:r>
            <w:r w:rsidR="009A7703" w:rsidRPr="004B43BD">
              <w:t xml:space="preserve">the </w:t>
            </w:r>
            <w:r w:rsidR="00115B89" w:rsidRPr="004B43BD">
              <w:t>top or toe of a retaining wall</w:t>
            </w:r>
            <w:r w:rsidR="00A57627">
              <w:t xml:space="preserve"> in accordance with the </w:t>
            </w:r>
            <w:r w:rsidR="00B52556">
              <w:t>stormwater drainage section of the</w:t>
            </w:r>
            <w:r w:rsidR="00B52556" w:rsidRPr="00B52556">
              <w:t xml:space="preserve"> </w:t>
            </w:r>
            <w:hyperlink r:id="rId45" w:history="1">
              <w:r w:rsidR="00A57627" w:rsidRPr="00511BC7">
                <w:rPr>
                  <w:rStyle w:val="Hyperlink"/>
                </w:rPr>
                <w:t xml:space="preserve">Infrastructure design </w:t>
              </w:r>
              <w:r w:rsidR="00E87408" w:rsidRPr="00511BC7">
                <w:rPr>
                  <w:rStyle w:val="Hyperlink"/>
                </w:rPr>
                <w:t>planning scheme policy</w:t>
              </w:r>
            </w:hyperlink>
            <w:r w:rsidR="00987DC8" w:rsidRPr="004B43BD">
              <w:t>.</w:t>
            </w:r>
          </w:p>
        </w:tc>
      </w:tr>
      <w:tr w:rsidR="003910F2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3910F2" w:rsidRPr="003910F2" w:rsidRDefault="00E94E56" w:rsidP="00F460E5">
            <w:pPr>
              <w:pStyle w:val="QPPTableTextBold"/>
            </w:pPr>
            <w:r>
              <w:t>PO</w:t>
            </w:r>
            <w:r w:rsidR="00C03E54">
              <w:t>6</w:t>
            </w:r>
          </w:p>
          <w:p w:rsidR="001F63D7" w:rsidRPr="004B43BD" w:rsidRDefault="00E62C75" w:rsidP="00562768">
            <w:pPr>
              <w:pStyle w:val="QPPTableTextBody"/>
            </w:pPr>
            <w:r w:rsidRPr="004B43BD">
              <w:t>Development ensures that the d</w:t>
            </w:r>
            <w:r w:rsidR="003910F2" w:rsidRPr="004B43BD">
              <w:t xml:space="preserve">esign and construction of all open drainage works is undertaken in accordance with </w:t>
            </w:r>
            <w:r w:rsidR="001F63D7" w:rsidRPr="004B43BD">
              <w:t>natural channel design principles</w:t>
            </w:r>
            <w:r w:rsidR="00160DAF" w:rsidRPr="004B43BD">
              <w:t>, being the development of a stormwater conveyance system for major flows</w:t>
            </w:r>
            <w:r w:rsidR="00A8620D" w:rsidRPr="004B43BD">
              <w:t>,</w:t>
            </w:r>
            <w:r w:rsidR="00160DAF" w:rsidRPr="004B43BD">
              <w:t xml:space="preserve"> by using a vegetated open channel or drain that approximates the features and functions of a natural waterway to enhance</w:t>
            </w:r>
            <w:r w:rsidR="00A8620D" w:rsidRPr="004B43BD">
              <w:t xml:space="preserve"> or </w:t>
            </w:r>
            <w:r w:rsidR="00160DAF" w:rsidRPr="004B43BD">
              <w:t>improve riparian values of those stormwater conveyance systems.</w:t>
            </w:r>
          </w:p>
          <w:p w:rsidR="001F63D7" w:rsidRPr="006803CF" w:rsidRDefault="0011774A" w:rsidP="0011774A">
            <w:pPr>
              <w:pStyle w:val="QPPEditorsNoteStyle1"/>
            </w:pPr>
            <w:r w:rsidRPr="00736017">
              <w:rPr>
                <w:rFonts w:cs="Arial"/>
              </w:rPr>
              <w:t>Editor’s note—</w:t>
            </w:r>
            <w:r>
              <w:t>G</w:t>
            </w:r>
            <w:r w:rsidR="001F63D7">
              <w:t xml:space="preserve">uidance on natural channel design </w:t>
            </w:r>
            <w:r w:rsidR="006803CF" w:rsidRPr="006803CF">
              <w:t>principles can be found in the Council</w:t>
            </w:r>
            <w:r w:rsidR="00A8620D">
              <w:t>’s</w:t>
            </w:r>
            <w:r w:rsidR="006803CF" w:rsidRPr="006803CF">
              <w:t xml:space="preserve"> publication </w:t>
            </w:r>
            <w:hyperlink r:id="rId46" w:anchor="natural" w:history="1">
              <w:r w:rsidR="0026391A">
                <w:rPr>
                  <w:rStyle w:val="Hyperlink"/>
                </w:rPr>
                <w:t>Natural channel design guidelines</w:t>
              </w:r>
            </w:hyperlink>
            <w:r w:rsidR="006803CF" w:rsidRPr="006803CF">
              <w:t>.</w:t>
            </w:r>
          </w:p>
        </w:tc>
        <w:tc>
          <w:tcPr>
            <w:tcW w:w="4151" w:type="dxa"/>
            <w:shd w:val="clear" w:color="auto" w:fill="auto"/>
          </w:tcPr>
          <w:p w:rsidR="003910F2" w:rsidRDefault="003910F2" w:rsidP="00F460E5">
            <w:pPr>
              <w:pStyle w:val="QPPTableTextBold"/>
            </w:pPr>
            <w:r>
              <w:t>AO</w:t>
            </w:r>
            <w:r w:rsidR="00C03E54">
              <w:t>6</w:t>
            </w:r>
          </w:p>
          <w:p w:rsidR="003910F2" w:rsidRDefault="00C96865" w:rsidP="00562768">
            <w:pPr>
              <w:pStyle w:val="QPPTableTextBody"/>
            </w:pPr>
            <w:r>
              <w:t xml:space="preserve">Filling or excavation does not involve the construction of open drainage. </w:t>
            </w:r>
          </w:p>
          <w:p w:rsidR="00C96865" w:rsidRPr="004B43BD" w:rsidRDefault="00C96865" w:rsidP="00562768">
            <w:pPr>
              <w:pStyle w:val="QPPTableTextBody"/>
            </w:pPr>
          </w:p>
        </w:tc>
      </w:tr>
      <w:tr w:rsidR="003910F2" w:rsidRPr="00736017" w:rsidTr="00FF3A23">
        <w:trPr>
          <w:trHeight w:val="350"/>
        </w:trPr>
        <w:tc>
          <w:tcPr>
            <w:tcW w:w="4150" w:type="dxa"/>
            <w:vMerge w:val="restart"/>
            <w:shd w:val="clear" w:color="auto" w:fill="auto"/>
          </w:tcPr>
          <w:p w:rsidR="003910F2" w:rsidRDefault="00E94E56" w:rsidP="00736017">
            <w:pPr>
              <w:pStyle w:val="QPPTableTextBold"/>
              <w:spacing w:after="40"/>
            </w:pPr>
            <w:r>
              <w:t>PO</w:t>
            </w:r>
            <w:r w:rsidR="00C03E54">
              <w:t>7</w:t>
            </w:r>
          </w:p>
          <w:p w:rsidR="00A8620D" w:rsidRPr="004B43BD" w:rsidRDefault="00E62C75" w:rsidP="00562768">
            <w:pPr>
              <w:pStyle w:val="QPPTableTextBody"/>
            </w:pPr>
            <w:r w:rsidRPr="004B43BD">
              <w:t xml:space="preserve">Development </w:t>
            </w:r>
            <w:r w:rsidR="00150FB5" w:rsidRPr="004B43BD">
              <w:t>for</w:t>
            </w:r>
            <w:r w:rsidRPr="004B43BD">
              <w:t xml:space="preserve"> </w:t>
            </w:r>
            <w:hyperlink r:id="rId47" w:anchor="FillOrExc" w:history="1">
              <w:r w:rsidR="00267176" w:rsidRPr="00267176">
                <w:rPr>
                  <w:rStyle w:val="Hyperlink"/>
                </w:rPr>
                <w:t>filling or excavation</w:t>
              </w:r>
            </w:hyperlink>
            <w:r w:rsidR="00A8620D" w:rsidRPr="004B43BD">
              <w:t>:</w:t>
            </w:r>
          </w:p>
          <w:p w:rsidR="00A8620D" w:rsidRDefault="00A8620D" w:rsidP="007C14DE">
            <w:pPr>
              <w:pStyle w:val="HGTableBullet2"/>
              <w:numPr>
                <w:ilvl w:val="0"/>
                <w:numId w:val="25"/>
              </w:numPr>
            </w:pPr>
            <w:r>
              <w:t xml:space="preserve">does </w:t>
            </w:r>
            <w:r w:rsidR="003910F2">
              <w:t xml:space="preserve">not degrade water quality or adversely affect </w:t>
            </w:r>
            <w:r w:rsidR="003910F2" w:rsidRPr="00EC60C4">
              <w:t>environmental values in receiving waters</w:t>
            </w:r>
            <w:r>
              <w:t>;</w:t>
            </w:r>
          </w:p>
          <w:p w:rsidR="003910F2" w:rsidRPr="00D23DF0" w:rsidRDefault="003910F2" w:rsidP="002B1CD7">
            <w:pPr>
              <w:pStyle w:val="HGTableBullet2"/>
            </w:pPr>
            <w:r w:rsidRPr="006B5FBB">
              <w:lastRenderedPageBreak/>
              <w:t>ensure</w:t>
            </w:r>
            <w:r w:rsidR="00A8620D" w:rsidRPr="006B5FBB">
              <w:t>s</w:t>
            </w:r>
            <w:r w:rsidRPr="00EC60C4">
              <w:t xml:space="preserve"> site sediment and erosion control standards are best practice.</w:t>
            </w:r>
          </w:p>
        </w:tc>
        <w:tc>
          <w:tcPr>
            <w:tcW w:w="4151" w:type="dxa"/>
            <w:shd w:val="clear" w:color="auto" w:fill="auto"/>
          </w:tcPr>
          <w:p w:rsidR="003910F2" w:rsidRDefault="003910F2" w:rsidP="00F460E5">
            <w:pPr>
              <w:pStyle w:val="QPPTableTextBold"/>
            </w:pPr>
            <w:r>
              <w:lastRenderedPageBreak/>
              <w:t>AO</w:t>
            </w:r>
            <w:r w:rsidR="00C03E54">
              <w:t>7</w:t>
            </w:r>
            <w:r>
              <w:t>.1</w:t>
            </w:r>
          </w:p>
          <w:p w:rsidR="003910F2" w:rsidRPr="00736017" w:rsidRDefault="00E62C75" w:rsidP="00752FAD">
            <w:pPr>
              <w:pStyle w:val="QPPTableTextBody"/>
            </w:pPr>
            <w:r w:rsidRPr="00736017">
              <w:rPr>
                <w:rStyle w:val="QPPTableTextBodyChar"/>
              </w:rPr>
              <w:t xml:space="preserve">Development </w:t>
            </w:r>
            <w:r w:rsidR="007260D1" w:rsidRPr="00736017">
              <w:rPr>
                <w:rStyle w:val="QPPTableTextBodyChar"/>
              </w:rPr>
              <w:t>for</w:t>
            </w:r>
            <w:r w:rsidRPr="00736017">
              <w:rPr>
                <w:rStyle w:val="QPPTableTextBodyChar"/>
              </w:rPr>
              <w:t xml:space="preserve"> </w:t>
            </w:r>
            <w:hyperlink r:id="rId48" w:anchor="FillOrExc" w:history="1">
              <w:r w:rsidR="006431F1" w:rsidRPr="006431F1">
                <w:rPr>
                  <w:rStyle w:val="Hyperlink"/>
                </w:rPr>
                <w:t>filling or excavation</w:t>
              </w:r>
            </w:hyperlink>
            <w:r w:rsidR="003910F2" w:rsidRPr="00736017">
              <w:rPr>
                <w:rStyle w:val="QPPTableTextBodyChar"/>
              </w:rPr>
              <w:t xml:space="preserve"> provides water quality treatment that complies with the</w:t>
            </w:r>
            <w:r w:rsidR="003910F2" w:rsidRPr="00736017">
              <w:t xml:space="preserve"> </w:t>
            </w:r>
            <w:r w:rsidR="00752FAD">
              <w:t>stormwater drainage</w:t>
            </w:r>
            <w:r w:rsidR="00752FAD" w:rsidRPr="00752FAD" w:rsidDel="00A57627">
              <w:t xml:space="preserve"> </w:t>
            </w:r>
            <w:r w:rsidR="00752FAD">
              <w:t xml:space="preserve">section of the </w:t>
            </w:r>
            <w:hyperlink r:id="rId49" w:history="1">
              <w:r w:rsidR="00A57627" w:rsidRPr="00511BC7">
                <w:rPr>
                  <w:rStyle w:val="Hyperlink"/>
                </w:rPr>
                <w:t xml:space="preserve">Infrastructure design </w:t>
              </w:r>
              <w:r w:rsidR="00E87408" w:rsidRPr="00511BC7">
                <w:rPr>
                  <w:rStyle w:val="Hyperlink"/>
                </w:rPr>
                <w:t>planning scheme policy</w:t>
              </w:r>
            </w:hyperlink>
            <w:r w:rsidR="00752FAD">
              <w:t>.</w:t>
            </w:r>
          </w:p>
        </w:tc>
      </w:tr>
      <w:tr w:rsidR="00115B89" w:rsidRPr="00D23DF0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115B89" w:rsidRPr="00D23DF0" w:rsidRDefault="00115B89" w:rsidP="00736017">
            <w:pPr>
              <w:spacing w:before="60" w:after="40"/>
            </w:pPr>
          </w:p>
        </w:tc>
        <w:tc>
          <w:tcPr>
            <w:tcW w:w="4151" w:type="dxa"/>
            <w:shd w:val="clear" w:color="auto" w:fill="auto"/>
          </w:tcPr>
          <w:p w:rsidR="00115B89" w:rsidRDefault="00115B89" w:rsidP="00F460E5">
            <w:pPr>
              <w:pStyle w:val="QPPTableTextBold"/>
            </w:pPr>
            <w:r>
              <w:t>AO</w:t>
            </w:r>
            <w:r w:rsidR="00C03E54">
              <w:t>7</w:t>
            </w:r>
            <w:r>
              <w:t>.</w:t>
            </w:r>
            <w:r w:rsidR="003D18C4">
              <w:t>2</w:t>
            </w:r>
          </w:p>
          <w:p w:rsidR="00115B89" w:rsidRPr="00736017" w:rsidRDefault="00E62C75">
            <w:pPr>
              <w:pStyle w:val="QPPTableTextBody"/>
            </w:pPr>
            <w:r w:rsidRPr="00736017">
              <w:rPr>
                <w:rStyle w:val="QPPTableTextBodyChar"/>
              </w:rPr>
              <w:t xml:space="preserve">Development </w:t>
            </w:r>
            <w:r w:rsidR="00150FB5" w:rsidRPr="00736017">
              <w:rPr>
                <w:rStyle w:val="QPPTableTextBodyChar"/>
              </w:rPr>
              <w:t>provides</w:t>
            </w:r>
            <w:r w:rsidRPr="00736017">
              <w:rPr>
                <w:rStyle w:val="QPPTableTextBodyChar"/>
              </w:rPr>
              <w:t xml:space="preserve"> e</w:t>
            </w:r>
            <w:r w:rsidR="00115B89" w:rsidRPr="00736017">
              <w:rPr>
                <w:rStyle w:val="QPPTableTextBodyChar"/>
              </w:rPr>
              <w:t>rosion and sediment control standards</w:t>
            </w:r>
            <w:r w:rsidR="00150FB5" w:rsidRPr="00736017">
              <w:rPr>
                <w:rStyle w:val="QPPTableTextBodyChar"/>
              </w:rPr>
              <w:t xml:space="preserve"> that</w:t>
            </w:r>
            <w:r w:rsidR="00115B89" w:rsidRPr="00736017">
              <w:rPr>
                <w:rStyle w:val="QPPTableTextBodyChar"/>
              </w:rPr>
              <w:t xml:space="preserve"> are in accordance with</w:t>
            </w:r>
            <w:r w:rsidR="00115B89" w:rsidRPr="00736017">
              <w:t xml:space="preserve"> </w:t>
            </w:r>
            <w:r w:rsidR="00752FAD">
              <w:t>the stormwater drainage</w:t>
            </w:r>
            <w:r w:rsidR="00752FAD" w:rsidRPr="00752FAD">
              <w:t xml:space="preserve"> </w:t>
            </w:r>
            <w:r w:rsidR="00752FAD">
              <w:t xml:space="preserve">section of the </w:t>
            </w:r>
            <w:hyperlink r:id="rId50" w:history="1">
              <w:r w:rsidR="00A57627" w:rsidRPr="00511BC7">
                <w:rPr>
                  <w:rStyle w:val="Hyperlink"/>
                </w:rPr>
                <w:t xml:space="preserve">Infrastructure design </w:t>
              </w:r>
              <w:r w:rsidR="00E87408" w:rsidRPr="00511BC7">
                <w:rPr>
                  <w:rStyle w:val="Hyperlink"/>
                </w:rPr>
                <w:t>planning</w:t>
              </w:r>
              <w:r w:rsidR="00E87408" w:rsidRPr="00D6346B">
                <w:rPr>
                  <w:rStyle w:val="Hyperlink"/>
                </w:rPr>
                <w:t xml:space="preserve"> scheme policy</w:t>
              </w:r>
            </w:hyperlink>
            <w:r w:rsidR="00A57627">
              <w:t>.</w:t>
            </w:r>
          </w:p>
        </w:tc>
      </w:tr>
      <w:tr w:rsidR="00115B89" w:rsidRPr="00736017" w:rsidTr="002B1CD7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115B89" w:rsidRDefault="00E94E56" w:rsidP="00F460E5">
            <w:pPr>
              <w:pStyle w:val="QPPTableTextBold"/>
            </w:pPr>
            <w:r>
              <w:t>PO</w:t>
            </w:r>
            <w:r w:rsidR="00C03E54">
              <w:t>8</w:t>
            </w:r>
          </w:p>
          <w:p w:rsidR="006A6C53" w:rsidRPr="004B43BD" w:rsidRDefault="00E62C75" w:rsidP="00562768">
            <w:pPr>
              <w:pStyle w:val="QPPTableTextBody"/>
            </w:pPr>
            <w:r w:rsidRPr="004B43BD">
              <w:t xml:space="preserve">Development </w:t>
            </w:r>
            <w:r w:rsidR="00150FB5" w:rsidRPr="004B43BD">
              <w:t xml:space="preserve">for </w:t>
            </w:r>
            <w:hyperlink r:id="rId51" w:anchor="FillOrExc" w:history="1">
              <w:r w:rsidR="00267176" w:rsidRPr="00267176">
                <w:rPr>
                  <w:rStyle w:val="Hyperlink"/>
                </w:rPr>
                <w:t>filling or excavation</w:t>
              </w:r>
            </w:hyperlink>
            <w:r w:rsidR="006A6C53" w:rsidRPr="004B43BD">
              <w:t xml:space="preserve"> is conducted such that adverse impacts</w:t>
            </w:r>
            <w:r w:rsidR="0026391A">
              <w:t xml:space="preserve"> </w:t>
            </w:r>
            <w:r w:rsidR="00610805" w:rsidRPr="004B43BD">
              <w:t xml:space="preserve">at </w:t>
            </w:r>
            <w:r w:rsidR="00A8620D" w:rsidRPr="00F837DC">
              <w:t xml:space="preserve">a </w:t>
            </w:r>
            <w:r w:rsidR="00610805" w:rsidRPr="00F837DC">
              <w:t xml:space="preserve">sensitive use </w:t>
            </w:r>
            <w:r w:rsidR="006A6C53" w:rsidRPr="00F837DC">
              <w:t>due to noise and dus</w:t>
            </w:r>
            <w:r w:rsidR="00610805" w:rsidRPr="00F837DC">
              <w:t>t</w:t>
            </w:r>
            <w:r w:rsidR="00F80762" w:rsidRPr="00F837DC">
              <w:t xml:space="preserve"> </w:t>
            </w:r>
            <w:r w:rsidR="006A6C53" w:rsidRPr="00F837DC">
              <w:t>are p</w:t>
            </w:r>
            <w:r w:rsidR="00B25462">
              <w:t>revented or minimised.</w:t>
            </w:r>
          </w:p>
          <w:p w:rsidR="00115B89" w:rsidRPr="00D23DF0" w:rsidRDefault="00610805" w:rsidP="005D256F">
            <w:pPr>
              <w:pStyle w:val="QPPEditorsNoteStyle1"/>
            </w:pPr>
            <w:r>
              <w:t>Note—</w:t>
            </w:r>
            <w:r w:rsidR="005D256F">
              <w:t>A</w:t>
            </w:r>
            <w:r>
              <w:t xml:space="preserve"> noise and dust impact management plan</w:t>
            </w:r>
            <w:r w:rsidR="005D256F">
              <w:t xml:space="preserve"> prepared</w:t>
            </w:r>
            <w:r>
              <w:t xml:space="preserve"> in </w:t>
            </w:r>
            <w:r w:rsidRPr="00BC6EEE">
              <w:t xml:space="preserve">accordance with the </w:t>
            </w:r>
            <w:hyperlink r:id="rId52" w:history="1">
              <w:r w:rsidRPr="00BC6EEE">
                <w:rPr>
                  <w:rStyle w:val="Hyperlink"/>
                </w:rPr>
                <w:t>Management plans planning scheme policy</w:t>
              </w:r>
            </w:hyperlink>
            <w:r w:rsidRPr="00BC6EEE">
              <w:t xml:space="preserve"> can assist in</w:t>
            </w:r>
            <w:r>
              <w:t xml:space="preserve"> demonstrating achieveme</w:t>
            </w:r>
            <w:r w:rsidR="00B25462">
              <w:t>nt of this performance outcome.</w:t>
            </w:r>
          </w:p>
        </w:tc>
        <w:tc>
          <w:tcPr>
            <w:tcW w:w="4151" w:type="dxa"/>
            <w:shd w:val="clear" w:color="auto" w:fill="auto"/>
          </w:tcPr>
          <w:p w:rsidR="00115B89" w:rsidRDefault="00C03E54" w:rsidP="00F460E5">
            <w:pPr>
              <w:pStyle w:val="QPPTableTextBold"/>
            </w:pPr>
            <w:r>
              <w:t>AO8</w:t>
            </w:r>
            <w:r w:rsidR="00115B89">
              <w:t>.1</w:t>
            </w:r>
          </w:p>
          <w:p w:rsidR="00115B89" w:rsidRPr="00736017" w:rsidRDefault="00E62C75" w:rsidP="002B1CD7">
            <w:pPr>
              <w:pStyle w:val="QPPTableTextBody"/>
            </w:pPr>
            <w:r w:rsidRPr="00736017">
              <w:rPr>
                <w:rStyle w:val="QPPTableTextBodyChar"/>
              </w:rPr>
              <w:t>Development ensures that n</w:t>
            </w:r>
            <w:r w:rsidR="00115B89" w:rsidRPr="00736017">
              <w:rPr>
                <w:rStyle w:val="QPPTableTextBodyChar"/>
              </w:rPr>
              <w:t>o dust emissions extend beyond the boundary of the site, including dust from construction vehicles entering and leaving the site</w:t>
            </w:r>
            <w:r w:rsidR="00115B89" w:rsidRPr="00736017">
              <w:t>.</w:t>
            </w:r>
          </w:p>
        </w:tc>
      </w:tr>
      <w:tr w:rsidR="00115B89" w:rsidRPr="00D23DF0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115B89" w:rsidRDefault="00115B89" w:rsidP="00736017">
            <w:pPr>
              <w:ind w:left="360"/>
            </w:pPr>
          </w:p>
        </w:tc>
        <w:tc>
          <w:tcPr>
            <w:tcW w:w="4151" w:type="dxa"/>
            <w:shd w:val="clear" w:color="auto" w:fill="auto"/>
          </w:tcPr>
          <w:p w:rsidR="00115B89" w:rsidRDefault="00C03E54" w:rsidP="00F460E5">
            <w:pPr>
              <w:pStyle w:val="QPPTableTextBold"/>
            </w:pPr>
            <w:r>
              <w:t>AO8</w:t>
            </w:r>
            <w:r w:rsidR="00115B89">
              <w:t>.2</w:t>
            </w:r>
          </w:p>
          <w:p w:rsidR="00115B89" w:rsidRPr="004B43BD" w:rsidRDefault="00E62C75" w:rsidP="00562768">
            <w:pPr>
              <w:pStyle w:val="QPPTableTextBody"/>
            </w:pPr>
            <w:r w:rsidRPr="004B43BD">
              <w:t xml:space="preserve">Development </w:t>
            </w:r>
            <w:r w:rsidR="00150FB5" w:rsidRPr="004B43BD">
              <w:t>for</w:t>
            </w:r>
            <w:r w:rsidRPr="004B43BD">
              <w:t xml:space="preserve"> </w:t>
            </w:r>
            <w:hyperlink r:id="rId53" w:anchor="FillOrExc" w:history="1">
              <w:r w:rsidR="00267176" w:rsidRPr="00267176">
                <w:rPr>
                  <w:rStyle w:val="Hyperlink"/>
                </w:rPr>
                <w:t>filling or excavation</w:t>
              </w:r>
            </w:hyperlink>
            <w:r w:rsidR="00610805" w:rsidRPr="004B43BD">
              <w:t xml:space="preserve"> activity only occurs between the hours of 6:30am and 6:30pm Monday to Satur</w:t>
            </w:r>
            <w:r w:rsidR="00B25462">
              <w:t>day, excluding public holidays.</w:t>
            </w:r>
          </w:p>
        </w:tc>
      </w:tr>
      <w:tr w:rsidR="00115B89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15B89" w:rsidRDefault="00E94E56" w:rsidP="00F460E5">
            <w:pPr>
              <w:pStyle w:val="QPPTableTextBold"/>
            </w:pPr>
            <w:r>
              <w:t>PO</w:t>
            </w:r>
            <w:r w:rsidR="00C03E54">
              <w:t>9</w:t>
            </w:r>
          </w:p>
          <w:p w:rsidR="007F191A" w:rsidRPr="00E91907" w:rsidRDefault="00D80DCA" w:rsidP="002B1CD7">
            <w:pPr>
              <w:pStyle w:val="QPPTableTextBody"/>
            </w:pPr>
            <w:r w:rsidRPr="00736017">
              <w:rPr>
                <w:rStyle w:val="QPPTableTextBodyChar"/>
              </w:rPr>
              <w:t>Development ensures that v</w:t>
            </w:r>
            <w:r w:rsidR="007F191A" w:rsidRPr="00736017">
              <w:rPr>
                <w:rStyle w:val="QPPTableTextBodyChar"/>
              </w:rPr>
              <w:t xml:space="preserve">ibration generated by the </w:t>
            </w:r>
            <w:hyperlink r:id="rId54" w:anchor="FillOrExc" w:history="1">
              <w:r w:rsidR="00267176" w:rsidRPr="00736017">
                <w:rPr>
                  <w:rStyle w:val="Hyperlink"/>
                </w:rPr>
                <w:t>filling or excavation</w:t>
              </w:r>
            </w:hyperlink>
            <w:r w:rsidR="007F191A" w:rsidRPr="00736017">
              <w:rPr>
                <w:rStyle w:val="QPPTableTextBodyChar"/>
              </w:rPr>
              <w:t xml:space="preserve"> operation does not exceed the vibration criteria in</w:t>
            </w:r>
            <w:r w:rsidR="007F191A" w:rsidRPr="00736017">
              <w:t xml:space="preserve"> </w:t>
            </w:r>
            <w:hyperlink r:id="rId55" w:anchor="Table9433b" w:history="1">
              <w:r w:rsidR="007F191A" w:rsidRPr="000C2245">
                <w:rPr>
                  <w:rStyle w:val="Hyperlink"/>
                </w:rPr>
                <w:t xml:space="preserve">Table </w:t>
              </w:r>
              <w:r w:rsidR="009337B7" w:rsidRPr="000C2245">
                <w:rPr>
                  <w:rStyle w:val="Hyperlink"/>
                </w:rPr>
                <w:t>9.4.3</w:t>
              </w:r>
              <w:r w:rsidR="0026391A" w:rsidRPr="000C2245">
                <w:rPr>
                  <w:rStyle w:val="Hyperlink"/>
                </w:rPr>
                <w:t>.3</w:t>
              </w:r>
              <w:r w:rsidR="009337B7" w:rsidRPr="000C2245">
                <w:rPr>
                  <w:rStyle w:val="Hyperlink"/>
                </w:rPr>
                <w:t>.</w:t>
              </w:r>
              <w:r w:rsidR="00BE1215" w:rsidRPr="000C2245">
                <w:rPr>
                  <w:rStyle w:val="Hyperlink"/>
                </w:rPr>
                <w:t>B</w:t>
              </w:r>
            </w:hyperlink>
            <w:r w:rsidR="007F191A" w:rsidRPr="001E38BF">
              <w:t xml:space="preserve">, </w:t>
            </w:r>
            <w:hyperlink r:id="rId56" w:anchor="Table9433c" w:history="1">
              <w:r w:rsidR="007F191A" w:rsidRPr="000C2245">
                <w:rPr>
                  <w:rStyle w:val="Hyperlink"/>
                </w:rPr>
                <w:t xml:space="preserve">Table </w:t>
              </w:r>
              <w:r w:rsidR="00F80762" w:rsidRPr="000C2245">
                <w:rPr>
                  <w:rStyle w:val="Hyperlink"/>
                </w:rPr>
                <w:t>9.4.3</w:t>
              </w:r>
              <w:r w:rsidR="0026391A" w:rsidRPr="000C2245">
                <w:rPr>
                  <w:rStyle w:val="Hyperlink"/>
                </w:rPr>
                <w:t>.3</w:t>
              </w:r>
              <w:r w:rsidR="00F80762" w:rsidRPr="000C2245">
                <w:rPr>
                  <w:rStyle w:val="Hyperlink"/>
                </w:rPr>
                <w:t>.</w:t>
              </w:r>
              <w:r w:rsidR="00BE1215" w:rsidRPr="000C2245">
                <w:rPr>
                  <w:rStyle w:val="Hyperlink"/>
                </w:rPr>
                <w:t>C</w:t>
              </w:r>
            </w:hyperlink>
            <w:r w:rsidR="007B16E4" w:rsidRPr="00790C49">
              <w:t>,</w:t>
            </w:r>
            <w:r w:rsidR="009337B7" w:rsidRPr="00790C49">
              <w:t xml:space="preserve"> </w:t>
            </w:r>
            <w:hyperlink r:id="rId57" w:anchor="Table9433d" w:history="1">
              <w:r w:rsidR="00F80762" w:rsidRPr="000C2245">
                <w:rPr>
                  <w:rStyle w:val="Hyperlink"/>
                </w:rPr>
                <w:t>Table 9.4.3.</w:t>
              </w:r>
              <w:r w:rsidR="0026391A" w:rsidRPr="000C2245">
                <w:rPr>
                  <w:rStyle w:val="Hyperlink"/>
                </w:rPr>
                <w:t>3.</w:t>
              </w:r>
              <w:r w:rsidR="00BE1215" w:rsidRPr="000C2245">
                <w:rPr>
                  <w:rStyle w:val="Hyperlink"/>
                </w:rPr>
                <w:t>D</w:t>
              </w:r>
            </w:hyperlink>
            <w:r w:rsidR="007B16E4">
              <w:t xml:space="preserve"> and </w:t>
            </w:r>
            <w:hyperlink r:id="rId58" w:anchor="Table9433e" w:history="1">
              <w:r w:rsidR="007B16E4" w:rsidRPr="000C2245">
                <w:rPr>
                  <w:rStyle w:val="Hyperlink"/>
                </w:rPr>
                <w:t>Table 9.4.3.3.</w:t>
              </w:r>
              <w:r w:rsidR="00BE1215" w:rsidRPr="000C2245">
                <w:rPr>
                  <w:rStyle w:val="Hyperlink"/>
                </w:rPr>
                <w:t>E</w:t>
              </w:r>
            </w:hyperlink>
            <w:r w:rsidR="007B16E4" w:rsidRPr="00E91907">
              <w:t>.</w:t>
            </w:r>
          </w:p>
          <w:p w:rsidR="00115B89" w:rsidRDefault="007F191A" w:rsidP="005D256F">
            <w:pPr>
              <w:pStyle w:val="QPPEditorsNoteStyle1"/>
            </w:pPr>
            <w:r w:rsidRPr="00BC6EEE">
              <w:t>Note—</w:t>
            </w:r>
            <w:r w:rsidR="005D256F">
              <w:t>A</w:t>
            </w:r>
            <w:r w:rsidRPr="00BC6EEE">
              <w:t xml:space="preserve"> noise management report</w:t>
            </w:r>
            <w:r w:rsidR="005D256F">
              <w:t xml:space="preserve"> prepared</w:t>
            </w:r>
            <w:r w:rsidRPr="00BC6EEE">
              <w:t xml:space="preserve"> in accordance with the </w:t>
            </w:r>
            <w:hyperlink r:id="rId59" w:history="1">
              <w:r w:rsidRPr="00BC6EEE">
                <w:rPr>
                  <w:rStyle w:val="Hyperlink"/>
                </w:rPr>
                <w:t>Noise impact assessment planning scheme policy</w:t>
              </w:r>
            </w:hyperlink>
            <w:r w:rsidRPr="00BC6EEE">
              <w:t xml:space="preserve"> can assist in demonstrating achievement of this performance</w:t>
            </w:r>
            <w:r w:rsidRPr="00317443">
              <w:t xml:space="preserve"> outcome.</w:t>
            </w:r>
          </w:p>
        </w:tc>
        <w:tc>
          <w:tcPr>
            <w:tcW w:w="4151" w:type="dxa"/>
            <w:shd w:val="clear" w:color="auto" w:fill="auto"/>
          </w:tcPr>
          <w:p w:rsidR="00115B89" w:rsidRDefault="00115B89" w:rsidP="00F460E5">
            <w:pPr>
              <w:pStyle w:val="QPPTableTextBold"/>
            </w:pPr>
            <w:r>
              <w:t>AO</w:t>
            </w:r>
            <w:r w:rsidR="00C03E54">
              <w:t>9</w:t>
            </w:r>
          </w:p>
          <w:p w:rsidR="00D225A9" w:rsidRPr="004B43BD" w:rsidRDefault="00D80DCA" w:rsidP="00562768">
            <w:pPr>
              <w:pStyle w:val="QPPTableTextBody"/>
            </w:pPr>
            <w:r w:rsidRPr="004B43BD">
              <w:t xml:space="preserve">Development </w:t>
            </w:r>
            <w:r w:rsidR="00987DC8" w:rsidRPr="004B43BD">
              <w:t xml:space="preserve">involving </w:t>
            </w:r>
            <w:hyperlink r:id="rId60" w:anchor="FillOrExc" w:history="1">
              <w:r w:rsidR="00267176" w:rsidRPr="00267176">
                <w:rPr>
                  <w:rStyle w:val="Hyperlink"/>
                </w:rPr>
                <w:t>filling or excavation</w:t>
              </w:r>
            </w:hyperlink>
            <w:r w:rsidR="00987DC8" w:rsidRPr="004B43BD">
              <w:t xml:space="preserve"> </w:t>
            </w:r>
            <w:r w:rsidR="007F191A" w:rsidRPr="004B43BD">
              <w:t xml:space="preserve">does not cause </w:t>
            </w:r>
            <w:r w:rsidR="00987DC8" w:rsidRPr="004B43BD">
              <w:t xml:space="preserve">a </w:t>
            </w:r>
            <w:r w:rsidR="007F191A" w:rsidRPr="004B43BD">
              <w:t>ground-borne vibration beyond the boundary of the site.</w:t>
            </w:r>
          </w:p>
        </w:tc>
      </w:tr>
      <w:tr w:rsidR="00115B89" w:rsidRPr="00D23DF0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115B89" w:rsidRDefault="00E94E56" w:rsidP="00F460E5">
            <w:pPr>
              <w:pStyle w:val="QPPTableTextBold"/>
            </w:pPr>
            <w:r>
              <w:t>PO1</w:t>
            </w:r>
            <w:r w:rsidR="00C03E54">
              <w:t>0</w:t>
            </w:r>
          </w:p>
          <w:p w:rsidR="00115B89" w:rsidRPr="00736017" w:rsidRDefault="00D80DCA" w:rsidP="007B16E4">
            <w:pPr>
              <w:pStyle w:val="QPPTableTextBody"/>
            </w:pPr>
            <w:r w:rsidRPr="00736017">
              <w:rPr>
                <w:rStyle w:val="QPPTableTextBodyChar"/>
              </w:rPr>
              <w:t>Development ensures that h</w:t>
            </w:r>
            <w:r w:rsidR="00115B89" w:rsidRPr="00736017">
              <w:rPr>
                <w:rStyle w:val="QPPTableTextBodyChar"/>
              </w:rPr>
              <w:t xml:space="preserve">eavy trucks hauling material to and from the site do not affect the </w:t>
            </w:r>
            <w:hyperlink r:id="rId61" w:anchor="Amenity" w:history="1">
              <w:r w:rsidR="00115B89" w:rsidRPr="00D6346B">
                <w:rPr>
                  <w:rStyle w:val="Hyperlink"/>
                </w:rPr>
                <w:t>amenity</w:t>
              </w:r>
            </w:hyperlink>
            <w:r w:rsidR="00115B89" w:rsidRPr="00736017">
              <w:rPr>
                <w:rStyle w:val="QPPTableTextBodyChar"/>
              </w:rPr>
              <w:t xml:space="preserve"> of established areas and limits environmental nuisance impact on adjacent </w:t>
            </w:r>
            <w:r w:rsidR="009337B7" w:rsidRPr="00736017">
              <w:rPr>
                <w:rStyle w:val="QPPTableTextBodyChar"/>
              </w:rPr>
              <w:t>land</w:t>
            </w:r>
            <w:r w:rsidR="00115B89" w:rsidRPr="00736017">
              <w:t>.</w:t>
            </w:r>
          </w:p>
        </w:tc>
        <w:tc>
          <w:tcPr>
            <w:tcW w:w="4151" w:type="dxa"/>
            <w:shd w:val="clear" w:color="auto" w:fill="auto"/>
          </w:tcPr>
          <w:p w:rsidR="00115B89" w:rsidRDefault="00115B89" w:rsidP="00F460E5">
            <w:pPr>
              <w:pStyle w:val="QPPTableTextBold"/>
            </w:pPr>
            <w:r>
              <w:t>AO</w:t>
            </w:r>
            <w:r w:rsidR="003910F2">
              <w:t>1</w:t>
            </w:r>
            <w:r w:rsidR="00C03E54">
              <w:t>0</w:t>
            </w:r>
          </w:p>
          <w:p w:rsidR="00245D91" w:rsidRPr="004B43BD" w:rsidRDefault="00D80DCA" w:rsidP="00562768">
            <w:pPr>
              <w:pStyle w:val="QPPTableTextBody"/>
            </w:pPr>
            <w:r w:rsidRPr="004B43BD">
              <w:t>Development ensures that h</w:t>
            </w:r>
            <w:r w:rsidR="00115B89" w:rsidRPr="004B43BD">
              <w:t>eavy trucks hauling material to and from the site</w:t>
            </w:r>
            <w:r w:rsidR="00245D91" w:rsidRPr="004B43BD">
              <w:t>:</w:t>
            </w:r>
          </w:p>
          <w:p w:rsidR="00245D91" w:rsidRDefault="00115B89" w:rsidP="007C14DE">
            <w:pPr>
              <w:pStyle w:val="HGTableBullet2"/>
              <w:numPr>
                <w:ilvl w:val="0"/>
                <w:numId w:val="17"/>
              </w:numPr>
              <w:ind w:left="567" w:hanging="567"/>
            </w:pPr>
            <w:r w:rsidRPr="00E675A6">
              <w:t>occur for a maximum of 3 weeks</w:t>
            </w:r>
            <w:r w:rsidR="00245D91">
              <w:t>;</w:t>
            </w:r>
          </w:p>
          <w:p w:rsidR="00245D91" w:rsidRDefault="00115B89" w:rsidP="007C14DE">
            <w:pPr>
              <w:pStyle w:val="HGTableBullet2"/>
              <w:numPr>
                <w:ilvl w:val="0"/>
                <w:numId w:val="17"/>
              </w:numPr>
              <w:ind w:left="567" w:hanging="567"/>
            </w:pPr>
            <w:r w:rsidRPr="00E675A6">
              <w:t xml:space="preserve">use </w:t>
            </w:r>
            <w:r w:rsidR="00245D91">
              <w:t xml:space="preserve">a </w:t>
            </w:r>
            <w:r w:rsidRPr="00F837DC">
              <w:t>major road</w:t>
            </w:r>
            <w:r w:rsidRPr="00E675A6">
              <w:t xml:space="preserve"> to access the site</w:t>
            </w:r>
            <w:r w:rsidR="00245D91">
              <w:t>;</w:t>
            </w:r>
          </w:p>
          <w:p w:rsidR="00115B89" w:rsidRPr="00181808" w:rsidRDefault="00115B89" w:rsidP="00EB0BE0">
            <w:pPr>
              <w:pStyle w:val="HGTableBullet2"/>
              <w:numPr>
                <w:ilvl w:val="0"/>
                <w:numId w:val="17"/>
              </w:numPr>
            </w:pPr>
            <w:r w:rsidRPr="00181808">
              <w:t xml:space="preserve">only use </w:t>
            </w:r>
            <w:r w:rsidR="00245D91" w:rsidRPr="00181808">
              <w:t xml:space="preserve">a </w:t>
            </w:r>
            <w:r w:rsidRPr="00181808">
              <w:t>minor road for the shortest</w:t>
            </w:r>
            <w:r w:rsidR="00EB0BE0">
              <w:t>-</w:t>
            </w:r>
            <w:r w:rsidRPr="00181808">
              <w:t>most</w:t>
            </w:r>
            <w:r w:rsidR="00EB0BE0">
              <w:t>-</w:t>
            </w:r>
            <w:r w:rsidRPr="00181808">
              <w:t xml:space="preserve">direct route that has the least amount of environmental nuisance </w:t>
            </w:r>
            <w:r w:rsidR="00245D91" w:rsidRPr="00181808">
              <w:t xml:space="preserve">if </w:t>
            </w:r>
            <w:r w:rsidRPr="00181808">
              <w:t>there is no major road alternative.</w:t>
            </w:r>
          </w:p>
        </w:tc>
      </w:tr>
      <w:tr w:rsidR="00296A3D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296A3D" w:rsidRDefault="00296A3D" w:rsidP="00F460E5">
            <w:pPr>
              <w:pStyle w:val="QPPTableTextBold"/>
            </w:pPr>
            <w:r>
              <w:t>PO1</w:t>
            </w:r>
            <w:r w:rsidR="00C03E54">
              <w:t>1</w:t>
            </w:r>
          </w:p>
          <w:p w:rsidR="00296A3D" w:rsidRDefault="00296A3D" w:rsidP="00296A3D">
            <w:pPr>
              <w:pStyle w:val="QPPTableTextBody"/>
            </w:pPr>
            <w:r>
              <w:t>Development for filling or excavation protects the environment and community health and wellbeing from exposure to contaminated land</w:t>
            </w:r>
            <w:r w:rsidR="007C5498">
              <w:t xml:space="preserve"> and contaminated material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296A3D" w:rsidRDefault="00296A3D" w:rsidP="00F460E5">
            <w:pPr>
              <w:pStyle w:val="QPPTableTextBold"/>
            </w:pPr>
            <w:r>
              <w:t>AO1</w:t>
            </w:r>
            <w:r w:rsidR="00C03E54">
              <w:t>1</w:t>
            </w:r>
          </w:p>
          <w:p w:rsidR="00296A3D" w:rsidRDefault="00296A3D" w:rsidP="00296A3D">
            <w:pPr>
              <w:pStyle w:val="QPPTableTextBody"/>
            </w:pPr>
            <w:r>
              <w:t>Development does not involve:</w:t>
            </w:r>
          </w:p>
          <w:p w:rsidR="00296A3D" w:rsidRDefault="00296A3D" w:rsidP="007C14DE">
            <w:pPr>
              <w:pStyle w:val="HGTableBullet2"/>
              <w:numPr>
                <w:ilvl w:val="0"/>
                <w:numId w:val="23"/>
              </w:numPr>
            </w:pPr>
            <w:r>
              <w:t xml:space="preserve">excavation on land previously occupied by a notifiable activity or on land listed on the </w:t>
            </w:r>
            <w:hyperlink r:id="rId62" w:anchor="environmental_management_register" w:history="1">
              <w:r w:rsidRPr="001028B5">
                <w:rPr>
                  <w:rStyle w:val="Hyperlink"/>
                </w:rPr>
                <w:t>Environmental Management Register</w:t>
              </w:r>
            </w:hyperlink>
            <w:r>
              <w:t xml:space="preserve"> or the </w:t>
            </w:r>
            <w:hyperlink r:id="rId63" w:anchor="environmental_management_register" w:history="1">
              <w:r w:rsidR="009A52CF" w:rsidRPr="001028B5">
                <w:rPr>
                  <w:rStyle w:val="Hyperlink"/>
                </w:rPr>
                <w:t>C</w:t>
              </w:r>
              <w:r w:rsidRPr="001028B5">
                <w:rPr>
                  <w:rStyle w:val="Hyperlink"/>
                </w:rPr>
                <w:t xml:space="preserve">ontaminated </w:t>
              </w:r>
              <w:r w:rsidR="009A52CF" w:rsidRPr="001028B5">
                <w:rPr>
                  <w:rStyle w:val="Hyperlink"/>
                </w:rPr>
                <w:t>L</w:t>
              </w:r>
              <w:r w:rsidRPr="001028B5">
                <w:rPr>
                  <w:rStyle w:val="Hyperlink"/>
                </w:rPr>
                <w:t>and Register</w:t>
              </w:r>
            </w:hyperlink>
            <w:r>
              <w:t>;</w:t>
            </w:r>
          </w:p>
          <w:p w:rsidR="00296A3D" w:rsidRDefault="00296A3D" w:rsidP="007C14DE">
            <w:pPr>
              <w:pStyle w:val="HGTableBullet2"/>
              <w:numPr>
                <w:ilvl w:val="0"/>
                <w:numId w:val="23"/>
              </w:numPr>
            </w:pPr>
            <w:r>
              <w:t>filling with material containing a contaminant.</w:t>
            </w:r>
          </w:p>
        </w:tc>
      </w:tr>
      <w:tr w:rsidR="00287250" w:rsidRPr="00736017" w:rsidTr="002B1CD7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287250" w:rsidRPr="00FF34DD" w:rsidRDefault="00296A3D" w:rsidP="00287250">
            <w:pPr>
              <w:pStyle w:val="QPPTableTextBold"/>
            </w:pPr>
            <w:r>
              <w:t>PO1</w:t>
            </w:r>
            <w:r w:rsidR="00C03E54">
              <w:t>2</w:t>
            </w:r>
          </w:p>
          <w:p w:rsidR="00287250" w:rsidRDefault="00287250" w:rsidP="00287250">
            <w:pPr>
              <w:pStyle w:val="QPPTableTextBody"/>
            </w:pPr>
            <w:r w:rsidRPr="00ED262E">
              <w:t xml:space="preserve">Development provides </w:t>
            </w:r>
            <w:r>
              <w:t>for:</w:t>
            </w:r>
          </w:p>
          <w:p w:rsidR="00C03E54" w:rsidRDefault="00EB0BE0" w:rsidP="00D6346B">
            <w:pPr>
              <w:pStyle w:val="HGTableBullet2"/>
              <w:numPr>
                <w:ilvl w:val="0"/>
                <w:numId w:val="58"/>
              </w:numPr>
            </w:pPr>
            <w:r>
              <w:t>l</w:t>
            </w:r>
            <w:r w:rsidR="00C03E54">
              <w:t>andscaping for water conservation purposes;</w:t>
            </w:r>
          </w:p>
          <w:p w:rsidR="00287250" w:rsidRDefault="00287250" w:rsidP="00D6346B">
            <w:pPr>
              <w:pStyle w:val="HGTableBullet2"/>
              <w:numPr>
                <w:ilvl w:val="0"/>
                <w:numId w:val="57"/>
              </w:numPr>
            </w:pPr>
            <w:r w:rsidRPr="00ED262E">
              <w:t xml:space="preserve">water sensitive urban design measures which are employed within the landscape design to maximise stormwater use and to reduce any </w:t>
            </w:r>
            <w:r w:rsidRPr="00ED262E">
              <w:lastRenderedPageBreak/>
              <w:t>adverse impacts on the landscape;</w:t>
            </w:r>
          </w:p>
          <w:p w:rsidR="00287250" w:rsidRDefault="00287250" w:rsidP="00287250">
            <w:pPr>
              <w:pStyle w:val="HGTableBullet2"/>
            </w:pPr>
            <w:r w:rsidRPr="00ED262E">
              <w:t>stormwater harvesting to be maximised and any adverse impacts of stormwater minimised</w:t>
            </w:r>
            <w:r w:rsidR="00296A3D">
              <w:t>.</w:t>
            </w:r>
          </w:p>
        </w:tc>
        <w:tc>
          <w:tcPr>
            <w:tcW w:w="4151" w:type="dxa"/>
            <w:shd w:val="clear" w:color="auto" w:fill="auto"/>
          </w:tcPr>
          <w:p w:rsidR="00287250" w:rsidRPr="00117651" w:rsidRDefault="00287250" w:rsidP="00287250">
            <w:pPr>
              <w:pStyle w:val="QPPTableTextBold"/>
            </w:pPr>
            <w:r w:rsidRPr="00117651">
              <w:lastRenderedPageBreak/>
              <w:t>AO1</w:t>
            </w:r>
            <w:r w:rsidR="00C03E54">
              <w:t>2</w:t>
            </w:r>
            <w:r w:rsidRPr="00117651">
              <w:t>.1</w:t>
            </w:r>
          </w:p>
          <w:p w:rsidR="00287250" w:rsidRDefault="00287250" w:rsidP="00287250">
            <w:pPr>
              <w:pStyle w:val="QPPTableTextBody"/>
            </w:pPr>
            <w:r>
              <w:t>Development provides l</w:t>
            </w:r>
            <w:r w:rsidRPr="00117651">
              <w:t xml:space="preserve">andscaping </w:t>
            </w:r>
            <w:r>
              <w:t xml:space="preserve">which </w:t>
            </w:r>
            <w:r w:rsidRPr="00117651">
              <w:t xml:space="preserve">is designed using the standards in the </w:t>
            </w:r>
            <w:hyperlink r:id="rId64" w:history="1">
              <w:r w:rsidRPr="00117651">
                <w:rPr>
                  <w:rStyle w:val="Hyperlink"/>
                </w:rPr>
                <w:t>Landscape design guidelines for water conservation planning scheme policy.</w:t>
              </w:r>
            </w:hyperlink>
          </w:p>
        </w:tc>
      </w:tr>
      <w:tr w:rsidR="00287250" w:rsidRPr="00D23DF0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287250" w:rsidRDefault="00287250" w:rsidP="00F460E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87250" w:rsidRDefault="00287250" w:rsidP="00287250">
            <w:pPr>
              <w:pStyle w:val="QPPTableTextBold"/>
            </w:pPr>
            <w:r>
              <w:t>AO1</w:t>
            </w:r>
            <w:r w:rsidR="00C03E54">
              <w:t>2</w:t>
            </w:r>
            <w:r>
              <w:t>.2</w:t>
            </w:r>
          </w:p>
          <w:p w:rsidR="00287250" w:rsidRDefault="00287250" w:rsidP="0080736E">
            <w:pPr>
              <w:pStyle w:val="QPPTableTextBody"/>
            </w:pPr>
            <w:r>
              <w:t xml:space="preserve">Development ensures that the design and requirements for irrigation </w:t>
            </w:r>
            <w:r w:rsidR="0080736E">
              <w:t xml:space="preserve">are </w:t>
            </w:r>
            <w:r>
              <w:t xml:space="preserve">in </w:t>
            </w:r>
            <w:r w:rsidR="00424B72">
              <w:t>compliance</w:t>
            </w:r>
            <w:r w:rsidRPr="00AF72D7">
              <w:t xml:space="preserve"> </w:t>
            </w:r>
            <w:r w:rsidRPr="00AF72D7">
              <w:lastRenderedPageBreak/>
              <w:t xml:space="preserve">with the standards in the </w:t>
            </w:r>
            <w:hyperlink r:id="rId65" w:history="1">
              <w:r w:rsidRPr="00AF72D7">
                <w:rPr>
                  <w:rStyle w:val="Hyperlink"/>
                </w:rPr>
                <w:t>Landscape design guidelines for water conservation planning scheme policy.</w:t>
              </w:r>
            </w:hyperlink>
          </w:p>
        </w:tc>
      </w:tr>
      <w:tr w:rsidR="00287250" w:rsidRPr="00736017" w:rsidTr="002B1CD7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287250" w:rsidRDefault="00287250" w:rsidP="00F460E5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87250" w:rsidRPr="00FF34DD" w:rsidRDefault="00287250" w:rsidP="00287250">
            <w:pPr>
              <w:pStyle w:val="QPPTableTextBold"/>
            </w:pPr>
            <w:r>
              <w:t>AO1</w:t>
            </w:r>
            <w:r w:rsidR="00C03E54">
              <w:t>2</w:t>
            </w:r>
            <w:r>
              <w:t>.3</w:t>
            </w:r>
          </w:p>
          <w:p w:rsidR="00287250" w:rsidRDefault="00287250" w:rsidP="00287250">
            <w:pPr>
              <w:pStyle w:val="QPPTableTextBody"/>
            </w:pPr>
            <w:r>
              <w:t>Development provides areas of pavement, turf and mulched</w:t>
            </w:r>
            <w:r w:rsidR="00043583">
              <w:t xml:space="preserve"> garden beds which are drained.</w:t>
            </w:r>
          </w:p>
          <w:p w:rsidR="00287250" w:rsidRDefault="00287250" w:rsidP="00287250">
            <w:pPr>
              <w:pStyle w:val="QPPEditorsNoteStyle1"/>
            </w:pPr>
            <w:r w:rsidRPr="00FF34DD">
              <w:t>Note—This may be achieved through the provision and/or treatment of swales, spoon drains, field gullies, sub</w:t>
            </w:r>
            <w:r w:rsidR="0080736E">
              <w:t>-</w:t>
            </w:r>
            <w:r w:rsidRPr="00FF34DD">
              <w:t>surface drainage and stormwater connections.</w:t>
            </w:r>
          </w:p>
        </w:tc>
      </w:tr>
      <w:tr w:rsidR="00B71EFA" w:rsidRPr="00736017" w:rsidTr="002B1CD7">
        <w:trPr>
          <w:trHeight w:val="284"/>
        </w:trPr>
        <w:tc>
          <w:tcPr>
            <w:tcW w:w="4150" w:type="dxa"/>
            <w:shd w:val="clear" w:color="auto" w:fill="auto"/>
          </w:tcPr>
          <w:p w:rsidR="00B71EFA" w:rsidRDefault="00B71EFA" w:rsidP="00F460E5">
            <w:pPr>
              <w:pStyle w:val="QPPTableTextBold"/>
            </w:pPr>
            <w:r>
              <w:t>PO13</w:t>
            </w:r>
          </w:p>
          <w:p w:rsidR="00B71EFA" w:rsidRDefault="00B71EFA" w:rsidP="00B71EFA">
            <w:pPr>
              <w:pStyle w:val="QPPTableTextBody"/>
            </w:pPr>
            <w:r>
              <w:t>Development ensures cutting and filling for the development of canals</w:t>
            </w:r>
            <w:r w:rsidRPr="00D07373">
              <w:t xml:space="preserve"> or artificial waterways</w:t>
            </w:r>
            <w:r>
              <w:t xml:space="preserve"> avoids adverse </w:t>
            </w:r>
            <w:r w:rsidRPr="00D07373">
              <w:t>impacts on coastal resources and processes.</w:t>
            </w:r>
          </w:p>
        </w:tc>
        <w:tc>
          <w:tcPr>
            <w:tcW w:w="4151" w:type="dxa"/>
            <w:shd w:val="clear" w:color="auto" w:fill="auto"/>
          </w:tcPr>
          <w:p w:rsidR="00B71EFA" w:rsidRDefault="00B71EFA" w:rsidP="00287250">
            <w:pPr>
              <w:pStyle w:val="QPPTableTextBold"/>
            </w:pPr>
            <w:r>
              <w:t>AO13</w:t>
            </w:r>
          </w:p>
          <w:p w:rsidR="00B71EFA" w:rsidRDefault="00B71EFA" w:rsidP="00B71EFA">
            <w:pPr>
              <w:pStyle w:val="QPPTableTextBody"/>
            </w:pPr>
            <w:r>
              <w:t>Development does not involve the creation of canals or artificial waterways.</w:t>
            </w:r>
          </w:p>
        </w:tc>
      </w:tr>
    </w:tbl>
    <w:p w:rsidR="006803CF" w:rsidRPr="006803CF" w:rsidRDefault="006803CF" w:rsidP="002E33BF">
      <w:pPr>
        <w:pStyle w:val="QPPTableHeadingStyle1"/>
      </w:pPr>
      <w:bookmarkStart w:id="2" w:name="Table9433b"/>
      <w:r>
        <w:t xml:space="preserve">Table </w:t>
      </w:r>
      <w:r w:rsidR="00245D91">
        <w:t>9.4.3.3</w:t>
      </w:r>
      <w:r w:rsidR="00424B72">
        <w:t>.</w:t>
      </w:r>
      <w:r w:rsidR="0051600C">
        <w:t>B</w:t>
      </w:r>
      <w:r>
        <w:t>—</w:t>
      </w:r>
      <w:r w:rsidRPr="00AF20D4">
        <w:t xml:space="preserve"> </w:t>
      </w:r>
      <w:r w:rsidR="0030629E">
        <w:t>Recommended intermittent</w:t>
      </w:r>
      <w:r w:rsidR="0030629E" w:rsidRPr="000F55D9">
        <w:t xml:space="preserve"> </w:t>
      </w:r>
      <w:r w:rsidRPr="000F55D9">
        <w:t xml:space="preserve">vibration levels </w:t>
      </w:r>
      <w:r w:rsidRPr="00B969BD">
        <w:t>for</w:t>
      </w:r>
      <w:r w:rsidR="00043583">
        <w:t xml:space="preserve"> cosmetic damage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588"/>
        <w:gridCol w:w="1811"/>
        <w:gridCol w:w="1811"/>
      </w:tblGrid>
      <w:tr w:rsidR="006803CF" w:rsidRPr="005F6844" w:rsidTr="00736017">
        <w:tc>
          <w:tcPr>
            <w:tcW w:w="3312" w:type="dxa"/>
            <w:shd w:val="clear" w:color="auto" w:fill="auto"/>
          </w:tcPr>
          <w:bookmarkEnd w:id="2"/>
          <w:p w:rsidR="006803CF" w:rsidRPr="0018419F" w:rsidRDefault="006803CF" w:rsidP="00F460E5">
            <w:pPr>
              <w:pStyle w:val="QPPTableTextBold"/>
            </w:pPr>
            <w:r>
              <w:t>Type of building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6803CF" w:rsidRPr="0018419F" w:rsidRDefault="006803CF" w:rsidP="00F460E5">
            <w:pPr>
              <w:pStyle w:val="QPPTableTextBold"/>
            </w:pPr>
            <w:r w:rsidRPr="00427999">
              <w:t>Peak particle velocity</w:t>
            </w:r>
            <w:r w:rsidRPr="0018419F">
              <w:t xml:space="preserve"> (mm/s)</w:t>
            </w:r>
          </w:p>
        </w:tc>
      </w:tr>
      <w:tr w:rsidR="006803CF" w:rsidRPr="005F6844" w:rsidTr="00736017">
        <w:tc>
          <w:tcPr>
            <w:tcW w:w="3312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Reinforced or framed structures; industrial and heavy commercial buildings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6803CF" w:rsidRPr="006803CF" w:rsidRDefault="006803CF" w:rsidP="0048096B">
            <w:pPr>
              <w:pStyle w:val="QPPTableTextBody"/>
            </w:pPr>
            <w:r w:rsidRPr="006803CF">
              <w:t>50</w:t>
            </w:r>
            <w:r w:rsidR="0030629E">
              <w:t>mm/s</w:t>
            </w:r>
            <w:r w:rsidRPr="006803CF">
              <w:t xml:space="preserve"> at 4Hz and above</w:t>
            </w:r>
          </w:p>
        </w:tc>
      </w:tr>
      <w:tr w:rsidR="006803CF" w:rsidRPr="005F6844" w:rsidTr="00736017">
        <w:trPr>
          <w:trHeight w:val="245"/>
        </w:trPr>
        <w:tc>
          <w:tcPr>
            <w:tcW w:w="3312" w:type="dxa"/>
            <w:vMerge w:val="restart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Unreinforced or light</w:t>
            </w:r>
            <w:r w:rsidR="0026732C">
              <w:t>-</w:t>
            </w:r>
            <w:r w:rsidRPr="006803CF">
              <w:t>framed structures; residential or light</w:t>
            </w:r>
            <w:r w:rsidR="0026732C">
              <w:t>-</w:t>
            </w:r>
            <w:r w:rsidRPr="006803CF">
              <w:t>commercial type buildings</w:t>
            </w:r>
          </w:p>
        </w:tc>
        <w:tc>
          <w:tcPr>
            <w:tcW w:w="1588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Below 4Hz</w:t>
            </w:r>
          </w:p>
        </w:tc>
        <w:tc>
          <w:tcPr>
            <w:tcW w:w="1811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4Hz to 15Hz</w:t>
            </w:r>
          </w:p>
        </w:tc>
        <w:tc>
          <w:tcPr>
            <w:tcW w:w="1811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15Hz and above</w:t>
            </w:r>
          </w:p>
        </w:tc>
      </w:tr>
      <w:tr w:rsidR="006803CF" w:rsidRPr="005F6844" w:rsidTr="00736017">
        <w:trPr>
          <w:trHeight w:val="555"/>
        </w:trPr>
        <w:tc>
          <w:tcPr>
            <w:tcW w:w="3312" w:type="dxa"/>
            <w:vMerge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</w:p>
        </w:tc>
        <w:tc>
          <w:tcPr>
            <w:tcW w:w="1588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0.6</w:t>
            </w:r>
            <w:r w:rsidR="0030629E">
              <w:t>mm/s</w:t>
            </w:r>
          </w:p>
        </w:tc>
        <w:tc>
          <w:tcPr>
            <w:tcW w:w="1811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15</w:t>
            </w:r>
            <w:r w:rsidR="0030629E">
              <w:t xml:space="preserve">mm/s </w:t>
            </w:r>
            <w:r w:rsidRPr="006803CF">
              <w:t>at 4Hz increasing to</w:t>
            </w:r>
          </w:p>
          <w:p w:rsidR="006803CF" w:rsidRPr="006803CF" w:rsidRDefault="006803CF" w:rsidP="00B82FC3">
            <w:pPr>
              <w:pStyle w:val="QPPTableTextBody"/>
            </w:pPr>
            <w:r w:rsidRPr="006803CF">
              <w:t>20</w:t>
            </w:r>
            <w:r w:rsidR="0030629E">
              <w:t>mm/s</w:t>
            </w:r>
            <w:r w:rsidRPr="006803CF">
              <w:t xml:space="preserve"> at 15Hz</w:t>
            </w:r>
          </w:p>
        </w:tc>
        <w:tc>
          <w:tcPr>
            <w:tcW w:w="1811" w:type="dxa"/>
            <w:shd w:val="clear" w:color="auto" w:fill="auto"/>
          </w:tcPr>
          <w:p w:rsidR="006803CF" w:rsidRPr="006803CF" w:rsidRDefault="006803CF" w:rsidP="00B82FC3">
            <w:pPr>
              <w:pStyle w:val="QPPTableTextBody"/>
            </w:pPr>
            <w:r w:rsidRPr="006803CF">
              <w:t>20</w:t>
            </w:r>
            <w:r w:rsidR="007462A2">
              <w:t>mm/s</w:t>
            </w:r>
            <w:r w:rsidRPr="006803CF">
              <w:t xml:space="preserve"> at 15Hz increasing to</w:t>
            </w:r>
          </w:p>
          <w:p w:rsidR="006803CF" w:rsidRPr="006803CF" w:rsidRDefault="00296A3D" w:rsidP="00B82FC3">
            <w:pPr>
              <w:pStyle w:val="QPPTableTextBody"/>
            </w:pPr>
            <w:r>
              <w:t>50</w:t>
            </w:r>
            <w:r w:rsidR="00E85A00">
              <w:t xml:space="preserve">mm/s </w:t>
            </w:r>
            <w:r>
              <w:t>at 40Hz and above</w:t>
            </w:r>
          </w:p>
        </w:tc>
      </w:tr>
    </w:tbl>
    <w:p w:rsidR="006803CF" w:rsidRPr="00F07F7E" w:rsidRDefault="006803CF" w:rsidP="006803CF">
      <w:pPr>
        <w:pStyle w:val="QPPTableHeadingStyle1"/>
      </w:pPr>
      <w:bookmarkStart w:id="3" w:name="Table9433c"/>
      <w:r>
        <w:t xml:space="preserve">Table </w:t>
      </w:r>
      <w:r w:rsidR="00245D91">
        <w:t>9.4.3.3</w:t>
      </w:r>
      <w:r w:rsidR="00424B72">
        <w:t>.</w:t>
      </w:r>
      <w:r w:rsidR="0051600C">
        <w:t>C</w:t>
      </w:r>
      <w:r>
        <w:t>—</w:t>
      </w:r>
      <w:r w:rsidRPr="006803CF">
        <w:t xml:space="preserve"> </w:t>
      </w:r>
      <w:r w:rsidR="00E85A00">
        <w:t>Recommended blasting vibration levels for human comfort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8"/>
        <w:gridCol w:w="3168"/>
      </w:tblGrid>
      <w:tr w:rsidR="00E85A00" w:rsidRPr="00C71B85" w:rsidTr="00D6346B">
        <w:tc>
          <w:tcPr>
            <w:tcW w:w="1394" w:type="pct"/>
            <w:shd w:val="clear" w:color="auto" w:fill="auto"/>
          </w:tcPr>
          <w:bookmarkEnd w:id="3"/>
          <w:p w:rsidR="00E85A00" w:rsidRPr="006803CF" w:rsidRDefault="00E85A00" w:rsidP="00F460E5">
            <w:pPr>
              <w:pStyle w:val="QPPTableTextBold"/>
            </w:pPr>
            <w:r>
              <w:t>Type of building</w:t>
            </w:r>
          </w:p>
        </w:tc>
        <w:tc>
          <w:tcPr>
            <w:tcW w:w="1747" w:type="pct"/>
          </w:tcPr>
          <w:p w:rsidR="00E85A00" w:rsidDel="00E85A00" w:rsidRDefault="00E85A00">
            <w:pPr>
              <w:pStyle w:val="QPPTableTextBold"/>
            </w:pPr>
            <w:r>
              <w:t>Type of blasting operations</w:t>
            </w:r>
          </w:p>
        </w:tc>
        <w:tc>
          <w:tcPr>
            <w:tcW w:w="1859" w:type="pct"/>
            <w:shd w:val="clear" w:color="auto" w:fill="auto"/>
          </w:tcPr>
          <w:p w:rsidR="00E85A00" w:rsidRPr="006803CF" w:rsidRDefault="00E85A00" w:rsidP="00F460E5">
            <w:pPr>
              <w:pStyle w:val="QPPTableTextBold"/>
            </w:pPr>
            <w:r>
              <w:t>Peak component particle velocity (mm/s)</w:t>
            </w:r>
          </w:p>
        </w:tc>
      </w:tr>
      <w:tr w:rsidR="00E85A00" w:rsidRPr="00C71B85" w:rsidTr="00D6346B">
        <w:tc>
          <w:tcPr>
            <w:tcW w:w="1394" w:type="pct"/>
            <w:shd w:val="clear" w:color="auto" w:fill="auto"/>
          </w:tcPr>
          <w:p w:rsidR="00E85A00" w:rsidRPr="006803CF" w:rsidRDefault="008B06C1" w:rsidP="00181808">
            <w:pPr>
              <w:pStyle w:val="QPPTableTextBody"/>
            </w:pPr>
            <w:r w:rsidRPr="008B06C1">
              <w:t>Residences, schools, educational institutions and places of worship</w:t>
            </w:r>
          </w:p>
        </w:tc>
        <w:tc>
          <w:tcPr>
            <w:tcW w:w="1747" w:type="pct"/>
          </w:tcPr>
          <w:p w:rsidR="00E85A00" w:rsidRPr="000F55D9" w:rsidDel="00E85A00" w:rsidRDefault="008B06C1">
            <w:pPr>
              <w:pStyle w:val="QPPTableTextBody"/>
            </w:pPr>
            <w:r w:rsidRPr="008B06C1">
              <w:t>Operation blasting longer than 12 months or more than 20 blasts</w:t>
            </w:r>
          </w:p>
        </w:tc>
        <w:tc>
          <w:tcPr>
            <w:tcW w:w="1859" w:type="pct"/>
            <w:shd w:val="clear" w:color="auto" w:fill="auto"/>
          </w:tcPr>
          <w:p w:rsidR="00E85A00" w:rsidRPr="006803CF" w:rsidRDefault="008B06C1">
            <w:pPr>
              <w:pStyle w:val="QPPTableTextBody"/>
            </w:pPr>
            <w:r w:rsidRPr="008B06C1">
              <w:t>5mm/s for 95% blasts per year 10mm/s maximum unless agreement is reached with the occupier that a higher limit may apply</w:t>
            </w:r>
          </w:p>
        </w:tc>
      </w:tr>
      <w:tr w:rsidR="00E85A00" w:rsidRPr="00C71B85" w:rsidTr="00D6346B">
        <w:tc>
          <w:tcPr>
            <w:tcW w:w="1394" w:type="pct"/>
            <w:shd w:val="clear" w:color="auto" w:fill="auto"/>
          </w:tcPr>
          <w:p w:rsidR="00E85A00" w:rsidRPr="006803CF" w:rsidRDefault="008B06C1" w:rsidP="00181808">
            <w:pPr>
              <w:pStyle w:val="QPPTableTextBody"/>
            </w:pPr>
            <w:r w:rsidRPr="008B06C1">
              <w:t>Residences, schools, educational institutions and places of worship</w:t>
            </w:r>
          </w:p>
        </w:tc>
        <w:tc>
          <w:tcPr>
            <w:tcW w:w="1747" w:type="pct"/>
          </w:tcPr>
          <w:p w:rsidR="00E85A00" w:rsidRPr="00C80907" w:rsidDel="00E85A00" w:rsidRDefault="008B06C1" w:rsidP="00A30CA8">
            <w:pPr>
              <w:pStyle w:val="QPPTableTextBody"/>
            </w:pPr>
            <w:r w:rsidRPr="008B06C1">
              <w:t>Operations lasting for less than 12 months or less than 20 blasts</w:t>
            </w:r>
          </w:p>
        </w:tc>
        <w:tc>
          <w:tcPr>
            <w:tcW w:w="1859" w:type="pct"/>
            <w:shd w:val="clear" w:color="auto" w:fill="auto"/>
          </w:tcPr>
          <w:p w:rsidR="00E85A00" w:rsidRPr="006803CF" w:rsidRDefault="008B06C1">
            <w:pPr>
              <w:pStyle w:val="QPPTableTextBody"/>
            </w:pPr>
            <w:r w:rsidRPr="008B06C1">
              <w:t>10mm/s maximum unless agreement is reached with the occupier that a higher limit may apply</w:t>
            </w:r>
          </w:p>
        </w:tc>
      </w:tr>
      <w:tr w:rsidR="00E85A00" w:rsidRPr="00C71B85" w:rsidTr="00D6346B">
        <w:tc>
          <w:tcPr>
            <w:tcW w:w="1394" w:type="pct"/>
            <w:shd w:val="clear" w:color="auto" w:fill="auto"/>
          </w:tcPr>
          <w:p w:rsidR="00E85A00" w:rsidRPr="006803CF" w:rsidRDefault="008B06C1" w:rsidP="00181808">
            <w:pPr>
              <w:pStyle w:val="QPPTableTextBody"/>
            </w:pPr>
            <w:r w:rsidRPr="008B06C1">
              <w:t>Industry or commercial premises</w:t>
            </w:r>
          </w:p>
        </w:tc>
        <w:tc>
          <w:tcPr>
            <w:tcW w:w="1747" w:type="pct"/>
          </w:tcPr>
          <w:p w:rsidR="00E85A00" w:rsidRPr="000F55D9" w:rsidDel="00E85A00" w:rsidRDefault="008B06C1">
            <w:pPr>
              <w:pStyle w:val="QPPTableTextBody"/>
            </w:pPr>
            <w:r w:rsidRPr="008B06C1">
              <w:t xml:space="preserve">All </w:t>
            </w:r>
            <w:r w:rsidR="0080736E">
              <w:t>b</w:t>
            </w:r>
            <w:r w:rsidRPr="008B06C1">
              <w:t>lasting</w:t>
            </w:r>
          </w:p>
        </w:tc>
        <w:tc>
          <w:tcPr>
            <w:tcW w:w="1859" w:type="pct"/>
            <w:shd w:val="clear" w:color="auto" w:fill="auto"/>
          </w:tcPr>
          <w:p w:rsidR="00E85A00" w:rsidRPr="006803CF" w:rsidRDefault="008B06C1">
            <w:pPr>
              <w:pStyle w:val="QPPTableTextBody"/>
            </w:pPr>
            <w:r w:rsidRPr="008B06C1">
              <w:t xml:space="preserve">25 mm/s maximum unless agreement is reached with the occupier that a higher limit may apply. For sites containing equipment sensitive to vibration, the vibration should be kept below manufacturer's specifications or levels that do not adversely </w:t>
            </w:r>
            <w:r w:rsidR="0080736E">
              <w:t>a</w:t>
            </w:r>
            <w:r w:rsidRPr="008B06C1">
              <w:t>ffect the equipment operation.</w:t>
            </w:r>
          </w:p>
        </w:tc>
      </w:tr>
    </w:tbl>
    <w:p w:rsidR="00F642BC" w:rsidRPr="008B06C1" w:rsidRDefault="008B06C1" w:rsidP="00D6346B">
      <w:pPr>
        <w:pStyle w:val="QPPTableHeadingStyle1"/>
      </w:pPr>
      <w:bookmarkStart w:id="4" w:name="Table9433d"/>
      <w:r>
        <w:t>Table 9.4.3.3.</w:t>
      </w:r>
      <w:r w:rsidR="0092089E">
        <w:t>D</w:t>
      </w:r>
      <w:r>
        <w:t>—</w:t>
      </w:r>
      <w:r w:rsidRPr="006803CF">
        <w:t xml:space="preserve"> </w:t>
      </w:r>
      <w:r>
        <w:t>Recommended levels for continuous and impulsive vibration acceleration (m/s</w:t>
      </w:r>
      <w:r w:rsidRPr="00D6346B">
        <w:rPr>
          <w:rStyle w:val="QPPSuperscriptChar"/>
        </w:rPr>
        <w:t>2</w:t>
      </w:r>
      <w:r>
        <w:t xml:space="preserve">) </w:t>
      </w:r>
      <w:r w:rsidR="00F642BC">
        <w:t>1</w:t>
      </w:r>
      <w:r w:rsidR="0080736E">
        <w:t>–</w:t>
      </w:r>
      <w:r w:rsidR="00F642BC">
        <w:t>80</w:t>
      </w:r>
      <w:r w:rsidRPr="008B06C1">
        <w:t>Hz for human comfort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921"/>
        <w:gridCol w:w="990"/>
        <w:gridCol w:w="1280"/>
        <w:gridCol w:w="1244"/>
        <w:gridCol w:w="1355"/>
      </w:tblGrid>
      <w:tr w:rsidR="00F642BC" w:rsidRPr="00C71B85" w:rsidTr="00595D88">
        <w:tc>
          <w:tcPr>
            <w:tcW w:w="1016" w:type="pct"/>
            <w:shd w:val="clear" w:color="auto" w:fill="auto"/>
          </w:tcPr>
          <w:bookmarkEnd w:id="4"/>
          <w:p w:rsidR="00F642BC" w:rsidRPr="006803CF" w:rsidRDefault="00F642BC" w:rsidP="00F642BC">
            <w:pPr>
              <w:pStyle w:val="QPPTableTextBold"/>
            </w:pPr>
            <w:r>
              <w:t>Location</w:t>
            </w:r>
          </w:p>
        </w:tc>
        <w:tc>
          <w:tcPr>
            <w:tcW w:w="1127" w:type="pct"/>
          </w:tcPr>
          <w:p w:rsidR="00F642BC" w:rsidDel="00E85A00" w:rsidRDefault="00F642BC" w:rsidP="00595D88">
            <w:pPr>
              <w:pStyle w:val="QPPTableTextBold"/>
            </w:pPr>
            <w:r>
              <w:t xml:space="preserve">Assessment </w:t>
            </w:r>
            <w:r w:rsidR="0080736E">
              <w:t>p</w:t>
            </w:r>
            <w:r>
              <w:t>eriod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1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F642BC" w:rsidRPr="006803CF" w:rsidRDefault="00F642BC">
            <w:pPr>
              <w:pStyle w:val="QPPTableTextBold"/>
            </w:pPr>
            <w:r>
              <w:t>Preferred values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3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1525" w:type="pct"/>
            <w:gridSpan w:val="2"/>
          </w:tcPr>
          <w:p w:rsidR="00F642BC" w:rsidRDefault="00F642BC" w:rsidP="00F642BC">
            <w:pPr>
              <w:pStyle w:val="QPPTableTextBold"/>
            </w:pPr>
            <w:r>
              <w:t>Maximum values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3</w:t>
            </w:r>
            <w:r w:rsidR="00F95B78" w:rsidRPr="00D6346B">
              <w:rPr>
                <w:rStyle w:val="QPPSuperscriptChar"/>
              </w:rPr>
              <w:t>)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7803AC" w:rsidRPr="006803CF" w:rsidRDefault="007803AC" w:rsidP="00D6346B">
            <w:pPr>
              <w:pStyle w:val="QPPTableTextBold"/>
            </w:pPr>
            <w:r>
              <w:lastRenderedPageBreak/>
              <w:t xml:space="preserve">Continuous </w:t>
            </w:r>
            <w:r w:rsidR="00F95B78">
              <w:t>v</w:t>
            </w:r>
            <w:r>
              <w:t>ibration</w:t>
            </w:r>
          </w:p>
        </w:tc>
        <w:tc>
          <w:tcPr>
            <w:tcW w:w="1127" w:type="pct"/>
          </w:tcPr>
          <w:p w:rsidR="007803AC" w:rsidRPr="000F55D9" w:rsidDel="00E85A00" w:rsidRDefault="007803AC" w:rsidP="00F642BC">
            <w:pPr>
              <w:pStyle w:val="QPPTableTextBody"/>
            </w:pPr>
          </w:p>
        </w:tc>
        <w:tc>
          <w:tcPr>
            <w:tcW w:w="581" w:type="pct"/>
            <w:shd w:val="clear" w:color="auto" w:fill="auto"/>
          </w:tcPr>
          <w:p w:rsidR="007803AC" w:rsidRPr="006803CF" w:rsidRDefault="007803AC" w:rsidP="00F642BC">
            <w:pPr>
              <w:pStyle w:val="QPPTableTextBody"/>
            </w:pPr>
            <w:r>
              <w:t>z-axis</w:t>
            </w:r>
          </w:p>
        </w:tc>
        <w:tc>
          <w:tcPr>
            <w:tcW w:w="751" w:type="pct"/>
            <w:shd w:val="clear" w:color="auto" w:fill="auto"/>
          </w:tcPr>
          <w:p w:rsidR="007803AC" w:rsidRPr="006803CF" w:rsidRDefault="007803AC" w:rsidP="00F642BC">
            <w:pPr>
              <w:pStyle w:val="QPPTableTextBody"/>
            </w:pPr>
            <w:r>
              <w:t>x and y</w:t>
            </w:r>
            <w:r w:rsidR="0080736E">
              <w:t xml:space="preserve"> </w:t>
            </w:r>
            <w:r>
              <w:t>axes</w:t>
            </w:r>
          </w:p>
        </w:tc>
        <w:tc>
          <w:tcPr>
            <w:tcW w:w="730" w:type="pct"/>
          </w:tcPr>
          <w:p w:rsidR="007803AC" w:rsidRPr="008B06C1" w:rsidRDefault="007803AC" w:rsidP="00F642BC">
            <w:pPr>
              <w:pStyle w:val="QPPTableTextBody"/>
            </w:pPr>
            <w:r>
              <w:t>z-axis</w:t>
            </w:r>
          </w:p>
        </w:tc>
        <w:tc>
          <w:tcPr>
            <w:tcW w:w="795" w:type="pct"/>
          </w:tcPr>
          <w:p w:rsidR="007803AC" w:rsidRPr="008B06C1" w:rsidRDefault="007803AC" w:rsidP="00F642BC">
            <w:pPr>
              <w:pStyle w:val="QPPTableTextBody"/>
            </w:pPr>
            <w:r>
              <w:t>x and y</w:t>
            </w:r>
            <w:r w:rsidR="0080736E">
              <w:t xml:space="preserve"> </w:t>
            </w:r>
            <w:r>
              <w:t>axes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7803AC" w:rsidRDefault="007803AC" w:rsidP="006B04F1">
            <w:pPr>
              <w:pStyle w:val="QPPTableTextBody"/>
            </w:pPr>
            <w:r>
              <w:t>Critical areas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2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1127" w:type="pct"/>
          </w:tcPr>
          <w:p w:rsidR="007803AC" w:rsidRPr="000F55D9" w:rsidDel="00E85A00" w:rsidRDefault="007803AC" w:rsidP="00F642BC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  <w:shd w:val="clear" w:color="auto" w:fill="auto"/>
          </w:tcPr>
          <w:p w:rsidR="007803AC" w:rsidRPr="006803CF" w:rsidRDefault="007803AC" w:rsidP="00F642BC">
            <w:pPr>
              <w:pStyle w:val="QPPTableTextBody"/>
            </w:pPr>
            <w:r>
              <w:t>0.005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  <w:shd w:val="clear" w:color="auto" w:fill="auto"/>
          </w:tcPr>
          <w:p w:rsidR="007803AC" w:rsidRPr="006803CF" w:rsidRDefault="007803AC" w:rsidP="00F642BC">
            <w:pPr>
              <w:pStyle w:val="QPPTableTextBody"/>
            </w:pPr>
            <w:r>
              <w:t>0.0036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7803AC" w:rsidRPr="008B06C1" w:rsidRDefault="007803AC" w:rsidP="00F642BC">
            <w:pPr>
              <w:pStyle w:val="QPPTableTextBody"/>
            </w:pPr>
            <w:r>
              <w:t>0.01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7803AC" w:rsidRPr="008B06C1" w:rsidRDefault="007803AC" w:rsidP="00F642BC">
            <w:pPr>
              <w:pStyle w:val="QPPTableTextBody"/>
            </w:pPr>
            <w:r>
              <w:t>0.0072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7803AC" w:rsidRDefault="007803AC" w:rsidP="007803AC">
            <w:pPr>
              <w:pStyle w:val="QPPTableTextBody"/>
            </w:pPr>
            <w:r>
              <w:t>Residences</w:t>
            </w:r>
          </w:p>
        </w:tc>
        <w:tc>
          <w:tcPr>
            <w:tcW w:w="1127" w:type="pct"/>
          </w:tcPr>
          <w:p w:rsidR="007803AC" w:rsidRDefault="007803AC" w:rsidP="00F642BC">
            <w:pPr>
              <w:pStyle w:val="QPPTableTextBody"/>
            </w:pPr>
            <w:r>
              <w:t>Day</w:t>
            </w:r>
          </w:p>
        </w:tc>
        <w:tc>
          <w:tcPr>
            <w:tcW w:w="581" w:type="pct"/>
            <w:shd w:val="clear" w:color="auto" w:fill="auto"/>
          </w:tcPr>
          <w:p w:rsidR="007803AC" w:rsidRDefault="007803AC" w:rsidP="00F642BC">
            <w:pPr>
              <w:pStyle w:val="QPPTableTextBody"/>
            </w:pPr>
            <w:r>
              <w:t>0.01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  <w:shd w:val="clear" w:color="auto" w:fill="auto"/>
          </w:tcPr>
          <w:p w:rsidR="007803AC" w:rsidRDefault="007803AC" w:rsidP="00F642BC">
            <w:pPr>
              <w:pStyle w:val="QPPTableTextBody"/>
            </w:pPr>
            <w:r>
              <w:t>0.0071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7803AC" w:rsidRDefault="007803AC" w:rsidP="00F642BC">
            <w:pPr>
              <w:pStyle w:val="QPPTableTextBody"/>
            </w:pPr>
            <w:r>
              <w:t>0.02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7803AC" w:rsidRDefault="007803AC" w:rsidP="00F642BC">
            <w:pPr>
              <w:pStyle w:val="QPPTableTextBody"/>
            </w:pPr>
            <w:r>
              <w:t>0.014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7803AC" w:rsidRDefault="007803AC" w:rsidP="007803AC">
            <w:pPr>
              <w:pStyle w:val="QPPTableTextBody"/>
            </w:pPr>
            <w:r>
              <w:t>-</w:t>
            </w:r>
          </w:p>
        </w:tc>
        <w:tc>
          <w:tcPr>
            <w:tcW w:w="1127" w:type="pct"/>
          </w:tcPr>
          <w:p w:rsidR="007803AC" w:rsidRDefault="007803AC" w:rsidP="00F642BC">
            <w:pPr>
              <w:pStyle w:val="QPPTableTextBody"/>
            </w:pPr>
            <w:r>
              <w:t>Night</w:t>
            </w:r>
          </w:p>
        </w:tc>
        <w:tc>
          <w:tcPr>
            <w:tcW w:w="581" w:type="pct"/>
            <w:shd w:val="clear" w:color="auto" w:fill="auto"/>
          </w:tcPr>
          <w:p w:rsidR="007803AC" w:rsidRDefault="007803AC" w:rsidP="00F642BC">
            <w:pPr>
              <w:pStyle w:val="QPPTableTextBody"/>
            </w:pPr>
            <w:r>
              <w:t>0.007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  <w:shd w:val="clear" w:color="auto" w:fill="auto"/>
          </w:tcPr>
          <w:p w:rsidR="007803AC" w:rsidRDefault="007803AC" w:rsidP="00F642BC">
            <w:pPr>
              <w:pStyle w:val="QPPTableTextBody"/>
            </w:pPr>
            <w:r>
              <w:t>0.005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7803AC" w:rsidRDefault="00ED111B" w:rsidP="00F642BC">
            <w:pPr>
              <w:pStyle w:val="QPPTableTextBody"/>
            </w:pPr>
            <w:r>
              <w:t>0.014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7803AC" w:rsidRDefault="00ED111B" w:rsidP="00F642BC">
            <w:pPr>
              <w:pStyle w:val="QPPTableTextBody"/>
            </w:pPr>
            <w:r>
              <w:t>0.01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467CD8" w:rsidRDefault="00467CD8" w:rsidP="007803AC">
            <w:pPr>
              <w:pStyle w:val="QPPTableTextBody"/>
            </w:pPr>
            <w:r>
              <w:t>Offices, schools, educational institutions and places of worship</w:t>
            </w:r>
          </w:p>
        </w:tc>
        <w:tc>
          <w:tcPr>
            <w:tcW w:w="1127" w:type="pct"/>
          </w:tcPr>
          <w:p w:rsidR="00467CD8" w:rsidRDefault="00467CD8" w:rsidP="00F642BC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  <w:shd w:val="clear" w:color="auto" w:fill="auto"/>
          </w:tcPr>
          <w:p w:rsidR="00467CD8" w:rsidRDefault="00467CD8" w:rsidP="00F642BC">
            <w:pPr>
              <w:pStyle w:val="QPPTableTextBody"/>
            </w:pPr>
            <w:r>
              <w:t>0.02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  <w:shd w:val="clear" w:color="auto" w:fill="auto"/>
          </w:tcPr>
          <w:p w:rsidR="00467CD8" w:rsidRDefault="00467CD8" w:rsidP="00F642BC">
            <w:pPr>
              <w:pStyle w:val="QPPTableTextBody"/>
            </w:pPr>
            <w:r>
              <w:t>0.014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467CD8" w:rsidRDefault="00467CD8" w:rsidP="00F642BC">
            <w:pPr>
              <w:pStyle w:val="QPPTableTextBody"/>
            </w:pPr>
            <w:r>
              <w:t>0.04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467CD8" w:rsidRDefault="00467CD8" w:rsidP="00F642BC">
            <w:pPr>
              <w:pStyle w:val="QPPTableTextBody"/>
            </w:pPr>
            <w:r>
              <w:t>0.028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595D88">
        <w:tc>
          <w:tcPr>
            <w:tcW w:w="1016" w:type="pct"/>
            <w:shd w:val="clear" w:color="auto" w:fill="auto"/>
          </w:tcPr>
          <w:p w:rsidR="00467CD8" w:rsidRDefault="00467CD8" w:rsidP="007803AC">
            <w:pPr>
              <w:pStyle w:val="QPPTableTextBody"/>
            </w:pPr>
            <w:r>
              <w:t>Workshops</w:t>
            </w:r>
          </w:p>
        </w:tc>
        <w:tc>
          <w:tcPr>
            <w:tcW w:w="1127" w:type="pct"/>
          </w:tcPr>
          <w:p w:rsidR="00467CD8" w:rsidRDefault="00467CD8" w:rsidP="00F642BC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  <w:shd w:val="clear" w:color="auto" w:fill="auto"/>
          </w:tcPr>
          <w:p w:rsidR="00467CD8" w:rsidRDefault="00467CD8" w:rsidP="00F642BC">
            <w:pPr>
              <w:pStyle w:val="QPPTableTextBody"/>
            </w:pPr>
            <w:r>
              <w:t>0.04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  <w:shd w:val="clear" w:color="auto" w:fill="auto"/>
          </w:tcPr>
          <w:p w:rsidR="00467CD8" w:rsidRDefault="00467CD8" w:rsidP="00F642BC">
            <w:pPr>
              <w:pStyle w:val="QPPTableTextBody"/>
            </w:pPr>
            <w:r>
              <w:t>0.029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467CD8" w:rsidRDefault="00467CD8" w:rsidP="00F642BC">
            <w:pPr>
              <w:pStyle w:val="QPPTableTextBody"/>
            </w:pPr>
            <w:r>
              <w:t>0.08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467CD8" w:rsidRDefault="00467CD8" w:rsidP="00F642BC">
            <w:pPr>
              <w:pStyle w:val="QPPTableTextBody"/>
            </w:pPr>
            <w:r>
              <w:t>0.058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D6346B">
        <w:tc>
          <w:tcPr>
            <w:tcW w:w="1016" w:type="pct"/>
            <w:shd w:val="clear" w:color="auto" w:fill="auto"/>
          </w:tcPr>
          <w:p w:rsidR="00467CD8" w:rsidRDefault="00467CD8" w:rsidP="00D6346B">
            <w:pPr>
              <w:pStyle w:val="QPPTableTextBold"/>
            </w:pPr>
            <w:r>
              <w:t>Impulsive vibration</w:t>
            </w:r>
          </w:p>
        </w:tc>
        <w:tc>
          <w:tcPr>
            <w:tcW w:w="3984" w:type="pct"/>
            <w:gridSpan w:val="5"/>
          </w:tcPr>
          <w:p w:rsidR="00467CD8" w:rsidRDefault="00467CD8" w:rsidP="00F642BC">
            <w:pPr>
              <w:pStyle w:val="QPPTableTextBody"/>
            </w:pPr>
          </w:p>
        </w:tc>
      </w:tr>
      <w:tr w:rsidR="00467CD8" w:rsidRPr="00C71B85" w:rsidTr="00711050">
        <w:tc>
          <w:tcPr>
            <w:tcW w:w="1016" w:type="pct"/>
            <w:shd w:val="clear" w:color="auto" w:fill="auto"/>
          </w:tcPr>
          <w:p w:rsidR="00467CD8" w:rsidRDefault="00467CD8" w:rsidP="00D6346B">
            <w:pPr>
              <w:pStyle w:val="QPPTableTextBody"/>
            </w:pPr>
            <w:r>
              <w:t>Critical areas</w:t>
            </w:r>
          </w:p>
        </w:tc>
        <w:tc>
          <w:tcPr>
            <w:tcW w:w="1127" w:type="pct"/>
          </w:tcPr>
          <w:p w:rsidR="00467CD8" w:rsidRDefault="00467CD8" w:rsidP="00F642BC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</w:tcPr>
          <w:p w:rsidR="00467CD8" w:rsidRDefault="00467CD8" w:rsidP="00F642BC">
            <w:pPr>
              <w:pStyle w:val="QPPTableTextBody"/>
            </w:pPr>
            <w:r>
              <w:t>0.005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</w:tcPr>
          <w:p w:rsidR="00467CD8" w:rsidRDefault="00467CD8" w:rsidP="00F642BC">
            <w:pPr>
              <w:pStyle w:val="QPPTableTextBody"/>
            </w:pPr>
            <w:r>
              <w:t>0.0036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467CD8" w:rsidRDefault="00467CD8" w:rsidP="00F642BC">
            <w:pPr>
              <w:pStyle w:val="QPPTableTextBody"/>
            </w:pPr>
            <w:r>
              <w:t>0.01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467CD8" w:rsidRDefault="00467CD8" w:rsidP="00F642BC">
            <w:pPr>
              <w:pStyle w:val="QPPTableTextBody"/>
            </w:pPr>
            <w:r>
              <w:t>0.0072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467CD8" w:rsidRPr="00C71B85" w:rsidTr="00711050">
        <w:tc>
          <w:tcPr>
            <w:tcW w:w="1016" w:type="pct"/>
            <w:shd w:val="clear" w:color="auto" w:fill="auto"/>
          </w:tcPr>
          <w:p w:rsidR="00467CD8" w:rsidRDefault="00467CD8" w:rsidP="00467CD8">
            <w:pPr>
              <w:pStyle w:val="QPPTableTextBody"/>
            </w:pPr>
            <w:r>
              <w:t>Residences</w:t>
            </w:r>
          </w:p>
        </w:tc>
        <w:tc>
          <w:tcPr>
            <w:tcW w:w="1127" w:type="pct"/>
          </w:tcPr>
          <w:p w:rsidR="00467CD8" w:rsidRDefault="00262D16">
            <w:pPr>
              <w:pStyle w:val="QPPTableTextBody"/>
            </w:pPr>
            <w:r>
              <w:t>Da</w:t>
            </w:r>
            <w:r w:rsidR="001836EA">
              <w:t>y</w:t>
            </w:r>
          </w:p>
        </w:tc>
        <w:tc>
          <w:tcPr>
            <w:tcW w:w="581" w:type="pct"/>
          </w:tcPr>
          <w:p w:rsidR="00467CD8" w:rsidRDefault="001836EA" w:rsidP="00F642BC">
            <w:pPr>
              <w:pStyle w:val="QPPTableTextBody"/>
            </w:pPr>
            <w:r>
              <w:t>0.3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</w:tcPr>
          <w:p w:rsidR="00467CD8" w:rsidRDefault="001836EA" w:rsidP="00F642BC">
            <w:pPr>
              <w:pStyle w:val="QPPTableTextBody"/>
            </w:pPr>
            <w:r>
              <w:t>0.21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467CD8" w:rsidRDefault="001836EA" w:rsidP="00F642BC">
            <w:pPr>
              <w:pStyle w:val="QPPTableTextBody"/>
            </w:pPr>
            <w:r>
              <w:t>0.6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467CD8" w:rsidRDefault="001836EA" w:rsidP="00F642BC">
            <w:pPr>
              <w:pStyle w:val="QPPTableTextBody"/>
            </w:pPr>
            <w:r>
              <w:t>0.42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1836EA" w:rsidRPr="00C71B85" w:rsidTr="00711050">
        <w:tc>
          <w:tcPr>
            <w:tcW w:w="1016" w:type="pct"/>
            <w:shd w:val="clear" w:color="auto" w:fill="auto"/>
          </w:tcPr>
          <w:p w:rsidR="001836EA" w:rsidRDefault="001836EA" w:rsidP="00467CD8">
            <w:pPr>
              <w:pStyle w:val="QPPTableTextBody"/>
            </w:pPr>
            <w:r>
              <w:t>-</w:t>
            </w:r>
          </w:p>
        </w:tc>
        <w:tc>
          <w:tcPr>
            <w:tcW w:w="1127" w:type="pct"/>
          </w:tcPr>
          <w:p w:rsidR="001836EA" w:rsidRDefault="001836EA" w:rsidP="001836EA">
            <w:pPr>
              <w:pStyle w:val="QPPTableTextBody"/>
            </w:pPr>
            <w:r>
              <w:t>Night</w:t>
            </w:r>
          </w:p>
        </w:tc>
        <w:tc>
          <w:tcPr>
            <w:tcW w:w="581" w:type="pct"/>
          </w:tcPr>
          <w:p w:rsidR="001836EA" w:rsidRDefault="001836EA" w:rsidP="00F642BC">
            <w:pPr>
              <w:pStyle w:val="QPPTableTextBody"/>
            </w:pPr>
            <w:r>
              <w:t>0.1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</w:tcPr>
          <w:p w:rsidR="001836EA" w:rsidRDefault="001836EA" w:rsidP="00F642BC">
            <w:pPr>
              <w:pStyle w:val="QPPTableTextBody"/>
            </w:pPr>
            <w:r>
              <w:t>0.071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1836EA" w:rsidRDefault="001836EA" w:rsidP="00F642BC">
            <w:pPr>
              <w:pStyle w:val="QPPTableTextBody"/>
            </w:pPr>
            <w:r>
              <w:t>0.2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1836EA" w:rsidRDefault="001836EA" w:rsidP="00F642BC">
            <w:pPr>
              <w:pStyle w:val="QPPTableTextBody"/>
            </w:pPr>
            <w:r>
              <w:t>0.14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1836EA" w:rsidRPr="00C71B85" w:rsidTr="00711050">
        <w:tc>
          <w:tcPr>
            <w:tcW w:w="1016" w:type="pct"/>
            <w:shd w:val="clear" w:color="auto" w:fill="auto"/>
          </w:tcPr>
          <w:p w:rsidR="001836EA" w:rsidRDefault="001836EA" w:rsidP="00467CD8">
            <w:pPr>
              <w:pStyle w:val="QPPTableTextBody"/>
            </w:pPr>
            <w:r>
              <w:t>Offices, schools, educational institutions and places of worship</w:t>
            </w:r>
          </w:p>
        </w:tc>
        <w:tc>
          <w:tcPr>
            <w:tcW w:w="1127" w:type="pct"/>
          </w:tcPr>
          <w:p w:rsidR="001836EA" w:rsidRDefault="001836EA" w:rsidP="001836EA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</w:tcPr>
          <w:p w:rsidR="001836EA" w:rsidRDefault="001836EA" w:rsidP="00F642BC">
            <w:pPr>
              <w:pStyle w:val="QPPTableTextBody"/>
            </w:pPr>
            <w:r>
              <w:t>0.64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</w:tcPr>
          <w:p w:rsidR="001836EA" w:rsidRDefault="001836EA" w:rsidP="00F642BC">
            <w:pPr>
              <w:pStyle w:val="QPPTableTextBody"/>
            </w:pPr>
            <w:r>
              <w:t>0.46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1836EA" w:rsidRDefault="001836EA" w:rsidP="00F642BC">
            <w:pPr>
              <w:pStyle w:val="QPPTableTextBody"/>
            </w:pPr>
            <w:r>
              <w:t>1.28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1836EA" w:rsidRDefault="001836EA" w:rsidP="00F642BC">
            <w:pPr>
              <w:pStyle w:val="QPPTableTextBody"/>
            </w:pPr>
            <w:r>
              <w:t>0.92 m/s</w:t>
            </w:r>
            <w:r w:rsidRPr="00D6346B">
              <w:rPr>
                <w:rStyle w:val="QPPSuperscriptChar"/>
              </w:rPr>
              <w:t>2</w:t>
            </w:r>
          </w:p>
        </w:tc>
      </w:tr>
      <w:tr w:rsidR="001836EA" w:rsidRPr="00C71B85" w:rsidTr="00711050">
        <w:tc>
          <w:tcPr>
            <w:tcW w:w="1016" w:type="pct"/>
            <w:shd w:val="clear" w:color="auto" w:fill="auto"/>
          </w:tcPr>
          <w:p w:rsidR="001836EA" w:rsidRDefault="001836EA" w:rsidP="00467CD8">
            <w:pPr>
              <w:pStyle w:val="QPPTableTextBody"/>
            </w:pPr>
            <w:r>
              <w:t>Workshops</w:t>
            </w:r>
          </w:p>
        </w:tc>
        <w:tc>
          <w:tcPr>
            <w:tcW w:w="1127" w:type="pct"/>
          </w:tcPr>
          <w:p w:rsidR="001836EA" w:rsidRDefault="001836EA" w:rsidP="001836EA">
            <w:pPr>
              <w:pStyle w:val="QPPTableTextBody"/>
            </w:pPr>
            <w:r>
              <w:t>Day or night</w:t>
            </w:r>
          </w:p>
        </w:tc>
        <w:tc>
          <w:tcPr>
            <w:tcW w:w="581" w:type="pct"/>
          </w:tcPr>
          <w:p w:rsidR="001836EA" w:rsidRDefault="001836EA" w:rsidP="00F642BC">
            <w:pPr>
              <w:pStyle w:val="QPPTableTextBody"/>
            </w:pPr>
            <w:r>
              <w:t>0.64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51" w:type="pct"/>
          </w:tcPr>
          <w:p w:rsidR="001836EA" w:rsidRDefault="001836EA" w:rsidP="00F642BC">
            <w:pPr>
              <w:pStyle w:val="QPPTableTextBody"/>
            </w:pPr>
            <w:r>
              <w:t>0.46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30" w:type="pct"/>
          </w:tcPr>
          <w:p w:rsidR="001836EA" w:rsidRDefault="001836EA" w:rsidP="00F642BC">
            <w:pPr>
              <w:pStyle w:val="QPPTableTextBody"/>
            </w:pPr>
            <w:r>
              <w:t>1.28 m/s</w:t>
            </w:r>
            <w:r w:rsidRPr="00D6346B">
              <w:rPr>
                <w:rStyle w:val="QPPSuperscriptChar"/>
              </w:rPr>
              <w:t>2</w:t>
            </w:r>
          </w:p>
        </w:tc>
        <w:tc>
          <w:tcPr>
            <w:tcW w:w="795" w:type="pct"/>
          </w:tcPr>
          <w:p w:rsidR="001836EA" w:rsidRDefault="001836EA" w:rsidP="00F642BC">
            <w:pPr>
              <w:pStyle w:val="QPPTableTextBody"/>
            </w:pPr>
            <w:r>
              <w:t>0.92 m/s</w:t>
            </w:r>
            <w:r w:rsidRPr="00D6346B">
              <w:rPr>
                <w:rStyle w:val="QPPSuperscriptChar"/>
              </w:rPr>
              <w:t>2</w:t>
            </w:r>
          </w:p>
        </w:tc>
      </w:tr>
    </w:tbl>
    <w:p w:rsidR="00B52556" w:rsidRDefault="00B52556" w:rsidP="00D6346B">
      <w:pPr>
        <w:pStyle w:val="QPPEditorsNoteStyle1"/>
      </w:pPr>
      <w:r>
        <w:t>Note—</w:t>
      </w:r>
    </w:p>
    <w:p w:rsidR="008B06C1" w:rsidRDefault="00F95B78" w:rsidP="00D6346B">
      <w:pPr>
        <w:pStyle w:val="QPPEditorsNoteStyle1"/>
      </w:pPr>
      <w:r w:rsidRPr="00D6346B">
        <w:rPr>
          <w:rStyle w:val="QPPSuperscriptChar"/>
        </w:rPr>
        <w:t>(</w:t>
      </w:r>
      <w:r w:rsidR="00CB4F68" w:rsidRPr="00D6346B">
        <w:rPr>
          <w:rStyle w:val="QPPSuperscriptChar"/>
        </w:rPr>
        <w:t>1</w:t>
      </w:r>
      <w:r w:rsidRPr="00D6346B">
        <w:rPr>
          <w:rStyle w:val="QPPSuperscriptChar"/>
        </w:rPr>
        <w:t>)</w:t>
      </w:r>
      <w:r w:rsidR="00CB4F68">
        <w:t xml:space="preserve"> Day is 7am to 10pm and night is 10pm to 7am</w:t>
      </w:r>
      <w:r w:rsidR="00555B93">
        <w:t>.</w:t>
      </w:r>
    </w:p>
    <w:p w:rsidR="00CB4F68" w:rsidRDefault="00F95B78" w:rsidP="00D6346B">
      <w:pPr>
        <w:pStyle w:val="QPPEditorsNoteStyle1"/>
      </w:pPr>
      <w:r w:rsidRPr="00D6346B">
        <w:rPr>
          <w:rStyle w:val="QPPSuperscriptChar"/>
        </w:rPr>
        <w:t>(</w:t>
      </w:r>
      <w:r w:rsidR="00CB4F68" w:rsidRPr="00D6346B">
        <w:rPr>
          <w:rStyle w:val="QPPSuperscriptChar"/>
        </w:rPr>
        <w:t>2</w:t>
      </w:r>
      <w:r w:rsidRPr="00D6346B">
        <w:rPr>
          <w:rStyle w:val="QPPSuperscriptChar"/>
        </w:rPr>
        <w:t>)</w:t>
      </w:r>
      <w:r w:rsidR="00CB4F68">
        <w:t xml:space="preserve"> Examples include hospital operating theatres and precision laboratories where sensitive operations are occurring.</w:t>
      </w:r>
    </w:p>
    <w:p w:rsidR="00CB4F68" w:rsidRDefault="00F95B78" w:rsidP="00D6346B">
      <w:pPr>
        <w:pStyle w:val="QPPEditorsNoteStyle1"/>
        <w:rPr>
          <w:rStyle w:val="HighlightingGreen"/>
          <w:rFonts w:cs="Arial"/>
          <w:color w:val="000000"/>
        </w:rPr>
      </w:pPr>
      <w:r w:rsidRPr="00D6346B">
        <w:rPr>
          <w:rStyle w:val="QPPSuperscriptChar"/>
        </w:rPr>
        <w:t>(</w:t>
      </w:r>
      <w:r w:rsidR="00CB4F68" w:rsidRPr="00D6346B">
        <w:rPr>
          <w:rStyle w:val="QPPSuperscriptChar"/>
        </w:rPr>
        <w:t>3</w:t>
      </w:r>
      <w:r w:rsidRPr="00D6346B">
        <w:rPr>
          <w:rStyle w:val="QPPSuperscriptChar"/>
        </w:rPr>
        <w:t>)</w:t>
      </w:r>
      <w:r w:rsidR="00CB4F68" w:rsidRPr="00CB4F68">
        <w:t xml:space="preserve"> Situations exist where vibration above the preferred values can be acceptable, particularly for temporary or short</w:t>
      </w:r>
      <w:r w:rsidR="00555B93">
        <w:t>-</w:t>
      </w:r>
      <w:r w:rsidR="00CB4F68" w:rsidRPr="00CB4F68">
        <w:t xml:space="preserve">term events. Further guidance is given in the </w:t>
      </w:r>
      <w:hyperlink r:id="rId66" w:history="1">
        <w:r w:rsidR="00CB4F68" w:rsidRPr="00D6346B">
          <w:rPr>
            <w:rStyle w:val="Hyperlink"/>
          </w:rPr>
          <w:t xml:space="preserve">Noise </w:t>
        </w:r>
        <w:r w:rsidR="0080736E" w:rsidRPr="00850C09">
          <w:rPr>
            <w:rStyle w:val="Hyperlink"/>
          </w:rPr>
          <w:t>i</w:t>
        </w:r>
        <w:r w:rsidR="00CB4F68" w:rsidRPr="00D6346B">
          <w:rPr>
            <w:rStyle w:val="Hyperlink"/>
          </w:rPr>
          <w:t xml:space="preserve">mpact </w:t>
        </w:r>
        <w:r w:rsidR="0080736E" w:rsidRPr="00850C09">
          <w:rPr>
            <w:rStyle w:val="Hyperlink"/>
          </w:rPr>
          <w:t>a</w:t>
        </w:r>
        <w:r w:rsidR="00CB4F68" w:rsidRPr="00D6346B">
          <w:rPr>
            <w:rStyle w:val="Hyperlink"/>
          </w:rPr>
          <w:t xml:space="preserve">ssessment </w:t>
        </w:r>
        <w:r w:rsidR="0080736E" w:rsidRPr="00850C09">
          <w:rPr>
            <w:rStyle w:val="Hyperlink"/>
          </w:rPr>
          <w:t>p</w:t>
        </w:r>
        <w:r w:rsidR="00CB4F68" w:rsidRPr="00D6346B">
          <w:rPr>
            <w:rStyle w:val="Hyperlink"/>
          </w:rPr>
          <w:t xml:space="preserve">lanning </w:t>
        </w:r>
        <w:r w:rsidR="0080736E" w:rsidRPr="00850C09">
          <w:rPr>
            <w:rStyle w:val="Hyperlink"/>
          </w:rPr>
          <w:t>s</w:t>
        </w:r>
        <w:r w:rsidR="00CB4F68" w:rsidRPr="00D6346B">
          <w:rPr>
            <w:rStyle w:val="Hyperlink"/>
          </w:rPr>
          <w:t xml:space="preserve">cheme </w:t>
        </w:r>
        <w:r w:rsidR="0080736E" w:rsidRPr="00850C09">
          <w:rPr>
            <w:rStyle w:val="Hyperlink"/>
          </w:rPr>
          <w:t>p</w:t>
        </w:r>
        <w:r w:rsidR="00CB4F68" w:rsidRPr="00D6346B">
          <w:rPr>
            <w:rStyle w:val="Hyperlink"/>
          </w:rPr>
          <w:t>olicy.</w:t>
        </w:r>
      </w:hyperlink>
    </w:p>
    <w:p w:rsidR="00CB4F68" w:rsidRDefault="00CB4F68" w:rsidP="00D6346B">
      <w:pPr>
        <w:pStyle w:val="QPPTableHeadingStyle1"/>
      </w:pPr>
      <w:bookmarkStart w:id="5" w:name="Table9433e"/>
      <w:bookmarkEnd w:id="5"/>
      <w:r>
        <w:t>Table 9.4.3.3.</w:t>
      </w:r>
      <w:r w:rsidR="0092089E">
        <w:t>E</w:t>
      </w:r>
      <w:r>
        <w:t>—</w:t>
      </w:r>
      <w:r w:rsidRPr="00CB4F68">
        <w:t xml:space="preserve"> Recommended</w:t>
      </w:r>
      <w:r>
        <w:t xml:space="preserve"> vibration dose values for intermittent vibration (m/s</w:t>
      </w:r>
      <w:r w:rsidRPr="00D6346B">
        <w:rPr>
          <w:rStyle w:val="QPPSuperscriptChar"/>
        </w:rPr>
        <w:t>1.75</w:t>
      </w:r>
      <w:r>
        <w:t>) for human comfort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491"/>
        <w:gridCol w:w="1490"/>
        <w:gridCol w:w="1583"/>
        <w:gridCol w:w="1583"/>
      </w:tblGrid>
      <w:tr w:rsidR="00DE1742" w:rsidRPr="00C71B85" w:rsidTr="00DE1742">
        <w:tc>
          <w:tcPr>
            <w:tcW w:w="1393" w:type="pct"/>
            <w:vMerge w:val="restart"/>
            <w:shd w:val="clear" w:color="auto" w:fill="auto"/>
          </w:tcPr>
          <w:p w:rsidR="00DE1742" w:rsidRPr="006803CF" w:rsidRDefault="00DE1742" w:rsidP="00DE1742">
            <w:pPr>
              <w:pStyle w:val="QPPTableTextBold"/>
            </w:pPr>
            <w:r>
              <w:t>Location</w:t>
            </w:r>
          </w:p>
        </w:tc>
        <w:tc>
          <w:tcPr>
            <w:tcW w:w="1749" w:type="pct"/>
            <w:gridSpan w:val="2"/>
          </w:tcPr>
          <w:p w:rsidR="00DE1742" w:rsidDel="00E85A00" w:rsidRDefault="00DE1742" w:rsidP="00DE1742">
            <w:pPr>
              <w:pStyle w:val="QPPTableTextBold"/>
            </w:pPr>
            <w:r>
              <w:t>Daytime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1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1858" w:type="pct"/>
            <w:gridSpan w:val="2"/>
            <w:shd w:val="clear" w:color="auto" w:fill="auto"/>
          </w:tcPr>
          <w:p w:rsidR="00DE1742" w:rsidRPr="006803CF" w:rsidRDefault="00DE1742" w:rsidP="00DE1742">
            <w:pPr>
              <w:pStyle w:val="QPPTableTextBold"/>
            </w:pPr>
            <w:r>
              <w:t>Night time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1</w:t>
            </w:r>
            <w:r w:rsidR="00F95B78" w:rsidRPr="00D6346B">
              <w:rPr>
                <w:rStyle w:val="QPPSuperscriptChar"/>
              </w:rPr>
              <w:t>)</w:t>
            </w:r>
          </w:p>
        </w:tc>
      </w:tr>
      <w:tr w:rsidR="00DE1742" w:rsidRPr="00C71B85" w:rsidTr="00DE1742">
        <w:tc>
          <w:tcPr>
            <w:tcW w:w="1393" w:type="pct"/>
            <w:vMerge/>
            <w:shd w:val="clear" w:color="auto" w:fill="auto"/>
          </w:tcPr>
          <w:p w:rsidR="00DE1742" w:rsidRPr="006803CF" w:rsidRDefault="00DE1742">
            <w:pPr>
              <w:pStyle w:val="QPPTableTextBody"/>
            </w:pPr>
          </w:p>
        </w:tc>
        <w:tc>
          <w:tcPr>
            <w:tcW w:w="875" w:type="pct"/>
          </w:tcPr>
          <w:p w:rsidR="00DE1742" w:rsidRPr="000F55D9" w:rsidDel="00E85A00" w:rsidRDefault="00DE1742" w:rsidP="00D6346B">
            <w:pPr>
              <w:pStyle w:val="QPPTableTextBold"/>
            </w:pPr>
            <w:r>
              <w:t>Preferred value</w:t>
            </w:r>
          </w:p>
        </w:tc>
        <w:tc>
          <w:tcPr>
            <w:tcW w:w="874" w:type="pct"/>
          </w:tcPr>
          <w:p w:rsidR="00DE1742" w:rsidRPr="000F55D9" w:rsidDel="00E85A00" w:rsidRDefault="00DE1742" w:rsidP="00D6346B">
            <w:pPr>
              <w:pStyle w:val="QPPTableTextBold"/>
            </w:pPr>
            <w:r>
              <w:t>Maximum value</w:t>
            </w:r>
          </w:p>
        </w:tc>
        <w:tc>
          <w:tcPr>
            <w:tcW w:w="929" w:type="pct"/>
            <w:shd w:val="clear" w:color="auto" w:fill="auto"/>
          </w:tcPr>
          <w:p w:rsidR="00DE1742" w:rsidRPr="006803CF" w:rsidRDefault="00DE1742" w:rsidP="00D6346B">
            <w:pPr>
              <w:pStyle w:val="QPPTableTextBold"/>
            </w:pPr>
            <w:r>
              <w:t>Preferred value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3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929" w:type="pct"/>
            <w:shd w:val="clear" w:color="auto" w:fill="auto"/>
          </w:tcPr>
          <w:p w:rsidR="00DE1742" w:rsidRPr="006803CF" w:rsidRDefault="00DE1742" w:rsidP="00D6346B">
            <w:pPr>
              <w:pStyle w:val="QPPTableTextBold"/>
              <w:rPr>
                <w:i/>
                <w:iCs/>
              </w:rPr>
            </w:pPr>
            <w:r>
              <w:t>Maximum value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3</w:t>
            </w:r>
            <w:r w:rsidR="00F95B78" w:rsidRPr="00D6346B">
              <w:rPr>
                <w:rStyle w:val="QPPSuperscriptChar"/>
              </w:rPr>
              <w:t>)</w:t>
            </w:r>
          </w:p>
        </w:tc>
      </w:tr>
      <w:tr w:rsidR="00DE1742" w:rsidRPr="00C71B85" w:rsidTr="00DE1742">
        <w:tc>
          <w:tcPr>
            <w:tcW w:w="1393" w:type="pct"/>
            <w:shd w:val="clear" w:color="auto" w:fill="auto"/>
          </w:tcPr>
          <w:p w:rsidR="00DE1742" w:rsidRPr="006803CF" w:rsidRDefault="00DE1742" w:rsidP="00DE1742">
            <w:pPr>
              <w:pStyle w:val="QPPTableTextBody"/>
            </w:pPr>
            <w:r>
              <w:t>Critical areas</w:t>
            </w:r>
            <w:r w:rsidR="00F95B78" w:rsidRPr="00D6346B">
              <w:rPr>
                <w:rStyle w:val="QPPSuperscriptChar"/>
              </w:rPr>
              <w:t>(</w:t>
            </w:r>
            <w:r w:rsidRPr="00D6346B">
              <w:rPr>
                <w:rStyle w:val="QPPSuperscriptChar"/>
              </w:rPr>
              <w:t>2</w:t>
            </w:r>
            <w:r w:rsidR="00F95B78" w:rsidRPr="00D6346B">
              <w:rPr>
                <w:rStyle w:val="QPPSuperscriptChar"/>
              </w:rPr>
              <w:t>)</w:t>
            </w:r>
          </w:p>
        </w:tc>
        <w:tc>
          <w:tcPr>
            <w:tcW w:w="875" w:type="pct"/>
          </w:tcPr>
          <w:p w:rsidR="00DE1742" w:rsidRDefault="00DE1742" w:rsidP="00DE1742">
            <w:pPr>
              <w:pStyle w:val="QPPTableTextBody"/>
            </w:pPr>
            <w:r>
              <w:t>0.1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874" w:type="pct"/>
          </w:tcPr>
          <w:p w:rsidR="00DE1742" w:rsidRDefault="007462A2" w:rsidP="00DE1742">
            <w:pPr>
              <w:pStyle w:val="QPPTableTextBody"/>
            </w:pPr>
            <w:r>
              <w:t>0.2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DE1742" w:rsidRDefault="007462A2" w:rsidP="00DE1742">
            <w:pPr>
              <w:pStyle w:val="QPPTableTextBody"/>
            </w:pPr>
            <w:r>
              <w:t>0.1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DE1742" w:rsidRDefault="007462A2" w:rsidP="00DE1742">
            <w:pPr>
              <w:pStyle w:val="QPPTableTextBody"/>
            </w:pPr>
            <w:r>
              <w:t>0.2 m/s</w:t>
            </w:r>
            <w:r w:rsidRPr="00D6346B">
              <w:rPr>
                <w:rStyle w:val="QPPSuperscriptChar"/>
              </w:rPr>
              <w:t>1.75</w:t>
            </w:r>
          </w:p>
        </w:tc>
      </w:tr>
      <w:tr w:rsidR="007462A2" w:rsidRPr="00C71B85" w:rsidTr="00DE1742">
        <w:tc>
          <w:tcPr>
            <w:tcW w:w="1393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Residences</w:t>
            </w:r>
          </w:p>
        </w:tc>
        <w:tc>
          <w:tcPr>
            <w:tcW w:w="875" w:type="pct"/>
          </w:tcPr>
          <w:p w:rsidR="007462A2" w:rsidRDefault="007462A2" w:rsidP="00DE1742">
            <w:pPr>
              <w:pStyle w:val="QPPTableTextBody"/>
            </w:pPr>
            <w:r>
              <w:t>0.2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874" w:type="pct"/>
          </w:tcPr>
          <w:p w:rsidR="007462A2" w:rsidRDefault="007462A2" w:rsidP="00DE1742">
            <w:pPr>
              <w:pStyle w:val="QPPTableTextBody"/>
            </w:pPr>
            <w:r>
              <w:t>0.4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0.13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0.26 m/s</w:t>
            </w:r>
            <w:r w:rsidRPr="00D6346B">
              <w:rPr>
                <w:rStyle w:val="QPPSuperscriptChar"/>
              </w:rPr>
              <w:t>1.75</w:t>
            </w:r>
          </w:p>
        </w:tc>
      </w:tr>
      <w:tr w:rsidR="007462A2" w:rsidRPr="00C71B85" w:rsidTr="00DE1742">
        <w:tc>
          <w:tcPr>
            <w:tcW w:w="1393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Offices, schools, educational institutions and places of worship</w:t>
            </w:r>
          </w:p>
        </w:tc>
        <w:tc>
          <w:tcPr>
            <w:tcW w:w="875" w:type="pct"/>
          </w:tcPr>
          <w:p w:rsidR="007462A2" w:rsidRDefault="007462A2" w:rsidP="00DE1742">
            <w:pPr>
              <w:pStyle w:val="QPPTableTextBody"/>
            </w:pPr>
            <w:r>
              <w:t>0.4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874" w:type="pct"/>
          </w:tcPr>
          <w:p w:rsidR="007462A2" w:rsidRDefault="007462A2" w:rsidP="00DE1742">
            <w:pPr>
              <w:pStyle w:val="QPPTableTextBody"/>
            </w:pPr>
            <w:r>
              <w:t>0.8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0.4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0.8 m/s</w:t>
            </w:r>
            <w:r w:rsidRPr="00D6346B">
              <w:rPr>
                <w:rStyle w:val="QPPSuperscriptChar"/>
              </w:rPr>
              <w:t>1.75</w:t>
            </w:r>
          </w:p>
        </w:tc>
      </w:tr>
      <w:tr w:rsidR="007462A2" w:rsidRPr="00C71B85" w:rsidTr="00DE1742">
        <w:tc>
          <w:tcPr>
            <w:tcW w:w="1393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Workshops</w:t>
            </w:r>
          </w:p>
        </w:tc>
        <w:tc>
          <w:tcPr>
            <w:tcW w:w="875" w:type="pct"/>
          </w:tcPr>
          <w:p w:rsidR="007462A2" w:rsidRDefault="007462A2" w:rsidP="00DE1742">
            <w:pPr>
              <w:pStyle w:val="QPPTableTextBody"/>
            </w:pPr>
            <w:r>
              <w:t>0.8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874" w:type="pct"/>
          </w:tcPr>
          <w:p w:rsidR="007462A2" w:rsidRDefault="007462A2" w:rsidP="00DE1742">
            <w:pPr>
              <w:pStyle w:val="QPPTableTextBody"/>
            </w:pPr>
            <w:r>
              <w:t>1.6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0.8 m/s</w:t>
            </w:r>
            <w:r w:rsidRPr="00D6346B">
              <w:rPr>
                <w:rStyle w:val="QPPSuperscriptChar"/>
              </w:rPr>
              <w:t>1.75</w:t>
            </w:r>
          </w:p>
        </w:tc>
        <w:tc>
          <w:tcPr>
            <w:tcW w:w="929" w:type="pct"/>
            <w:shd w:val="clear" w:color="auto" w:fill="auto"/>
          </w:tcPr>
          <w:p w:rsidR="007462A2" w:rsidRDefault="007462A2" w:rsidP="00DE1742">
            <w:pPr>
              <w:pStyle w:val="QPPTableTextBody"/>
            </w:pPr>
            <w:r>
              <w:t>1.6 m/s</w:t>
            </w:r>
            <w:r w:rsidRPr="00D6346B">
              <w:rPr>
                <w:rStyle w:val="QPPSuperscriptChar"/>
              </w:rPr>
              <w:t>1.75</w:t>
            </w:r>
          </w:p>
        </w:tc>
      </w:tr>
    </w:tbl>
    <w:p w:rsidR="00B52556" w:rsidRDefault="00B52556" w:rsidP="007462A2">
      <w:pPr>
        <w:pStyle w:val="QPPEditorsNoteStyle1"/>
      </w:pPr>
      <w:r>
        <w:lastRenderedPageBreak/>
        <w:t>Note—</w:t>
      </w:r>
    </w:p>
    <w:p w:rsidR="007462A2" w:rsidRDefault="00F95B78" w:rsidP="007462A2">
      <w:pPr>
        <w:pStyle w:val="QPPEditorsNoteStyle1"/>
      </w:pPr>
      <w:r w:rsidRPr="00D6346B">
        <w:rPr>
          <w:rStyle w:val="QPPSuperscriptChar"/>
        </w:rPr>
        <w:t>(</w:t>
      </w:r>
      <w:r w:rsidR="007462A2" w:rsidRPr="00D6346B">
        <w:rPr>
          <w:rStyle w:val="QPPSuperscriptChar"/>
        </w:rPr>
        <w:t>1</w:t>
      </w:r>
      <w:r w:rsidRPr="00D6346B">
        <w:rPr>
          <w:rStyle w:val="QPPSuperscriptChar"/>
        </w:rPr>
        <w:t>)</w:t>
      </w:r>
      <w:r w:rsidR="007462A2">
        <w:t xml:space="preserve"> Day is 7am to 10pm and night is 10pm to 7am</w:t>
      </w:r>
      <w:r w:rsidR="00555B93">
        <w:t>.</w:t>
      </w:r>
    </w:p>
    <w:p w:rsidR="007462A2" w:rsidRDefault="00F95B78" w:rsidP="007462A2">
      <w:pPr>
        <w:pStyle w:val="QPPEditorsNoteStyle1"/>
      </w:pPr>
      <w:r w:rsidRPr="00D6346B">
        <w:rPr>
          <w:rStyle w:val="QPPSuperscriptChar"/>
        </w:rPr>
        <w:t>(</w:t>
      </w:r>
      <w:r w:rsidR="007462A2" w:rsidRPr="00D6346B">
        <w:rPr>
          <w:rStyle w:val="QPPSuperscriptChar"/>
        </w:rPr>
        <w:t>2</w:t>
      </w:r>
      <w:r w:rsidRPr="00D6346B">
        <w:rPr>
          <w:rStyle w:val="QPPSuperscriptChar"/>
        </w:rPr>
        <w:t>)</w:t>
      </w:r>
      <w:r w:rsidR="007462A2" w:rsidRPr="00D6346B">
        <w:rPr>
          <w:rStyle w:val="QPPSuperscriptChar"/>
        </w:rPr>
        <w:t xml:space="preserve"> </w:t>
      </w:r>
      <w:r w:rsidR="007462A2">
        <w:t>Examples include hospital operating theatres and precision laboratories where sensitive operations are occurring.</w:t>
      </w:r>
    </w:p>
    <w:p w:rsidR="007462A2" w:rsidRDefault="00F95B78" w:rsidP="007462A2">
      <w:pPr>
        <w:pStyle w:val="QPPEditorsNoteStyle1"/>
        <w:rPr>
          <w:rStyle w:val="HighlightingGreen"/>
        </w:rPr>
      </w:pPr>
      <w:r w:rsidRPr="00D6346B">
        <w:rPr>
          <w:rStyle w:val="QPPSuperscriptChar"/>
        </w:rPr>
        <w:t>(</w:t>
      </w:r>
      <w:r w:rsidR="007462A2" w:rsidRPr="00D6346B">
        <w:rPr>
          <w:rStyle w:val="QPPSuperscriptChar"/>
        </w:rPr>
        <w:t>3</w:t>
      </w:r>
      <w:r w:rsidRPr="00D6346B">
        <w:rPr>
          <w:rStyle w:val="QPPSuperscriptChar"/>
        </w:rPr>
        <w:t>)</w:t>
      </w:r>
      <w:r w:rsidR="007462A2" w:rsidRPr="00CB4F68">
        <w:t xml:space="preserve"> Situations exist where vibration above the preferred values can be acceptable, particularly for temporary or short</w:t>
      </w:r>
      <w:r w:rsidR="00555B93">
        <w:t>-</w:t>
      </w:r>
      <w:r w:rsidR="007462A2" w:rsidRPr="00CB4F68">
        <w:t xml:space="preserve">term events. Further guidance is given in the </w:t>
      </w:r>
      <w:hyperlink r:id="rId67" w:history="1">
        <w:r w:rsidR="007462A2" w:rsidRPr="00850C09">
          <w:rPr>
            <w:rStyle w:val="Hyperlink"/>
          </w:rPr>
          <w:t xml:space="preserve">Noise </w:t>
        </w:r>
        <w:r w:rsidR="0080736E" w:rsidRPr="00850C09">
          <w:rPr>
            <w:rStyle w:val="Hyperlink"/>
          </w:rPr>
          <w:t>i</w:t>
        </w:r>
        <w:r w:rsidR="007462A2" w:rsidRPr="00850C09">
          <w:rPr>
            <w:rStyle w:val="Hyperlink"/>
          </w:rPr>
          <w:t xml:space="preserve">mpact </w:t>
        </w:r>
        <w:r w:rsidR="0080736E" w:rsidRPr="00850C09">
          <w:rPr>
            <w:rStyle w:val="Hyperlink"/>
          </w:rPr>
          <w:t>a</w:t>
        </w:r>
        <w:r w:rsidR="007462A2" w:rsidRPr="00850C09">
          <w:rPr>
            <w:rStyle w:val="Hyperlink"/>
          </w:rPr>
          <w:t xml:space="preserve">ssessment </w:t>
        </w:r>
        <w:r w:rsidR="0080736E" w:rsidRPr="00850C09">
          <w:rPr>
            <w:rStyle w:val="Hyperlink"/>
          </w:rPr>
          <w:t>p</w:t>
        </w:r>
        <w:r w:rsidR="007462A2" w:rsidRPr="00850C09">
          <w:rPr>
            <w:rStyle w:val="Hyperlink"/>
          </w:rPr>
          <w:t xml:space="preserve">lanning </w:t>
        </w:r>
        <w:r w:rsidR="0080736E" w:rsidRPr="00850C09">
          <w:rPr>
            <w:rStyle w:val="Hyperlink"/>
          </w:rPr>
          <w:t>s</w:t>
        </w:r>
        <w:r w:rsidR="007462A2" w:rsidRPr="00850C09">
          <w:rPr>
            <w:rStyle w:val="Hyperlink"/>
          </w:rPr>
          <w:t xml:space="preserve">cheme </w:t>
        </w:r>
        <w:r w:rsidR="0080736E" w:rsidRPr="00850C09">
          <w:rPr>
            <w:rStyle w:val="Hyperlink"/>
          </w:rPr>
          <w:t>p</w:t>
        </w:r>
        <w:r w:rsidR="007462A2" w:rsidRPr="00850C09">
          <w:rPr>
            <w:rStyle w:val="Hyperlink"/>
          </w:rPr>
          <w:t>olicy.</w:t>
        </w:r>
      </w:hyperlink>
    </w:p>
    <w:sectPr w:rsidR="007462A2">
      <w:headerReference w:type="even" r:id="rId68"/>
      <w:footerReference w:type="default" r:id="rId69"/>
      <w:headerReference w:type="first" r:id="rId7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B9" w:rsidRDefault="00895CB9">
      <w:r>
        <w:separator/>
      </w:r>
    </w:p>
  </w:endnote>
  <w:endnote w:type="continuationSeparator" w:id="0">
    <w:p w:rsidR="00895CB9" w:rsidRDefault="008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45" w:rsidRDefault="000C2245" w:rsidP="00E23131">
    <w:pPr>
      <w:pStyle w:val="QPPFooter"/>
    </w:pPr>
    <w:r w:rsidRPr="00D539AD">
      <w:t>Part 9 – Development Codes (Filling &amp; Excavation)</w:t>
    </w:r>
    <w:r>
      <w:ptab w:relativeTo="margin" w:alignment="center" w:leader="none"/>
    </w:r>
    <w:r>
      <w:ptab w:relativeTo="margin" w:alignment="right" w:leader="none"/>
    </w:r>
    <w:r w:rsidRPr="00D539AD">
      <w:t xml:space="preserve">Effective </w:t>
    </w:r>
    <w:r w:rsidR="00EA1043">
      <w:t>1 December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B9" w:rsidRDefault="00895CB9">
      <w:r>
        <w:separator/>
      </w:r>
    </w:p>
  </w:footnote>
  <w:footnote w:type="continuationSeparator" w:id="0">
    <w:p w:rsidR="00895CB9" w:rsidRDefault="0089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45" w:rsidRDefault="00DC3A0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32287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45" w:rsidRDefault="00DC3A0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32286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975C7"/>
    <w:multiLevelType w:val="multilevel"/>
    <w:tmpl w:val="4D3C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0"/>
  </w:num>
  <w:num w:numId="6">
    <w:abstractNumId w:val="17"/>
    <w:lvlOverride w:ilvl="0">
      <w:startOverride w:val="1"/>
    </w:lvlOverride>
  </w:num>
  <w:num w:numId="7">
    <w:abstractNumId w:val="33"/>
  </w:num>
  <w:num w:numId="8">
    <w:abstractNumId w:val="23"/>
  </w:num>
  <w:num w:numId="9">
    <w:abstractNumId w:val="26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6"/>
  </w:num>
  <w:num w:numId="20">
    <w:abstractNumId w:val="19"/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1"/>
  </w:num>
  <w:num w:numId="45">
    <w:abstractNumId w:val="18"/>
  </w:num>
  <w:num w:numId="46">
    <w:abstractNumId w:val="35"/>
  </w:num>
  <w:num w:numId="47">
    <w:abstractNumId w:val="15"/>
  </w:num>
  <w:num w:numId="48">
    <w:abstractNumId w:val="37"/>
  </w:num>
  <w:num w:numId="49">
    <w:abstractNumId w:val="14"/>
  </w:num>
  <w:num w:numId="50">
    <w:abstractNumId w:val="27"/>
  </w:num>
  <w:num w:numId="51">
    <w:abstractNumId w:val="22"/>
  </w:num>
  <w:num w:numId="52">
    <w:abstractNumId w:val="24"/>
  </w:num>
  <w:num w:numId="53">
    <w:abstractNumId w:val="28"/>
  </w:num>
  <w:num w:numId="54">
    <w:abstractNumId w:val="28"/>
    <w:lvlOverride w:ilvl="0">
      <w:startOverride w:val="1"/>
    </w:lvlOverride>
  </w:num>
  <w:num w:numId="55">
    <w:abstractNumId w:val="32"/>
  </w:num>
  <w:num w:numId="56">
    <w:abstractNumId w:val="31"/>
  </w:num>
  <w:num w:numId="57">
    <w:abstractNumId w:val="23"/>
  </w:num>
  <w:num w:numId="58">
    <w:abstractNumId w:val="23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AES" w:cryptAlgorithmClass="hash" w:cryptAlgorithmType="typeAny" w:cryptAlgorithmSid="14" w:cryptSpinCount="100000" w:hash="kzZzlQ0npaZn6/NfH1NRTXLY1jAd1t1MGxQHy7+C34jMRhRmM97sDNwcFV5+DpEnAPYJY3jKILYMOanXicLcFw==" w:salt="AOwQEmUhmUoqPOAHHimTF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19"/>
    <w:rsid w:val="00002CFC"/>
    <w:rsid w:val="00004583"/>
    <w:rsid w:val="000168A9"/>
    <w:rsid w:val="00043583"/>
    <w:rsid w:val="00055780"/>
    <w:rsid w:val="00061560"/>
    <w:rsid w:val="00075323"/>
    <w:rsid w:val="000905CE"/>
    <w:rsid w:val="000A4EF4"/>
    <w:rsid w:val="000C1180"/>
    <w:rsid w:val="000C2245"/>
    <w:rsid w:val="000C22BC"/>
    <w:rsid w:val="000D30FD"/>
    <w:rsid w:val="000D7CF9"/>
    <w:rsid w:val="000E10E8"/>
    <w:rsid w:val="000E4174"/>
    <w:rsid w:val="000E4C47"/>
    <w:rsid w:val="000E6D35"/>
    <w:rsid w:val="000F7088"/>
    <w:rsid w:val="00101C33"/>
    <w:rsid w:val="001028B5"/>
    <w:rsid w:val="001059EA"/>
    <w:rsid w:val="00115B89"/>
    <w:rsid w:val="0011774A"/>
    <w:rsid w:val="0012036B"/>
    <w:rsid w:val="00131C24"/>
    <w:rsid w:val="00133146"/>
    <w:rsid w:val="00134B47"/>
    <w:rsid w:val="00135901"/>
    <w:rsid w:val="00136A93"/>
    <w:rsid w:val="00143021"/>
    <w:rsid w:val="00150FB5"/>
    <w:rsid w:val="0015333F"/>
    <w:rsid w:val="001562C8"/>
    <w:rsid w:val="0016037B"/>
    <w:rsid w:val="00160DAF"/>
    <w:rsid w:val="00162B72"/>
    <w:rsid w:val="00166AA2"/>
    <w:rsid w:val="0017014C"/>
    <w:rsid w:val="00170648"/>
    <w:rsid w:val="00170712"/>
    <w:rsid w:val="001716B9"/>
    <w:rsid w:val="0017596C"/>
    <w:rsid w:val="0017798B"/>
    <w:rsid w:val="00181808"/>
    <w:rsid w:val="001836EA"/>
    <w:rsid w:val="001922C6"/>
    <w:rsid w:val="00194DE1"/>
    <w:rsid w:val="001B39D9"/>
    <w:rsid w:val="001B44A8"/>
    <w:rsid w:val="001C0BF5"/>
    <w:rsid w:val="001C75EB"/>
    <w:rsid w:val="001D1E25"/>
    <w:rsid w:val="001E2D1A"/>
    <w:rsid w:val="001E38BF"/>
    <w:rsid w:val="001F63D7"/>
    <w:rsid w:val="00203388"/>
    <w:rsid w:val="002150EE"/>
    <w:rsid w:val="00221B66"/>
    <w:rsid w:val="00224961"/>
    <w:rsid w:val="0022757C"/>
    <w:rsid w:val="00245D91"/>
    <w:rsid w:val="00253A0A"/>
    <w:rsid w:val="00262D16"/>
    <w:rsid w:val="0026391A"/>
    <w:rsid w:val="00265E63"/>
    <w:rsid w:val="00267176"/>
    <w:rsid w:val="0026732C"/>
    <w:rsid w:val="002765C6"/>
    <w:rsid w:val="00284B3E"/>
    <w:rsid w:val="00287250"/>
    <w:rsid w:val="00287DC6"/>
    <w:rsid w:val="00296A3D"/>
    <w:rsid w:val="002A2A40"/>
    <w:rsid w:val="002B1CD7"/>
    <w:rsid w:val="002B7325"/>
    <w:rsid w:val="002D0483"/>
    <w:rsid w:val="002D4BA4"/>
    <w:rsid w:val="002E33BF"/>
    <w:rsid w:val="002E4BF2"/>
    <w:rsid w:val="002E7B57"/>
    <w:rsid w:val="002F444A"/>
    <w:rsid w:val="0030629E"/>
    <w:rsid w:val="00317A39"/>
    <w:rsid w:val="00317A8E"/>
    <w:rsid w:val="003216FA"/>
    <w:rsid w:val="0032469A"/>
    <w:rsid w:val="003453A7"/>
    <w:rsid w:val="00353181"/>
    <w:rsid w:val="003748A3"/>
    <w:rsid w:val="003753F8"/>
    <w:rsid w:val="003910F2"/>
    <w:rsid w:val="00394674"/>
    <w:rsid w:val="003A0415"/>
    <w:rsid w:val="003A26E0"/>
    <w:rsid w:val="003A684A"/>
    <w:rsid w:val="003A7087"/>
    <w:rsid w:val="003D18C4"/>
    <w:rsid w:val="003E5C35"/>
    <w:rsid w:val="00404B27"/>
    <w:rsid w:val="0042183E"/>
    <w:rsid w:val="00424B72"/>
    <w:rsid w:val="00425213"/>
    <w:rsid w:val="0042741F"/>
    <w:rsid w:val="00436DA5"/>
    <w:rsid w:val="0044180F"/>
    <w:rsid w:val="00444290"/>
    <w:rsid w:val="0045154F"/>
    <w:rsid w:val="00452245"/>
    <w:rsid w:val="00460726"/>
    <w:rsid w:val="00460A77"/>
    <w:rsid w:val="00467CD8"/>
    <w:rsid w:val="0048096B"/>
    <w:rsid w:val="0048412A"/>
    <w:rsid w:val="00486019"/>
    <w:rsid w:val="004B043E"/>
    <w:rsid w:val="004B43BD"/>
    <w:rsid w:val="004F156A"/>
    <w:rsid w:val="00510103"/>
    <w:rsid w:val="00511BC7"/>
    <w:rsid w:val="0051600C"/>
    <w:rsid w:val="005206F0"/>
    <w:rsid w:val="00521C6F"/>
    <w:rsid w:val="00533A65"/>
    <w:rsid w:val="00533FB7"/>
    <w:rsid w:val="00534D51"/>
    <w:rsid w:val="00535114"/>
    <w:rsid w:val="005453BD"/>
    <w:rsid w:val="005505C1"/>
    <w:rsid w:val="00553B34"/>
    <w:rsid w:val="005551FB"/>
    <w:rsid w:val="00555B93"/>
    <w:rsid w:val="00562768"/>
    <w:rsid w:val="00565D1C"/>
    <w:rsid w:val="00574F15"/>
    <w:rsid w:val="005868FC"/>
    <w:rsid w:val="00595D88"/>
    <w:rsid w:val="00597AD6"/>
    <w:rsid w:val="005B53DD"/>
    <w:rsid w:val="005C67EE"/>
    <w:rsid w:val="005D256F"/>
    <w:rsid w:val="00604D61"/>
    <w:rsid w:val="00610805"/>
    <w:rsid w:val="00622EF9"/>
    <w:rsid w:val="00630405"/>
    <w:rsid w:val="00633512"/>
    <w:rsid w:val="006431F1"/>
    <w:rsid w:val="0064722A"/>
    <w:rsid w:val="00656BDE"/>
    <w:rsid w:val="00657F22"/>
    <w:rsid w:val="00662039"/>
    <w:rsid w:val="00664D54"/>
    <w:rsid w:val="00676DD9"/>
    <w:rsid w:val="006803CF"/>
    <w:rsid w:val="00684B1F"/>
    <w:rsid w:val="006A17BA"/>
    <w:rsid w:val="006A4C15"/>
    <w:rsid w:val="006A5DB2"/>
    <w:rsid w:val="006A6C53"/>
    <w:rsid w:val="006B035C"/>
    <w:rsid w:val="006B04F1"/>
    <w:rsid w:val="006B06DD"/>
    <w:rsid w:val="006B5FBB"/>
    <w:rsid w:val="006C16F8"/>
    <w:rsid w:val="006C4942"/>
    <w:rsid w:val="006E3C2B"/>
    <w:rsid w:val="006E595F"/>
    <w:rsid w:val="006F0040"/>
    <w:rsid w:val="006F1010"/>
    <w:rsid w:val="006F2F68"/>
    <w:rsid w:val="006F57C6"/>
    <w:rsid w:val="00706D9E"/>
    <w:rsid w:val="00711050"/>
    <w:rsid w:val="007178E6"/>
    <w:rsid w:val="0072360E"/>
    <w:rsid w:val="007260D1"/>
    <w:rsid w:val="00736017"/>
    <w:rsid w:val="007462A2"/>
    <w:rsid w:val="00752FAD"/>
    <w:rsid w:val="00762949"/>
    <w:rsid w:val="00766B91"/>
    <w:rsid w:val="007803AC"/>
    <w:rsid w:val="00790C49"/>
    <w:rsid w:val="00795224"/>
    <w:rsid w:val="007B16E4"/>
    <w:rsid w:val="007C14DE"/>
    <w:rsid w:val="007C2606"/>
    <w:rsid w:val="007C51D8"/>
    <w:rsid w:val="007C5498"/>
    <w:rsid w:val="007C7334"/>
    <w:rsid w:val="007D2B4D"/>
    <w:rsid w:val="007F191A"/>
    <w:rsid w:val="0080313A"/>
    <w:rsid w:val="00804F1D"/>
    <w:rsid w:val="0080736E"/>
    <w:rsid w:val="008120B6"/>
    <w:rsid w:val="008215DB"/>
    <w:rsid w:val="00844D9A"/>
    <w:rsid w:val="00850C09"/>
    <w:rsid w:val="0088209B"/>
    <w:rsid w:val="0088456A"/>
    <w:rsid w:val="00887B1F"/>
    <w:rsid w:val="00890CD9"/>
    <w:rsid w:val="0089146B"/>
    <w:rsid w:val="00895CB9"/>
    <w:rsid w:val="008A52B7"/>
    <w:rsid w:val="008A7321"/>
    <w:rsid w:val="008B0516"/>
    <w:rsid w:val="008B06C1"/>
    <w:rsid w:val="008E527C"/>
    <w:rsid w:val="009119D0"/>
    <w:rsid w:val="0091311F"/>
    <w:rsid w:val="0092089E"/>
    <w:rsid w:val="00924064"/>
    <w:rsid w:val="00926EAB"/>
    <w:rsid w:val="00930B7D"/>
    <w:rsid w:val="00932686"/>
    <w:rsid w:val="009337B7"/>
    <w:rsid w:val="009624C7"/>
    <w:rsid w:val="00962F6C"/>
    <w:rsid w:val="00975F58"/>
    <w:rsid w:val="009833EE"/>
    <w:rsid w:val="00987DC8"/>
    <w:rsid w:val="00995E1F"/>
    <w:rsid w:val="00996F8B"/>
    <w:rsid w:val="009A52CF"/>
    <w:rsid w:val="009A7703"/>
    <w:rsid w:val="009B5BB6"/>
    <w:rsid w:val="009B5E82"/>
    <w:rsid w:val="009B754C"/>
    <w:rsid w:val="009C34A7"/>
    <w:rsid w:val="009C6EAF"/>
    <w:rsid w:val="009D1EE6"/>
    <w:rsid w:val="009D1F0F"/>
    <w:rsid w:val="009D5471"/>
    <w:rsid w:val="009D5D1F"/>
    <w:rsid w:val="009D5EE2"/>
    <w:rsid w:val="009D6163"/>
    <w:rsid w:val="00A0718A"/>
    <w:rsid w:val="00A1036B"/>
    <w:rsid w:val="00A11234"/>
    <w:rsid w:val="00A25B2D"/>
    <w:rsid w:val="00A2738E"/>
    <w:rsid w:val="00A30CA8"/>
    <w:rsid w:val="00A316BD"/>
    <w:rsid w:val="00A364DB"/>
    <w:rsid w:val="00A37A98"/>
    <w:rsid w:val="00A43CA2"/>
    <w:rsid w:val="00A545E0"/>
    <w:rsid w:val="00A57627"/>
    <w:rsid w:val="00A61CA2"/>
    <w:rsid w:val="00A64BAF"/>
    <w:rsid w:val="00A73469"/>
    <w:rsid w:val="00A80753"/>
    <w:rsid w:val="00A858B9"/>
    <w:rsid w:val="00A8620D"/>
    <w:rsid w:val="00A90476"/>
    <w:rsid w:val="00AA256E"/>
    <w:rsid w:val="00AA7099"/>
    <w:rsid w:val="00AB14E4"/>
    <w:rsid w:val="00AB1D52"/>
    <w:rsid w:val="00AB34B7"/>
    <w:rsid w:val="00AC3A37"/>
    <w:rsid w:val="00AC3D8E"/>
    <w:rsid w:val="00AD1598"/>
    <w:rsid w:val="00AE057E"/>
    <w:rsid w:val="00AE2E29"/>
    <w:rsid w:val="00AF65AE"/>
    <w:rsid w:val="00B01AD1"/>
    <w:rsid w:val="00B1558A"/>
    <w:rsid w:val="00B25462"/>
    <w:rsid w:val="00B256BD"/>
    <w:rsid w:val="00B32E01"/>
    <w:rsid w:val="00B410DA"/>
    <w:rsid w:val="00B41F6D"/>
    <w:rsid w:val="00B43F98"/>
    <w:rsid w:val="00B52556"/>
    <w:rsid w:val="00B71EFA"/>
    <w:rsid w:val="00B73A44"/>
    <w:rsid w:val="00B771A8"/>
    <w:rsid w:val="00B82FC3"/>
    <w:rsid w:val="00B9495E"/>
    <w:rsid w:val="00B969BD"/>
    <w:rsid w:val="00BB241C"/>
    <w:rsid w:val="00BB30EF"/>
    <w:rsid w:val="00BB7A4A"/>
    <w:rsid w:val="00BC44DC"/>
    <w:rsid w:val="00BC6EEE"/>
    <w:rsid w:val="00BD6079"/>
    <w:rsid w:val="00BD66BD"/>
    <w:rsid w:val="00BE1215"/>
    <w:rsid w:val="00C03E54"/>
    <w:rsid w:val="00C11175"/>
    <w:rsid w:val="00C17E64"/>
    <w:rsid w:val="00C21542"/>
    <w:rsid w:val="00C25C12"/>
    <w:rsid w:val="00C3035C"/>
    <w:rsid w:val="00C30862"/>
    <w:rsid w:val="00C44E58"/>
    <w:rsid w:val="00C60782"/>
    <w:rsid w:val="00C80907"/>
    <w:rsid w:val="00C963DA"/>
    <w:rsid w:val="00C96865"/>
    <w:rsid w:val="00CA2FDF"/>
    <w:rsid w:val="00CA5105"/>
    <w:rsid w:val="00CB4F68"/>
    <w:rsid w:val="00CC1D8E"/>
    <w:rsid w:val="00CE33CB"/>
    <w:rsid w:val="00D02544"/>
    <w:rsid w:val="00D030F6"/>
    <w:rsid w:val="00D1622B"/>
    <w:rsid w:val="00D21E36"/>
    <w:rsid w:val="00D225A9"/>
    <w:rsid w:val="00D278AB"/>
    <w:rsid w:val="00D3589A"/>
    <w:rsid w:val="00D358AF"/>
    <w:rsid w:val="00D46429"/>
    <w:rsid w:val="00D539AD"/>
    <w:rsid w:val="00D5659C"/>
    <w:rsid w:val="00D6346B"/>
    <w:rsid w:val="00D649A9"/>
    <w:rsid w:val="00D801D6"/>
    <w:rsid w:val="00D80DCA"/>
    <w:rsid w:val="00D852EC"/>
    <w:rsid w:val="00D90F38"/>
    <w:rsid w:val="00D9263B"/>
    <w:rsid w:val="00DA304B"/>
    <w:rsid w:val="00DB65B1"/>
    <w:rsid w:val="00DC1B58"/>
    <w:rsid w:val="00DC25F3"/>
    <w:rsid w:val="00DC3A09"/>
    <w:rsid w:val="00DD0C17"/>
    <w:rsid w:val="00DD0F89"/>
    <w:rsid w:val="00DE1742"/>
    <w:rsid w:val="00DE5111"/>
    <w:rsid w:val="00DF173E"/>
    <w:rsid w:val="00DF450F"/>
    <w:rsid w:val="00E1109F"/>
    <w:rsid w:val="00E1558B"/>
    <w:rsid w:val="00E23131"/>
    <w:rsid w:val="00E55BA5"/>
    <w:rsid w:val="00E56BD2"/>
    <w:rsid w:val="00E60BA2"/>
    <w:rsid w:val="00E6141C"/>
    <w:rsid w:val="00E62C75"/>
    <w:rsid w:val="00E72774"/>
    <w:rsid w:val="00E74C24"/>
    <w:rsid w:val="00E82336"/>
    <w:rsid w:val="00E85A00"/>
    <w:rsid w:val="00E87408"/>
    <w:rsid w:val="00E91907"/>
    <w:rsid w:val="00E94E56"/>
    <w:rsid w:val="00E95096"/>
    <w:rsid w:val="00E95479"/>
    <w:rsid w:val="00E978D7"/>
    <w:rsid w:val="00EA1043"/>
    <w:rsid w:val="00EA18D4"/>
    <w:rsid w:val="00EA37D4"/>
    <w:rsid w:val="00EB0BE0"/>
    <w:rsid w:val="00EC60C4"/>
    <w:rsid w:val="00ED111B"/>
    <w:rsid w:val="00ED350C"/>
    <w:rsid w:val="00EE7043"/>
    <w:rsid w:val="00F021EF"/>
    <w:rsid w:val="00F04D34"/>
    <w:rsid w:val="00F16D0D"/>
    <w:rsid w:val="00F266AA"/>
    <w:rsid w:val="00F460E5"/>
    <w:rsid w:val="00F53E36"/>
    <w:rsid w:val="00F610BF"/>
    <w:rsid w:val="00F642BC"/>
    <w:rsid w:val="00F65B50"/>
    <w:rsid w:val="00F7335C"/>
    <w:rsid w:val="00F80762"/>
    <w:rsid w:val="00F837DC"/>
    <w:rsid w:val="00F94947"/>
    <w:rsid w:val="00F95B78"/>
    <w:rsid w:val="00FA34D9"/>
    <w:rsid w:val="00FA7C7F"/>
    <w:rsid w:val="00FC5962"/>
    <w:rsid w:val="00FC5C88"/>
    <w:rsid w:val="00FE21FE"/>
    <w:rsid w:val="00FE74D2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7961037-ED88-455C-B3AB-54E6AC1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DC3A0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C3A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C3A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C3A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C3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C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C3A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C3A0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C3A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C3A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C3A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3A09"/>
  </w:style>
  <w:style w:type="paragraph" w:customStyle="1" w:styleId="QPPBodytext">
    <w:name w:val="QPP Body text"/>
    <w:basedOn w:val="Normal"/>
    <w:link w:val="QPPBodytextChar"/>
    <w:rsid w:val="00DC3A0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C3A09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DC3A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C3A0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C3A09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C3A0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DC3A09"/>
    <w:rPr>
      <w:b/>
    </w:rPr>
  </w:style>
  <w:style w:type="character" w:styleId="FollowedHyperlink">
    <w:name w:val="FollowedHyperlink"/>
    <w:locked/>
    <w:rsid w:val="00DC3A09"/>
    <w:rPr>
      <w:color w:val="800080"/>
      <w:u w:val="single"/>
    </w:rPr>
  </w:style>
  <w:style w:type="character" w:customStyle="1" w:styleId="QPPTableTextBodyChar">
    <w:name w:val="QPP Table Text Body Char"/>
    <w:basedOn w:val="QPPBodytextChar"/>
    <w:link w:val="QPPTableTextBody"/>
    <w:rsid w:val="00DC3A0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C3A09"/>
    <w:pPr>
      <w:numPr>
        <w:numId w:val="1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C3A0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C3A0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C3A0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C3A0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C3A0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C3A0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C3A0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C3A0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C3A0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DC3A0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C3A0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C3A09"/>
    <w:pPr>
      <w:numPr>
        <w:numId w:val="3"/>
      </w:numPr>
    </w:pPr>
  </w:style>
  <w:style w:type="paragraph" w:styleId="BalloonText">
    <w:name w:val="Balloon Text"/>
    <w:basedOn w:val="Normal"/>
    <w:semiHidden/>
    <w:locked/>
    <w:rsid w:val="00DC3A09"/>
    <w:rPr>
      <w:rFonts w:ascii="Tahoma" w:hAnsi="Tahoma" w:cs="Tahoma"/>
      <w:sz w:val="16"/>
      <w:szCs w:val="16"/>
    </w:rPr>
  </w:style>
  <w:style w:type="character" w:customStyle="1" w:styleId="HighlightingBlue">
    <w:name w:val="Highlighting Blue"/>
    <w:rsid w:val="00DC3A09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DC3A0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C3A0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C3A09"/>
    <w:pPr>
      <w:numPr>
        <w:numId w:val="7"/>
      </w:numPr>
    </w:pPr>
  </w:style>
  <w:style w:type="character" w:customStyle="1" w:styleId="HighlightingGreen">
    <w:name w:val="Highlighting Green"/>
    <w:rsid w:val="00DC3A0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C3A0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C3A0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C3A09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DC3A0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C3A09"/>
    <w:rPr>
      <w:vertAlign w:val="superscript"/>
    </w:rPr>
  </w:style>
  <w:style w:type="character" w:customStyle="1" w:styleId="QPPSuperscriptChar">
    <w:name w:val="QPP Superscript Char"/>
    <w:link w:val="QPPSuperscript"/>
    <w:rsid w:val="00DC3A09"/>
    <w:rPr>
      <w:rFonts w:ascii="Arial" w:hAnsi="Arial" w:cs="Arial"/>
      <w:color w:val="000000"/>
      <w:vertAlign w:val="superscript"/>
    </w:rPr>
  </w:style>
  <w:style w:type="character" w:customStyle="1" w:styleId="QPPHeading4Char">
    <w:name w:val="QPP Heading 4 Char"/>
    <w:link w:val="QPPHeading4"/>
    <w:rsid w:val="00DC3A09"/>
    <w:rPr>
      <w:rFonts w:ascii="Arial" w:hAnsi="Arial" w:cs="Arial"/>
      <w:b/>
      <w:bCs/>
      <w:szCs w:val="26"/>
    </w:rPr>
  </w:style>
  <w:style w:type="character" w:customStyle="1" w:styleId="QPPTableTextBoldChar">
    <w:name w:val="QPP Table Text Bold Char"/>
    <w:link w:val="QPPTableTextBold"/>
    <w:rsid w:val="00B410DA"/>
    <w:rPr>
      <w:rFonts w:ascii="Arial" w:hAnsi="Arial" w:cs="Arial"/>
      <w:b/>
      <w:color w:val="000000"/>
    </w:rPr>
  </w:style>
  <w:style w:type="character" w:styleId="Hyperlink">
    <w:name w:val="Hyperlink"/>
    <w:rsid w:val="00DC3A09"/>
    <w:rPr>
      <w:color w:val="0000FF"/>
      <w:u w:val="single"/>
    </w:rPr>
  </w:style>
  <w:style w:type="character" w:styleId="CommentReference">
    <w:name w:val="annotation reference"/>
    <w:semiHidden/>
    <w:locked/>
    <w:rsid w:val="00DC3A09"/>
    <w:rPr>
      <w:sz w:val="16"/>
      <w:szCs w:val="16"/>
    </w:rPr>
  </w:style>
  <w:style w:type="paragraph" w:styleId="CommentText">
    <w:name w:val="annotation text"/>
    <w:basedOn w:val="Normal"/>
    <w:semiHidden/>
    <w:locked/>
    <w:rsid w:val="00DC3A0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C3A09"/>
    <w:rPr>
      <w:b/>
      <w:bCs/>
    </w:rPr>
  </w:style>
  <w:style w:type="paragraph" w:styleId="Header">
    <w:name w:val="header"/>
    <w:basedOn w:val="Normal"/>
    <w:locked/>
    <w:rsid w:val="00DC3A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DC3A09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DC3A09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C3A09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DC3A09"/>
    <w:pPr>
      <w:numPr>
        <w:numId w:val="10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DC3A09"/>
    <w:pPr>
      <w:spacing w:before="60" w:after="60"/>
    </w:pPr>
  </w:style>
  <w:style w:type="paragraph" w:customStyle="1" w:styleId="QPPDotBulletPoint">
    <w:name w:val="QPP Dot Bullet Point"/>
    <w:basedOn w:val="Normal"/>
    <w:semiHidden/>
    <w:locked/>
    <w:rsid w:val="00DC3A09"/>
    <w:pPr>
      <w:numPr>
        <w:numId w:val="20"/>
      </w:numPr>
    </w:pPr>
  </w:style>
  <w:style w:type="character" w:customStyle="1" w:styleId="QPPSubscriptChar">
    <w:name w:val="QPP Subscript Char"/>
    <w:link w:val="QPPSubscript"/>
    <w:rsid w:val="00DC3A0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DC3A0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DC3A09"/>
    <w:pPr>
      <w:numPr>
        <w:numId w:val="26"/>
      </w:numPr>
    </w:pPr>
  </w:style>
  <w:style w:type="numbering" w:styleId="1ai">
    <w:name w:val="Outline List 1"/>
    <w:basedOn w:val="NoList"/>
    <w:locked/>
    <w:rsid w:val="00DC3A09"/>
    <w:pPr>
      <w:numPr>
        <w:numId w:val="27"/>
      </w:numPr>
    </w:pPr>
  </w:style>
  <w:style w:type="numbering" w:styleId="ArticleSection">
    <w:name w:val="Outline List 3"/>
    <w:basedOn w:val="NoList"/>
    <w:locked/>
    <w:rsid w:val="00DC3A09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C3A09"/>
  </w:style>
  <w:style w:type="paragraph" w:styleId="BlockText">
    <w:name w:val="Block Text"/>
    <w:basedOn w:val="Normal"/>
    <w:locked/>
    <w:rsid w:val="00DC3A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C3A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A0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C3A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3A0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C3A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3A0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C3A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C3A0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C3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3A0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C3A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C3A0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C3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3A0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C3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3A0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C3A0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C3A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C3A09"/>
    <w:pPr>
      <w:ind w:left="4252"/>
    </w:pPr>
  </w:style>
  <w:style w:type="character" w:customStyle="1" w:styleId="ClosingChar">
    <w:name w:val="Closing Char"/>
    <w:basedOn w:val="DefaultParagraphFont"/>
    <w:link w:val="Closing"/>
    <w:rsid w:val="00DC3A0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C3A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C3A0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C3A0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C3A09"/>
  </w:style>
  <w:style w:type="character" w:customStyle="1" w:styleId="DateChar">
    <w:name w:val="Date Char"/>
    <w:basedOn w:val="DefaultParagraphFont"/>
    <w:link w:val="Date"/>
    <w:rsid w:val="00DC3A0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C3A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3A0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C3A09"/>
  </w:style>
  <w:style w:type="character" w:customStyle="1" w:styleId="E-mailSignatureChar">
    <w:name w:val="E-mail Signature Char"/>
    <w:basedOn w:val="DefaultParagraphFont"/>
    <w:link w:val="E-mailSignature"/>
    <w:rsid w:val="00DC3A09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C3A09"/>
    <w:rPr>
      <w:i/>
      <w:iCs/>
    </w:rPr>
  </w:style>
  <w:style w:type="character" w:styleId="EndnoteReference">
    <w:name w:val="endnote reference"/>
    <w:basedOn w:val="DefaultParagraphFont"/>
    <w:locked/>
    <w:rsid w:val="00DC3A09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C3A0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C3A09"/>
    <w:rPr>
      <w:rFonts w:ascii="Arial" w:hAnsi="Arial"/>
    </w:rPr>
  </w:style>
  <w:style w:type="paragraph" w:styleId="EnvelopeAddress">
    <w:name w:val="envelope address"/>
    <w:basedOn w:val="Normal"/>
    <w:locked/>
    <w:rsid w:val="00DC3A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C3A0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C3A09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C3A0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C3A09"/>
    <w:rPr>
      <w:rFonts w:ascii="Arial" w:hAnsi="Arial"/>
    </w:rPr>
  </w:style>
  <w:style w:type="character" w:styleId="HTMLAcronym">
    <w:name w:val="HTML Acronym"/>
    <w:basedOn w:val="DefaultParagraphFont"/>
    <w:locked/>
    <w:rsid w:val="00DC3A09"/>
  </w:style>
  <w:style w:type="paragraph" w:styleId="HTMLAddress">
    <w:name w:val="HTML Address"/>
    <w:basedOn w:val="Normal"/>
    <w:link w:val="HTMLAddressChar"/>
    <w:locked/>
    <w:rsid w:val="00DC3A0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3A0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C3A09"/>
    <w:rPr>
      <w:i/>
      <w:iCs/>
    </w:rPr>
  </w:style>
  <w:style w:type="character" w:styleId="HTMLCode">
    <w:name w:val="HTML Code"/>
    <w:basedOn w:val="DefaultParagraphFont"/>
    <w:locked/>
    <w:rsid w:val="00DC3A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C3A09"/>
    <w:rPr>
      <w:i/>
      <w:iCs/>
    </w:rPr>
  </w:style>
  <w:style w:type="character" w:styleId="HTMLKeyboard">
    <w:name w:val="HTML Keyboard"/>
    <w:basedOn w:val="DefaultParagraphFont"/>
    <w:locked/>
    <w:rsid w:val="00DC3A0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C3A0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3A09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C3A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C3A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C3A09"/>
    <w:rPr>
      <w:i/>
      <w:iCs/>
    </w:rPr>
  </w:style>
  <w:style w:type="paragraph" w:styleId="Index1">
    <w:name w:val="index 1"/>
    <w:basedOn w:val="Normal"/>
    <w:next w:val="Normal"/>
    <w:autoRedefine/>
    <w:locked/>
    <w:rsid w:val="00DC3A0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C3A0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C3A0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C3A0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C3A0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C3A0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C3A0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C3A0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C3A09"/>
    <w:pPr>
      <w:ind w:left="1800" w:hanging="200"/>
    </w:pPr>
  </w:style>
  <w:style w:type="paragraph" w:styleId="IndexHeading">
    <w:name w:val="index heading"/>
    <w:basedOn w:val="Normal"/>
    <w:next w:val="Index1"/>
    <w:locked/>
    <w:rsid w:val="00DC3A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C3A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C3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A0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C3A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C3A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C3A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C3A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C3A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C3A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C3A0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C3A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C3A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C3A0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C3A09"/>
  </w:style>
  <w:style w:type="paragraph" w:styleId="List">
    <w:name w:val="List"/>
    <w:basedOn w:val="Normal"/>
    <w:locked/>
    <w:rsid w:val="00DC3A09"/>
    <w:pPr>
      <w:ind w:left="283" w:hanging="283"/>
      <w:contextualSpacing/>
    </w:pPr>
  </w:style>
  <w:style w:type="paragraph" w:styleId="List2">
    <w:name w:val="List 2"/>
    <w:basedOn w:val="Normal"/>
    <w:locked/>
    <w:rsid w:val="00DC3A09"/>
    <w:pPr>
      <w:ind w:left="566" w:hanging="283"/>
      <w:contextualSpacing/>
    </w:pPr>
  </w:style>
  <w:style w:type="paragraph" w:styleId="List3">
    <w:name w:val="List 3"/>
    <w:basedOn w:val="Normal"/>
    <w:locked/>
    <w:rsid w:val="00DC3A09"/>
    <w:pPr>
      <w:ind w:left="849" w:hanging="283"/>
      <w:contextualSpacing/>
    </w:pPr>
  </w:style>
  <w:style w:type="paragraph" w:styleId="List4">
    <w:name w:val="List 4"/>
    <w:basedOn w:val="Normal"/>
    <w:locked/>
    <w:rsid w:val="00DC3A09"/>
    <w:pPr>
      <w:ind w:left="1132" w:hanging="283"/>
      <w:contextualSpacing/>
    </w:pPr>
  </w:style>
  <w:style w:type="paragraph" w:styleId="List5">
    <w:name w:val="List 5"/>
    <w:basedOn w:val="Normal"/>
    <w:locked/>
    <w:rsid w:val="00DC3A09"/>
    <w:pPr>
      <w:ind w:left="1415" w:hanging="283"/>
      <w:contextualSpacing/>
    </w:pPr>
  </w:style>
  <w:style w:type="paragraph" w:styleId="ListBullet">
    <w:name w:val="List Bullet"/>
    <w:basedOn w:val="Normal"/>
    <w:locked/>
    <w:rsid w:val="00DC3A09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DC3A09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DC3A09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DC3A09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DC3A09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DC3A0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C3A0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C3A0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C3A0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C3A09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C3A09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DC3A09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DC3A09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DC3A09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DC3A09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DC3A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C3A09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C3A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C3A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C3A0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C3A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C3A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C3A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C3A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C3A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C3A09"/>
    <w:rPr>
      <w:rFonts w:ascii="Arial" w:hAnsi="Arial"/>
      <w:szCs w:val="24"/>
    </w:rPr>
  </w:style>
  <w:style w:type="paragraph" w:styleId="NormalWeb">
    <w:name w:val="Normal (Web)"/>
    <w:basedOn w:val="Normal"/>
    <w:locked/>
    <w:rsid w:val="00DC3A09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C3A09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C3A09"/>
  </w:style>
  <w:style w:type="character" w:customStyle="1" w:styleId="NoteHeadingChar">
    <w:name w:val="Note Heading Char"/>
    <w:basedOn w:val="DefaultParagraphFont"/>
    <w:link w:val="NoteHeading"/>
    <w:rsid w:val="00DC3A09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C3A09"/>
  </w:style>
  <w:style w:type="character" w:styleId="PlaceholderText">
    <w:name w:val="Placeholder Text"/>
    <w:basedOn w:val="DefaultParagraphFont"/>
    <w:uiPriority w:val="99"/>
    <w:semiHidden/>
    <w:rsid w:val="00DC3A09"/>
    <w:rPr>
      <w:color w:val="808080"/>
    </w:rPr>
  </w:style>
  <w:style w:type="paragraph" w:styleId="PlainText">
    <w:name w:val="Plain Text"/>
    <w:basedOn w:val="Normal"/>
    <w:link w:val="PlainTextChar"/>
    <w:locked/>
    <w:rsid w:val="00DC3A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3A0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C3A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3A0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C3A09"/>
  </w:style>
  <w:style w:type="character" w:customStyle="1" w:styleId="SalutationChar">
    <w:name w:val="Salutation Char"/>
    <w:basedOn w:val="DefaultParagraphFont"/>
    <w:link w:val="Salutation"/>
    <w:rsid w:val="00DC3A0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C3A0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C3A09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C3A0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C3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C3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C3A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C3A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C3A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C3A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C3A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C3A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C3A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C3A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C3A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C3A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C3A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C3A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C3A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C3A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C3A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C3A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C3A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C3A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C3A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C3A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C3A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C3A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C3A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C3A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C3A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C3A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C3A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C3A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C3A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C3A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C3A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C3A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C3A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C3A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C3A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C3A09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C3A09"/>
  </w:style>
  <w:style w:type="table" w:styleId="TableProfessional">
    <w:name w:val="Table Professional"/>
    <w:basedOn w:val="TableNormal"/>
    <w:locked/>
    <w:rsid w:val="00DC3A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C3A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C3A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C3A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C3A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C3A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C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C3A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C3A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C3A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C3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3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C3A0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C3A09"/>
    <w:pPr>
      <w:spacing w:after="100"/>
    </w:pPr>
  </w:style>
  <w:style w:type="paragraph" w:styleId="TOC2">
    <w:name w:val="toc 2"/>
    <w:basedOn w:val="Normal"/>
    <w:next w:val="Normal"/>
    <w:autoRedefine/>
    <w:locked/>
    <w:rsid w:val="00DC3A09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C3A09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C3A09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C3A09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C3A09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C3A0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C3A0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C3A0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C3A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C3A0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C3A0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C3A09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C3A09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C3A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art5ReconfigureLot.docx" TargetMode="External"/><Relationship Id="rId18" Type="http://schemas.openxmlformats.org/officeDocument/2006/relationships/hyperlink" Target="Part1.docx" TargetMode="External"/><Relationship Id="rId26" Type="http://schemas.openxmlformats.org/officeDocument/2006/relationships/hyperlink" Target="PlantingSpeciesPSP.docx" TargetMode="External"/><Relationship Id="rId39" Type="http://schemas.openxmlformats.org/officeDocument/2006/relationships/hyperlink" Target="BiodiversityPSP.docx" TargetMode="External"/><Relationship Id="rId21" Type="http://schemas.openxmlformats.org/officeDocument/2006/relationships/hyperlink" Target="BiodiversityPSP.docx" TargetMode="External"/><Relationship Id="rId34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50" Type="http://schemas.openxmlformats.org/officeDocument/2006/relationships/hyperlink" Target="InfrastructureDesignPSP.docx" TargetMode="External"/><Relationship Id="rId55" Type="http://schemas.openxmlformats.org/officeDocument/2006/relationships/hyperlink" Target="FillExcavationCode.docx" TargetMode="External"/><Relationship Id="rId63" Type="http://schemas.openxmlformats.org/officeDocument/2006/relationships/hyperlink" Target="http://www.ehp.qld.gov.au/land/contaminated-land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hp.qld.gov.au/land/contaminated-land/index.html" TargetMode="External"/><Relationship Id="rId29" Type="http://schemas.openxmlformats.org/officeDocument/2006/relationships/hyperlink" Target="Definition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art5Overlays.docx" TargetMode="External"/><Relationship Id="rId24" Type="http://schemas.openxmlformats.org/officeDocument/2006/relationships/hyperlink" Target="ManagementPSP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https://www.legislation.qld.gov.au/Acts_SLs/Acts_SL_B.htm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InfrastructureDesignPSP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FillExcavationCode.docx" TargetMode="External"/><Relationship Id="rId66" Type="http://schemas.openxmlformats.org/officeDocument/2006/relationships/hyperlink" Target="NoiseImpactAssessmentPS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LandscapeDesignWaterConservPSP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InfrastructureDesignPSP.docx" TargetMode="External"/><Relationship Id="rId57" Type="http://schemas.openxmlformats.org/officeDocument/2006/relationships/hyperlink" Target="FillExcavationCode.docx" TargetMode="External"/><Relationship Id="rId61" Type="http://schemas.openxmlformats.org/officeDocument/2006/relationships/hyperlink" Target="Definitions.docx" TargetMode="External"/><Relationship Id="rId10" Type="http://schemas.openxmlformats.org/officeDocument/2006/relationships/hyperlink" Target="Part5OperationalWork.docx" TargetMode="External"/><Relationship Id="rId19" Type="http://schemas.openxmlformats.org/officeDocument/2006/relationships/hyperlink" Target="Part5TablesOfAssessmentIntro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InfrastructureDesignPSP.docx" TargetMode="External"/><Relationship Id="rId52" Type="http://schemas.openxmlformats.org/officeDocument/2006/relationships/hyperlink" Target="ManagementPSP.docx" TargetMode="External"/><Relationship Id="rId60" Type="http://schemas.openxmlformats.org/officeDocument/2006/relationships/hyperlink" Target="Definitions.docx" TargetMode="External"/><Relationship Id="rId65" Type="http://schemas.openxmlformats.org/officeDocument/2006/relationships/hyperlink" Target="LandscapeDesignWaterConservPSP.docx" TargetMode="Externa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http://www.daff.qld.gov.au/biosecurity" TargetMode="External"/><Relationship Id="rId22" Type="http://schemas.openxmlformats.org/officeDocument/2006/relationships/hyperlink" Target="InfrastructureDesignPSP.docx" TargetMode="External"/><Relationship Id="rId27" Type="http://schemas.openxmlformats.org/officeDocument/2006/relationships/hyperlink" Target="VegetationPSP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Definitions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file:///\\ad\groups\CPS\CPED\CPBranch\C_PConf\PUBLICATIONS_Sandbox\2017_07_Planning%20Act_Amendment\Amended%20Docs_wTC\Part%209%20-%20Development%20codes\Definitions.docx" TargetMode="External"/><Relationship Id="rId56" Type="http://schemas.openxmlformats.org/officeDocument/2006/relationships/hyperlink" Target="FillExcavationCode.docx" TargetMode="External"/><Relationship Id="rId64" Type="http://schemas.openxmlformats.org/officeDocument/2006/relationships/hyperlink" Target="LandscapeDesignWaterConservPSP.docx" TargetMode="External"/><Relationship Id="rId69" Type="http://schemas.openxmlformats.org/officeDocument/2006/relationships/footer" Target="footer1.xml"/><Relationship Id="rId8" Type="http://schemas.openxmlformats.org/officeDocument/2006/relationships/hyperlink" Target="file:///\\ad\groups\CPS\CPED\CPBranch\C_PConf\CPOT_Sandbox\2017_Planning%20Act%20readiness\TEXT\Part%209%20-%20Development%20codes\Part5Overlays.docx" TargetMode="External"/><Relationship Id="rId51" Type="http://schemas.openxmlformats.org/officeDocument/2006/relationships/hyperlink" Target="Definitions.docx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Part5Lowdensityresidential.docx" TargetMode="External"/><Relationship Id="rId17" Type="http://schemas.openxmlformats.org/officeDocument/2006/relationships/hyperlink" Target="http://www.ehp.qld.gov.au/land/contaminated-land/index.html" TargetMode="External"/><Relationship Id="rId25" Type="http://schemas.openxmlformats.org/officeDocument/2006/relationships/hyperlink" Target="NoiseImpactAssessmentPSP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https://www.legislation.qld.gov.au/Acts_SLs/Acts_SL_B.htm" TargetMode="External"/><Relationship Id="rId46" Type="http://schemas.openxmlformats.org/officeDocument/2006/relationships/hyperlink" Target="http://www.brisbane.qld.gov.au/planning-building/planning-guidelines-and-tools/guidelines/subdivision-development-guidelines/technical-documents/index.htm" TargetMode="External"/><Relationship Id="rId59" Type="http://schemas.openxmlformats.org/officeDocument/2006/relationships/hyperlink" Target="NoiseImpactAssessmentPSP.docx" TargetMode="External"/><Relationship Id="rId67" Type="http://schemas.openxmlformats.org/officeDocument/2006/relationships/hyperlink" Target="NoiseImpactAssessmentPSP.docx" TargetMode="External"/><Relationship Id="rId20" Type="http://schemas.openxmlformats.org/officeDocument/2006/relationships/hyperlink" Target="AirQualityPSP.docx" TargetMode="External"/><Relationship Id="rId41" Type="http://schemas.openxmlformats.org/officeDocument/2006/relationships/hyperlink" Target="InfrastructureDesignPSP.docx" TargetMode="External"/><Relationship Id="rId54" Type="http://schemas.openxmlformats.org/officeDocument/2006/relationships/hyperlink" Target="Definitions.docx" TargetMode="External"/><Relationship Id="rId62" Type="http://schemas.openxmlformats.org/officeDocument/2006/relationships/hyperlink" Target="http://www.ehp.qld.gov.au/land/contaminated-land/" TargetMode="External"/><Relationship Id="rId7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EFB6-B98A-43A9-8EB4-B3AD5FE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453</TotalTime>
  <Pages>7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19140</CharactersWithSpaces>
  <SharedDoc>false</SharedDoc>
  <HLinks>
    <vt:vector size="300" baseType="variant">
      <vt:variant>
        <vt:i4>6553718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6553718</vt:i4>
      </vt:variant>
      <vt:variant>
        <vt:i4>144</vt:i4>
      </vt:variant>
      <vt:variant>
        <vt:i4>0</vt:i4>
      </vt:variant>
      <vt:variant>
        <vt:i4>5</vt:i4>
      </vt:variant>
      <vt:variant>
        <vt:lpwstr>../Schedule 6 - Planning scheme policies/LandscapeDesignWaterConservPSP.doc</vt:lpwstr>
      </vt:variant>
      <vt:variant>
        <vt:lpwstr/>
      </vt:variant>
      <vt:variant>
        <vt:i4>8126575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458763</vt:i4>
      </vt:variant>
      <vt:variant>
        <vt:i4>138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6357108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Table9433f</vt:lpwstr>
      </vt:variant>
      <vt:variant>
        <vt:i4>6422644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Table9433e</vt:lpwstr>
      </vt:variant>
      <vt:variant>
        <vt:i4>6488180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Table9433d</vt:lpwstr>
      </vt:variant>
      <vt:variant>
        <vt:i4>8126575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3866669</vt:i4>
      </vt:variant>
      <vt:variant>
        <vt:i4>120</vt:i4>
      </vt:variant>
      <vt:variant>
        <vt:i4>0</vt:i4>
      </vt:variant>
      <vt:variant>
        <vt:i4>5</vt:i4>
      </vt:variant>
      <vt:variant>
        <vt:lpwstr>../Schedule 6 - Planning scheme policies/ManagementPSP.doc</vt:lpwstr>
      </vt:variant>
      <vt:variant>
        <vt:lpwstr/>
      </vt:variant>
      <vt:variant>
        <vt:i4>8126575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7471231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http://www.brisbane.qld.gov.au/planning-building/planning-guidelines-and-tools/subdivision-development-guidelines/technical-documents/index.htm</vt:lpwstr>
      </vt:variant>
      <vt:variant>
        <vt:lpwstr/>
      </vt:variant>
      <vt:variant>
        <vt:i4>6750321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RegProfEngQld</vt:lpwstr>
      </vt:variant>
      <vt:variant>
        <vt:i4>4522069</vt:i4>
      </vt:variant>
      <vt:variant>
        <vt:i4>105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102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8126575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983156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Settings\035182\Local Settings\Temporary Internet Files\Content.Outlook\Schedule 6 - Planning scheme policies\LandscapeDesignWaterConservPSP.doc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7209077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6750321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RegProfEngQld</vt:lpwstr>
      </vt:variant>
      <vt:variant>
        <vt:i4>4522069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1048595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8126575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8126575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2228272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5177353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33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8126575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7274591</vt:i4>
      </vt:variant>
      <vt:variant>
        <vt:i4>21</vt:i4>
      </vt:variant>
      <vt:variant>
        <vt:i4>0</vt:i4>
      </vt:variant>
      <vt:variant>
        <vt:i4>5</vt:i4>
      </vt:variant>
      <vt:variant>
        <vt:lpwstr>http://www.daff.qld.gov.au/documents/Biosecurity_EnvironmentalPests/IPA-Minimising-Pest-Spread-Advisory-Guidelines.pdf</vt:lpwstr>
      </vt:variant>
      <vt:variant>
        <vt:lpwstr/>
      </vt:variant>
      <vt:variant>
        <vt:i4>3145782</vt:i4>
      </vt:variant>
      <vt:variant>
        <vt:i4>18</vt:i4>
      </vt:variant>
      <vt:variant>
        <vt:i4>0</vt:i4>
      </vt:variant>
      <vt:variant>
        <vt:i4>5</vt:i4>
      </vt:variant>
      <vt:variant>
        <vt:lpwstr>http://www.abcb.gov.au/about-the-national-construction-code/the-building-code-of-australia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FillOrExc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Gillian Goodfellow</dc:creator>
  <cp:lastModifiedBy>Alexander Amon</cp:lastModifiedBy>
  <cp:revision>90</cp:revision>
  <cp:lastPrinted>2012-10-10T01:11:00Z</cp:lastPrinted>
  <dcterms:created xsi:type="dcterms:W3CDTF">2013-06-24T01:34:00Z</dcterms:created>
  <dcterms:modified xsi:type="dcterms:W3CDTF">2017-11-30T01:12:00Z</dcterms:modified>
</cp:coreProperties>
</file>