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DA0" w:rsidRPr="00B62DA0" w:rsidRDefault="00B62DA0" w:rsidP="00F31F21">
      <w:pPr>
        <w:pStyle w:val="QPPHeading2"/>
      </w:pPr>
      <w:bookmarkStart w:id="0" w:name="_GoBack"/>
      <w:bookmarkEnd w:id="0"/>
      <w:r>
        <w:t>SC6.</w:t>
      </w:r>
      <w:r w:rsidR="00CB3D7D">
        <w:t xml:space="preserve">28 </w:t>
      </w:r>
      <w:r w:rsidRPr="00B62DA0">
        <w:t>Storage and dispensing of petroleum products planning scheme policy</w:t>
      </w:r>
    </w:p>
    <w:p w:rsidR="00B62DA0" w:rsidRPr="00B62DA0" w:rsidRDefault="00B62DA0" w:rsidP="00F31F21">
      <w:pPr>
        <w:pStyle w:val="QPPHeading3"/>
      </w:pPr>
      <w:r w:rsidRPr="00B62DA0">
        <w:t>Contents</w:t>
      </w:r>
    </w:p>
    <w:p w:rsidR="00B62DA0" w:rsidRPr="00B62DA0" w:rsidRDefault="001B4060" w:rsidP="00F31F21">
      <w:pPr>
        <w:pStyle w:val="QPPBodytext"/>
      </w:pPr>
      <w:hyperlink w:anchor="Introduction1" w:history="1">
        <w:r w:rsidR="00B62DA0" w:rsidRPr="008225CE">
          <w:rPr>
            <w:rStyle w:val="Hyperlink"/>
          </w:rPr>
          <w:t>1 I</w:t>
        </w:r>
        <w:r w:rsidR="005C1C62" w:rsidRPr="008225CE">
          <w:rPr>
            <w:rStyle w:val="Hyperlink"/>
          </w:rPr>
          <w:t>ntroduction</w:t>
        </w:r>
      </w:hyperlink>
    </w:p>
    <w:p w:rsidR="00B62DA0" w:rsidRPr="00B62DA0" w:rsidRDefault="001B4060" w:rsidP="00E03D56">
      <w:pPr>
        <w:pStyle w:val="QPPBodytext"/>
        <w:ind w:left="284"/>
      </w:pPr>
      <w:hyperlink w:anchor="S11" w:history="1">
        <w:r w:rsidR="00B62DA0" w:rsidRPr="008225CE">
          <w:rPr>
            <w:rStyle w:val="Hyperlink"/>
          </w:rPr>
          <w:t>1.1 Relationship to planning scheme</w:t>
        </w:r>
      </w:hyperlink>
    </w:p>
    <w:p w:rsidR="00B62DA0" w:rsidRPr="00B62DA0" w:rsidRDefault="001B4060" w:rsidP="00E03D56">
      <w:pPr>
        <w:pStyle w:val="QPPBodytext"/>
        <w:ind w:left="284"/>
      </w:pPr>
      <w:hyperlink w:anchor="S12" w:history="1">
        <w:r w:rsidR="00B62DA0" w:rsidRPr="008225CE">
          <w:rPr>
            <w:rStyle w:val="Hyperlink"/>
          </w:rPr>
          <w:t>1.2 Purpose</w:t>
        </w:r>
      </w:hyperlink>
    </w:p>
    <w:p w:rsidR="00B62DA0" w:rsidRPr="00B62DA0" w:rsidRDefault="001B4060" w:rsidP="00E03D56">
      <w:pPr>
        <w:pStyle w:val="QPPBodytext"/>
        <w:ind w:left="284"/>
      </w:pPr>
      <w:hyperlink w:anchor="S13" w:history="1">
        <w:r w:rsidR="00B62DA0" w:rsidRPr="008225CE">
          <w:rPr>
            <w:rStyle w:val="Hyperlink"/>
          </w:rPr>
          <w:t>1.3 Terminology</w:t>
        </w:r>
      </w:hyperlink>
    </w:p>
    <w:p w:rsidR="002353B1" w:rsidRDefault="002353B1" w:rsidP="00F31F21">
      <w:pPr>
        <w:pStyle w:val="QPPBodytext"/>
      </w:pPr>
    </w:p>
    <w:p w:rsidR="00B62DA0" w:rsidRPr="00B62DA0" w:rsidRDefault="001B4060" w:rsidP="00F31F21">
      <w:pPr>
        <w:pStyle w:val="QPPBodytext"/>
      </w:pPr>
      <w:hyperlink w:anchor="Standards2" w:history="1">
        <w:r w:rsidR="00A113DA" w:rsidRPr="008225CE">
          <w:rPr>
            <w:rStyle w:val="Hyperlink"/>
          </w:rPr>
          <w:t xml:space="preserve">2 </w:t>
        </w:r>
        <w:r w:rsidR="00F77B19" w:rsidRPr="008225CE">
          <w:rPr>
            <w:rStyle w:val="Hyperlink"/>
          </w:rPr>
          <w:t>Standards</w:t>
        </w:r>
      </w:hyperlink>
    </w:p>
    <w:p w:rsidR="00B62DA0" w:rsidRDefault="001B4060" w:rsidP="00E03D56">
      <w:pPr>
        <w:pStyle w:val="QPPBodytext"/>
        <w:ind w:left="284"/>
      </w:pPr>
      <w:hyperlink w:anchor="S21" w:history="1">
        <w:r w:rsidR="00B62DA0" w:rsidRPr="008225CE">
          <w:rPr>
            <w:rStyle w:val="Hyperlink"/>
          </w:rPr>
          <w:t>2.1 General</w:t>
        </w:r>
      </w:hyperlink>
    </w:p>
    <w:p w:rsidR="00E05299" w:rsidRPr="005F3711" w:rsidRDefault="001B4060" w:rsidP="00E03D56">
      <w:pPr>
        <w:pStyle w:val="QPPBodytext"/>
        <w:ind w:left="284"/>
        <w:rPr>
          <w:rStyle w:val="Hyperlink"/>
        </w:rPr>
      </w:pPr>
      <w:hyperlink w:anchor="S22" w:history="1">
        <w:r w:rsidR="00F77B19" w:rsidRPr="005F3711">
          <w:rPr>
            <w:rStyle w:val="Hyperlink"/>
          </w:rPr>
          <w:t xml:space="preserve">2.2 Surface </w:t>
        </w:r>
        <w:r w:rsidR="005F3711" w:rsidRPr="005F3711">
          <w:rPr>
            <w:rStyle w:val="Hyperlink"/>
          </w:rPr>
          <w:t xml:space="preserve">water </w:t>
        </w:r>
        <w:r w:rsidR="00F77B19" w:rsidRPr="005F3711">
          <w:rPr>
            <w:rStyle w:val="Hyperlink"/>
          </w:rPr>
          <w:t>and groundwater protection standards</w:t>
        </w:r>
      </w:hyperlink>
    </w:p>
    <w:p w:rsidR="00B62DA0" w:rsidRPr="00B62DA0" w:rsidRDefault="001B4060" w:rsidP="00E03D56">
      <w:pPr>
        <w:pStyle w:val="QPPBodytext"/>
        <w:ind w:left="567"/>
      </w:pPr>
      <w:hyperlink w:anchor="S221" w:history="1">
        <w:r w:rsidR="00B62DA0" w:rsidRPr="008225CE">
          <w:rPr>
            <w:rStyle w:val="Hyperlink"/>
          </w:rPr>
          <w:t>2.2</w:t>
        </w:r>
        <w:r w:rsidR="00F77B19" w:rsidRPr="008225CE">
          <w:rPr>
            <w:rStyle w:val="Hyperlink"/>
          </w:rPr>
          <w:t>.1</w:t>
        </w:r>
        <w:r w:rsidR="00B62DA0" w:rsidRPr="008225CE">
          <w:rPr>
            <w:rStyle w:val="Hyperlink"/>
          </w:rPr>
          <w:t xml:space="preserve"> Underground tanks</w:t>
        </w:r>
      </w:hyperlink>
    </w:p>
    <w:p w:rsidR="00B62DA0" w:rsidRPr="00B62DA0" w:rsidRDefault="001B4060" w:rsidP="00E03D56">
      <w:pPr>
        <w:pStyle w:val="QPPBodytext"/>
        <w:ind w:left="567"/>
      </w:pPr>
      <w:hyperlink w:anchor="S222" w:history="1">
        <w:r w:rsidR="00B62DA0" w:rsidRPr="008225CE">
          <w:rPr>
            <w:rStyle w:val="Hyperlink"/>
          </w:rPr>
          <w:t>2.</w:t>
        </w:r>
        <w:r w:rsidR="00F77B19" w:rsidRPr="008225CE">
          <w:rPr>
            <w:rStyle w:val="Hyperlink"/>
          </w:rPr>
          <w:t xml:space="preserve">2.2 </w:t>
        </w:r>
        <w:r w:rsidR="00B62DA0" w:rsidRPr="008225CE">
          <w:rPr>
            <w:rStyle w:val="Hyperlink"/>
          </w:rPr>
          <w:t xml:space="preserve">Leak </w:t>
        </w:r>
        <w:r w:rsidR="006A6C4B" w:rsidRPr="008225CE">
          <w:rPr>
            <w:rStyle w:val="Hyperlink"/>
          </w:rPr>
          <w:t>d</w:t>
        </w:r>
        <w:r w:rsidR="00B62DA0" w:rsidRPr="008225CE">
          <w:rPr>
            <w:rStyle w:val="Hyperlink"/>
          </w:rPr>
          <w:t xml:space="preserve">etection </w:t>
        </w:r>
        <w:r w:rsidR="006A6C4B" w:rsidRPr="008225CE">
          <w:rPr>
            <w:rStyle w:val="Hyperlink"/>
          </w:rPr>
          <w:t>s</w:t>
        </w:r>
        <w:r w:rsidR="00B62DA0" w:rsidRPr="008225CE">
          <w:rPr>
            <w:rStyle w:val="Hyperlink"/>
          </w:rPr>
          <w:t>ystems</w:t>
        </w:r>
      </w:hyperlink>
    </w:p>
    <w:p w:rsidR="00B62DA0" w:rsidRPr="00B62DA0" w:rsidRDefault="001B4060" w:rsidP="00E03D56">
      <w:pPr>
        <w:pStyle w:val="QPPBodytext"/>
        <w:ind w:left="993"/>
      </w:pPr>
      <w:hyperlink w:anchor="S2221" w:history="1">
        <w:r w:rsidR="00B62DA0" w:rsidRPr="008225CE">
          <w:rPr>
            <w:rStyle w:val="Hyperlink"/>
          </w:rPr>
          <w:t>2.</w:t>
        </w:r>
        <w:r w:rsidR="00F77B19" w:rsidRPr="008225CE">
          <w:rPr>
            <w:rStyle w:val="Hyperlink"/>
          </w:rPr>
          <w:t>2.2</w:t>
        </w:r>
        <w:r w:rsidR="00B62DA0" w:rsidRPr="008225CE">
          <w:rPr>
            <w:rStyle w:val="Hyperlink"/>
          </w:rPr>
          <w:t>.1 Leak detection systems for underground tanks</w:t>
        </w:r>
      </w:hyperlink>
    </w:p>
    <w:p w:rsidR="00B62DA0" w:rsidRPr="00B62DA0" w:rsidRDefault="001B4060" w:rsidP="00E03D56">
      <w:pPr>
        <w:pStyle w:val="QPPBodytext"/>
        <w:ind w:left="993"/>
      </w:pPr>
      <w:hyperlink w:anchor="S2222" w:history="1">
        <w:r w:rsidR="00B62DA0" w:rsidRPr="008225CE">
          <w:rPr>
            <w:rStyle w:val="Hyperlink"/>
          </w:rPr>
          <w:t>2.</w:t>
        </w:r>
        <w:r w:rsidR="00F77B19" w:rsidRPr="008225CE">
          <w:rPr>
            <w:rStyle w:val="Hyperlink"/>
          </w:rPr>
          <w:t>2.2</w:t>
        </w:r>
        <w:r w:rsidR="00B62DA0" w:rsidRPr="008225CE">
          <w:rPr>
            <w:rStyle w:val="Hyperlink"/>
          </w:rPr>
          <w:t>.2 Leak detection systems for pipework</w:t>
        </w:r>
      </w:hyperlink>
    </w:p>
    <w:p w:rsidR="00B62DA0" w:rsidRPr="00B62DA0" w:rsidRDefault="001B4060" w:rsidP="00E03D56">
      <w:pPr>
        <w:pStyle w:val="QPPBodytext"/>
        <w:ind w:left="567"/>
      </w:pPr>
      <w:hyperlink w:anchor="S223" w:history="1">
        <w:r w:rsidR="00B62DA0" w:rsidRPr="008225CE">
          <w:rPr>
            <w:rStyle w:val="Hyperlink"/>
          </w:rPr>
          <w:t>2.</w:t>
        </w:r>
        <w:r w:rsidR="00F77B19" w:rsidRPr="008225CE">
          <w:rPr>
            <w:rStyle w:val="Hyperlink"/>
          </w:rPr>
          <w:t>2.3</w:t>
        </w:r>
        <w:r w:rsidR="00B62DA0" w:rsidRPr="008225CE">
          <w:rPr>
            <w:rStyle w:val="Hyperlink"/>
          </w:rPr>
          <w:t xml:space="preserve"> Self-bunded above</w:t>
        </w:r>
        <w:r w:rsidR="00C275E2" w:rsidRPr="008225CE">
          <w:rPr>
            <w:rStyle w:val="Hyperlink"/>
          </w:rPr>
          <w:t>-</w:t>
        </w:r>
        <w:r w:rsidR="00B62DA0" w:rsidRPr="008225CE">
          <w:rPr>
            <w:rStyle w:val="Hyperlink"/>
          </w:rPr>
          <w:t>ground tanks</w:t>
        </w:r>
      </w:hyperlink>
    </w:p>
    <w:p w:rsidR="00B62DA0" w:rsidRPr="00B62DA0" w:rsidRDefault="001B4060" w:rsidP="00E03D56">
      <w:pPr>
        <w:pStyle w:val="QPPBodytext"/>
        <w:ind w:left="567"/>
      </w:pPr>
      <w:hyperlink w:anchor="S224" w:history="1">
        <w:r w:rsidR="00B62DA0" w:rsidRPr="008225CE">
          <w:rPr>
            <w:rStyle w:val="Hyperlink"/>
          </w:rPr>
          <w:t>2.</w:t>
        </w:r>
        <w:r w:rsidR="00F77B19" w:rsidRPr="008225CE">
          <w:rPr>
            <w:rStyle w:val="Hyperlink"/>
          </w:rPr>
          <w:t>2.4</w:t>
        </w:r>
        <w:r w:rsidR="00B62DA0" w:rsidRPr="008225CE">
          <w:rPr>
            <w:rStyle w:val="Hyperlink"/>
          </w:rPr>
          <w:t xml:space="preserve"> Single-skin above</w:t>
        </w:r>
        <w:r w:rsidR="00C275E2" w:rsidRPr="008225CE">
          <w:rPr>
            <w:rStyle w:val="Hyperlink"/>
          </w:rPr>
          <w:t>-</w:t>
        </w:r>
        <w:r w:rsidR="00B62DA0" w:rsidRPr="008225CE">
          <w:rPr>
            <w:rStyle w:val="Hyperlink"/>
          </w:rPr>
          <w:t>ground tanks</w:t>
        </w:r>
      </w:hyperlink>
    </w:p>
    <w:p w:rsidR="00B62DA0" w:rsidRPr="00B62DA0" w:rsidRDefault="001B4060" w:rsidP="00E03D56">
      <w:pPr>
        <w:pStyle w:val="QPPBodytext"/>
        <w:ind w:left="567"/>
      </w:pPr>
      <w:hyperlink w:anchor="S225" w:history="1">
        <w:r w:rsidR="00B62DA0" w:rsidRPr="008225CE">
          <w:rPr>
            <w:rStyle w:val="Hyperlink"/>
          </w:rPr>
          <w:t>2.</w:t>
        </w:r>
        <w:r w:rsidR="00F77B19" w:rsidRPr="008225CE">
          <w:rPr>
            <w:rStyle w:val="Hyperlink"/>
          </w:rPr>
          <w:t xml:space="preserve">2.5 </w:t>
        </w:r>
        <w:r w:rsidR="00B62DA0" w:rsidRPr="008225CE">
          <w:rPr>
            <w:rStyle w:val="Hyperlink"/>
          </w:rPr>
          <w:t>Pipework</w:t>
        </w:r>
      </w:hyperlink>
    </w:p>
    <w:p w:rsidR="00B62DA0" w:rsidRPr="00B62DA0" w:rsidRDefault="001B4060" w:rsidP="00E03D56">
      <w:pPr>
        <w:pStyle w:val="QPPBodytext"/>
        <w:ind w:left="567"/>
      </w:pPr>
      <w:hyperlink w:anchor="S226" w:history="1">
        <w:r w:rsidR="00B62DA0" w:rsidRPr="008225CE">
          <w:rPr>
            <w:rStyle w:val="Hyperlink"/>
          </w:rPr>
          <w:t>2.</w:t>
        </w:r>
        <w:r w:rsidR="00F77B19" w:rsidRPr="008225CE">
          <w:rPr>
            <w:rStyle w:val="Hyperlink"/>
          </w:rPr>
          <w:t xml:space="preserve">2.6 </w:t>
        </w:r>
        <w:r w:rsidR="00B62DA0" w:rsidRPr="008225CE">
          <w:rPr>
            <w:rStyle w:val="Hyperlink"/>
          </w:rPr>
          <w:t xml:space="preserve">Fuel </w:t>
        </w:r>
        <w:r w:rsidR="006A6C4B" w:rsidRPr="008225CE">
          <w:rPr>
            <w:rStyle w:val="Hyperlink"/>
          </w:rPr>
          <w:t>d</w:t>
        </w:r>
        <w:r w:rsidR="00B62DA0" w:rsidRPr="008225CE">
          <w:rPr>
            <w:rStyle w:val="Hyperlink"/>
          </w:rPr>
          <w:t xml:space="preserve">ispensing </w:t>
        </w:r>
        <w:r w:rsidR="006A6C4B" w:rsidRPr="008225CE">
          <w:rPr>
            <w:rStyle w:val="Hyperlink"/>
          </w:rPr>
          <w:t>a</w:t>
        </w:r>
        <w:r w:rsidR="00B62DA0" w:rsidRPr="008225CE">
          <w:rPr>
            <w:rStyle w:val="Hyperlink"/>
          </w:rPr>
          <w:t>rea</w:t>
        </w:r>
      </w:hyperlink>
    </w:p>
    <w:p w:rsidR="00B62DA0" w:rsidRDefault="001B4060" w:rsidP="00E03D56">
      <w:pPr>
        <w:pStyle w:val="QPPBodytext"/>
        <w:ind w:left="567"/>
      </w:pPr>
      <w:hyperlink w:anchor="S227" w:history="1">
        <w:r w:rsidR="00B62DA0" w:rsidRPr="008225CE">
          <w:rPr>
            <w:rStyle w:val="Hyperlink"/>
          </w:rPr>
          <w:t>2.</w:t>
        </w:r>
        <w:r w:rsidR="00F77B19" w:rsidRPr="008225CE">
          <w:rPr>
            <w:rStyle w:val="Hyperlink"/>
          </w:rPr>
          <w:t xml:space="preserve">2.7 </w:t>
        </w:r>
        <w:r w:rsidR="00B62DA0" w:rsidRPr="008225CE">
          <w:rPr>
            <w:rStyle w:val="Hyperlink"/>
          </w:rPr>
          <w:t xml:space="preserve">Uncovered </w:t>
        </w:r>
        <w:r w:rsidR="006A6C4B" w:rsidRPr="008225CE">
          <w:rPr>
            <w:rStyle w:val="Hyperlink"/>
          </w:rPr>
          <w:t>f</w:t>
        </w:r>
        <w:r w:rsidR="00B62DA0" w:rsidRPr="008225CE">
          <w:rPr>
            <w:rStyle w:val="Hyperlink"/>
          </w:rPr>
          <w:t xml:space="preserve">orecourt </w:t>
        </w:r>
        <w:r w:rsidR="006A6C4B" w:rsidRPr="008225CE">
          <w:rPr>
            <w:rStyle w:val="Hyperlink"/>
          </w:rPr>
          <w:t>a</w:t>
        </w:r>
        <w:r w:rsidR="00B62DA0" w:rsidRPr="008225CE">
          <w:rPr>
            <w:rStyle w:val="Hyperlink"/>
          </w:rPr>
          <w:t>rea</w:t>
        </w:r>
      </w:hyperlink>
    </w:p>
    <w:p w:rsidR="00A24912" w:rsidRPr="00B62DA0" w:rsidRDefault="001B4060" w:rsidP="00E03D56">
      <w:pPr>
        <w:pStyle w:val="QPPBodytext"/>
        <w:ind w:left="284"/>
      </w:pPr>
      <w:hyperlink w:anchor="S23" w:history="1">
        <w:r w:rsidR="00A24912" w:rsidRPr="008225CE">
          <w:rPr>
            <w:rStyle w:val="Hyperlink"/>
          </w:rPr>
          <w:t>2.3 Air quality standards</w:t>
        </w:r>
      </w:hyperlink>
    </w:p>
    <w:p w:rsidR="00B62DA0" w:rsidRDefault="001B4060" w:rsidP="00E03D56">
      <w:pPr>
        <w:pStyle w:val="QPPBodytext"/>
        <w:ind w:left="284"/>
        <w:rPr>
          <w:rStyle w:val="Hyperlink"/>
        </w:rPr>
      </w:pPr>
      <w:hyperlink w:anchor="S231" w:history="1">
        <w:r w:rsidR="00B62DA0" w:rsidRPr="008225CE">
          <w:rPr>
            <w:rStyle w:val="Hyperlink"/>
          </w:rPr>
          <w:t>2.</w:t>
        </w:r>
        <w:r w:rsidR="00A24912" w:rsidRPr="008225CE">
          <w:rPr>
            <w:rStyle w:val="Hyperlink"/>
          </w:rPr>
          <w:t>3.1</w:t>
        </w:r>
        <w:r w:rsidR="00F77B19" w:rsidRPr="008225CE">
          <w:rPr>
            <w:rStyle w:val="Hyperlink"/>
          </w:rPr>
          <w:t xml:space="preserve"> </w:t>
        </w:r>
        <w:r w:rsidR="00B62DA0" w:rsidRPr="008225CE">
          <w:rPr>
            <w:rStyle w:val="Hyperlink"/>
          </w:rPr>
          <w:t xml:space="preserve">Vapour </w:t>
        </w:r>
        <w:r w:rsidR="006A6C4B" w:rsidRPr="008225CE">
          <w:rPr>
            <w:rStyle w:val="Hyperlink"/>
          </w:rPr>
          <w:t>r</w:t>
        </w:r>
        <w:r w:rsidR="00B62DA0" w:rsidRPr="008225CE">
          <w:rPr>
            <w:rStyle w:val="Hyperlink"/>
          </w:rPr>
          <w:t xml:space="preserve">ecovery </w:t>
        </w:r>
        <w:r w:rsidR="006A6C4B" w:rsidRPr="008225CE">
          <w:rPr>
            <w:rStyle w:val="Hyperlink"/>
          </w:rPr>
          <w:t>s</w:t>
        </w:r>
        <w:r w:rsidR="00B62DA0" w:rsidRPr="008225CE">
          <w:rPr>
            <w:rStyle w:val="Hyperlink"/>
          </w:rPr>
          <w:t>ystems</w:t>
        </w:r>
      </w:hyperlink>
    </w:p>
    <w:p w:rsidR="006A7203" w:rsidRPr="006A7203" w:rsidRDefault="006A7203" w:rsidP="006A7203">
      <w:pPr>
        <w:pStyle w:val="QPPBodytext"/>
      </w:pPr>
    </w:p>
    <w:p w:rsidR="00B62DA0" w:rsidRPr="00B62DA0" w:rsidRDefault="00B62DA0" w:rsidP="00F31F21">
      <w:pPr>
        <w:pStyle w:val="QPPHeading3"/>
      </w:pPr>
      <w:bookmarkStart w:id="1" w:name="Introduction1"/>
      <w:r w:rsidRPr="00B62DA0">
        <w:t xml:space="preserve">1 </w:t>
      </w:r>
      <w:r w:rsidR="006A6C4B" w:rsidRPr="00B62DA0">
        <w:t>I</w:t>
      </w:r>
      <w:r w:rsidR="006A6C4B">
        <w:t>ntroduction</w:t>
      </w:r>
    </w:p>
    <w:p w:rsidR="00B62DA0" w:rsidRPr="00B62DA0" w:rsidRDefault="00B62DA0" w:rsidP="00F31F21">
      <w:pPr>
        <w:pStyle w:val="QPPHeading4"/>
      </w:pPr>
      <w:bookmarkStart w:id="2" w:name="S11"/>
      <w:bookmarkEnd w:id="1"/>
      <w:r w:rsidRPr="00B62DA0">
        <w:t>1.1 Relationship to planning scheme</w:t>
      </w:r>
    </w:p>
    <w:bookmarkEnd w:id="2"/>
    <w:p w:rsidR="00B62DA0" w:rsidRPr="00B62DA0" w:rsidRDefault="00B62DA0" w:rsidP="00F31F21">
      <w:pPr>
        <w:pStyle w:val="QPPBodytext"/>
      </w:pPr>
      <w:r w:rsidRPr="00B62DA0">
        <w:t>This planning scheme policy:</w:t>
      </w:r>
    </w:p>
    <w:p w:rsidR="00B62DA0" w:rsidRPr="00B62DA0" w:rsidRDefault="00B62DA0" w:rsidP="00F31F21">
      <w:pPr>
        <w:pStyle w:val="QPPBulletpoint2"/>
      </w:pPr>
      <w:r w:rsidRPr="00B62DA0">
        <w:t>provides information the Council may request for a development application;</w:t>
      </w:r>
    </w:p>
    <w:p w:rsidR="00B62DA0" w:rsidRPr="00B62DA0" w:rsidRDefault="00B62DA0" w:rsidP="00F31F21">
      <w:pPr>
        <w:pStyle w:val="QPPBulletpoint2"/>
      </w:pPr>
      <w:r w:rsidRPr="00B62DA0">
        <w:t xml:space="preserve">provides guidance or advice about satisfying an assessment </w:t>
      </w:r>
      <w:r w:rsidR="00223B52">
        <w:t>benchmark</w:t>
      </w:r>
      <w:r w:rsidR="00223B52" w:rsidRPr="00B62DA0">
        <w:t xml:space="preserve"> </w:t>
      </w:r>
      <w:r w:rsidRPr="00B62DA0">
        <w:t>which identifies this planning scheme policy as providing that guidance or advice</w:t>
      </w:r>
      <w:r w:rsidR="00157304">
        <w:t>;</w:t>
      </w:r>
    </w:p>
    <w:p w:rsidR="00B62DA0" w:rsidRDefault="00B62DA0" w:rsidP="00F31F21">
      <w:pPr>
        <w:pStyle w:val="QPPBulletpoint2"/>
      </w:pPr>
      <w:r w:rsidRPr="00B62DA0">
        <w:t xml:space="preserve">states a standard for the following assessment </w:t>
      </w:r>
      <w:r w:rsidR="00D51880">
        <w:t>benchmarks</w:t>
      </w:r>
      <w:r w:rsidRPr="00B62DA0">
        <w:t xml:space="preserve"> identified in the table.</w:t>
      </w:r>
    </w:p>
    <w:tbl>
      <w:tblPr>
        <w:tblStyle w:val="TableGrid"/>
        <w:tblW w:w="0" w:type="auto"/>
        <w:tblLook w:val="04A0" w:firstRow="1" w:lastRow="0" w:firstColumn="1" w:lastColumn="0" w:noHBand="0" w:noVBand="1"/>
      </w:tblPr>
      <w:tblGrid>
        <w:gridCol w:w="2840"/>
        <w:gridCol w:w="2841"/>
        <w:gridCol w:w="2841"/>
      </w:tblGrid>
      <w:tr w:rsidR="00DC16CC" w:rsidTr="006A7203">
        <w:tc>
          <w:tcPr>
            <w:tcW w:w="2840" w:type="dxa"/>
          </w:tcPr>
          <w:p w:rsidR="00DC16CC" w:rsidRDefault="00DC16CC" w:rsidP="00DC16CC">
            <w:pPr>
              <w:pStyle w:val="QPPTableTextBold"/>
            </w:pPr>
            <w:r>
              <w:t>Column 1 –</w:t>
            </w:r>
          </w:p>
          <w:p w:rsidR="00DC16CC" w:rsidRDefault="00DC16CC" w:rsidP="00DC16CC">
            <w:pPr>
              <w:pStyle w:val="QPPTableTextBold"/>
            </w:pPr>
            <w:r>
              <w:t>Section or table in the code</w:t>
            </w:r>
          </w:p>
        </w:tc>
        <w:tc>
          <w:tcPr>
            <w:tcW w:w="2841" w:type="dxa"/>
          </w:tcPr>
          <w:p w:rsidR="00DC16CC" w:rsidRDefault="00DC16CC" w:rsidP="00DC16CC">
            <w:pPr>
              <w:pStyle w:val="QPPTableTextBold"/>
            </w:pPr>
            <w:r>
              <w:t>Column 2 –</w:t>
            </w:r>
          </w:p>
          <w:p w:rsidR="00DC16CC" w:rsidRDefault="00DC16CC" w:rsidP="00DC16CC">
            <w:pPr>
              <w:pStyle w:val="QPPTableTextBold"/>
            </w:pPr>
            <w:r>
              <w:t xml:space="preserve">Assessment </w:t>
            </w:r>
            <w:r w:rsidR="00D51880">
              <w:t>benchmark</w:t>
            </w:r>
            <w:r w:rsidR="00223B52">
              <w:t xml:space="preserve"> </w:t>
            </w:r>
            <w:r>
              <w:t>reference</w:t>
            </w:r>
          </w:p>
        </w:tc>
        <w:tc>
          <w:tcPr>
            <w:tcW w:w="2841" w:type="dxa"/>
          </w:tcPr>
          <w:p w:rsidR="00DC16CC" w:rsidRDefault="00DC16CC" w:rsidP="00DC16CC">
            <w:pPr>
              <w:pStyle w:val="QPPTableTextBold"/>
            </w:pPr>
            <w:r>
              <w:t>Column 3 –</w:t>
            </w:r>
          </w:p>
          <w:p w:rsidR="00DC16CC" w:rsidRDefault="00DC16CC" w:rsidP="00DC16CC">
            <w:pPr>
              <w:pStyle w:val="QPPTableTextBold"/>
            </w:pPr>
            <w:r>
              <w:t>Standard in the planning scheme policy</w:t>
            </w:r>
          </w:p>
        </w:tc>
      </w:tr>
      <w:tr w:rsidR="006A7203" w:rsidTr="00E46A97">
        <w:tc>
          <w:tcPr>
            <w:tcW w:w="8522" w:type="dxa"/>
            <w:gridSpan w:val="3"/>
          </w:tcPr>
          <w:p w:rsidR="006A7203" w:rsidRDefault="001B4060" w:rsidP="00C86A07">
            <w:pPr>
              <w:pStyle w:val="QPPTableTextBody"/>
            </w:pPr>
            <w:hyperlink r:id="rId7" w:history="1">
              <w:r w:rsidR="006A7203" w:rsidRPr="005A50EC">
                <w:rPr>
                  <w:rStyle w:val="Hyperlink"/>
                </w:rPr>
                <w:t>Industry code</w:t>
              </w:r>
            </w:hyperlink>
          </w:p>
        </w:tc>
      </w:tr>
      <w:tr w:rsidR="00DC16CC" w:rsidTr="006A7203">
        <w:tc>
          <w:tcPr>
            <w:tcW w:w="2840" w:type="dxa"/>
          </w:tcPr>
          <w:p w:rsidR="00DC16CC" w:rsidRPr="00975B5D" w:rsidRDefault="001B4060" w:rsidP="00DC16CC">
            <w:pPr>
              <w:pStyle w:val="QPPTableTextBody"/>
              <w:rPr>
                <w:rStyle w:val="Hyperlink"/>
              </w:rPr>
            </w:pPr>
            <w:hyperlink r:id="rId8" w:anchor="Table93123a" w:history="1">
              <w:r w:rsidR="00DC16CC" w:rsidRPr="00975B5D">
                <w:rPr>
                  <w:rStyle w:val="Hyperlink"/>
                </w:rPr>
                <w:t>Table 9.3.12.3.A</w:t>
              </w:r>
            </w:hyperlink>
          </w:p>
        </w:tc>
        <w:tc>
          <w:tcPr>
            <w:tcW w:w="2841" w:type="dxa"/>
          </w:tcPr>
          <w:p w:rsidR="00DC16CC" w:rsidRDefault="00DC16CC" w:rsidP="00DC16CC">
            <w:pPr>
              <w:pStyle w:val="QPPTableTextBody"/>
            </w:pPr>
            <w:r w:rsidRPr="00DC16CC">
              <w:t>AO8.4</w:t>
            </w:r>
          </w:p>
        </w:tc>
        <w:tc>
          <w:tcPr>
            <w:tcW w:w="2841" w:type="dxa"/>
          </w:tcPr>
          <w:p w:rsidR="00DC16CC" w:rsidRDefault="00DC16CC" w:rsidP="00DC16CC">
            <w:pPr>
              <w:pStyle w:val="QPPTableTextBody"/>
            </w:pPr>
            <w:r w:rsidRPr="00DC16CC">
              <w:t>Section 2.2</w:t>
            </w:r>
          </w:p>
        </w:tc>
      </w:tr>
      <w:tr w:rsidR="00DC16CC" w:rsidTr="006A7203">
        <w:tc>
          <w:tcPr>
            <w:tcW w:w="2840" w:type="dxa"/>
          </w:tcPr>
          <w:p w:rsidR="00DC16CC" w:rsidRPr="00975B5D" w:rsidRDefault="001B4060" w:rsidP="00DC16CC">
            <w:pPr>
              <w:pStyle w:val="QPPTableTextBody"/>
              <w:rPr>
                <w:rStyle w:val="Hyperlink"/>
              </w:rPr>
            </w:pPr>
            <w:hyperlink r:id="rId9" w:anchor="Table93123a" w:history="1">
              <w:r w:rsidR="00C86A07" w:rsidRPr="00975B5D">
                <w:rPr>
                  <w:rStyle w:val="Hyperlink"/>
                </w:rPr>
                <w:t>Table 9.3.12.3.A</w:t>
              </w:r>
            </w:hyperlink>
          </w:p>
        </w:tc>
        <w:tc>
          <w:tcPr>
            <w:tcW w:w="2841" w:type="dxa"/>
          </w:tcPr>
          <w:p w:rsidR="00DC16CC" w:rsidRDefault="00DC16CC" w:rsidP="004B43C0">
            <w:pPr>
              <w:pStyle w:val="QPPTableTextBody"/>
            </w:pPr>
            <w:r w:rsidRPr="00DC16CC">
              <w:t>AO9</w:t>
            </w:r>
          </w:p>
        </w:tc>
        <w:tc>
          <w:tcPr>
            <w:tcW w:w="2841" w:type="dxa"/>
          </w:tcPr>
          <w:p w:rsidR="00DC16CC" w:rsidRDefault="00DC16CC" w:rsidP="00DC16CC">
            <w:pPr>
              <w:pStyle w:val="QPPTableTextBody"/>
            </w:pPr>
            <w:r w:rsidRPr="00DC16CC">
              <w:t>Section 2.2</w:t>
            </w:r>
          </w:p>
        </w:tc>
      </w:tr>
      <w:tr w:rsidR="006A7203" w:rsidTr="00494055">
        <w:tc>
          <w:tcPr>
            <w:tcW w:w="8522" w:type="dxa"/>
            <w:gridSpan w:val="3"/>
          </w:tcPr>
          <w:p w:rsidR="006A7203" w:rsidRDefault="001B4060" w:rsidP="00C86A07">
            <w:pPr>
              <w:pStyle w:val="QPPTableTextBody"/>
            </w:pPr>
            <w:hyperlink r:id="rId10" w:history="1">
              <w:r w:rsidR="006A7203" w:rsidRPr="005A50EC">
                <w:rPr>
                  <w:rStyle w:val="Hyperlink"/>
                </w:rPr>
                <w:t>Service station code</w:t>
              </w:r>
            </w:hyperlink>
          </w:p>
        </w:tc>
      </w:tr>
      <w:tr w:rsidR="00DC16CC" w:rsidTr="006A7203">
        <w:tc>
          <w:tcPr>
            <w:tcW w:w="2840" w:type="dxa"/>
          </w:tcPr>
          <w:p w:rsidR="00DC16CC" w:rsidRPr="00F17570" w:rsidRDefault="001B4060" w:rsidP="00DC16CC">
            <w:pPr>
              <w:pStyle w:val="QPPTableTextBody"/>
              <w:rPr>
                <w:rStyle w:val="Hyperlink"/>
              </w:rPr>
            </w:pPr>
            <w:hyperlink r:id="rId11" w:anchor="Table93213a" w:history="1">
              <w:r w:rsidR="00F17570" w:rsidRPr="00F17570">
                <w:rPr>
                  <w:rStyle w:val="Hyperlink"/>
                </w:rPr>
                <w:t>Table 9.3.</w:t>
              </w:r>
              <w:r w:rsidR="00DC16CC" w:rsidRPr="00F17570">
                <w:rPr>
                  <w:rStyle w:val="Hyperlink"/>
                </w:rPr>
                <w:t>2</w:t>
              </w:r>
              <w:r w:rsidR="00F17570" w:rsidRPr="00F17570">
                <w:rPr>
                  <w:rStyle w:val="Hyperlink"/>
                </w:rPr>
                <w:t>1</w:t>
              </w:r>
              <w:r w:rsidR="00DC16CC" w:rsidRPr="00F17570">
                <w:rPr>
                  <w:rStyle w:val="Hyperlink"/>
                </w:rPr>
                <w:t>.3.A</w:t>
              </w:r>
            </w:hyperlink>
          </w:p>
        </w:tc>
        <w:tc>
          <w:tcPr>
            <w:tcW w:w="2841" w:type="dxa"/>
          </w:tcPr>
          <w:p w:rsidR="00DC16CC" w:rsidRDefault="00DC16CC" w:rsidP="00DC16CC">
            <w:pPr>
              <w:pStyle w:val="QPPTableTextBody"/>
            </w:pPr>
            <w:r w:rsidRPr="00DC16CC">
              <w:t>AO6</w:t>
            </w:r>
          </w:p>
        </w:tc>
        <w:tc>
          <w:tcPr>
            <w:tcW w:w="2841" w:type="dxa"/>
          </w:tcPr>
          <w:p w:rsidR="00DC16CC" w:rsidRDefault="00DC16CC" w:rsidP="00DC16CC">
            <w:pPr>
              <w:pStyle w:val="QPPTableTextBody"/>
            </w:pPr>
            <w:r w:rsidRPr="00DC16CC">
              <w:t>Section 2.2</w:t>
            </w:r>
          </w:p>
        </w:tc>
      </w:tr>
      <w:tr w:rsidR="00DC16CC" w:rsidTr="006A7203">
        <w:tc>
          <w:tcPr>
            <w:tcW w:w="2840" w:type="dxa"/>
          </w:tcPr>
          <w:p w:rsidR="00DC16CC" w:rsidRDefault="001B4060" w:rsidP="00DC16CC">
            <w:pPr>
              <w:pStyle w:val="QPPTableTextBody"/>
            </w:pPr>
            <w:hyperlink r:id="rId12" w:anchor="Table93213a" w:history="1">
              <w:r w:rsidR="00CF3522" w:rsidRPr="00F17570">
                <w:rPr>
                  <w:rStyle w:val="Hyperlink"/>
                </w:rPr>
                <w:t>Table 9.3.21.3.A</w:t>
              </w:r>
            </w:hyperlink>
          </w:p>
        </w:tc>
        <w:tc>
          <w:tcPr>
            <w:tcW w:w="2841" w:type="dxa"/>
          </w:tcPr>
          <w:p w:rsidR="00DC16CC" w:rsidRDefault="00DC16CC" w:rsidP="00DC16CC">
            <w:pPr>
              <w:pStyle w:val="QPPTableTextBody"/>
            </w:pPr>
            <w:r w:rsidRPr="00DC16CC">
              <w:t>AO7.1</w:t>
            </w:r>
          </w:p>
        </w:tc>
        <w:tc>
          <w:tcPr>
            <w:tcW w:w="2841" w:type="dxa"/>
          </w:tcPr>
          <w:p w:rsidR="00DC16CC" w:rsidRDefault="00DC16CC" w:rsidP="00DC16CC">
            <w:pPr>
              <w:pStyle w:val="QPPTableTextBody"/>
            </w:pPr>
            <w:r w:rsidRPr="00DC16CC">
              <w:t>Section 2.3.1</w:t>
            </w:r>
          </w:p>
        </w:tc>
      </w:tr>
      <w:tr w:rsidR="00CF3522" w:rsidTr="006A7203">
        <w:tc>
          <w:tcPr>
            <w:tcW w:w="2840" w:type="dxa"/>
          </w:tcPr>
          <w:p w:rsidR="00CF3522" w:rsidRDefault="001B4060" w:rsidP="00DC16CC">
            <w:pPr>
              <w:pStyle w:val="QPPTableTextBody"/>
            </w:pPr>
            <w:hyperlink r:id="rId13" w:anchor="Table93213a" w:history="1">
              <w:r w:rsidR="00CF3522" w:rsidRPr="00F17570">
                <w:rPr>
                  <w:rStyle w:val="Hyperlink"/>
                </w:rPr>
                <w:t>Table 9.3.21.3.A</w:t>
              </w:r>
            </w:hyperlink>
          </w:p>
        </w:tc>
        <w:tc>
          <w:tcPr>
            <w:tcW w:w="2841" w:type="dxa"/>
          </w:tcPr>
          <w:p w:rsidR="00CF3522" w:rsidRPr="00DC16CC" w:rsidRDefault="00CF3522" w:rsidP="00DC16CC">
            <w:pPr>
              <w:pStyle w:val="QPPTableTextBody"/>
            </w:pPr>
            <w:r>
              <w:t>AO7.2</w:t>
            </w:r>
          </w:p>
        </w:tc>
        <w:tc>
          <w:tcPr>
            <w:tcW w:w="2841" w:type="dxa"/>
          </w:tcPr>
          <w:p w:rsidR="00CF3522" w:rsidRPr="00DC16CC" w:rsidRDefault="00CF3522" w:rsidP="00DC16CC">
            <w:pPr>
              <w:pStyle w:val="QPPTableTextBody"/>
            </w:pPr>
            <w:r w:rsidRPr="00CF3522">
              <w:t>Section 2.3</w:t>
            </w:r>
          </w:p>
        </w:tc>
      </w:tr>
    </w:tbl>
    <w:p w:rsidR="00B62DA0" w:rsidRPr="00B62DA0" w:rsidRDefault="00B62DA0" w:rsidP="00F31F21">
      <w:pPr>
        <w:pStyle w:val="QPPHeading4"/>
      </w:pPr>
      <w:bookmarkStart w:id="3" w:name="S12"/>
      <w:r w:rsidRPr="00B62DA0">
        <w:t>1.2 Purpose</w:t>
      </w:r>
    </w:p>
    <w:bookmarkEnd w:id="3"/>
    <w:p w:rsidR="00B62DA0" w:rsidRPr="00B62DA0" w:rsidRDefault="00B62DA0" w:rsidP="00F31F21">
      <w:pPr>
        <w:pStyle w:val="QPPBodytext"/>
      </w:pPr>
      <w:r w:rsidRPr="00B62DA0">
        <w:t xml:space="preserve">This planning scheme policy outlines </w:t>
      </w:r>
      <w:r w:rsidR="00943788">
        <w:t>standards</w:t>
      </w:r>
      <w:r w:rsidRPr="00B62DA0">
        <w:t xml:space="preserve"> to mitigate surface water, groundwater and air pollution risks from the storage and dispensing of petroleum products.</w:t>
      </w:r>
    </w:p>
    <w:p w:rsidR="00B62DA0" w:rsidRPr="00B62DA0" w:rsidRDefault="00B62DA0" w:rsidP="00F31F21">
      <w:pPr>
        <w:pStyle w:val="QPPHeading4"/>
      </w:pPr>
      <w:bookmarkStart w:id="4" w:name="S13"/>
      <w:r w:rsidRPr="00B62DA0">
        <w:t>1.3 Terminology</w:t>
      </w:r>
    </w:p>
    <w:bookmarkEnd w:id="4"/>
    <w:p w:rsidR="00B62DA0" w:rsidRDefault="00B62DA0" w:rsidP="00F31F21">
      <w:pPr>
        <w:pStyle w:val="QPPBodytext"/>
      </w:pPr>
      <w:r w:rsidRPr="00B62DA0">
        <w:t>In this planning scheme policy</w:t>
      </w:r>
      <w:r w:rsidR="00157304">
        <w:t>,</w:t>
      </w:r>
      <w:r w:rsidRPr="00B62DA0">
        <w:t xml:space="preserve"> unless the context or subject matter otherwise indicates or requires, a term has the following meaning:</w:t>
      </w:r>
    </w:p>
    <w:p w:rsidR="00334096" w:rsidRPr="00B62DA0" w:rsidRDefault="00334096" w:rsidP="00F31F21">
      <w:pPr>
        <w:pStyle w:val="QPPBodytext"/>
      </w:pPr>
    </w:p>
    <w:p w:rsidR="00B62DA0" w:rsidRDefault="006A6C4B" w:rsidP="00920B05">
      <w:pPr>
        <w:pStyle w:val="QPPBodytext"/>
      </w:pPr>
      <w:r w:rsidRPr="00920B05">
        <w:lastRenderedPageBreak/>
        <w:t>f</w:t>
      </w:r>
      <w:r w:rsidR="00B62DA0" w:rsidRPr="00920B05">
        <w:t xml:space="preserve">uel </w:t>
      </w:r>
      <w:r w:rsidRPr="00920B05">
        <w:t xml:space="preserve">dispensing area </w:t>
      </w:r>
      <w:r w:rsidR="00B62DA0" w:rsidRPr="00920B05">
        <w:t>(FDA): the immediate area surrounding the fuel dispensing unit/s where vehicles or other equipment are routinely refuelled and at which there is a higher risk of contamination. This area is generally delineated by the canopy line.</w:t>
      </w:r>
    </w:p>
    <w:p w:rsidR="00334096" w:rsidRPr="00920B05" w:rsidRDefault="00334096" w:rsidP="00920B05">
      <w:pPr>
        <w:pStyle w:val="QPPBodytext"/>
      </w:pPr>
    </w:p>
    <w:p w:rsidR="00B62DA0" w:rsidRDefault="006A6C4B">
      <w:pPr>
        <w:pStyle w:val="QPPBodytext"/>
      </w:pPr>
      <w:r w:rsidRPr="00920B05">
        <w:t>p</w:t>
      </w:r>
      <w:r w:rsidR="00B62DA0" w:rsidRPr="00920B05">
        <w:t xml:space="preserve">etroleum </w:t>
      </w:r>
      <w:r w:rsidRPr="00920B05">
        <w:t>products</w:t>
      </w:r>
      <w:r w:rsidR="00B62DA0" w:rsidRPr="00920B05">
        <w:t xml:space="preserve">: </w:t>
      </w:r>
      <w:r w:rsidRPr="00920B05">
        <w:t>a</w:t>
      </w:r>
      <w:r w:rsidR="00B62DA0" w:rsidRPr="00920B05">
        <w:t>ny fuel that consists predominantly of a mixture of hydrocarbons derived from crude oil whether or not the fuel includes additives (such as ethanol) and includes oil and used oil</w:t>
      </w:r>
    </w:p>
    <w:p w:rsidR="00334096" w:rsidRPr="00920B05" w:rsidRDefault="00334096">
      <w:pPr>
        <w:pStyle w:val="QPPBodytext"/>
      </w:pPr>
    </w:p>
    <w:p w:rsidR="00B62DA0" w:rsidRDefault="006A6C4B">
      <w:pPr>
        <w:pStyle w:val="QPPBodytext"/>
      </w:pPr>
      <w:r w:rsidRPr="00920B05">
        <w:t>p</w:t>
      </w:r>
      <w:r w:rsidR="00B62DA0" w:rsidRPr="00920B05">
        <w:t xml:space="preserve">roduct </w:t>
      </w:r>
      <w:r w:rsidRPr="00920B05">
        <w:t>p</w:t>
      </w:r>
      <w:r w:rsidR="00B62DA0" w:rsidRPr="00920B05">
        <w:t xml:space="preserve">iping: </w:t>
      </w:r>
      <w:r w:rsidR="00157304" w:rsidRPr="00920B05">
        <w:t>p</w:t>
      </w:r>
      <w:r w:rsidR="00B62DA0" w:rsidRPr="00920B05">
        <w:t>iping that routinely contains petroleum product. For the purposes of this document, vent piping and vapour recovery piping are not classified as product piping.</w:t>
      </w:r>
    </w:p>
    <w:p w:rsidR="00334096" w:rsidRPr="00920B05" w:rsidRDefault="00334096">
      <w:pPr>
        <w:pStyle w:val="QPPBodytext"/>
      </w:pPr>
    </w:p>
    <w:p w:rsidR="00B62DA0" w:rsidRDefault="006A6C4B">
      <w:pPr>
        <w:pStyle w:val="QPPBodytext"/>
      </w:pPr>
      <w:r w:rsidRPr="00920B05">
        <w:t>r</w:t>
      </w:r>
      <w:r w:rsidR="00B62DA0" w:rsidRPr="00920B05">
        <w:t xml:space="preserve">oad </w:t>
      </w:r>
      <w:r w:rsidRPr="00920B05">
        <w:t>t</w:t>
      </w:r>
      <w:r w:rsidR="00B62DA0" w:rsidRPr="00920B05">
        <w:t xml:space="preserve">anker </w:t>
      </w:r>
      <w:r w:rsidRPr="00920B05">
        <w:t>d</w:t>
      </w:r>
      <w:r w:rsidR="00B62DA0" w:rsidRPr="00920B05">
        <w:t xml:space="preserve">elivery </w:t>
      </w:r>
      <w:r w:rsidRPr="00920B05">
        <w:t>s</w:t>
      </w:r>
      <w:r w:rsidR="00B62DA0" w:rsidRPr="00920B05">
        <w:t xml:space="preserve">tand : </w:t>
      </w:r>
      <w:r w:rsidR="00157304" w:rsidRPr="00920B05">
        <w:t>t</w:t>
      </w:r>
      <w:r w:rsidR="00B62DA0" w:rsidRPr="00920B05">
        <w:t>he area where the bulk fuel delivery vehicle stands to deliver its load of fuel by hose to the underground/above</w:t>
      </w:r>
      <w:r w:rsidR="005F3711">
        <w:t>-</w:t>
      </w:r>
      <w:r w:rsidR="00B62DA0" w:rsidRPr="00920B05">
        <w:t>ground tank fill point/s</w:t>
      </w:r>
    </w:p>
    <w:p w:rsidR="00334096" w:rsidRPr="00920B05" w:rsidRDefault="00334096">
      <w:pPr>
        <w:pStyle w:val="QPPBodytext"/>
      </w:pPr>
    </w:p>
    <w:p w:rsidR="00B62DA0" w:rsidRDefault="006A6C4B">
      <w:pPr>
        <w:pStyle w:val="QPPBodytext"/>
      </w:pPr>
      <w:r w:rsidRPr="00920B05">
        <w:t>s</w:t>
      </w:r>
      <w:r w:rsidR="00B62DA0" w:rsidRPr="00920B05">
        <w:t xml:space="preserve">ignificantly </w:t>
      </w:r>
      <w:r w:rsidRPr="00920B05">
        <w:t>m</w:t>
      </w:r>
      <w:r w:rsidR="00B62DA0" w:rsidRPr="00920B05">
        <w:t xml:space="preserve">odified: </w:t>
      </w:r>
      <w:r w:rsidR="00157304" w:rsidRPr="00920B05">
        <w:t>a</w:t>
      </w:r>
      <w:r w:rsidR="00B62DA0" w:rsidRPr="00920B05">
        <w:t xml:space="preserve">ny modification to an </w:t>
      </w:r>
      <w:r w:rsidR="00157304" w:rsidRPr="00920B05">
        <w:t>u</w:t>
      </w:r>
      <w:r w:rsidR="00B62DA0" w:rsidRPr="00920B05">
        <w:t xml:space="preserve">nderground </w:t>
      </w:r>
      <w:r w:rsidR="00157304" w:rsidRPr="00920B05">
        <w:t>p</w:t>
      </w:r>
      <w:r w:rsidR="00B62DA0" w:rsidRPr="00920B05">
        <w:t xml:space="preserve">etroleum </w:t>
      </w:r>
      <w:r w:rsidR="00157304" w:rsidRPr="00920B05">
        <w:t>s</w:t>
      </w:r>
      <w:r w:rsidR="00B62DA0" w:rsidRPr="00920B05">
        <w:t xml:space="preserve">torage </w:t>
      </w:r>
      <w:r w:rsidR="00157304" w:rsidRPr="00920B05">
        <w:t>s</w:t>
      </w:r>
      <w:r w:rsidR="00B62DA0" w:rsidRPr="00920B05">
        <w:t>ystem that involves the replacement of half or more of the tanks in a system</w:t>
      </w:r>
    </w:p>
    <w:p w:rsidR="00334096" w:rsidRPr="00920B05" w:rsidRDefault="00334096">
      <w:pPr>
        <w:pStyle w:val="QPPBodytext"/>
      </w:pPr>
    </w:p>
    <w:p w:rsidR="00B62DA0" w:rsidRDefault="006A6C4B">
      <w:pPr>
        <w:pStyle w:val="QPPBodytext"/>
      </w:pPr>
      <w:r w:rsidRPr="00920B05">
        <w:t>u</w:t>
      </w:r>
      <w:r w:rsidR="00B62DA0" w:rsidRPr="00920B05">
        <w:t xml:space="preserve">ncovered </w:t>
      </w:r>
      <w:r w:rsidRPr="00920B05">
        <w:t>f</w:t>
      </w:r>
      <w:r w:rsidR="00B62DA0" w:rsidRPr="00920B05">
        <w:t xml:space="preserve">orecourt </w:t>
      </w:r>
      <w:r w:rsidRPr="00920B05">
        <w:t>a</w:t>
      </w:r>
      <w:r w:rsidR="00B62DA0" w:rsidRPr="00920B05">
        <w:t xml:space="preserve">rea (UFA): </w:t>
      </w:r>
      <w:r w:rsidR="00157304" w:rsidRPr="00920B05">
        <w:t>u</w:t>
      </w:r>
      <w:r w:rsidR="00B62DA0" w:rsidRPr="00920B05">
        <w:t>ncovered forecourt areas can include vehicular access ways, parking bays and related areas such as remote air/water supply areas. It generally includes all outside areas apart from the FDA.</w:t>
      </w:r>
    </w:p>
    <w:p w:rsidR="00334096" w:rsidRPr="00920B05" w:rsidRDefault="00334096">
      <w:pPr>
        <w:pStyle w:val="QPPBodytext"/>
      </w:pPr>
    </w:p>
    <w:p w:rsidR="00B62DA0" w:rsidRDefault="006A6C4B">
      <w:pPr>
        <w:pStyle w:val="QPPBodytext"/>
      </w:pPr>
      <w:r w:rsidRPr="00920B05">
        <w:t>u</w:t>
      </w:r>
      <w:r w:rsidR="00B62DA0" w:rsidRPr="00920B05">
        <w:t xml:space="preserve">nderground petroleum storage system (UPSS): </w:t>
      </w:r>
      <w:r w:rsidR="00893D6A" w:rsidRPr="00920B05">
        <w:t>o</w:t>
      </w:r>
      <w:r w:rsidR="00B62DA0" w:rsidRPr="00920B05">
        <w:t xml:space="preserve">ne or more completely or partially buried tanks that contain, or are intended to contain, </w:t>
      </w:r>
      <w:r w:rsidR="00893D6A" w:rsidRPr="00920B05">
        <w:t>p</w:t>
      </w:r>
      <w:r w:rsidR="00B62DA0" w:rsidRPr="00920B05">
        <w:t xml:space="preserve">etroleum </w:t>
      </w:r>
      <w:r w:rsidR="00893D6A" w:rsidRPr="00920B05">
        <w:t>p</w:t>
      </w:r>
      <w:r w:rsidR="00B62DA0" w:rsidRPr="00920B05">
        <w:t>roducts and includes leak</w:t>
      </w:r>
      <w:r w:rsidR="00332869" w:rsidRPr="00920B05">
        <w:t xml:space="preserve"> </w:t>
      </w:r>
      <w:r w:rsidR="00B62DA0" w:rsidRPr="00920B05">
        <w:t>monitoring systems and all associated piping to, from or associated with the tanks.</w:t>
      </w:r>
    </w:p>
    <w:p w:rsidR="00334096" w:rsidRPr="00920B05" w:rsidRDefault="00334096">
      <w:pPr>
        <w:pStyle w:val="QPPBodytext"/>
      </w:pPr>
    </w:p>
    <w:p w:rsidR="00B62DA0" w:rsidRPr="00920B05" w:rsidRDefault="00B62DA0">
      <w:pPr>
        <w:pStyle w:val="QPPBodytext"/>
      </w:pPr>
      <w:r w:rsidRPr="00920B05">
        <w:t>Stage 1 vapour recovery</w:t>
      </w:r>
      <w:r w:rsidR="00893D6A" w:rsidRPr="00920B05">
        <w:t xml:space="preserve">: </w:t>
      </w:r>
      <w:r w:rsidRPr="00920B05">
        <w:t xml:space="preserve">a system of pipes and valves designed to capture fuel vapour emissions as fuel delivery tankers unload petroleum to refill the underground tanks. </w:t>
      </w:r>
      <w:r w:rsidR="00C275E2" w:rsidRPr="00920B05">
        <w:t>The</w:t>
      </w:r>
      <w:r w:rsidRPr="00920B05">
        <w:t xml:space="preserve"> system captures the vapours that are displaced from the underground tank and diverts them back to the tanker compartment instead of releas</w:t>
      </w:r>
      <w:r w:rsidR="00893D6A" w:rsidRPr="00920B05">
        <w:t>ing them</w:t>
      </w:r>
      <w:r w:rsidRPr="00920B05">
        <w:t xml:space="preserve"> to the atmosphere through the tank’s vent pipe. This vapour is then returned to the fuel terminal where it can be recondensed back to motor spirit.</w:t>
      </w:r>
    </w:p>
    <w:p w:rsidR="00B62DA0" w:rsidRPr="00B62DA0" w:rsidRDefault="00C66649" w:rsidP="00F31F21">
      <w:pPr>
        <w:pStyle w:val="QPPBodytext"/>
      </w:pPr>
      <w:r>
        <w:rPr>
          <w:noProof/>
        </w:rPr>
        <w:drawing>
          <wp:inline distT="0" distB="0" distL="0" distR="0" wp14:anchorId="7629233B" wp14:editId="23398439">
            <wp:extent cx="5274310" cy="3322320"/>
            <wp:effectExtent l="0" t="0" r="2540" b="0"/>
            <wp:docPr id="4" name="Picture 4" descr="Figure a—Stage 1 vapour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PetroleumPSP_FigureA.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3322320"/>
                    </a:xfrm>
                    <a:prstGeom prst="rect">
                      <a:avLst/>
                    </a:prstGeom>
                  </pic:spPr>
                </pic:pic>
              </a:graphicData>
            </a:graphic>
          </wp:inline>
        </w:drawing>
      </w:r>
    </w:p>
    <w:p w:rsidR="00B62DA0" w:rsidRPr="00B62DA0" w:rsidRDefault="00B62DA0" w:rsidP="00F31F21">
      <w:pPr>
        <w:pStyle w:val="QPPBodytext"/>
      </w:pPr>
      <w:r w:rsidRPr="00B62DA0">
        <w:t>Stage 2 vapour recovery</w:t>
      </w:r>
      <w:r w:rsidR="00893D6A">
        <w:t xml:space="preserve">: </w:t>
      </w:r>
      <w:r w:rsidRPr="00B62DA0">
        <w:t xml:space="preserve">a system designed to reduce the emission of vapour to atmosphere by capturing fuel vapour as a vehicle’s fuel tank is being refilled. </w:t>
      </w:r>
      <w:r w:rsidRPr="00A113DA">
        <w:t>The</w:t>
      </w:r>
      <w:r w:rsidRPr="00B62DA0">
        <w:t xml:space="preserve"> fuel entering a vehicle’s fuel tank displaces vapour which is captured at the fill point through the nozzle with the aid of an added vacuum system and is returned t</w:t>
      </w:r>
      <w:r w:rsidR="00E808E1">
        <w:t>o the underground storage tank.</w:t>
      </w:r>
    </w:p>
    <w:p w:rsidR="00B62DA0" w:rsidRDefault="00C66649" w:rsidP="00F31F21">
      <w:pPr>
        <w:pStyle w:val="QPPBodytext"/>
      </w:pPr>
      <w:r>
        <w:rPr>
          <w:noProof/>
        </w:rPr>
        <w:lastRenderedPageBreak/>
        <w:drawing>
          <wp:inline distT="0" distB="0" distL="0" distR="0" wp14:anchorId="30EE08C4" wp14:editId="36D31F05">
            <wp:extent cx="5274310" cy="3322320"/>
            <wp:effectExtent l="0" t="0" r="2540" b="0"/>
            <wp:docPr id="5" name="Picture 5" descr="Figure b—Normal refuelling without Stage 2 vapour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PetroleumPSP_FigureB.png"/>
                    <pic:cNvPicPr/>
                  </pic:nvPicPr>
                  <pic:blipFill>
                    <a:blip r:embed="rId15">
                      <a:extLst>
                        <a:ext uri="{28A0092B-C50C-407E-A947-70E740481C1C}">
                          <a14:useLocalDpi xmlns:a14="http://schemas.microsoft.com/office/drawing/2010/main" val="0"/>
                        </a:ext>
                      </a:extLst>
                    </a:blip>
                    <a:stretch>
                      <a:fillRect/>
                    </a:stretch>
                  </pic:blipFill>
                  <pic:spPr>
                    <a:xfrm>
                      <a:off x="0" y="0"/>
                      <a:ext cx="5274310" cy="3322320"/>
                    </a:xfrm>
                    <a:prstGeom prst="rect">
                      <a:avLst/>
                    </a:prstGeom>
                  </pic:spPr>
                </pic:pic>
              </a:graphicData>
            </a:graphic>
          </wp:inline>
        </w:drawing>
      </w:r>
    </w:p>
    <w:p w:rsidR="00C66649" w:rsidRPr="00B62DA0" w:rsidRDefault="00C66649" w:rsidP="00F31F21">
      <w:pPr>
        <w:pStyle w:val="QPPBodytext"/>
      </w:pPr>
      <w:r>
        <w:rPr>
          <w:noProof/>
        </w:rPr>
        <w:drawing>
          <wp:inline distT="0" distB="0" distL="0" distR="0" wp14:anchorId="41220357" wp14:editId="50E6FECA">
            <wp:extent cx="5274310" cy="3322320"/>
            <wp:effectExtent l="0" t="0" r="2540" b="0"/>
            <wp:docPr id="6" name="Picture 6" descr="Figure c—Refuelling with Stage 2 vapour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PetroleumPSP_FigureC.png"/>
                    <pic:cNvPicPr/>
                  </pic:nvPicPr>
                  <pic:blipFill>
                    <a:blip r:embed="rId16">
                      <a:extLst>
                        <a:ext uri="{28A0092B-C50C-407E-A947-70E740481C1C}">
                          <a14:useLocalDpi xmlns:a14="http://schemas.microsoft.com/office/drawing/2010/main" val="0"/>
                        </a:ext>
                      </a:extLst>
                    </a:blip>
                    <a:stretch>
                      <a:fillRect/>
                    </a:stretch>
                  </pic:blipFill>
                  <pic:spPr>
                    <a:xfrm>
                      <a:off x="0" y="0"/>
                      <a:ext cx="5274310" cy="3322320"/>
                    </a:xfrm>
                    <a:prstGeom prst="rect">
                      <a:avLst/>
                    </a:prstGeom>
                  </pic:spPr>
                </pic:pic>
              </a:graphicData>
            </a:graphic>
          </wp:inline>
        </w:drawing>
      </w:r>
    </w:p>
    <w:p w:rsidR="00B62DA0" w:rsidRPr="00B62DA0" w:rsidRDefault="00B62DA0" w:rsidP="00F31F21">
      <w:pPr>
        <w:pStyle w:val="QPPHeading3"/>
      </w:pPr>
      <w:bookmarkStart w:id="5" w:name="Standards2"/>
      <w:r w:rsidRPr="00B62DA0">
        <w:t xml:space="preserve">2 </w:t>
      </w:r>
      <w:r w:rsidR="008D29D8">
        <w:t>Standards</w:t>
      </w:r>
    </w:p>
    <w:bookmarkEnd w:id="5"/>
    <w:p w:rsidR="00B62DA0" w:rsidRPr="00B62DA0" w:rsidRDefault="00B62DA0" w:rsidP="00444401">
      <w:pPr>
        <w:pStyle w:val="QPPBulletPoint1"/>
      </w:pPr>
      <w:r w:rsidRPr="00B62DA0">
        <w:t xml:space="preserve">This section outlines the </w:t>
      </w:r>
      <w:r w:rsidR="001F2AFC">
        <w:t>standards</w:t>
      </w:r>
      <w:r w:rsidRPr="00B62DA0">
        <w:t xml:space="preserve"> that can be used to satisfy assessment </w:t>
      </w:r>
      <w:r w:rsidR="00D51880">
        <w:t>benchmarks</w:t>
      </w:r>
      <w:r w:rsidRPr="00B62DA0">
        <w:t xml:space="preserve"> to mitigate pollution risks from facilities undertaking storage and dispensing of petroleum products.</w:t>
      </w:r>
    </w:p>
    <w:p w:rsidR="00B62DA0" w:rsidRDefault="00B62DA0" w:rsidP="00444401">
      <w:pPr>
        <w:pStyle w:val="QPPBulletPoint1"/>
      </w:pPr>
      <w:r w:rsidRPr="00B62DA0">
        <w:t xml:space="preserve">Alternative measures that achieve the same or better performance than the stated </w:t>
      </w:r>
      <w:r w:rsidR="001F2AFC">
        <w:t>standards</w:t>
      </w:r>
      <w:r w:rsidR="001F2AFC" w:rsidRPr="00B62DA0">
        <w:t xml:space="preserve"> </w:t>
      </w:r>
      <w:r w:rsidRPr="00B62DA0">
        <w:t>may be used where justification is made to and accepted by Council.</w:t>
      </w:r>
    </w:p>
    <w:p w:rsidR="00B62DA0" w:rsidRPr="00B62DA0" w:rsidRDefault="00B62DA0" w:rsidP="00F31F21">
      <w:pPr>
        <w:pStyle w:val="QPPHeading4"/>
      </w:pPr>
      <w:bookmarkStart w:id="6" w:name="S21"/>
      <w:r w:rsidRPr="00B62DA0">
        <w:t>2.1 General</w:t>
      </w:r>
    </w:p>
    <w:bookmarkEnd w:id="6"/>
    <w:p w:rsidR="00B62DA0" w:rsidRPr="00B62DA0" w:rsidRDefault="00B62DA0" w:rsidP="00444401">
      <w:pPr>
        <w:pStyle w:val="QPPBulletPoint1"/>
        <w:numPr>
          <w:ilvl w:val="0"/>
          <w:numId w:val="71"/>
        </w:numPr>
      </w:pPr>
      <w:r w:rsidRPr="00B62DA0">
        <w:t xml:space="preserve">The site is to be designed </w:t>
      </w:r>
      <w:r w:rsidR="00FD4DC7">
        <w:t>to</w:t>
      </w:r>
      <w:r w:rsidRPr="00B62DA0">
        <w:t xml:space="preserve"> avoid or minimise the risk of pollutants, including but not limited to dust, fumes, odour, liquid wastes, contaminated stormwater, sediments, diesel or petroleum products, and contaminated firewater from leaving the site by means of wind carriage, vehicle movements, stormwater run</w:t>
      </w:r>
      <w:r w:rsidR="00FD4DC7">
        <w:t>-</w:t>
      </w:r>
      <w:r w:rsidRPr="00B62DA0">
        <w:t>off, wastewater discharge, or seepage into or onto land.</w:t>
      </w:r>
    </w:p>
    <w:p w:rsidR="00B62DA0" w:rsidRPr="00B62DA0" w:rsidRDefault="00B62DA0" w:rsidP="00444401">
      <w:pPr>
        <w:pStyle w:val="QPPBulletPoint1"/>
      </w:pPr>
      <w:r w:rsidRPr="00B62DA0">
        <w:lastRenderedPageBreak/>
        <w:t xml:space="preserve">The requirements of </w:t>
      </w:r>
      <w:hyperlink r:id="rId17" w:history="1">
        <w:r w:rsidRPr="005F3711">
          <w:rPr>
            <w:rStyle w:val="Hyperlink"/>
          </w:rPr>
          <w:t>AS1940-2004 The storage of flammable and combustible liquids</w:t>
        </w:r>
      </w:hyperlink>
      <w:r w:rsidRPr="00B62DA0">
        <w:t xml:space="preserve"> </w:t>
      </w:r>
      <w:r w:rsidR="001F2AFC">
        <w:t>are</w:t>
      </w:r>
      <w:r w:rsidRPr="00B62DA0">
        <w:t xml:space="preserve"> to be considered when designing, constructing or modifying facilities for the storage and dispensing of petroleum products.</w:t>
      </w:r>
    </w:p>
    <w:p w:rsidR="008225CE" w:rsidRDefault="00E849A1" w:rsidP="00F31F21">
      <w:pPr>
        <w:pStyle w:val="QPPHeading4"/>
      </w:pPr>
      <w:bookmarkStart w:id="7" w:name="S22"/>
      <w:r w:rsidRPr="00B62DA0">
        <w:t>2.2</w:t>
      </w:r>
      <w:r>
        <w:t xml:space="preserve"> Surface </w:t>
      </w:r>
      <w:r w:rsidR="005F3711">
        <w:t xml:space="preserve">water </w:t>
      </w:r>
      <w:r>
        <w:t>and groundwater protection standards</w:t>
      </w:r>
    </w:p>
    <w:p w:rsidR="00B62DA0" w:rsidRPr="00B62DA0" w:rsidRDefault="00B62DA0" w:rsidP="00F31F21">
      <w:pPr>
        <w:pStyle w:val="QPPHeading4"/>
      </w:pPr>
      <w:bookmarkStart w:id="8" w:name="S221"/>
      <w:r w:rsidRPr="00B62DA0">
        <w:t>2.2</w:t>
      </w:r>
      <w:r w:rsidR="00E849A1">
        <w:t>.1</w:t>
      </w:r>
      <w:r w:rsidRPr="00B62DA0">
        <w:t xml:space="preserve"> Underground tanks</w:t>
      </w:r>
    </w:p>
    <w:bookmarkEnd w:id="7"/>
    <w:bookmarkEnd w:id="8"/>
    <w:p w:rsidR="00B62DA0" w:rsidRPr="00B62DA0" w:rsidRDefault="00B62DA0" w:rsidP="00444401">
      <w:pPr>
        <w:pStyle w:val="QPPBulletPoint1"/>
        <w:numPr>
          <w:ilvl w:val="0"/>
          <w:numId w:val="87"/>
        </w:numPr>
      </w:pPr>
      <w:r w:rsidRPr="00B62DA0">
        <w:t>All tanks are to be non-corrodible and be constructed of either:</w:t>
      </w:r>
    </w:p>
    <w:p w:rsidR="00B62DA0" w:rsidRPr="00B62DA0" w:rsidRDefault="00B62DA0" w:rsidP="00444401">
      <w:pPr>
        <w:pStyle w:val="QPPBulletpoint2"/>
        <w:numPr>
          <w:ilvl w:val="0"/>
          <w:numId w:val="88"/>
        </w:numPr>
      </w:pPr>
      <w:r w:rsidRPr="00B62DA0">
        <w:t>fibre-reinforced thermosetting resin (fibreglass) that is compatible with the product; or</w:t>
      </w:r>
    </w:p>
    <w:p w:rsidR="00B62DA0" w:rsidRPr="00B62DA0" w:rsidRDefault="00B62DA0" w:rsidP="00444401">
      <w:pPr>
        <w:pStyle w:val="QPPBulletpoint2"/>
      </w:pPr>
      <w:r w:rsidRPr="00B62DA0">
        <w:t xml:space="preserve">a steel inner wall and a fibre-reinforced thermosetting resin composite (fibreglass) outer wall with an interstitial space between the </w:t>
      </w:r>
      <w:r w:rsidR="005F3711">
        <w:t>2</w:t>
      </w:r>
      <w:r w:rsidRPr="00B62DA0">
        <w:t xml:space="preserve"> walls.</w:t>
      </w:r>
    </w:p>
    <w:p w:rsidR="00B62DA0" w:rsidRPr="00B62DA0" w:rsidRDefault="00B62DA0" w:rsidP="00444401">
      <w:pPr>
        <w:pStyle w:val="QPPBulletPoint1"/>
      </w:pPr>
      <w:r w:rsidRPr="00B62DA0">
        <w:t>All tanks are to be double</w:t>
      </w:r>
      <w:r w:rsidR="00D158EB">
        <w:t xml:space="preserve"> </w:t>
      </w:r>
      <w:r w:rsidRPr="00B62DA0">
        <w:t>walled and have an i</w:t>
      </w:r>
      <w:r w:rsidR="005F3711">
        <w:t>nterstitial space between the 2</w:t>
      </w:r>
      <w:r w:rsidRPr="00B62DA0">
        <w:t xml:space="preserve"> walls of the tanks that is capable of being monitored for any breach of either the inner or outer wall of the tank.</w:t>
      </w:r>
    </w:p>
    <w:p w:rsidR="00B62DA0" w:rsidRPr="00B62DA0" w:rsidRDefault="00B62DA0" w:rsidP="00444401">
      <w:pPr>
        <w:pStyle w:val="QPPBulletPoint1"/>
      </w:pPr>
      <w:r w:rsidRPr="00B62DA0">
        <w:t xml:space="preserve">All tanks are to meet the requirements of </w:t>
      </w:r>
      <w:hyperlink r:id="rId18" w:history="1">
        <w:r w:rsidRPr="00444401">
          <w:rPr>
            <w:rStyle w:val="Hyperlink"/>
          </w:rPr>
          <w:t>AS1692-2006 Steel tanks for flammable and combustible liquids</w:t>
        </w:r>
      </w:hyperlink>
      <w:r w:rsidRPr="00B62DA0">
        <w:t xml:space="preserve">, </w:t>
      </w:r>
      <w:hyperlink r:id="rId19" w:history="1">
        <w:r w:rsidRPr="00444401">
          <w:rPr>
            <w:rStyle w:val="Hyperlink"/>
          </w:rPr>
          <w:t>UL 1316 Glass</w:t>
        </w:r>
        <w:r w:rsidR="00D158EB" w:rsidRPr="00444401">
          <w:rPr>
            <w:rStyle w:val="Hyperlink"/>
          </w:rPr>
          <w:t xml:space="preserve"> f</w:t>
        </w:r>
        <w:r w:rsidRPr="00444401">
          <w:rPr>
            <w:rStyle w:val="Hyperlink"/>
          </w:rPr>
          <w:t>ibre</w:t>
        </w:r>
        <w:r w:rsidR="00D158EB" w:rsidRPr="00444401">
          <w:rPr>
            <w:rStyle w:val="Hyperlink"/>
          </w:rPr>
          <w:t xml:space="preserve"> r</w:t>
        </w:r>
        <w:r w:rsidRPr="00444401">
          <w:rPr>
            <w:rStyle w:val="Hyperlink"/>
          </w:rPr>
          <w:t xml:space="preserve">einforced </w:t>
        </w:r>
        <w:r w:rsidR="00D158EB" w:rsidRPr="00444401">
          <w:rPr>
            <w:rStyle w:val="Hyperlink"/>
          </w:rPr>
          <w:t>u</w:t>
        </w:r>
        <w:r w:rsidRPr="00444401">
          <w:rPr>
            <w:rStyle w:val="Hyperlink"/>
          </w:rPr>
          <w:t xml:space="preserve">nderground </w:t>
        </w:r>
        <w:r w:rsidR="00D158EB" w:rsidRPr="00444401">
          <w:rPr>
            <w:rStyle w:val="Hyperlink"/>
          </w:rPr>
          <w:t>s</w:t>
        </w:r>
        <w:r w:rsidRPr="00444401">
          <w:rPr>
            <w:rStyle w:val="Hyperlink"/>
          </w:rPr>
          <w:t xml:space="preserve">torage </w:t>
        </w:r>
        <w:r w:rsidR="00D158EB" w:rsidRPr="00444401">
          <w:rPr>
            <w:rStyle w:val="Hyperlink"/>
          </w:rPr>
          <w:t>t</w:t>
        </w:r>
        <w:r w:rsidRPr="00444401">
          <w:rPr>
            <w:rStyle w:val="Hyperlink"/>
          </w:rPr>
          <w:t xml:space="preserve">anks for </w:t>
        </w:r>
        <w:r w:rsidR="00D158EB" w:rsidRPr="00444401">
          <w:rPr>
            <w:rStyle w:val="Hyperlink"/>
          </w:rPr>
          <w:t>p</w:t>
        </w:r>
        <w:r w:rsidRPr="00444401">
          <w:rPr>
            <w:rStyle w:val="Hyperlink"/>
          </w:rPr>
          <w:t xml:space="preserve">etroleum </w:t>
        </w:r>
        <w:r w:rsidR="00D158EB" w:rsidRPr="00444401">
          <w:rPr>
            <w:rStyle w:val="Hyperlink"/>
          </w:rPr>
          <w:t>p</w:t>
        </w:r>
        <w:r w:rsidRPr="00444401">
          <w:rPr>
            <w:rStyle w:val="Hyperlink"/>
          </w:rPr>
          <w:t xml:space="preserve">roducts, </w:t>
        </w:r>
        <w:r w:rsidR="00D158EB" w:rsidRPr="00444401">
          <w:rPr>
            <w:rStyle w:val="Hyperlink"/>
          </w:rPr>
          <w:t>a</w:t>
        </w:r>
        <w:r w:rsidRPr="00444401">
          <w:rPr>
            <w:rStyle w:val="Hyperlink"/>
          </w:rPr>
          <w:t xml:space="preserve">lcohols and </w:t>
        </w:r>
        <w:r w:rsidR="00D158EB" w:rsidRPr="00444401">
          <w:rPr>
            <w:rStyle w:val="Hyperlink"/>
          </w:rPr>
          <w:t>a</w:t>
        </w:r>
        <w:r w:rsidRPr="00444401">
          <w:rPr>
            <w:rStyle w:val="Hyperlink"/>
          </w:rPr>
          <w:t>lcohol</w:t>
        </w:r>
        <w:r w:rsidR="00D158EB" w:rsidRPr="00444401">
          <w:rPr>
            <w:rStyle w:val="Hyperlink"/>
          </w:rPr>
          <w:t xml:space="preserve"> g</w:t>
        </w:r>
        <w:r w:rsidRPr="00444401">
          <w:rPr>
            <w:rStyle w:val="Hyperlink"/>
          </w:rPr>
          <w:t xml:space="preserve">asoline </w:t>
        </w:r>
        <w:r w:rsidR="00D158EB" w:rsidRPr="00444401">
          <w:rPr>
            <w:rStyle w:val="Hyperlink"/>
          </w:rPr>
          <w:t>m</w:t>
        </w:r>
        <w:r w:rsidRPr="00444401">
          <w:rPr>
            <w:rStyle w:val="Hyperlink"/>
          </w:rPr>
          <w:t>ixtures</w:t>
        </w:r>
      </w:hyperlink>
      <w:r w:rsidRPr="00B62DA0">
        <w:t xml:space="preserve"> or the equivalent.</w:t>
      </w:r>
    </w:p>
    <w:p w:rsidR="00B62DA0" w:rsidRPr="00B62DA0" w:rsidRDefault="00B62DA0" w:rsidP="00444401">
      <w:pPr>
        <w:pStyle w:val="QPPBulletPoint1"/>
      </w:pPr>
      <w:r w:rsidRPr="00B62DA0">
        <w:t>An overfill protection valve is to be installed in the drop tube of the tank and calibrated to prevent the tank from being filled in excess of 90% of its capacity. An overfill alarm is to be installed to visually and audibly alert persons in the vicinity of the tank.</w:t>
      </w:r>
    </w:p>
    <w:p w:rsidR="00B62DA0" w:rsidRPr="00B62DA0" w:rsidRDefault="00B62DA0" w:rsidP="00F31F21">
      <w:pPr>
        <w:pStyle w:val="QPPHeading4"/>
      </w:pPr>
      <w:bookmarkStart w:id="9" w:name="S222"/>
      <w:r w:rsidRPr="00B62DA0">
        <w:t>2.</w:t>
      </w:r>
      <w:r w:rsidR="00E849A1">
        <w:t>2.2</w:t>
      </w:r>
      <w:r w:rsidR="00E849A1" w:rsidRPr="00B62DA0">
        <w:t xml:space="preserve"> </w:t>
      </w:r>
      <w:r w:rsidRPr="00B62DA0">
        <w:t xml:space="preserve">Leak </w:t>
      </w:r>
      <w:r w:rsidR="006A6C4B">
        <w:t>d</w:t>
      </w:r>
      <w:r w:rsidRPr="00B62DA0">
        <w:t>etection</w:t>
      </w:r>
    </w:p>
    <w:bookmarkEnd w:id="9"/>
    <w:p w:rsidR="00B62DA0" w:rsidRPr="00B62DA0" w:rsidRDefault="00B62DA0" w:rsidP="00444401">
      <w:pPr>
        <w:pStyle w:val="QPPBodytext"/>
      </w:pPr>
      <w:r w:rsidRPr="00B62DA0">
        <w:t xml:space="preserve">All </w:t>
      </w:r>
      <w:r w:rsidR="00D158EB">
        <w:t>u</w:t>
      </w:r>
      <w:r w:rsidR="00D158EB" w:rsidRPr="00D158EB">
        <w:t>nderground petroleum storage system</w:t>
      </w:r>
      <w:r w:rsidR="00D158EB">
        <w:t xml:space="preserve">s </w:t>
      </w:r>
      <w:r w:rsidRPr="00B62DA0">
        <w:t>are to include an approved leak</w:t>
      </w:r>
      <w:r w:rsidR="00332869">
        <w:t xml:space="preserve"> </w:t>
      </w:r>
      <w:r w:rsidRPr="00B62DA0">
        <w:t>detection system that:</w:t>
      </w:r>
    </w:p>
    <w:p w:rsidR="00B62DA0" w:rsidRPr="00B62DA0" w:rsidRDefault="00B62DA0" w:rsidP="00444401">
      <w:pPr>
        <w:pStyle w:val="QPPBulletpoint2"/>
        <w:numPr>
          <w:ilvl w:val="0"/>
          <w:numId w:val="72"/>
        </w:numPr>
      </w:pPr>
      <w:r w:rsidRPr="00B62DA0">
        <w:t>can detect a leak from any portion of the underground storage system;</w:t>
      </w:r>
    </w:p>
    <w:p w:rsidR="00B62DA0" w:rsidRPr="00B62DA0" w:rsidRDefault="00B62DA0" w:rsidP="00444401">
      <w:pPr>
        <w:pStyle w:val="QPPBulletpoint2"/>
      </w:pPr>
      <w:r w:rsidRPr="00B62DA0">
        <w:t>uses equipment that has been installed, calibrated and commissioned in accordance with the manufacturer's instructions;</w:t>
      </w:r>
    </w:p>
    <w:p w:rsidR="00B62DA0" w:rsidRPr="00B62DA0" w:rsidRDefault="00B62DA0" w:rsidP="00444401">
      <w:pPr>
        <w:pStyle w:val="QPPBulletpoint2"/>
      </w:pPr>
      <w:r w:rsidRPr="00B62DA0">
        <w:t>is capable of detecting a leak at a rate of 0.76</w:t>
      </w:r>
      <w:r w:rsidR="00332869">
        <w:t>L</w:t>
      </w:r>
      <w:r w:rsidRPr="00B62DA0">
        <w:t xml:space="preserve"> per hour or more with at least 95% accuracy and a probability of false detection of 0.05 or less (United States Environmental Protection Agency (USEPA));</w:t>
      </w:r>
    </w:p>
    <w:p w:rsidR="00B62DA0" w:rsidRDefault="00B62DA0" w:rsidP="00444401">
      <w:pPr>
        <w:pStyle w:val="QPPBulletpoint2"/>
      </w:pPr>
      <w:r w:rsidRPr="00B62DA0">
        <w:t>has been certified by an independent third party, consistent with the current USEPA protocols and system of verification (USEPA 1990, 40 CFR Part 280, Subpart D).</w:t>
      </w:r>
    </w:p>
    <w:p w:rsidR="00B62DA0" w:rsidRPr="00B62DA0" w:rsidRDefault="00B62DA0" w:rsidP="00F31F21">
      <w:pPr>
        <w:pStyle w:val="QPPHeading4"/>
      </w:pPr>
      <w:bookmarkStart w:id="10" w:name="S2221"/>
      <w:r w:rsidRPr="00B62DA0">
        <w:t>2.</w:t>
      </w:r>
      <w:r w:rsidR="00E849A1">
        <w:t>2</w:t>
      </w:r>
      <w:r w:rsidRPr="00B62DA0">
        <w:t>.</w:t>
      </w:r>
      <w:r w:rsidR="00E849A1">
        <w:t>2.</w:t>
      </w:r>
      <w:r w:rsidRPr="00B62DA0">
        <w:t>1 Leak detection systems for tanks</w:t>
      </w:r>
    </w:p>
    <w:bookmarkEnd w:id="10"/>
    <w:p w:rsidR="00B62DA0" w:rsidRPr="00B62DA0" w:rsidRDefault="00B62DA0" w:rsidP="00F31F21">
      <w:pPr>
        <w:pStyle w:val="QPPBodytext"/>
      </w:pPr>
      <w:r w:rsidRPr="00B62DA0">
        <w:t>The following leak detection systems are to be used:</w:t>
      </w:r>
    </w:p>
    <w:p w:rsidR="00B62DA0" w:rsidRPr="00B62DA0" w:rsidRDefault="00C275E2" w:rsidP="00F31F21">
      <w:pPr>
        <w:pStyle w:val="QPPBulletpoint2"/>
        <w:numPr>
          <w:ilvl w:val="0"/>
          <w:numId w:val="55"/>
        </w:numPr>
      </w:pPr>
      <w:r>
        <w:t>s</w:t>
      </w:r>
      <w:r w:rsidR="00B62DA0" w:rsidRPr="00B62DA0">
        <w:t xml:space="preserve">tatistical </w:t>
      </w:r>
      <w:r w:rsidR="00332869">
        <w:t>i</w:t>
      </w:r>
      <w:r w:rsidR="00B62DA0" w:rsidRPr="00B62DA0">
        <w:t xml:space="preserve">nventory </w:t>
      </w:r>
      <w:r w:rsidR="00332869">
        <w:t>r</w:t>
      </w:r>
      <w:r w:rsidR="00B62DA0" w:rsidRPr="00B62DA0">
        <w:t>econciliation (SIR) that includes a software-based system where daily tank dip readings, delivery records and sales records are entered onto a proprietary software package; or</w:t>
      </w:r>
    </w:p>
    <w:p w:rsidR="00B62DA0" w:rsidRPr="00B62DA0" w:rsidRDefault="00332869" w:rsidP="00F31F21">
      <w:pPr>
        <w:pStyle w:val="QPPBulletpoint2"/>
      </w:pPr>
      <w:r>
        <w:t>a</w:t>
      </w:r>
      <w:r w:rsidR="00B62DA0" w:rsidRPr="00B62DA0">
        <w:t xml:space="preserve">utomatic </w:t>
      </w:r>
      <w:r>
        <w:t>t</w:t>
      </w:r>
      <w:r w:rsidR="00B62DA0" w:rsidRPr="00B62DA0">
        <w:t xml:space="preserve">ank </w:t>
      </w:r>
      <w:r>
        <w:t>g</w:t>
      </w:r>
      <w:r w:rsidR="00B62DA0" w:rsidRPr="00B62DA0">
        <w:t xml:space="preserve">auging (ATG) that includes an automatic system using an arrangement of sensor probes and other devices that monitor the </w:t>
      </w:r>
      <w:r w:rsidR="00D158EB">
        <w:t>u</w:t>
      </w:r>
      <w:r w:rsidR="00D158EB" w:rsidRPr="00B62DA0">
        <w:t>nderground petroleum storage system</w:t>
      </w:r>
      <w:r w:rsidR="00B62DA0" w:rsidRPr="00B62DA0">
        <w:t xml:space="preserve"> and provide inventory information and leak testing; </w:t>
      </w:r>
    </w:p>
    <w:p w:rsidR="00B62DA0" w:rsidRPr="00B62DA0" w:rsidRDefault="00332869" w:rsidP="00F31F21">
      <w:pPr>
        <w:pStyle w:val="QPPBulletpoint2"/>
      </w:pPr>
      <w:r>
        <w:t>a</w:t>
      </w:r>
      <w:r w:rsidR="00B62DA0" w:rsidRPr="00B62DA0">
        <w:t xml:space="preserve"> tank pit observation well at the lowest point of each tank excavation pit.</w:t>
      </w:r>
    </w:p>
    <w:p w:rsidR="00B62DA0" w:rsidRPr="00B62DA0" w:rsidRDefault="00B62DA0" w:rsidP="00F31F21">
      <w:pPr>
        <w:pStyle w:val="QPPHeading4"/>
      </w:pPr>
      <w:bookmarkStart w:id="11" w:name="S2222"/>
      <w:r w:rsidRPr="00B62DA0">
        <w:t>2.</w:t>
      </w:r>
      <w:r w:rsidR="00E849A1">
        <w:t>2</w:t>
      </w:r>
      <w:r w:rsidRPr="00B62DA0">
        <w:t>.2</w:t>
      </w:r>
      <w:r w:rsidR="00E849A1">
        <w:t>.2</w:t>
      </w:r>
      <w:r w:rsidRPr="00B62DA0">
        <w:t xml:space="preserve"> Leak detection systems for pipework</w:t>
      </w:r>
    </w:p>
    <w:bookmarkEnd w:id="11"/>
    <w:p w:rsidR="00B62DA0" w:rsidRPr="00B62DA0" w:rsidRDefault="00B62DA0" w:rsidP="00444401">
      <w:pPr>
        <w:pStyle w:val="QPPBodytext"/>
      </w:pPr>
      <w:r w:rsidRPr="00B62DA0">
        <w:t>Leak detection systems for underground pipework are to include:</w:t>
      </w:r>
    </w:p>
    <w:p w:rsidR="00B62DA0" w:rsidRPr="00B62DA0" w:rsidRDefault="00332869" w:rsidP="00D71332">
      <w:pPr>
        <w:pStyle w:val="QPPBulletpoint2"/>
        <w:numPr>
          <w:ilvl w:val="0"/>
          <w:numId w:val="89"/>
        </w:numPr>
      </w:pPr>
      <w:r>
        <w:t>e</w:t>
      </w:r>
      <w:r w:rsidR="00B62DA0" w:rsidRPr="00B62DA0">
        <w:t xml:space="preserve">lectronic </w:t>
      </w:r>
      <w:r>
        <w:t>l</w:t>
      </w:r>
      <w:r w:rsidR="00B62DA0" w:rsidRPr="00B62DA0">
        <w:t xml:space="preserve">ine </w:t>
      </w:r>
      <w:r>
        <w:t>l</w:t>
      </w:r>
      <w:r w:rsidR="00B62DA0" w:rsidRPr="00B62DA0">
        <w:t xml:space="preserve">eak </w:t>
      </w:r>
      <w:r>
        <w:t>d</w:t>
      </w:r>
      <w:r w:rsidR="00B62DA0" w:rsidRPr="00B62DA0">
        <w:t>etection (ELLD) for pressure piping; or</w:t>
      </w:r>
    </w:p>
    <w:p w:rsidR="00B62DA0" w:rsidRPr="00B62DA0" w:rsidRDefault="00332869" w:rsidP="00D71332">
      <w:pPr>
        <w:pStyle w:val="QPPBulletpoint2"/>
      </w:pPr>
      <w:r>
        <w:t>s</w:t>
      </w:r>
      <w:r w:rsidR="00B62DA0" w:rsidRPr="00B62DA0">
        <w:t xml:space="preserve">afe </w:t>
      </w:r>
      <w:r>
        <w:t>s</w:t>
      </w:r>
      <w:r w:rsidR="00B62DA0" w:rsidRPr="00B62DA0">
        <w:t>uction for suction piping.</w:t>
      </w:r>
    </w:p>
    <w:p w:rsidR="00B62DA0" w:rsidRPr="00B62DA0" w:rsidRDefault="00B62DA0" w:rsidP="00F31F21">
      <w:pPr>
        <w:pStyle w:val="QPPEditorsNoteStyle1"/>
      </w:pPr>
      <w:r w:rsidRPr="00B62DA0">
        <w:t>Note</w:t>
      </w:r>
      <w:r w:rsidR="008B3B02">
        <w:rPr>
          <w:rFonts w:cs="Arial"/>
        </w:rPr>
        <w:t>—</w:t>
      </w:r>
      <w:r w:rsidR="00332869">
        <w:t>S</w:t>
      </w:r>
      <w:r w:rsidRPr="00B62DA0">
        <w:t>ites with remote fill lines shall also operate a statistical inventory reconciliation system to monitor leaks in fill lines.</w:t>
      </w:r>
    </w:p>
    <w:p w:rsidR="00B62DA0" w:rsidRPr="00B62DA0" w:rsidRDefault="00B62DA0" w:rsidP="00F31F21">
      <w:pPr>
        <w:pStyle w:val="QPPHeading4"/>
      </w:pPr>
      <w:bookmarkStart w:id="12" w:name="S223"/>
      <w:r w:rsidRPr="00B62DA0">
        <w:t>2.</w:t>
      </w:r>
      <w:r w:rsidR="00E849A1">
        <w:t>2.3</w:t>
      </w:r>
      <w:r w:rsidR="00E849A1" w:rsidRPr="00B62DA0">
        <w:t xml:space="preserve"> </w:t>
      </w:r>
      <w:r w:rsidRPr="00B62DA0">
        <w:t>Self-bunded above</w:t>
      </w:r>
      <w:r w:rsidR="00332869">
        <w:t>-</w:t>
      </w:r>
      <w:r w:rsidRPr="00B62DA0">
        <w:t>ground tanks</w:t>
      </w:r>
    </w:p>
    <w:bookmarkEnd w:id="12"/>
    <w:p w:rsidR="00B62DA0" w:rsidRPr="00B62DA0" w:rsidRDefault="00B62DA0" w:rsidP="00444401">
      <w:pPr>
        <w:pStyle w:val="QPPBulletPoint1"/>
        <w:numPr>
          <w:ilvl w:val="0"/>
          <w:numId w:val="75"/>
        </w:numPr>
      </w:pPr>
      <w:r w:rsidRPr="00B62DA0">
        <w:t>The capacity of any self-bunded tank is not to exceed the following:</w:t>
      </w:r>
    </w:p>
    <w:p w:rsidR="00B62DA0" w:rsidRPr="00B62DA0" w:rsidRDefault="00B62DA0" w:rsidP="00444401">
      <w:pPr>
        <w:pStyle w:val="QPPBulletpoint2"/>
        <w:numPr>
          <w:ilvl w:val="0"/>
          <w:numId w:val="74"/>
        </w:numPr>
      </w:pPr>
      <w:r w:rsidRPr="00B62DA0">
        <w:t>55,000L for PGII liquids</w:t>
      </w:r>
      <w:r w:rsidR="00487BCE">
        <w:t>;</w:t>
      </w:r>
    </w:p>
    <w:p w:rsidR="00B62DA0" w:rsidRPr="00B62DA0" w:rsidRDefault="00B62DA0" w:rsidP="00444401">
      <w:pPr>
        <w:pStyle w:val="QPPBulletpoint2"/>
      </w:pPr>
      <w:r w:rsidRPr="00B62DA0">
        <w:t>110,000L for PGIII liquids</w:t>
      </w:r>
      <w:r w:rsidR="00487BCE">
        <w:t>;</w:t>
      </w:r>
    </w:p>
    <w:p w:rsidR="00B62DA0" w:rsidRPr="00B62DA0" w:rsidRDefault="00B62DA0" w:rsidP="00444401">
      <w:pPr>
        <w:pStyle w:val="QPPBulletpoint2"/>
      </w:pPr>
      <w:r w:rsidRPr="00B62DA0">
        <w:t>110,000L for combustible (C1, C2) liquids.</w:t>
      </w:r>
    </w:p>
    <w:p w:rsidR="00B62DA0" w:rsidRPr="00B62DA0" w:rsidRDefault="00B62DA0" w:rsidP="00444401">
      <w:pPr>
        <w:pStyle w:val="QPPBulletPoint1"/>
      </w:pPr>
      <w:r w:rsidRPr="00B62DA0">
        <w:lastRenderedPageBreak/>
        <w:t>Signage indicating the capacity and type of product is to be prominently displayed on the tank/s.</w:t>
      </w:r>
    </w:p>
    <w:p w:rsidR="00B62DA0" w:rsidRPr="00B62DA0" w:rsidRDefault="00B62DA0" w:rsidP="00444401">
      <w:pPr>
        <w:pStyle w:val="QPPBulletPoint1"/>
      </w:pPr>
      <w:r w:rsidRPr="00B62DA0">
        <w:t xml:space="preserve">Tanks are to be located to meet all relevant separation distances of </w:t>
      </w:r>
      <w:hyperlink r:id="rId20" w:history="1">
        <w:r w:rsidRPr="00444401">
          <w:rPr>
            <w:rStyle w:val="Hyperlink"/>
          </w:rPr>
          <w:t>AS1940-2004 The storage of flammable and combustible liquids</w:t>
        </w:r>
      </w:hyperlink>
      <w:r w:rsidRPr="00B62DA0">
        <w:t>. Where a tank having multiple compartments is installed, the separation to boundaries and protected places is to be based on the volume of the compartments and the lowest flashpoint of the liquid in any tank compartment.</w:t>
      </w:r>
    </w:p>
    <w:p w:rsidR="00B62DA0" w:rsidRPr="00B62DA0" w:rsidRDefault="00B62DA0" w:rsidP="00444401">
      <w:pPr>
        <w:pStyle w:val="QPPBulletpoint2"/>
        <w:numPr>
          <w:ilvl w:val="0"/>
          <w:numId w:val="76"/>
        </w:numPr>
      </w:pPr>
      <w:r w:rsidRPr="00B62DA0">
        <w:t>Spacing between adjacent tanks is to be at least 600mm.</w:t>
      </w:r>
    </w:p>
    <w:p w:rsidR="00B62DA0" w:rsidRPr="00B62DA0" w:rsidRDefault="00B62DA0" w:rsidP="00F31F21">
      <w:pPr>
        <w:pStyle w:val="QPPBulletpoint2"/>
      </w:pPr>
      <w:r w:rsidRPr="00B62DA0">
        <w:t xml:space="preserve">The tank, including the inner and outer walls, is to comply with </w:t>
      </w:r>
      <w:hyperlink r:id="rId21" w:history="1">
        <w:r w:rsidRPr="00444401">
          <w:rPr>
            <w:rStyle w:val="Hyperlink"/>
          </w:rPr>
          <w:t>AS1692-2006 Tanks for flammable and combustible liquids</w:t>
        </w:r>
      </w:hyperlink>
      <w:r w:rsidRPr="00B62DA0">
        <w:t xml:space="preserve"> or equivalent standard.</w:t>
      </w:r>
    </w:p>
    <w:p w:rsidR="00B62DA0" w:rsidRPr="00B62DA0" w:rsidRDefault="00B62DA0" w:rsidP="00444401">
      <w:pPr>
        <w:pStyle w:val="QPPBulletPoint1"/>
      </w:pPr>
      <w:r w:rsidRPr="00B62DA0">
        <w:t>The tank is to be fitted with a means of determining the level of the contents. Such means are to be available to the delivery operator.</w:t>
      </w:r>
    </w:p>
    <w:p w:rsidR="00B62DA0" w:rsidRPr="00B62DA0" w:rsidRDefault="00B62DA0" w:rsidP="00444401">
      <w:pPr>
        <w:pStyle w:val="QPPBulletPoint1"/>
      </w:pPr>
      <w:r w:rsidRPr="00B62DA0">
        <w:t>Provision is to be made for the relief of any pressure in the interstitial space during fire engulfment conditions.</w:t>
      </w:r>
    </w:p>
    <w:p w:rsidR="00B62DA0" w:rsidRPr="00B62DA0" w:rsidRDefault="00B62DA0" w:rsidP="00444401">
      <w:pPr>
        <w:pStyle w:val="QPPBulletPoint1"/>
      </w:pPr>
      <w:r w:rsidRPr="00B62DA0">
        <w:t>All piping connections to the tank are to be above the normal maximum fill level.</w:t>
      </w:r>
    </w:p>
    <w:p w:rsidR="00B62DA0" w:rsidRPr="00B62DA0" w:rsidRDefault="00B62DA0" w:rsidP="00444401">
      <w:pPr>
        <w:pStyle w:val="QPPBulletPoint1"/>
      </w:pPr>
      <w:r w:rsidRPr="00B62DA0">
        <w:t>The tank is to be fitted with anti-siphon protection.</w:t>
      </w:r>
    </w:p>
    <w:p w:rsidR="00B62DA0" w:rsidRPr="00B62DA0" w:rsidRDefault="00B62DA0" w:rsidP="00444401">
      <w:pPr>
        <w:pStyle w:val="QPPBulletPoint1"/>
      </w:pPr>
      <w:r w:rsidRPr="00B62DA0">
        <w:t>An overfill protection valve is to be installed in the drop tube of the tank and calibrated to prevent the tank from being filled in excess of 90% of its capacity. An overfill alarm is to be installed to visually and audibly alert persons in the vicinity of the tank.</w:t>
      </w:r>
    </w:p>
    <w:p w:rsidR="00B62DA0" w:rsidRPr="00B62DA0" w:rsidRDefault="00B62DA0" w:rsidP="00444401">
      <w:pPr>
        <w:pStyle w:val="QPPBulletPoint1"/>
      </w:pPr>
      <w:r w:rsidRPr="00B62DA0">
        <w:t>A means shall be provided to empty the fill hose after filling the tank, such that the risk of spillage is minimised and any spillage which does occur is contained.</w:t>
      </w:r>
    </w:p>
    <w:p w:rsidR="00B62DA0" w:rsidRPr="00B62DA0" w:rsidRDefault="00B62DA0" w:rsidP="00444401">
      <w:pPr>
        <w:pStyle w:val="QPPBulletPoint1"/>
      </w:pPr>
      <w:r w:rsidRPr="00B62DA0">
        <w:t>A system is to be installed to monitor the interstitial space between the inner and outer walls for leakage from the inner tank.</w:t>
      </w:r>
    </w:p>
    <w:p w:rsidR="00B62DA0" w:rsidRPr="00B62DA0" w:rsidRDefault="00B62DA0" w:rsidP="00444401">
      <w:pPr>
        <w:pStyle w:val="QPPBulletPoint1"/>
      </w:pPr>
      <w:r w:rsidRPr="00B62DA0">
        <w:t>Where the tank is located in a position where it could be struck by vehicles, it is to be protected from such impact by barriers strategically placed and firmly anchored to the ground or surrounding structure/s.</w:t>
      </w:r>
    </w:p>
    <w:p w:rsidR="00B62DA0" w:rsidRPr="00B62DA0" w:rsidRDefault="00B62DA0" w:rsidP="00F31F21">
      <w:pPr>
        <w:pStyle w:val="QPPHeading4"/>
      </w:pPr>
      <w:bookmarkStart w:id="13" w:name="S224"/>
      <w:r w:rsidRPr="00B62DA0">
        <w:t>2.</w:t>
      </w:r>
      <w:r w:rsidR="00E849A1">
        <w:t>2.4</w:t>
      </w:r>
      <w:r w:rsidR="00E849A1" w:rsidRPr="00B62DA0">
        <w:t xml:space="preserve"> </w:t>
      </w:r>
      <w:r w:rsidRPr="00B62DA0">
        <w:t>Single-skin above</w:t>
      </w:r>
      <w:r w:rsidR="0039176B">
        <w:t>-</w:t>
      </w:r>
      <w:r w:rsidRPr="00B62DA0">
        <w:t>ground tanks</w:t>
      </w:r>
    </w:p>
    <w:bookmarkEnd w:id="13"/>
    <w:p w:rsidR="00B62DA0" w:rsidRPr="00B62DA0" w:rsidRDefault="00B62DA0" w:rsidP="00F31F21">
      <w:pPr>
        <w:pStyle w:val="QPPBodytext"/>
      </w:pPr>
      <w:r w:rsidRPr="00B62DA0">
        <w:t>Single-skin above</w:t>
      </w:r>
      <w:r w:rsidR="0039176B">
        <w:t>-</w:t>
      </w:r>
      <w:r w:rsidRPr="00B62DA0">
        <w:t>ground tanks are to be installed within a bunded compound to contain any leaks or spillages and are to comply with the following:</w:t>
      </w:r>
    </w:p>
    <w:p w:rsidR="00B62DA0" w:rsidRPr="00B62DA0" w:rsidRDefault="00B62DA0" w:rsidP="00444401">
      <w:pPr>
        <w:pStyle w:val="QPPBulletPoint1"/>
        <w:numPr>
          <w:ilvl w:val="0"/>
          <w:numId w:val="77"/>
        </w:numPr>
      </w:pPr>
      <w:r w:rsidRPr="00B62DA0">
        <w:t>Signage indicating the capacity and type of product is to be prominently displayed on the tank/s.</w:t>
      </w:r>
    </w:p>
    <w:p w:rsidR="00B62DA0" w:rsidRPr="00B62DA0" w:rsidRDefault="00B62DA0" w:rsidP="00444401">
      <w:pPr>
        <w:pStyle w:val="QPPBulletPoint1"/>
      </w:pPr>
      <w:r w:rsidRPr="00B62DA0">
        <w:t xml:space="preserve">Tanks are to be located to meet all relevant separation distances of Clause 5.7, </w:t>
      </w:r>
      <w:hyperlink r:id="rId22" w:history="1">
        <w:r w:rsidRPr="00444401">
          <w:rPr>
            <w:rStyle w:val="Hyperlink"/>
          </w:rPr>
          <w:t>AS1940-2004 The storage of flammable and combustible liquids</w:t>
        </w:r>
      </w:hyperlink>
      <w:r w:rsidRPr="00B62DA0">
        <w:t>. Where a tank having multiple compartments is installed, the separation to boundaries and protected places is to be based on the volume of the compartments and the lowest flashpoint of the liquid in any tank compartment.</w:t>
      </w:r>
    </w:p>
    <w:p w:rsidR="00B62DA0" w:rsidRPr="00B62DA0" w:rsidRDefault="00B62DA0" w:rsidP="00444401">
      <w:pPr>
        <w:pStyle w:val="QPPBulletPoint1"/>
      </w:pPr>
      <w:r w:rsidRPr="00B62DA0">
        <w:t>The tank is to be fitted with a means of determining the level of the contents. Such means are to be made available to any delivery operator.</w:t>
      </w:r>
    </w:p>
    <w:p w:rsidR="00B62DA0" w:rsidRPr="00B62DA0" w:rsidRDefault="00B62DA0" w:rsidP="00444401">
      <w:pPr>
        <w:pStyle w:val="QPPBulletPoint1"/>
      </w:pPr>
      <w:r w:rsidRPr="00B62DA0">
        <w:t>The tank fill point is to be fitted with a camlock type or other liquid-tight connection and provided with spill containment of at least 15L capacity per spill point.</w:t>
      </w:r>
    </w:p>
    <w:p w:rsidR="00B62DA0" w:rsidRPr="00B62DA0" w:rsidRDefault="00B62DA0" w:rsidP="00444401">
      <w:pPr>
        <w:pStyle w:val="QPPBulletPoint1"/>
      </w:pPr>
      <w:r w:rsidRPr="00B62DA0">
        <w:t>The bunded compound is to be sufficiently impervious to retain spillage and to enable recovery of any such spillage. The compound is to be:</w:t>
      </w:r>
    </w:p>
    <w:p w:rsidR="00B62DA0" w:rsidRPr="00B62DA0" w:rsidRDefault="00B62DA0" w:rsidP="00444401">
      <w:pPr>
        <w:pStyle w:val="QPPBulletpoint2"/>
        <w:numPr>
          <w:ilvl w:val="0"/>
          <w:numId w:val="78"/>
        </w:numPr>
      </w:pPr>
      <w:r w:rsidRPr="00B62DA0">
        <w:t>chemically resistant and fire resistant as far as is necessary to fulfil its functions. Suitable materials may include waterproofed, reinforced concrete or an equivalent (permeability should be &lt;10</w:t>
      </w:r>
      <w:r w:rsidR="00E33320" w:rsidRPr="00F53B62">
        <w:rPr>
          <w:rStyle w:val="QPPSuperscriptChar"/>
        </w:rPr>
        <w:t>–</w:t>
      </w:r>
      <w:r w:rsidRPr="00444401">
        <w:rPr>
          <w:rStyle w:val="QPPSuperscriptChar"/>
        </w:rPr>
        <w:t>9</w:t>
      </w:r>
      <w:r w:rsidRPr="00B62DA0">
        <w:t xml:space="preserve"> m/s);</w:t>
      </w:r>
    </w:p>
    <w:p w:rsidR="00B62DA0" w:rsidRPr="00B62DA0" w:rsidRDefault="00B62DA0" w:rsidP="00444401">
      <w:pPr>
        <w:pStyle w:val="QPPBulletpoint2"/>
      </w:pPr>
      <w:r w:rsidRPr="00B62DA0">
        <w:t xml:space="preserve">constructed so that in a fire situation, the bund will retain its structural integrity; </w:t>
      </w:r>
    </w:p>
    <w:p w:rsidR="00B62DA0" w:rsidRPr="00B62DA0" w:rsidRDefault="00B62DA0" w:rsidP="00444401">
      <w:pPr>
        <w:pStyle w:val="QPPBulletpoint2"/>
      </w:pPr>
      <w:r w:rsidRPr="00B62DA0">
        <w:t>designed to withstand the hydrostatic head when full.</w:t>
      </w:r>
    </w:p>
    <w:p w:rsidR="00B62DA0" w:rsidRPr="00B62DA0" w:rsidRDefault="00B62DA0" w:rsidP="00444401">
      <w:pPr>
        <w:pStyle w:val="QPPBulletPoint1"/>
      </w:pPr>
      <w:r w:rsidRPr="00B62DA0">
        <w:t>The net capacity of a bunded compound is to be at least 100% of the capacity of the largest tank. The capacity of on-site containment is to be increased to include the calculated output of any fire water over a 20</w:t>
      </w:r>
      <w:r w:rsidR="0039176B">
        <w:t>-</w:t>
      </w:r>
      <w:r w:rsidRPr="00B62DA0">
        <w:t xml:space="preserve">minute period. If </w:t>
      </w:r>
      <w:r w:rsidR="0039176B">
        <w:t>2</w:t>
      </w:r>
      <w:r w:rsidR="0039176B" w:rsidRPr="00B62DA0">
        <w:t xml:space="preserve"> </w:t>
      </w:r>
      <w:r w:rsidRPr="00B62DA0">
        <w:t>or more tanks are operated as a single unit, then the capacity of all such tanks is to be used when calculating the capacity of the compound.</w:t>
      </w:r>
    </w:p>
    <w:p w:rsidR="00B62DA0" w:rsidRPr="00B62DA0" w:rsidRDefault="00B62DA0" w:rsidP="00444401">
      <w:pPr>
        <w:pStyle w:val="QPPBulletPoint1"/>
      </w:pPr>
      <w:r w:rsidRPr="00B62DA0">
        <w:t>The bund is to have no direct openings, outlets or valves connecting the bund to any drain, sewer or watercourse or that allows discharge onto unmade ground.</w:t>
      </w:r>
    </w:p>
    <w:p w:rsidR="00B62DA0" w:rsidRPr="00B62DA0" w:rsidRDefault="00B62DA0" w:rsidP="00444401">
      <w:pPr>
        <w:pStyle w:val="QPPBulletPoint1"/>
      </w:pPr>
      <w:r w:rsidRPr="00B62DA0">
        <w:t>The bunded compound is to have a drainage provision installed that slopes away from any tank to a catchment sump which is to be constructed at the lowest point of the bunded area.</w:t>
      </w:r>
    </w:p>
    <w:p w:rsidR="00B62DA0" w:rsidRPr="00B62DA0" w:rsidRDefault="00B62DA0" w:rsidP="00444401">
      <w:pPr>
        <w:pStyle w:val="QPPBulletPoint1"/>
      </w:pPr>
      <w:r w:rsidRPr="00B62DA0">
        <w:t>Any pipework is to be directed over the bund wall and not through it, unless seals/pipework are specifically designed to retain liquid tightness in a fire situation.</w:t>
      </w:r>
    </w:p>
    <w:p w:rsidR="00B62DA0" w:rsidRPr="00B62DA0" w:rsidRDefault="00B62DA0" w:rsidP="00444401">
      <w:pPr>
        <w:pStyle w:val="QPPBulletPoint1"/>
      </w:pPr>
      <w:r w:rsidRPr="00B62DA0">
        <w:lastRenderedPageBreak/>
        <w:t>Any valve controlling the drainage from a compound is to be:</w:t>
      </w:r>
    </w:p>
    <w:p w:rsidR="00B62DA0" w:rsidRPr="00B62DA0" w:rsidRDefault="00B62DA0" w:rsidP="00444401">
      <w:pPr>
        <w:pStyle w:val="QPPBulletpoint2"/>
        <w:numPr>
          <w:ilvl w:val="0"/>
          <w:numId w:val="79"/>
        </w:numPr>
      </w:pPr>
      <w:r w:rsidRPr="00B62DA0">
        <w:t>located outside the bund (except for any valves for intermediate sub-compounds)</w:t>
      </w:r>
      <w:r w:rsidR="0039176B">
        <w:t>;</w:t>
      </w:r>
    </w:p>
    <w:p w:rsidR="00B62DA0" w:rsidRPr="00B62DA0" w:rsidRDefault="00B62DA0" w:rsidP="00444401">
      <w:pPr>
        <w:pStyle w:val="QPPBulletpoint2"/>
      </w:pPr>
      <w:r w:rsidRPr="00B62DA0">
        <w:t xml:space="preserve">of a type in which the distinction between the open and shut positions is obvious, and is to incorporate a provision to be locked shut when not actually draining; </w:t>
      </w:r>
    </w:p>
    <w:p w:rsidR="00B62DA0" w:rsidRPr="00B62DA0" w:rsidRDefault="00B62DA0" w:rsidP="00444401">
      <w:pPr>
        <w:pStyle w:val="QPPBulletpoint2"/>
      </w:pPr>
      <w:r w:rsidRPr="00B62DA0">
        <w:t>kept closed and locked except during supervised drainage. A notice with the words</w:t>
      </w:r>
      <w:r w:rsidR="00487BCE">
        <w:t xml:space="preserve"> </w:t>
      </w:r>
      <w:r w:rsidR="00E33320">
        <w:t>'</w:t>
      </w:r>
      <w:r w:rsidRPr="00B62DA0">
        <w:t>BUND DRAIN VALVE</w:t>
      </w:r>
      <w:r w:rsidR="0039176B">
        <w:t xml:space="preserve"> </w:t>
      </w:r>
      <w:r w:rsidRPr="00B62DA0">
        <w:t>-</w:t>
      </w:r>
      <w:r w:rsidR="0039176B">
        <w:t xml:space="preserve"> </w:t>
      </w:r>
      <w:r w:rsidRPr="00B62DA0">
        <w:t>TO BE KEPT CLOSED AND LOCKED</w:t>
      </w:r>
      <w:r w:rsidR="00E33320">
        <w:t>'</w:t>
      </w:r>
      <w:r w:rsidRPr="00B62DA0">
        <w:t xml:space="preserve"> is to be prominently displayed in the vicinity of the bund drain valve.</w:t>
      </w:r>
    </w:p>
    <w:p w:rsidR="00B62DA0" w:rsidRPr="00B62DA0" w:rsidRDefault="00B62DA0" w:rsidP="00444401">
      <w:pPr>
        <w:pStyle w:val="QPPBulletPoint1"/>
      </w:pPr>
      <w:r w:rsidRPr="00B62DA0">
        <w:t xml:space="preserve">The location of a bund relative to the closest tank is to be such that the top inside perimeter of the bund is not inside the crest locus limit as specified in Figure 5.2 </w:t>
      </w:r>
      <w:hyperlink r:id="rId23" w:history="1">
        <w:r w:rsidRPr="00444401">
          <w:rPr>
            <w:rStyle w:val="Hyperlink"/>
          </w:rPr>
          <w:t>AS1940-2004 The storage and handling of flammable and combustible liquids</w:t>
        </w:r>
      </w:hyperlink>
      <w:r w:rsidRPr="00B62DA0">
        <w:t>, except where it can be demonstrated that a reduced distance would be appropriate due to viscosity or other considerations.</w:t>
      </w:r>
    </w:p>
    <w:p w:rsidR="00B62DA0" w:rsidRPr="00B62DA0" w:rsidRDefault="00B62DA0" w:rsidP="00444401">
      <w:pPr>
        <w:pStyle w:val="QPPBulletPoint1"/>
      </w:pPr>
      <w:r w:rsidRPr="00B62DA0">
        <w:t>Where flammable liquids are stored, the distance from the top inside perimeter of the bund to protected places or on-site protected places is to be at least one</w:t>
      </w:r>
      <w:r w:rsidR="00E33320">
        <w:t>-</w:t>
      </w:r>
      <w:r w:rsidRPr="00B62DA0">
        <w:t xml:space="preserve">half of the specified separation distance given in Table 5.4 </w:t>
      </w:r>
      <w:hyperlink r:id="rId24" w:history="1">
        <w:r w:rsidRPr="00444401">
          <w:rPr>
            <w:rStyle w:val="Hyperlink"/>
          </w:rPr>
          <w:t>AS1940-2004 The storage and handling of flammable and combustible liquids</w:t>
        </w:r>
      </w:hyperlink>
      <w:r w:rsidRPr="00B62DA0">
        <w:t xml:space="preserve"> or 15 m, whichever is less.</w:t>
      </w:r>
    </w:p>
    <w:p w:rsidR="00B62DA0" w:rsidRPr="00B62DA0" w:rsidRDefault="00B62DA0" w:rsidP="00F31F21">
      <w:pPr>
        <w:pStyle w:val="QPPEditorsNoteStyle2"/>
      </w:pPr>
      <w:r w:rsidRPr="00B62DA0">
        <w:t>Note</w:t>
      </w:r>
      <w:r w:rsidR="00050964">
        <w:rPr>
          <w:rFonts w:cs="Arial"/>
        </w:rPr>
        <w:t>—</w:t>
      </w:r>
      <w:r w:rsidRPr="00B62DA0">
        <w:t>The design of bunded compounds for above</w:t>
      </w:r>
      <w:r w:rsidR="00E33320">
        <w:t>-</w:t>
      </w:r>
      <w:r w:rsidRPr="00B62DA0">
        <w:t xml:space="preserve">ground tanks is also to comply with Clause 5.8, </w:t>
      </w:r>
      <w:hyperlink r:id="rId25" w:history="1">
        <w:r w:rsidRPr="00444401">
          <w:rPr>
            <w:rStyle w:val="Hyperlink"/>
          </w:rPr>
          <w:t>AS1940-2004 The storage and handling of flammable and combustible liquids</w:t>
        </w:r>
      </w:hyperlink>
      <w:r w:rsidRPr="00B62DA0">
        <w:t>, or the equivalent, in regard to fire safety related matters.</w:t>
      </w:r>
    </w:p>
    <w:p w:rsidR="00B62DA0" w:rsidRDefault="00B62DA0" w:rsidP="00444401">
      <w:pPr>
        <w:pStyle w:val="QPPBulletPoint1"/>
      </w:pPr>
      <w:r w:rsidRPr="00B62DA0">
        <w:t>Where the tank bund is located in a position where it could be struck by vehicles, it is to be protected from such impact by barriers strategically placed and firmly anchored to the ground or surrounding structure/s.</w:t>
      </w:r>
    </w:p>
    <w:p w:rsidR="00B62DA0" w:rsidRPr="00B62DA0" w:rsidRDefault="00B62DA0" w:rsidP="00F31F21">
      <w:pPr>
        <w:pStyle w:val="QPPHeading4"/>
      </w:pPr>
      <w:bookmarkStart w:id="14" w:name="S225"/>
      <w:r w:rsidRPr="00B62DA0">
        <w:t>2.</w:t>
      </w:r>
      <w:r w:rsidR="00E849A1">
        <w:t>2.5</w:t>
      </w:r>
      <w:r w:rsidR="00E849A1" w:rsidRPr="00B62DA0">
        <w:t xml:space="preserve"> </w:t>
      </w:r>
      <w:r w:rsidRPr="00B62DA0">
        <w:t>Pipework</w:t>
      </w:r>
    </w:p>
    <w:bookmarkEnd w:id="14"/>
    <w:p w:rsidR="00B62DA0" w:rsidRPr="00B62DA0" w:rsidRDefault="00B62DA0" w:rsidP="00444401">
      <w:pPr>
        <w:pStyle w:val="QPPBulletPoint1"/>
        <w:numPr>
          <w:ilvl w:val="0"/>
          <w:numId w:val="82"/>
        </w:numPr>
      </w:pPr>
      <w:r w:rsidRPr="00B62DA0">
        <w:t>All underground pipework is to be made of approved, non-corrodible materials. Approved materials include either:</w:t>
      </w:r>
    </w:p>
    <w:p w:rsidR="00B62DA0" w:rsidRPr="00B62DA0" w:rsidRDefault="00B62DA0" w:rsidP="00444401">
      <w:pPr>
        <w:pStyle w:val="QPPBulletpoint2"/>
        <w:numPr>
          <w:ilvl w:val="0"/>
          <w:numId w:val="80"/>
        </w:numPr>
      </w:pPr>
      <w:r w:rsidRPr="00B62DA0">
        <w:t>fibre-reinforced thermosetting resin composite (fibreglass) compatible with the product to be transferred</w:t>
      </w:r>
      <w:r w:rsidR="00E33320">
        <w:t>;</w:t>
      </w:r>
      <w:r w:rsidR="00E33320" w:rsidRPr="00B62DA0">
        <w:t xml:space="preserve"> </w:t>
      </w:r>
      <w:r w:rsidRPr="00B62DA0">
        <w:t>or</w:t>
      </w:r>
    </w:p>
    <w:p w:rsidR="00B62DA0" w:rsidRPr="00B62DA0" w:rsidRDefault="00B62DA0" w:rsidP="00444401">
      <w:pPr>
        <w:pStyle w:val="QPPBulletpoint2"/>
      </w:pPr>
      <w:r w:rsidRPr="00B62DA0">
        <w:t xml:space="preserve">flexible plastic meeting the requirements of </w:t>
      </w:r>
      <w:hyperlink r:id="rId26" w:history="1">
        <w:r w:rsidRPr="00444401">
          <w:rPr>
            <w:rStyle w:val="Hyperlink"/>
          </w:rPr>
          <w:t>UL971 Standard for non-metallic underground piping for flammable liquids</w:t>
        </w:r>
      </w:hyperlink>
      <w:r w:rsidRPr="00B62DA0">
        <w:t>.</w:t>
      </w:r>
    </w:p>
    <w:p w:rsidR="00B62DA0" w:rsidRPr="00B62DA0" w:rsidRDefault="00B62DA0" w:rsidP="00444401">
      <w:pPr>
        <w:pStyle w:val="QPPBulletPoint1"/>
      </w:pPr>
      <w:r w:rsidRPr="00B62DA0">
        <w:t xml:space="preserve">All </w:t>
      </w:r>
      <w:r w:rsidR="00E33320">
        <w:t>p</w:t>
      </w:r>
      <w:r w:rsidRPr="00B62DA0">
        <w:t xml:space="preserve">roduct </w:t>
      </w:r>
      <w:r w:rsidR="00E33320">
        <w:t>p</w:t>
      </w:r>
      <w:r w:rsidRPr="00B62DA0">
        <w:t>iping is to have secondary containment consisting of double-walled piping with an interstitial space.</w:t>
      </w:r>
    </w:p>
    <w:p w:rsidR="00B62DA0" w:rsidRPr="00B62DA0" w:rsidRDefault="00B62DA0" w:rsidP="00444401">
      <w:pPr>
        <w:pStyle w:val="QPPBulletPoint1"/>
      </w:pPr>
      <w:r w:rsidRPr="00B62DA0">
        <w:t>Each tank fill point is to be:</w:t>
      </w:r>
    </w:p>
    <w:p w:rsidR="00B62DA0" w:rsidRPr="00B62DA0" w:rsidRDefault="00B62DA0" w:rsidP="00444401">
      <w:pPr>
        <w:pStyle w:val="QPPBulletpoint2"/>
        <w:numPr>
          <w:ilvl w:val="0"/>
          <w:numId w:val="81"/>
        </w:numPr>
      </w:pPr>
      <w:r w:rsidRPr="00B62DA0">
        <w:t xml:space="preserve">clearly labelled and identified in compliance with </w:t>
      </w:r>
      <w:hyperlink r:id="rId27" w:history="1">
        <w:r w:rsidRPr="00444401">
          <w:rPr>
            <w:rStyle w:val="Hyperlink"/>
          </w:rPr>
          <w:t>AS</w:t>
        </w:r>
        <w:r w:rsidR="00E33320" w:rsidRPr="00444401">
          <w:rPr>
            <w:rStyle w:val="Hyperlink"/>
          </w:rPr>
          <w:t> </w:t>
        </w:r>
        <w:r w:rsidRPr="00444401">
          <w:rPr>
            <w:rStyle w:val="Hyperlink"/>
          </w:rPr>
          <w:t>4977-2008 Petroleum products</w:t>
        </w:r>
        <w:r w:rsidR="00E33320" w:rsidRPr="00444401">
          <w:rPr>
            <w:rStyle w:val="Hyperlink"/>
          </w:rPr>
          <w:t xml:space="preserve"> </w:t>
        </w:r>
        <w:r w:rsidRPr="00444401">
          <w:rPr>
            <w:rStyle w:val="Hyperlink"/>
          </w:rPr>
          <w:t>-</w:t>
        </w:r>
        <w:r w:rsidR="00E33320" w:rsidRPr="00444401">
          <w:rPr>
            <w:rStyle w:val="Hyperlink"/>
          </w:rPr>
          <w:t xml:space="preserve"> </w:t>
        </w:r>
        <w:r w:rsidRPr="00444401">
          <w:rPr>
            <w:rStyle w:val="Hyperlink"/>
          </w:rPr>
          <w:t>Pipeline, road tanker compartment and underground tank identification</w:t>
        </w:r>
      </w:hyperlink>
      <w:r w:rsidR="00E33320">
        <w:t>;</w:t>
      </w:r>
    </w:p>
    <w:p w:rsidR="00B62DA0" w:rsidRPr="00B62DA0" w:rsidRDefault="00B62DA0" w:rsidP="00444401">
      <w:pPr>
        <w:pStyle w:val="QPPBulletpoint2"/>
      </w:pPr>
      <w:r w:rsidRPr="00B62DA0">
        <w:t>fitted with a camlock type or other liquid-tight connection</w:t>
      </w:r>
      <w:r w:rsidR="00E33320">
        <w:t>;</w:t>
      </w:r>
    </w:p>
    <w:p w:rsidR="00B62DA0" w:rsidRPr="00B62DA0" w:rsidRDefault="00B62DA0" w:rsidP="00444401">
      <w:pPr>
        <w:pStyle w:val="QPPBulletpoint2"/>
      </w:pPr>
      <w:r w:rsidRPr="00B62DA0">
        <w:t>provided with spill containment of at least 15L capacity per spill point.</w:t>
      </w:r>
    </w:p>
    <w:p w:rsidR="00B62DA0" w:rsidRDefault="00B62DA0" w:rsidP="00444401">
      <w:pPr>
        <w:pStyle w:val="QPPBulletPoint1"/>
      </w:pPr>
      <w:r w:rsidRPr="00B62DA0">
        <w:t xml:space="preserve">All fill and vapour recovery points are to be earthed in compliance with </w:t>
      </w:r>
      <w:hyperlink r:id="rId28" w:history="1">
        <w:r w:rsidRPr="00444401">
          <w:rPr>
            <w:rStyle w:val="Hyperlink"/>
          </w:rPr>
          <w:t>AS</w:t>
        </w:r>
        <w:r w:rsidR="00D16408">
          <w:rPr>
            <w:rStyle w:val="Hyperlink"/>
          </w:rPr>
          <w:t>/NZS</w:t>
        </w:r>
        <w:r w:rsidR="00E33320" w:rsidRPr="00444401">
          <w:rPr>
            <w:rStyle w:val="Hyperlink"/>
          </w:rPr>
          <w:t xml:space="preserve"> </w:t>
        </w:r>
        <w:r w:rsidRPr="00444401">
          <w:rPr>
            <w:rStyle w:val="Hyperlink"/>
          </w:rPr>
          <w:t>1020- The control of undesirable static electricity</w:t>
        </w:r>
      </w:hyperlink>
      <w:r w:rsidRPr="00B62DA0">
        <w:t xml:space="preserve"> and </w:t>
      </w:r>
      <w:hyperlink r:id="rId29" w:history="1">
        <w:r w:rsidRPr="00444401">
          <w:rPr>
            <w:rStyle w:val="Hyperlink"/>
          </w:rPr>
          <w:t>AS</w:t>
        </w:r>
        <w:r w:rsidR="00D16408">
          <w:rPr>
            <w:rStyle w:val="Hyperlink"/>
          </w:rPr>
          <w:t>/NZS</w:t>
        </w:r>
        <w:r w:rsidR="00E33320" w:rsidRPr="00444401">
          <w:rPr>
            <w:rStyle w:val="Hyperlink"/>
          </w:rPr>
          <w:t xml:space="preserve"> </w:t>
        </w:r>
        <w:r w:rsidRPr="00444401">
          <w:rPr>
            <w:rStyle w:val="Hyperlink"/>
          </w:rPr>
          <w:t>3000- Electrical installations</w:t>
        </w:r>
      </w:hyperlink>
      <w:r w:rsidRPr="00B62DA0">
        <w:t>.</w:t>
      </w:r>
    </w:p>
    <w:p w:rsidR="00B62DA0" w:rsidRPr="00B62DA0" w:rsidRDefault="00B62DA0" w:rsidP="00F31F21">
      <w:pPr>
        <w:pStyle w:val="QPPHeading4"/>
      </w:pPr>
      <w:bookmarkStart w:id="15" w:name="S226"/>
      <w:r w:rsidRPr="00B62DA0">
        <w:t>2.</w:t>
      </w:r>
      <w:r w:rsidR="004C43A2">
        <w:t>2.6</w:t>
      </w:r>
      <w:r w:rsidR="00CF3522">
        <w:t xml:space="preserve"> </w:t>
      </w:r>
      <w:r w:rsidRPr="00B62DA0">
        <w:t xml:space="preserve">Fuel </w:t>
      </w:r>
      <w:r w:rsidR="006A6C4B">
        <w:t>d</w:t>
      </w:r>
      <w:r w:rsidRPr="00B62DA0">
        <w:t xml:space="preserve">ispensing </w:t>
      </w:r>
      <w:r w:rsidR="006A6C4B">
        <w:t>a</w:t>
      </w:r>
      <w:r w:rsidR="00487BCE">
        <w:t>rea</w:t>
      </w:r>
    </w:p>
    <w:bookmarkEnd w:id="15"/>
    <w:p w:rsidR="00B62DA0" w:rsidRPr="00B62DA0" w:rsidRDefault="00B62DA0" w:rsidP="00444401">
      <w:pPr>
        <w:pStyle w:val="QPPBulletPoint1"/>
        <w:numPr>
          <w:ilvl w:val="0"/>
          <w:numId w:val="83"/>
        </w:numPr>
      </w:pPr>
      <w:r w:rsidRPr="00B62DA0">
        <w:t>All ground surfaces within the FDA are to be constructed of impermeable materials free of gaps and/or cracks. Suitable materials include waterproofed, reinforced concrete or an approved equivalent.</w:t>
      </w:r>
    </w:p>
    <w:p w:rsidR="00B62DA0" w:rsidRPr="00B62DA0" w:rsidRDefault="00B62DA0" w:rsidP="00444401">
      <w:pPr>
        <w:pStyle w:val="QPPBulletPoint1"/>
      </w:pPr>
      <w:r w:rsidRPr="00B62DA0">
        <w:t>The FDA is to be clearly demarcated from the outer forecourt area, access roads, general parking bays and all other areas to clearly delineate the higher contamination risk area from lower risk areas. Acceptable demarcation methods include a painted line on the ground, roll-over bunds, drainage lines or different coloured impermeable material.</w:t>
      </w:r>
    </w:p>
    <w:p w:rsidR="00B62DA0" w:rsidRPr="00B62DA0" w:rsidRDefault="00B62DA0" w:rsidP="00444401">
      <w:pPr>
        <w:pStyle w:val="QPPBulletPoint1"/>
      </w:pPr>
      <w:r w:rsidRPr="00B62DA0">
        <w:t xml:space="preserve">A canopy is to be installed over all FDAs. The canopy is to be designed to minimise the amount of rain entering the dispensing area and shall overhang by a horizontal distance of at least </w:t>
      </w:r>
      <w:r w:rsidR="00B04922">
        <w:t>one-quarter</w:t>
      </w:r>
      <w:r w:rsidR="00B04922" w:rsidRPr="00B62DA0">
        <w:t xml:space="preserve"> </w:t>
      </w:r>
      <w:r w:rsidRPr="00B62DA0">
        <w:t>of the roof height out from the vertical above the boundary of the demarcated fuel dispensing area.</w:t>
      </w:r>
    </w:p>
    <w:p w:rsidR="00B62DA0" w:rsidRPr="00B62DA0" w:rsidRDefault="00B62DA0" w:rsidP="00444401">
      <w:pPr>
        <w:pStyle w:val="QPPBulletPoint1"/>
      </w:pPr>
      <w:r w:rsidRPr="00B62DA0">
        <w:t xml:space="preserve">The area within the FDA is to be graded and drained to a containment vessel having no connections to stormwater or sewer (also referred to as a ‘blind sump’) and is to be compatible with petroleum products. Acceptable materials of construction include precast concrete with a minimum certified design life of </w:t>
      </w:r>
      <w:r w:rsidR="00B04922" w:rsidRPr="00B62DA0">
        <w:t>50</w:t>
      </w:r>
      <w:r w:rsidR="00B04922">
        <w:t> </w:t>
      </w:r>
      <w:r w:rsidRPr="00B62DA0">
        <w:t xml:space="preserve">years, designed in accordance with </w:t>
      </w:r>
      <w:hyperlink r:id="rId30" w:history="1">
        <w:r w:rsidRPr="00444401">
          <w:rPr>
            <w:rStyle w:val="Hyperlink"/>
          </w:rPr>
          <w:t>AS</w:t>
        </w:r>
        <w:r w:rsidR="00E33320" w:rsidRPr="00444401">
          <w:rPr>
            <w:rStyle w:val="Hyperlink"/>
          </w:rPr>
          <w:t xml:space="preserve"> </w:t>
        </w:r>
        <w:r w:rsidRPr="00444401">
          <w:rPr>
            <w:rStyle w:val="Hyperlink"/>
          </w:rPr>
          <w:t>3600-2009 Concrete structures</w:t>
        </w:r>
      </w:hyperlink>
      <w:r w:rsidRPr="00B62DA0">
        <w:t>. Other materials of construction may be used where approved by Council.</w:t>
      </w:r>
    </w:p>
    <w:p w:rsidR="00B62DA0" w:rsidRPr="00B62DA0" w:rsidRDefault="00B62DA0" w:rsidP="00444401">
      <w:pPr>
        <w:pStyle w:val="QPPBulletPoint1"/>
      </w:pPr>
      <w:r w:rsidRPr="00B62DA0">
        <w:lastRenderedPageBreak/>
        <w:t xml:space="preserve">The containment vessel is to </w:t>
      </w:r>
      <w:r w:rsidR="00B04922">
        <w:t>have</w:t>
      </w:r>
      <w:r w:rsidRPr="00B62DA0">
        <w:t xml:space="preserve"> a capacity to </w:t>
      </w:r>
      <w:r w:rsidR="00B04922">
        <w:t>hold</w:t>
      </w:r>
      <w:r w:rsidR="00B04922" w:rsidRPr="00B62DA0">
        <w:t xml:space="preserve"> </w:t>
      </w:r>
      <w:r w:rsidRPr="00B62DA0">
        <w:t xml:space="preserve">a volume equivalent to at least </w:t>
      </w:r>
      <w:r w:rsidR="00B04922">
        <w:t>that</w:t>
      </w:r>
      <w:r w:rsidRPr="00B62DA0">
        <w:t xml:space="preserve"> of the largest tanker compartment likely to be delivering fuel to the site plus an allowance for windblown rain. Windblown rain allowance in m</w:t>
      </w:r>
      <w:r w:rsidRPr="00444401">
        <w:rPr>
          <w:rStyle w:val="QPPSuperscriptChar"/>
        </w:rPr>
        <w:t>3</w:t>
      </w:r>
      <w:r w:rsidRPr="00B62DA0">
        <w:t xml:space="preserve"> (</w:t>
      </w:r>
      <w:proofErr w:type="spellStart"/>
      <w:r w:rsidRPr="00B62DA0">
        <w:t>Vr</w:t>
      </w:r>
      <w:proofErr w:type="spellEnd"/>
      <w:r w:rsidRPr="00B62DA0">
        <w:t>) can be calculated using the following equation</w:t>
      </w:r>
      <w:r w:rsidR="00FF53FA" w:rsidRPr="00B62DA0">
        <w:t>:</w:t>
      </w:r>
      <w:r w:rsidR="00FF53FA">
        <w:t> </w:t>
      </w:r>
      <w:proofErr w:type="spellStart"/>
      <w:r w:rsidR="00FF53FA" w:rsidRPr="00B62DA0">
        <w:t>Vr</w:t>
      </w:r>
      <w:proofErr w:type="spellEnd"/>
      <w:r w:rsidR="00FF53FA">
        <w:t> </w:t>
      </w:r>
      <w:r w:rsidR="00FF53FA" w:rsidRPr="00B62DA0">
        <w:t>=</w:t>
      </w:r>
      <w:r w:rsidR="00FF53FA">
        <w:t> </w:t>
      </w:r>
      <w:r w:rsidRPr="00B62DA0">
        <w:t>0.005</w:t>
      </w:r>
      <w:r w:rsidR="00FF53FA">
        <w:t> </w:t>
      </w:r>
      <w:r w:rsidRPr="00B62DA0">
        <w:t>x</w:t>
      </w:r>
      <w:r w:rsidR="00FF53FA">
        <w:t> </w:t>
      </w:r>
      <w:r w:rsidRPr="00B62DA0">
        <w:t>3</w:t>
      </w:r>
      <w:r w:rsidR="00FF53FA">
        <w:t> </w:t>
      </w:r>
      <w:r w:rsidRPr="00B62DA0">
        <w:t>x</w:t>
      </w:r>
      <w:r w:rsidR="00FF53FA">
        <w:t> </w:t>
      </w:r>
      <w:r w:rsidRPr="00B62DA0">
        <w:t>Po where Po is the total length of the open perimeter of the canopy in metres.</w:t>
      </w:r>
    </w:p>
    <w:p w:rsidR="00B62DA0" w:rsidRPr="00B62DA0" w:rsidRDefault="00487BCE" w:rsidP="00444401">
      <w:pPr>
        <w:pStyle w:val="QPPBulletPoint1"/>
      </w:pPr>
      <w:r>
        <w:t>Signage indicating the r</w:t>
      </w:r>
      <w:r w:rsidR="00B62DA0" w:rsidRPr="00B62DA0">
        <w:t xml:space="preserve">ate of flow is to be provided for drainage inlets in the FDA. Examples include </w:t>
      </w:r>
      <w:r w:rsidR="006A6C4B">
        <w:t>'</w:t>
      </w:r>
      <w:r w:rsidR="00B62DA0" w:rsidRPr="00B62DA0">
        <w:t>Flows to blind sump</w:t>
      </w:r>
      <w:r w:rsidR="006A6C4B">
        <w:t>'</w:t>
      </w:r>
      <w:r w:rsidR="00B62DA0" w:rsidRPr="00B62DA0">
        <w:t xml:space="preserve">, or </w:t>
      </w:r>
      <w:r w:rsidR="006A6C4B">
        <w:t>'</w:t>
      </w:r>
      <w:r w:rsidR="00B62DA0" w:rsidRPr="00B62DA0">
        <w:t>Flows to containment facility</w:t>
      </w:r>
      <w:r w:rsidR="006A6C4B">
        <w:t>'</w:t>
      </w:r>
      <w:r w:rsidR="00B62DA0" w:rsidRPr="00B62DA0">
        <w:t>. Signage is to be painted or otherwise indicated around the drain inlets.</w:t>
      </w:r>
    </w:p>
    <w:p w:rsidR="00B62DA0" w:rsidRPr="00B62DA0" w:rsidRDefault="00B62DA0" w:rsidP="00444401">
      <w:pPr>
        <w:pStyle w:val="QPPBulletPoint1"/>
      </w:pPr>
      <w:r w:rsidRPr="00B62DA0">
        <w:t>Where fuel deliveries are intended within the FDA, the standing area is to be clearly demarcated and graded to the FDA containment vessel.</w:t>
      </w:r>
    </w:p>
    <w:p w:rsidR="00B62DA0" w:rsidRDefault="00B62DA0" w:rsidP="00444401">
      <w:pPr>
        <w:pStyle w:val="QPPBulletPoint1"/>
      </w:pPr>
      <w:r w:rsidRPr="00B62DA0">
        <w:t>A liquid</w:t>
      </w:r>
      <w:r w:rsidR="00FF53FA">
        <w:t>-</w:t>
      </w:r>
      <w:r w:rsidRPr="00B62DA0">
        <w:t>tight dispenser sump is to be installed under each dispensing unit. It is to be designed to house all pipework joins and fittings and to collect and contain any leak from contaminating the surrounding soil/groundwater.</w:t>
      </w:r>
    </w:p>
    <w:p w:rsidR="00B62DA0" w:rsidRPr="00B62DA0" w:rsidRDefault="00B62DA0" w:rsidP="00F31F21">
      <w:pPr>
        <w:pStyle w:val="QPPHeading4"/>
      </w:pPr>
      <w:bookmarkStart w:id="16" w:name="S227"/>
      <w:r w:rsidRPr="00B62DA0">
        <w:t>2.</w:t>
      </w:r>
      <w:r w:rsidR="004C43A2">
        <w:t>2.7</w:t>
      </w:r>
      <w:r w:rsidR="004C43A2" w:rsidRPr="00B62DA0">
        <w:t xml:space="preserve"> </w:t>
      </w:r>
      <w:r w:rsidRPr="00B62DA0">
        <w:t xml:space="preserve">Uncovered </w:t>
      </w:r>
      <w:r w:rsidR="00A9246D">
        <w:t>f</w:t>
      </w:r>
      <w:r w:rsidRPr="00B62DA0">
        <w:t xml:space="preserve">orecourt </w:t>
      </w:r>
      <w:r w:rsidR="00A9246D">
        <w:t>a</w:t>
      </w:r>
      <w:r w:rsidR="00487BCE">
        <w:t>rea</w:t>
      </w:r>
    </w:p>
    <w:bookmarkEnd w:id="16"/>
    <w:p w:rsidR="00B62DA0" w:rsidRPr="00B62DA0" w:rsidRDefault="00B62DA0" w:rsidP="00444401">
      <w:pPr>
        <w:pStyle w:val="QPPBulletPoint1"/>
        <w:numPr>
          <w:ilvl w:val="0"/>
          <w:numId w:val="84"/>
        </w:numPr>
      </w:pPr>
      <w:r w:rsidRPr="00B62DA0">
        <w:t xml:space="preserve">All ground surfaces of UFAs liable to contamination from vehicular activities are to be constructed of impermeable materials, free of gaps </w:t>
      </w:r>
      <w:r w:rsidR="00F1413D">
        <w:t>or</w:t>
      </w:r>
      <w:r w:rsidRPr="00B62DA0">
        <w:t xml:space="preserve"> cracks. Suitable materials include </w:t>
      </w:r>
      <w:r w:rsidR="00F1413D">
        <w:t xml:space="preserve">asphalt, </w:t>
      </w:r>
      <w:r w:rsidRPr="00B62DA0">
        <w:t>waterproofed, reinforced concrete or an approved equivalent.</w:t>
      </w:r>
    </w:p>
    <w:p w:rsidR="00B62DA0" w:rsidRPr="00B62DA0" w:rsidRDefault="00B62DA0" w:rsidP="00444401">
      <w:pPr>
        <w:pStyle w:val="QPPBulletPoint1"/>
      </w:pPr>
      <w:r w:rsidRPr="00B62DA0">
        <w:t>All stormwater from UFAs is to be captured and drained to an approved stormwater treatment system. Treatment systems for stormwater from areas other than FDAs are to be designed to comply with the Urban Stormwater Quality Planning Guidelines 2010.</w:t>
      </w:r>
    </w:p>
    <w:p w:rsidR="00B62DA0" w:rsidRPr="00B62DA0" w:rsidRDefault="00B62DA0" w:rsidP="00444401">
      <w:pPr>
        <w:pStyle w:val="QPPBulletPoint1"/>
      </w:pPr>
      <w:r w:rsidRPr="00B62DA0">
        <w:t>Stormwater quality improvement devices (SQIDs) are to be installed as part of the stormwater drainage system for the UFA, and are to incorporate the following design measures:</w:t>
      </w:r>
    </w:p>
    <w:p w:rsidR="00B62DA0" w:rsidRPr="00B62DA0" w:rsidRDefault="00B62DA0" w:rsidP="00444401">
      <w:pPr>
        <w:pStyle w:val="QPPBulletpoint2"/>
        <w:numPr>
          <w:ilvl w:val="0"/>
          <w:numId w:val="85"/>
        </w:numPr>
      </w:pPr>
      <w:r w:rsidRPr="00B62DA0">
        <w:t>steel bars or trash gates with at least 20mm spacing</w:t>
      </w:r>
      <w:r w:rsidR="00A9246D">
        <w:t>;</w:t>
      </w:r>
    </w:p>
    <w:p w:rsidR="00B62DA0" w:rsidRPr="00B62DA0" w:rsidRDefault="00B62DA0" w:rsidP="00444401">
      <w:pPr>
        <w:pStyle w:val="QPPBulletpoint2"/>
      </w:pPr>
      <w:r w:rsidRPr="00B62DA0">
        <w:t>filtration devices such as sand filters or gross pollutant traps capable of removing litter (diameter greater than 5mm) and at least 70% of fine sediments (&gt;125µm)</w:t>
      </w:r>
      <w:r w:rsidR="00A9246D">
        <w:t>;</w:t>
      </w:r>
    </w:p>
    <w:p w:rsidR="00B62DA0" w:rsidRPr="00B62DA0" w:rsidRDefault="00B62DA0" w:rsidP="00444401">
      <w:pPr>
        <w:pStyle w:val="QPPBulletpoint2"/>
      </w:pPr>
      <w:r w:rsidRPr="00B62DA0">
        <w:t>a wastewater treatment device, such as an oil and hydrocarbon separator, triple interceptor or equivalent, capable of removing droplets larger than 60µm (i.e. corresponding to outlet discharge of approximately 15mg/L) and to a point where there is no visible sheen or odour on stormwater. This device is to be able to meet these requirements during a storm up to the 2 year ARI-6 minute design rainfall event without surcharging or backing up the drainage system</w:t>
      </w:r>
      <w:r w:rsidR="00A9246D">
        <w:t>;</w:t>
      </w:r>
    </w:p>
    <w:p w:rsidR="00B62DA0" w:rsidRPr="00B62DA0" w:rsidRDefault="00B62DA0" w:rsidP="00444401">
      <w:pPr>
        <w:pStyle w:val="QPPBulletpoint2"/>
      </w:pPr>
      <w:r w:rsidRPr="00B62DA0">
        <w:t xml:space="preserve">flow cut-off valves are to be installed at the outlet from the separator </w:t>
      </w:r>
      <w:r w:rsidR="00A9246D">
        <w:t>to</w:t>
      </w:r>
      <w:r w:rsidR="00A9246D" w:rsidRPr="00B62DA0">
        <w:t xml:space="preserve"> </w:t>
      </w:r>
      <w:r w:rsidRPr="00B62DA0">
        <w:t>use in case of an emergency or cleaning operations.</w:t>
      </w:r>
    </w:p>
    <w:p w:rsidR="00B62DA0" w:rsidRPr="00B62DA0" w:rsidRDefault="00487BCE" w:rsidP="00444401">
      <w:pPr>
        <w:pStyle w:val="QPPBulletPoint1"/>
      </w:pPr>
      <w:r>
        <w:t>Signage indicating the r</w:t>
      </w:r>
      <w:r w:rsidR="00B62DA0" w:rsidRPr="00B62DA0">
        <w:t xml:space="preserve">ate of flow is to be provided for drainage inlets in the UFA. Examples may include </w:t>
      </w:r>
      <w:r w:rsidR="00A9246D">
        <w:t>'</w:t>
      </w:r>
      <w:r w:rsidR="00B62DA0" w:rsidRPr="00B62DA0">
        <w:t>flows to stormwater treatment system</w:t>
      </w:r>
      <w:r w:rsidR="00A9246D">
        <w:t>'</w:t>
      </w:r>
      <w:r w:rsidR="00B62DA0" w:rsidRPr="00B62DA0">
        <w:t xml:space="preserve"> or </w:t>
      </w:r>
      <w:r w:rsidR="00A9246D">
        <w:t>'</w:t>
      </w:r>
      <w:r w:rsidR="00B62DA0" w:rsidRPr="00B62DA0">
        <w:t>flows to creek</w:t>
      </w:r>
      <w:r w:rsidR="00A9246D">
        <w:t>'</w:t>
      </w:r>
      <w:r w:rsidR="00B62DA0" w:rsidRPr="00B62DA0">
        <w:t>. Signage is to be painted or otherwise indicated around the drain inlets.</w:t>
      </w:r>
    </w:p>
    <w:p w:rsidR="00B62DA0" w:rsidRPr="00B62DA0" w:rsidRDefault="00B62DA0" w:rsidP="00444401">
      <w:pPr>
        <w:pStyle w:val="QPPBulletPoint1"/>
      </w:pPr>
      <w:r w:rsidRPr="00B62DA0">
        <w:t xml:space="preserve">Road tanker delivery stands located within the UFA are to be clearly demarcated and sited away from buildings, traffic areas, dispensing areas and emergency escape routes. The </w:t>
      </w:r>
      <w:r w:rsidR="00157304">
        <w:t>r</w:t>
      </w:r>
      <w:r w:rsidR="00157304" w:rsidRPr="00B62DA0">
        <w:t>oad tanker delivery stand</w:t>
      </w:r>
      <w:r w:rsidRPr="00B62DA0">
        <w:t xml:space="preserve"> is to be normally drained to the UFA stormwater treatment system, however, diversion valves are to be engaged during fuel delivery operations to divert drainage to the FDA containment system (blind sump).</w:t>
      </w:r>
    </w:p>
    <w:p w:rsidR="004C43A2" w:rsidRPr="00B62DA0" w:rsidRDefault="004C43A2" w:rsidP="00444401">
      <w:pPr>
        <w:pStyle w:val="QPPHeading4"/>
      </w:pPr>
      <w:bookmarkStart w:id="17" w:name="S23"/>
      <w:r>
        <w:t>2.3 Air quality standards</w:t>
      </w:r>
    </w:p>
    <w:p w:rsidR="00B62DA0" w:rsidRPr="00B62DA0" w:rsidRDefault="00B62DA0" w:rsidP="00F31F21">
      <w:pPr>
        <w:pStyle w:val="QPPHeading4"/>
      </w:pPr>
      <w:bookmarkStart w:id="18" w:name="S231"/>
      <w:bookmarkEnd w:id="17"/>
      <w:r w:rsidRPr="00B62DA0">
        <w:t>2.</w:t>
      </w:r>
      <w:r w:rsidR="004C43A2">
        <w:t>3.1</w:t>
      </w:r>
      <w:r w:rsidRPr="00B62DA0">
        <w:t xml:space="preserve"> </w:t>
      </w:r>
      <w:r w:rsidR="00F1413D">
        <w:t xml:space="preserve">Stage </w:t>
      </w:r>
      <w:r w:rsidR="00E05299">
        <w:t>1</w:t>
      </w:r>
      <w:r w:rsidR="00F1413D">
        <w:t xml:space="preserve"> v</w:t>
      </w:r>
      <w:r w:rsidRPr="00B62DA0">
        <w:t xml:space="preserve">apour </w:t>
      </w:r>
      <w:r w:rsidR="00A9246D">
        <w:t>r</w:t>
      </w:r>
      <w:r w:rsidRPr="00B62DA0">
        <w:t xml:space="preserve">ecovery </w:t>
      </w:r>
      <w:r w:rsidR="00A9246D">
        <w:t>s</w:t>
      </w:r>
      <w:r w:rsidRPr="00B62DA0">
        <w:t>ystems</w:t>
      </w:r>
    </w:p>
    <w:bookmarkEnd w:id="18"/>
    <w:p w:rsidR="00B62DA0" w:rsidRPr="00B62DA0" w:rsidRDefault="00B62DA0" w:rsidP="00F31F21">
      <w:pPr>
        <w:pStyle w:val="QPPBodytext"/>
      </w:pPr>
      <w:r w:rsidRPr="00B62DA0">
        <w:t>Stage 1 vapour recovery systems are to return displaced vapour to the delivery tanker via a vapour return line. Each underground storage tank is to have:</w:t>
      </w:r>
    </w:p>
    <w:p w:rsidR="00B62DA0" w:rsidRPr="00B62DA0" w:rsidRDefault="00B62DA0" w:rsidP="00F31F21">
      <w:pPr>
        <w:pStyle w:val="QPPBulletpoint2"/>
        <w:numPr>
          <w:ilvl w:val="0"/>
          <w:numId w:val="69"/>
        </w:numPr>
      </w:pPr>
      <w:r w:rsidRPr="00B62DA0">
        <w:t>vapour return lines that return all vapour displaced from the storage tank to the delivery tanker</w:t>
      </w:r>
      <w:r w:rsidR="00A9246D">
        <w:t>;</w:t>
      </w:r>
    </w:p>
    <w:p w:rsidR="00B62DA0" w:rsidRPr="00B62DA0" w:rsidRDefault="00B62DA0" w:rsidP="00F31F21">
      <w:pPr>
        <w:pStyle w:val="QPPBulletpoint2"/>
      </w:pPr>
      <w:r w:rsidRPr="00B62DA0">
        <w:t>vapour</w:t>
      </w:r>
      <w:r w:rsidR="00A9246D">
        <w:t>-</w:t>
      </w:r>
      <w:r w:rsidRPr="00B62DA0">
        <w:t>tight couplings on the vapour line that close automatically when disconnected</w:t>
      </w:r>
      <w:r w:rsidR="00931587">
        <w:t>;</w:t>
      </w:r>
    </w:p>
    <w:p w:rsidR="00B62DA0" w:rsidRPr="00B62DA0" w:rsidRDefault="00B62DA0" w:rsidP="00F31F21">
      <w:pPr>
        <w:pStyle w:val="QPPBulletpoint2"/>
      </w:pPr>
      <w:r w:rsidRPr="00B62DA0">
        <w:t>liquid</w:t>
      </w:r>
      <w:r w:rsidR="00931587">
        <w:t>-</w:t>
      </w:r>
      <w:r w:rsidRPr="00B62DA0">
        <w:t>tight couplings on the liquid transfer hoses</w:t>
      </w:r>
      <w:r w:rsidR="00931587">
        <w:t>;</w:t>
      </w:r>
    </w:p>
    <w:p w:rsidR="00B62DA0" w:rsidRPr="00B62DA0" w:rsidRDefault="00B62DA0" w:rsidP="00F31F21">
      <w:pPr>
        <w:pStyle w:val="QPPBulletpoint2"/>
      </w:pPr>
      <w:r w:rsidRPr="00B62DA0">
        <w:t>incompatible liquid and vapour couplings</w:t>
      </w:r>
      <w:r w:rsidR="00931587">
        <w:t>;</w:t>
      </w:r>
    </w:p>
    <w:p w:rsidR="00B62DA0" w:rsidRPr="00B62DA0" w:rsidRDefault="00B62DA0" w:rsidP="00F31F21">
      <w:pPr>
        <w:pStyle w:val="QPPBulletpoint2"/>
      </w:pPr>
      <w:r w:rsidRPr="00B62DA0">
        <w:t>spill containment enclosures for the storage tank fill connection point</w:t>
      </w:r>
      <w:r w:rsidR="00931587">
        <w:t>;</w:t>
      </w:r>
    </w:p>
    <w:p w:rsidR="00B62DA0" w:rsidRPr="00B62DA0" w:rsidRDefault="00B62DA0" w:rsidP="00F31F21">
      <w:pPr>
        <w:pStyle w:val="QPPBulletpoint2"/>
      </w:pPr>
      <w:r w:rsidRPr="00B62DA0">
        <w:t>secure seals on tank filling pipes and vapour return pipes that minimise vapour leaks when the pipes are not in use</w:t>
      </w:r>
      <w:r w:rsidR="00931587">
        <w:t>;</w:t>
      </w:r>
    </w:p>
    <w:p w:rsidR="00B62DA0" w:rsidRPr="00B62DA0" w:rsidRDefault="00B62DA0" w:rsidP="00F31F21">
      <w:pPr>
        <w:pStyle w:val="QPPBulletpoint2"/>
      </w:pPr>
      <w:r w:rsidRPr="00B62DA0">
        <w:t>submerged fill pipes, so they terminate below the suction inlet used for pumping petrol out of the storage tank</w:t>
      </w:r>
      <w:r w:rsidR="00931587">
        <w:t>;</w:t>
      </w:r>
    </w:p>
    <w:p w:rsidR="00B62DA0" w:rsidRPr="00B62DA0" w:rsidRDefault="00B62DA0" w:rsidP="00F31F21">
      <w:pPr>
        <w:pStyle w:val="QPPBulletpoint2"/>
      </w:pPr>
      <w:r w:rsidRPr="00B62DA0">
        <w:lastRenderedPageBreak/>
        <w:t>overfill protection devices (float vent valves) fitted to shut off the petrol flow at the level advised by the tank manufacturer</w:t>
      </w:r>
      <w:r w:rsidR="00931587">
        <w:t>;</w:t>
      </w:r>
    </w:p>
    <w:p w:rsidR="00B62DA0" w:rsidRPr="00B62DA0" w:rsidRDefault="00B62DA0" w:rsidP="00F31F21">
      <w:pPr>
        <w:pStyle w:val="QPPBulletpoint2"/>
      </w:pPr>
      <w:r w:rsidRPr="00B62DA0">
        <w:t>for new petrol service stations, overfill prevention devices (mechanical or electronic) that slow delivery of petrol into the storage tank as the level in the storage tank approaches the design fill level – the devices should be positioned to stop the petrol flow before the float vent valve operates</w:t>
      </w:r>
      <w:r w:rsidR="00931587">
        <w:t>;</w:t>
      </w:r>
    </w:p>
    <w:p w:rsidR="00B62DA0" w:rsidRPr="00B62DA0" w:rsidRDefault="00B62DA0" w:rsidP="00F31F21">
      <w:pPr>
        <w:pStyle w:val="QPPBulletpoint2"/>
      </w:pPr>
      <w:r w:rsidRPr="00B62DA0">
        <w:t>secure seals on any dip hatch openings</w:t>
      </w:r>
      <w:r w:rsidR="00931587">
        <w:t>;</w:t>
      </w:r>
    </w:p>
    <w:p w:rsidR="00B62DA0" w:rsidRPr="00B62DA0" w:rsidRDefault="00B62DA0" w:rsidP="00F31F21">
      <w:pPr>
        <w:pStyle w:val="QPPBulletpoint2"/>
      </w:pPr>
      <w:r w:rsidRPr="00B62DA0">
        <w:t>a pressure vacuum valve and a 10-millimetre orifice in parallel fitted to the storage tank vent pipe. Similar devices are permitted, but will only be accepted by Council where they are shown by an independent certifier to perform the same duty.</w:t>
      </w:r>
    </w:p>
    <w:p w:rsidR="00F1413D" w:rsidRDefault="00F1413D" w:rsidP="00444401">
      <w:pPr>
        <w:pStyle w:val="QPPHeading4"/>
      </w:pPr>
      <w:bookmarkStart w:id="19" w:name="S232"/>
      <w:r>
        <w:t>2.3.2 Stage 2 vapour recovery systems</w:t>
      </w:r>
    </w:p>
    <w:bookmarkEnd w:id="19"/>
    <w:p w:rsidR="00F1413D" w:rsidRPr="00F1413D" w:rsidRDefault="00F1413D" w:rsidP="00444401">
      <w:pPr>
        <w:pStyle w:val="QPPBulletPoint1"/>
        <w:numPr>
          <w:ilvl w:val="0"/>
          <w:numId w:val="86"/>
        </w:numPr>
      </w:pPr>
      <w:r w:rsidRPr="00F1413D">
        <w:t>All dispensers for motor spirit/petrol shall be fitted with stage 2 vapour recovery equipment (VR2) in compliance with NSW DECC Standards and Best Practice Guidelines for Vapour Recovery at Petrol Service Stations.</w:t>
      </w:r>
    </w:p>
    <w:p w:rsidR="00F1413D" w:rsidRPr="00F1413D" w:rsidRDefault="00F1413D" w:rsidP="00444401">
      <w:pPr>
        <w:pStyle w:val="QPPBulletPoint1"/>
      </w:pPr>
      <w:r w:rsidRPr="00F1413D">
        <w:t>Before commissioning, the stage 2 vapour recovery system must be certified by the manufacturer or the supplier as being of the following type and hydrocarbon capture efficiency:</w:t>
      </w:r>
    </w:p>
    <w:p w:rsidR="00F1413D" w:rsidRPr="00F1413D" w:rsidRDefault="00F1413D" w:rsidP="00444401">
      <w:pPr>
        <w:pStyle w:val="QPPBulletpoint2"/>
        <w:numPr>
          <w:ilvl w:val="0"/>
          <w:numId w:val="70"/>
        </w:numPr>
      </w:pPr>
      <w:r w:rsidRPr="00F1413D">
        <w:t xml:space="preserve">Type: a stage 2 vapour recovery system approved by the German TÜV with a visual indicator that the vacuum operates when fuel is dispensed. The approval must be in accordance with the provisions of Ordinance on the Limitation of Hydrocarbon Emission Resulting from the Fuelling of Motor Vehicles – 21, </w:t>
      </w:r>
      <w:proofErr w:type="spellStart"/>
      <w:r w:rsidRPr="00F1413D">
        <w:t>BImSchV</w:t>
      </w:r>
      <w:proofErr w:type="spellEnd"/>
      <w:r w:rsidRPr="00F1413D">
        <w:t xml:space="preserve"> (section 3, paragraph 6) [2002], and </w:t>
      </w:r>
    </w:p>
    <w:p w:rsidR="00F1413D" w:rsidRPr="00F1413D" w:rsidRDefault="00F1413D" w:rsidP="00444401">
      <w:pPr>
        <w:pStyle w:val="QPPBulletpoint2"/>
      </w:pPr>
      <w:r w:rsidRPr="00F1413D">
        <w:t xml:space="preserve">Hydrocarbon capture efficiency: a hydrocarbon capture efficiency of not less than 85% vapour recovery to liquid dispensed by volume as measured using a test for active vapour recovery systems in </w:t>
      </w:r>
      <w:proofErr w:type="spellStart"/>
      <w:r w:rsidRPr="00F1413D">
        <w:t>Verein</w:t>
      </w:r>
      <w:proofErr w:type="spellEnd"/>
      <w:r w:rsidRPr="00F1413D">
        <w:t xml:space="preserve"> </w:t>
      </w:r>
      <w:proofErr w:type="spellStart"/>
      <w:r w:rsidRPr="00F1413D">
        <w:t>Deutscher</w:t>
      </w:r>
      <w:proofErr w:type="spellEnd"/>
      <w:r w:rsidRPr="00F1413D">
        <w:t xml:space="preserve"> </w:t>
      </w:r>
      <w:proofErr w:type="spellStart"/>
      <w:r w:rsidRPr="00F1413D">
        <w:t>Ingenieure</w:t>
      </w:r>
      <w:proofErr w:type="spellEnd"/>
      <w:r w:rsidRPr="00F1413D">
        <w:t xml:space="preserve"> (VDI) specification 4205.</w:t>
      </w:r>
    </w:p>
    <w:p w:rsidR="00F1413D" w:rsidRPr="00F1413D" w:rsidRDefault="00F1413D" w:rsidP="00444401">
      <w:pPr>
        <w:pStyle w:val="QPPBulletPoint1"/>
      </w:pPr>
      <w:r w:rsidRPr="00F1413D">
        <w:t>The certification obtained must certify that the VR2 system achieves at least 85% vapour recovery and must specify the test used. A copy of this certification shall be provided to Council before commissioning of the system.</w:t>
      </w:r>
    </w:p>
    <w:p w:rsidR="00F1413D" w:rsidRPr="00F1413D" w:rsidRDefault="00F1413D" w:rsidP="00444401">
      <w:pPr>
        <w:pStyle w:val="QPPBulletPoint1"/>
      </w:pPr>
      <w:r w:rsidRPr="00F1413D">
        <w:t>The stage 2 vapour recovery equipment shall be installed in accordance with the manufacturer’s specifications by a duly qualified person. A copy of this certification shall be provided to Council before commissioning of the system.</w:t>
      </w:r>
    </w:p>
    <w:p w:rsidR="00F1413D" w:rsidRPr="00F1413D" w:rsidRDefault="00F1413D" w:rsidP="00444401">
      <w:pPr>
        <w:pStyle w:val="QPPBulletPoint1"/>
      </w:pPr>
      <w:r w:rsidRPr="00F1413D">
        <w:t>Before commissioning, the stage 2 vapour recovery equipment shall be tested by a duly qualified person in the manner specified in the NSW DECC Standards and Best Practice Guidelines for Vapour Recove</w:t>
      </w:r>
      <w:r w:rsidR="00D01DA7">
        <w:t xml:space="preserve">ry at Petrol Service Stations. </w:t>
      </w:r>
      <w:r w:rsidRPr="00F1413D">
        <w:t>A copy of this certification shall be provided to Council before commissioning of the system.</w:t>
      </w:r>
    </w:p>
    <w:p w:rsidR="00F1413D" w:rsidRPr="00F1413D" w:rsidRDefault="00F1413D" w:rsidP="00444401">
      <w:pPr>
        <w:pStyle w:val="QPPBulletPoint1"/>
      </w:pPr>
      <w:r w:rsidRPr="00F1413D">
        <w:t>Each petrol dispenser that is fitted with VR2 control equipment must display a sign stating VR2 equipment is present. If every petrol dispenser is fitted, a sign indicating that vapour recovery equipment is in use must also be attached to the petrol service station premises.</w:t>
      </w:r>
    </w:p>
    <w:sectPr w:rsidR="00F1413D" w:rsidRPr="00F1413D">
      <w:headerReference w:type="even" r:id="rId31"/>
      <w:headerReference w:type="default" r:id="rId32"/>
      <w:footerReference w:type="even" r:id="rId33"/>
      <w:footerReference w:type="default" r:id="rId34"/>
      <w:headerReference w:type="first" r:id="rId35"/>
      <w:footerReference w:type="first" r:id="rId36"/>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649" w:rsidRDefault="00C66649">
      <w:r>
        <w:separator/>
      </w:r>
    </w:p>
  </w:endnote>
  <w:endnote w:type="continuationSeparator" w:id="0">
    <w:p w:rsidR="00C66649" w:rsidRDefault="00C6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B52" w:rsidRDefault="00223B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E99" w:rsidRDefault="00E808E1" w:rsidP="00565E99">
    <w:pPr>
      <w:pStyle w:val="QPPFooter"/>
    </w:pPr>
    <w:r w:rsidRPr="00E808E1">
      <w:t>Schedule 6 - Planning Scheme Policies (Store Petroleum)</w:t>
    </w:r>
    <w:r>
      <w:ptab w:relativeTo="margin" w:alignment="center" w:leader="none"/>
    </w:r>
    <w:r>
      <w:ptab w:relativeTo="margin" w:alignment="right" w:leader="none"/>
    </w:r>
    <w:r w:rsidRPr="00E808E1">
      <w:t xml:space="preserve">Effective </w:t>
    </w:r>
    <w:r w:rsidR="00223B52">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B52" w:rsidRDefault="00223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649" w:rsidRDefault="00C66649">
      <w:r>
        <w:separator/>
      </w:r>
    </w:p>
  </w:footnote>
  <w:footnote w:type="continuationSeparator" w:id="0">
    <w:p w:rsidR="00C66649" w:rsidRDefault="00C66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E99" w:rsidRDefault="001B4060">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8179"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B52" w:rsidRDefault="00223B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E99" w:rsidRDefault="001B4060">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8178"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32"/>
  </w:num>
  <w:num w:numId="12">
    <w:abstractNumId w:val="15"/>
    <w:lvlOverride w:ilvl="0">
      <w:startOverride w:val="1"/>
    </w:lvlOverride>
  </w:num>
  <w:num w:numId="13">
    <w:abstractNumId w:val="25"/>
  </w:num>
  <w:num w:numId="14">
    <w:abstractNumId w:val="12"/>
  </w:num>
  <w:num w:numId="15">
    <w:abstractNumId w:val="15"/>
    <w:lvlOverride w:ilvl="0">
      <w:startOverride w:val="1"/>
    </w:lvlOverride>
  </w:num>
  <w:num w:numId="16">
    <w:abstractNumId w:val="22"/>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22"/>
    <w:lvlOverride w:ilvl="0">
      <w:startOverride w:val="1"/>
    </w:lvlOverride>
  </w:num>
  <w:num w:numId="20">
    <w:abstractNumId w:val="16"/>
    <w:lvlOverride w:ilvl="0">
      <w:startOverride w:val="1"/>
    </w:lvlOverride>
  </w:num>
  <w:num w:numId="21">
    <w:abstractNumId w:val="19"/>
  </w:num>
  <w:num w:numId="22">
    <w:abstractNumId w:val="11"/>
  </w:num>
  <w:num w:numId="23">
    <w:abstractNumId w:val="3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22"/>
  </w:num>
  <w:num w:numId="36">
    <w:abstractNumId w:val="15"/>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15"/>
    <w:lvlOverride w:ilvl="0">
      <w:startOverride w:val="1"/>
    </w:lvlOverride>
  </w:num>
  <w:num w:numId="52">
    <w:abstractNumId w:val="15"/>
    <w:lvlOverride w:ilvl="0">
      <w:startOverride w:val="1"/>
    </w:lvlOverride>
  </w:num>
  <w:num w:numId="53">
    <w:abstractNumId w:val="15"/>
    <w:lvlOverride w:ilvl="0">
      <w:startOverride w:val="1"/>
    </w:lvlOverride>
  </w:num>
  <w:num w:numId="54">
    <w:abstractNumId w:val="10"/>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0"/>
    <w:lvlOverride w:ilvl="0">
      <w:startOverride w:val="1"/>
    </w:lvlOverride>
  </w:num>
  <w:num w:numId="58">
    <w:abstractNumId w:val="15"/>
    <w:lvlOverride w:ilvl="0">
      <w:startOverride w:val="1"/>
    </w:lvlOverride>
  </w:num>
  <w:num w:numId="59">
    <w:abstractNumId w:val="10"/>
    <w:lvlOverride w:ilvl="0">
      <w:startOverride w:val="1"/>
    </w:lvlOverride>
  </w:num>
  <w:num w:numId="60">
    <w:abstractNumId w:val="15"/>
    <w:lvlOverride w:ilvl="0">
      <w:startOverride w:val="1"/>
    </w:lvlOverride>
  </w:num>
  <w:num w:numId="61">
    <w:abstractNumId w:val="10"/>
    <w:lvlOverride w:ilvl="0">
      <w:startOverride w:val="1"/>
    </w:lvlOverride>
  </w:num>
  <w:num w:numId="62">
    <w:abstractNumId w:val="10"/>
    <w:lvlOverride w:ilvl="0">
      <w:startOverride w:val="1"/>
    </w:lvlOverride>
  </w:num>
  <w:num w:numId="63">
    <w:abstractNumId w:val="15"/>
    <w:lvlOverride w:ilvl="0">
      <w:startOverride w:val="1"/>
    </w:lvlOverride>
  </w:num>
  <w:num w:numId="64">
    <w:abstractNumId w:val="10"/>
    <w:lvlOverride w:ilvl="0">
      <w:startOverride w:val="1"/>
    </w:lvlOverride>
  </w:num>
  <w:num w:numId="65">
    <w:abstractNumId w:val="10"/>
    <w:lvlOverride w:ilvl="0">
      <w:startOverride w:val="1"/>
    </w:lvlOverride>
  </w:num>
  <w:num w:numId="66">
    <w:abstractNumId w:val="15"/>
    <w:lvlOverride w:ilvl="0">
      <w:startOverride w:val="1"/>
    </w:lvlOverride>
  </w:num>
  <w:num w:numId="67">
    <w:abstractNumId w:val="15"/>
    <w:lvlOverride w:ilvl="0">
      <w:startOverride w:val="1"/>
    </w:lvlOverride>
  </w:num>
  <w:num w:numId="68">
    <w:abstractNumId w:val="10"/>
    <w:lvlOverride w:ilvl="0">
      <w:startOverride w:val="1"/>
    </w:lvlOverride>
  </w:num>
  <w:num w:numId="69">
    <w:abstractNumId w:val="15"/>
    <w:lvlOverride w:ilvl="0">
      <w:startOverride w:val="1"/>
    </w:lvlOverride>
  </w:num>
  <w:num w:numId="70">
    <w:abstractNumId w:val="15"/>
    <w:lvlOverride w:ilvl="0">
      <w:startOverride w:val="1"/>
    </w:lvlOverride>
  </w:num>
  <w:num w:numId="71">
    <w:abstractNumId w:val="16"/>
    <w:lvlOverride w:ilvl="0">
      <w:startOverride w:val="1"/>
    </w:lvlOverride>
  </w:num>
  <w:num w:numId="72">
    <w:abstractNumId w:val="15"/>
    <w:lvlOverride w:ilvl="0">
      <w:startOverride w:val="1"/>
    </w:lvlOverride>
  </w:num>
  <w:num w:numId="73">
    <w:abstractNumId w:val="16"/>
    <w:lvlOverride w:ilvl="0">
      <w:startOverride w:val="1"/>
    </w:lvlOverride>
  </w:num>
  <w:num w:numId="74">
    <w:abstractNumId w:val="15"/>
    <w:lvlOverride w:ilvl="0">
      <w:startOverride w:val="1"/>
    </w:lvlOverride>
  </w:num>
  <w:num w:numId="75">
    <w:abstractNumId w:val="16"/>
    <w:lvlOverride w:ilvl="0">
      <w:startOverride w:val="1"/>
    </w:lvlOverride>
  </w:num>
  <w:num w:numId="76">
    <w:abstractNumId w:val="15"/>
    <w:lvlOverride w:ilvl="0">
      <w:startOverride w:val="1"/>
    </w:lvlOverride>
  </w:num>
  <w:num w:numId="77">
    <w:abstractNumId w:val="16"/>
    <w:lvlOverride w:ilvl="0">
      <w:startOverride w:val="1"/>
    </w:lvlOverride>
  </w:num>
  <w:num w:numId="78">
    <w:abstractNumId w:val="15"/>
    <w:lvlOverride w:ilvl="0">
      <w:startOverride w:val="1"/>
    </w:lvlOverride>
  </w:num>
  <w:num w:numId="79">
    <w:abstractNumId w:val="15"/>
    <w:lvlOverride w:ilvl="0">
      <w:startOverride w:val="1"/>
    </w:lvlOverride>
  </w:num>
  <w:num w:numId="80">
    <w:abstractNumId w:val="15"/>
    <w:lvlOverride w:ilvl="0">
      <w:startOverride w:val="1"/>
    </w:lvlOverride>
  </w:num>
  <w:num w:numId="81">
    <w:abstractNumId w:val="15"/>
    <w:lvlOverride w:ilvl="0">
      <w:startOverride w:val="1"/>
    </w:lvlOverride>
  </w:num>
  <w:num w:numId="82">
    <w:abstractNumId w:val="16"/>
    <w:lvlOverride w:ilvl="0">
      <w:startOverride w:val="1"/>
    </w:lvlOverride>
  </w:num>
  <w:num w:numId="83">
    <w:abstractNumId w:val="16"/>
    <w:lvlOverride w:ilvl="0">
      <w:startOverride w:val="1"/>
    </w:lvlOverride>
  </w:num>
  <w:num w:numId="84">
    <w:abstractNumId w:val="16"/>
    <w:lvlOverride w:ilvl="0">
      <w:startOverride w:val="1"/>
    </w:lvlOverride>
  </w:num>
  <w:num w:numId="85">
    <w:abstractNumId w:val="15"/>
    <w:lvlOverride w:ilvl="0">
      <w:startOverride w:val="1"/>
    </w:lvlOverride>
  </w:num>
  <w:num w:numId="86">
    <w:abstractNumId w:val="16"/>
    <w:lvlOverride w:ilvl="0">
      <w:startOverride w:val="1"/>
    </w:lvlOverride>
  </w:num>
  <w:num w:numId="87">
    <w:abstractNumId w:val="16"/>
    <w:lvlOverride w:ilvl="0">
      <w:startOverride w:val="1"/>
    </w:lvlOverride>
  </w:num>
  <w:num w:numId="88">
    <w:abstractNumId w:val="15"/>
    <w:lvlOverride w:ilvl="0">
      <w:startOverride w:val="1"/>
    </w:lvlOverride>
  </w:num>
  <w:num w:numId="89">
    <w:abstractNumId w:val="15"/>
    <w:lvlOverride w:ilvl="0">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edit="trackedChanges" w:formatting="1" w:enforcement="1" w:cryptProviderType="rsaFull" w:cryptAlgorithmClass="hash" w:cryptAlgorithmType="typeAny" w:cryptAlgorithmSid="4" w:cryptSpinCount="100000" w:hash="+0e9HrsV7ix3V7sEOtN/574iF5Q=" w:salt="1X2xWLscXRLJNUj9jOXoG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DA0"/>
    <w:rsid w:val="000053BF"/>
    <w:rsid w:val="0001153A"/>
    <w:rsid w:val="00022DB0"/>
    <w:rsid w:val="000329AC"/>
    <w:rsid w:val="00046FEF"/>
    <w:rsid w:val="00047EAC"/>
    <w:rsid w:val="00050964"/>
    <w:rsid w:val="00054522"/>
    <w:rsid w:val="00071FC0"/>
    <w:rsid w:val="00083782"/>
    <w:rsid w:val="00084F12"/>
    <w:rsid w:val="000A1E83"/>
    <w:rsid w:val="000A4C0B"/>
    <w:rsid w:val="000B15DA"/>
    <w:rsid w:val="000D4A8A"/>
    <w:rsid w:val="000E14E3"/>
    <w:rsid w:val="000E7560"/>
    <w:rsid w:val="000F1690"/>
    <w:rsid w:val="000F30D6"/>
    <w:rsid w:val="000F3C9A"/>
    <w:rsid w:val="00113982"/>
    <w:rsid w:val="001215AF"/>
    <w:rsid w:val="001309D8"/>
    <w:rsid w:val="00130C90"/>
    <w:rsid w:val="00140C1F"/>
    <w:rsid w:val="00141358"/>
    <w:rsid w:val="00156619"/>
    <w:rsid w:val="00157304"/>
    <w:rsid w:val="00176FD9"/>
    <w:rsid w:val="0018082A"/>
    <w:rsid w:val="00181543"/>
    <w:rsid w:val="001B4060"/>
    <w:rsid w:val="001B67B9"/>
    <w:rsid w:val="001C0B56"/>
    <w:rsid w:val="001C75C1"/>
    <w:rsid w:val="001D77EB"/>
    <w:rsid w:val="001F10C8"/>
    <w:rsid w:val="001F2AFC"/>
    <w:rsid w:val="0021216C"/>
    <w:rsid w:val="002138AC"/>
    <w:rsid w:val="00223B52"/>
    <w:rsid w:val="00230422"/>
    <w:rsid w:val="0023094F"/>
    <w:rsid w:val="002353B1"/>
    <w:rsid w:val="002537F0"/>
    <w:rsid w:val="00265C84"/>
    <w:rsid w:val="00266C4B"/>
    <w:rsid w:val="00272A5C"/>
    <w:rsid w:val="00277F2B"/>
    <w:rsid w:val="00284A5A"/>
    <w:rsid w:val="00286BA5"/>
    <w:rsid w:val="0029378E"/>
    <w:rsid w:val="002A522E"/>
    <w:rsid w:val="002C6DA8"/>
    <w:rsid w:val="002D791C"/>
    <w:rsid w:val="002E186A"/>
    <w:rsid w:val="002E3FBC"/>
    <w:rsid w:val="002E6E32"/>
    <w:rsid w:val="002F373D"/>
    <w:rsid w:val="002F38DE"/>
    <w:rsid w:val="002F4F92"/>
    <w:rsid w:val="00311AC7"/>
    <w:rsid w:val="00314263"/>
    <w:rsid w:val="00325A4A"/>
    <w:rsid w:val="0033272C"/>
    <w:rsid w:val="00332869"/>
    <w:rsid w:val="00334096"/>
    <w:rsid w:val="003529A4"/>
    <w:rsid w:val="00356669"/>
    <w:rsid w:val="0037229F"/>
    <w:rsid w:val="00377D6D"/>
    <w:rsid w:val="00381BB9"/>
    <w:rsid w:val="003851B2"/>
    <w:rsid w:val="0039176B"/>
    <w:rsid w:val="003943C5"/>
    <w:rsid w:val="003D098C"/>
    <w:rsid w:val="003D713E"/>
    <w:rsid w:val="003E4210"/>
    <w:rsid w:val="003E7392"/>
    <w:rsid w:val="004024E7"/>
    <w:rsid w:val="00407306"/>
    <w:rsid w:val="00435F17"/>
    <w:rsid w:val="00444401"/>
    <w:rsid w:val="00450863"/>
    <w:rsid w:val="004550F9"/>
    <w:rsid w:val="00466BF0"/>
    <w:rsid w:val="004773F1"/>
    <w:rsid w:val="00487B01"/>
    <w:rsid w:val="00487BCE"/>
    <w:rsid w:val="00490EBB"/>
    <w:rsid w:val="004939AB"/>
    <w:rsid w:val="004B43C0"/>
    <w:rsid w:val="004B72D5"/>
    <w:rsid w:val="004C2558"/>
    <w:rsid w:val="004C43A2"/>
    <w:rsid w:val="004D0DBB"/>
    <w:rsid w:val="004D2999"/>
    <w:rsid w:val="004D62D1"/>
    <w:rsid w:val="004F04E6"/>
    <w:rsid w:val="0050237C"/>
    <w:rsid w:val="005532DD"/>
    <w:rsid w:val="00565E99"/>
    <w:rsid w:val="00574869"/>
    <w:rsid w:val="005A50EC"/>
    <w:rsid w:val="005A6075"/>
    <w:rsid w:val="005B4C80"/>
    <w:rsid w:val="005C1C62"/>
    <w:rsid w:val="005E2DE9"/>
    <w:rsid w:val="005E3DD5"/>
    <w:rsid w:val="005E6FE8"/>
    <w:rsid w:val="005F3711"/>
    <w:rsid w:val="00607640"/>
    <w:rsid w:val="0061249E"/>
    <w:rsid w:val="006606CF"/>
    <w:rsid w:val="00660CD8"/>
    <w:rsid w:val="00691700"/>
    <w:rsid w:val="00696256"/>
    <w:rsid w:val="0069777E"/>
    <w:rsid w:val="00697BD7"/>
    <w:rsid w:val="006A1FB7"/>
    <w:rsid w:val="006A6C4B"/>
    <w:rsid w:val="006A7203"/>
    <w:rsid w:val="006C6D95"/>
    <w:rsid w:val="006D0F90"/>
    <w:rsid w:val="006D11F8"/>
    <w:rsid w:val="006D3B60"/>
    <w:rsid w:val="00721DDE"/>
    <w:rsid w:val="00744B58"/>
    <w:rsid w:val="00744C7D"/>
    <w:rsid w:val="00753156"/>
    <w:rsid w:val="00764BC8"/>
    <w:rsid w:val="0076650D"/>
    <w:rsid w:val="00775045"/>
    <w:rsid w:val="00781B7B"/>
    <w:rsid w:val="007A5E6C"/>
    <w:rsid w:val="007C7564"/>
    <w:rsid w:val="007D5B88"/>
    <w:rsid w:val="007F06E5"/>
    <w:rsid w:val="007F46BB"/>
    <w:rsid w:val="008102E0"/>
    <w:rsid w:val="008225CE"/>
    <w:rsid w:val="0083354D"/>
    <w:rsid w:val="00836CC1"/>
    <w:rsid w:val="00840A83"/>
    <w:rsid w:val="00842BB9"/>
    <w:rsid w:val="00843900"/>
    <w:rsid w:val="0085253C"/>
    <w:rsid w:val="00853926"/>
    <w:rsid w:val="0086131B"/>
    <w:rsid w:val="00863404"/>
    <w:rsid w:val="00877FAD"/>
    <w:rsid w:val="00885DB4"/>
    <w:rsid w:val="00893D6A"/>
    <w:rsid w:val="008B3B02"/>
    <w:rsid w:val="008B54A4"/>
    <w:rsid w:val="008B5E85"/>
    <w:rsid w:val="008D29D8"/>
    <w:rsid w:val="008D2CBF"/>
    <w:rsid w:val="008F70A3"/>
    <w:rsid w:val="00903872"/>
    <w:rsid w:val="009040F6"/>
    <w:rsid w:val="009051ED"/>
    <w:rsid w:val="00911BA7"/>
    <w:rsid w:val="00915683"/>
    <w:rsid w:val="00920B05"/>
    <w:rsid w:val="00921725"/>
    <w:rsid w:val="00931587"/>
    <w:rsid w:val="00943788"/>
    <w:rsid w:val="00975B5D"/>
    <w:rsid w:val="009C3CF2"/>
    <w:rsid w:val="009C76D3"/>
    <w:rsid w:val="009D193F"/>
    <w:rsid w:val="009D3335"/>
    <w:rsid w:val="009D3F53"/>
    <w:rsid w:val="009E3A2A"/>
    <w:rsid w:val="009E5947"/>
    <w:rsid w:val="009E6C24"/>
    <w:rsid w:val="009F3DE9"/>
    <w:rsid w:val="00A02574"/>
    <w:rsid w:val="00A113DA"/>
    <w:rsid w:val="00A23E10"/>
    <w:rsid w:val="00A24912"/>
    <w:rsid w:val="00A56362"/>
    <w:rsid w:val="00A61F2D"/>
    <w:rsid w:val="00A9246D"/>
    <w:rsid w:val="00AA17BB"/>
    <w:rsid w:val="00AD55B4"/>
    <w:rsid w:val="00AD78A7"/>
    <w:rsid w:val="00AE4528"/>
    <w:rsid w:val="00AF43B9"/>
    <w:rsid w:val="00AF7F7F"/>
    <w:rsid w:val="00B04922"/>
    <w:rsid w:val="00B173EC"/>
    <w:rsid w:val="00B23651"/>
    <w:rsid w:val="00B46A1C"/>
    <w:rsid w:val="00B62DA0"/>
    <w:rsid w:val="00B651EE"/>
    <w:rsid w:val="00B92D69"/>
    <w:rsid w:val="00B9595F"/>
    <w:rsid w:val="00B96F9E"/>
    <w:rsid w:val="00BB01B4"/>
    <w:rsid w:val="00BC643D"/>
    <w:rsid w:val="00BE3238"/>
    <w:rsid w:val="00BF0A7E"/>
    <w:rsid w:val="00C1587D"/>
    <w:rsid w:val="00C21A21"/>
    <w:rsid w:val="00C226B6"/>
    <w:rsid w:val="00C275E2"/>
    <w:rsid w:val="00C3544D"/>
    <w:rsid w:val="00C5023E"/>
    <w:rsid w:val="00C52A96"/>
    <w:rsid w:val="00C6228D"/>
    <w:rsid w:val="00C62488"/>
    <w:rsid w:val="00C66649"/>
    <w:rsid w:val="00C76509"/>
    <w:rsid w:val="00C86A07"/>
    <w:rsid w:val="00C910F9"/>
    <w:rsid w:val="00C92EC2"/>
    <w:rsid w:val="00CA2155"/>
    <w:rsid w:val="00CB3D7D"/>
    <w:rsid w:val="00CC4ED6"/>
    <w:rsid w:val="00CC705C"/>
    <w:rsid w:val="00CD0BA2"/>
    <w:rsid w:val="00CE0794"/>
    <w:rsid w:val="00CE3B33"/>
    <w:rsid w:val="00CF3522"/>
    <w:rsid w:val="00CF38FF"/>
    <w:rsid w:val="00D01DA7"/>
    <w:rsid w:val="00D03ED9"/>
    <w:rsid w:val="00D158EB"/>
    <w:rsid w:val="00D16408"/>
    <w:rsid w:val="00D30E11"/>
    <w:rsid w:val="00D442A8"/>
    <w:rsid w:val="00D51880"/>
    <w:rsid w:val="00D51D25"/>
    <w:rsid w:val="00D578BC"/>
    <w:rsid w:val="00D57EE6"/>
    <w:rsid w:val="00D655B9"/>
    <w:rsid w:val="00D67F96"/>
    <w:rsid w:val="00D71332"/>
    <w:rsid w:val="00D938F5"/>
    <w:rsid w:val="00DC16CC"/>
    <w:rsid w:val="00DC3C36"/>
    <w:rsid w:val="00DD4287"/>
    <w:rsid w:val="00DD637C"/>
    <w:rsid w:val="00DF388B"/>
    <w:rsid w:val="00E0111D"/>
    <w:rsid w:val="00E03D56"/>
    <w:rsid w:val="00E04C7A"/>
    <w:rsid w:val="00E05299"/>
    <w:rsid w:val="00E06F01"/>
    <w:rsid w:val="00E317CF"/>
    <w:rsid w:val="00E33320"/>
    <w:rsid w:val="00E45BA8"/>
    <w:rsid w:val="00E47E7F"/>
    <w:rsid w:val="00E70DA0"/>
    <w:rsid w:val="00E808E1"/>
    <w:rsid w:val="00E83CAC"/>
    <w:rsid w:val="00E849A1"/>
    <w:rsid w:val="00E85D61"/>
    <w:rsid w:val="00E930B5"/>
    <w:rsid w:val="00E9403B"/>
    <w:rsid w:val="00EA1982"/>
    <w:rsid w:val="00EB0EB6"/>
    <w:rsid w:val="00EB1D6A"/>
    <w:rsid w:val="00EB7572"/>
    <w:rsid w:val="00EC1FF1"/>
    <w:rsid w:val="00ED4E99"/>
    <w:rsid w:val="00EF41AD"/>
    <w:rsid w:val="00F042E3"/>
    <w:rsid w:val="00F1135E"/>
    <w:rsid w:val="00F1413D"/>
    <w:rsid w:val="00F17570"/>
    <w:rsid w:val="00F26EBA"/>
    <w:rsid w:val="00F31F21"/>
    <w:rsid w:val="00F53B62"/>
    <w:rsid w:val="00F71761"/>
    <w:rsid w:val="00F77B19"/>
    <w:rsid w:val="00F935CA"/>
    <w:rsid w:val="00F9568C"/>
    <w:rsid w:val="00FD4DC7"/>
    <w:rsid w:val="00FE079A"/>
    <w:rsid w:val="00FE4014"/>
    <w:rsid w:val="00FF5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F06D1B1-9E36-4284-84CA-B91AB9B3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1B4060"/>
    <w:rPr>
      <w:rFonts w:ascii="Arial" w:hAnsi="Arial"/>
      <w:szCs w:val="24"/>
    </w:rPr>
  </w:style>
  <w:style w:type="paragraph" w:styleId="Heading1">
    <w:name w:val="heading 1"/>
    <w:basedOn w:val="Normal"/>
    <w:next w:val="Normal"/>
    <w:semiHidden/>
    <w:qFormat/>
    <w:locked/>
    <w:rsid w:val="002353B1"/>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2353B1"/>
    <w:pPr>
      <w:keepNext/>
      <w:spacing w:before="240" w:after="60"/>
      <w:outlineLvl w:val="1"/>
    </w:pPr>
    <w:rPr>
      <w:rFonts w:cs="Arial"/>
      <w:b/>
      <w:bCs/>
      <w:i/>
      <w:iCs/>
      <w:sz w:val="28"/>
      <w:szCs w:val="28"/>
    </w:rPr>
  </w:style>
  <w:style w:type="paragraph" w:styleId="Heading3">
    <w:name w:val="heading 3"/>
    <w:basedOn w:val="Normal"/>
    <w:next w:val="Normal"/>
    <w:semiHidden/>
    <w:qFormat/>
    <w:locked/>
    <w:rsid w:val="002353B1"/>
    <w:pPr>
      <w:keepNext/>
      <w:spacing w:before="240" w:after="60"/>
      <w:outlineLvl w:val="2"/>
    </w:pPr>
    <w:rPr>
      <w:rFonts w:cs="Arial"/>
      <w:b/>
      <w:bCs/>
      <w:sz w:val="26"/>
      <w:szCs w:val="26"/>
    </w:rPr>
  </w:style>
  <w:style w:type="paragraph" w:styleId="Heading4">
    <w:name w:val="heading 4"/>
    <w:basedOn w:val="Normal"/>
    <w:next w:val="Normal"/>
    <w:semiHidden/>
    <w:qFormat/>
    <w:locked/>
    <w:rsid w:val="002353B1"/>
    <w:pPr>
      <w:keepNext/>
      <w:spacing w:before="240" w:after="60"/>
      <w:outlineLvl w:val="3"/>
    </w:pPr>
    <w:rPr>
      <w:b/>
      <w:bCs/>
      <w:sz w:val="28"/>
      <w:szCs w:val="28"/>
    </w:rPr>
  </w:style>
  <w:style w:type="paragraph" w:styleId="Heading5">
    <w:name w:val="heading 5"/>
    <w:basedOn w:val="Normal"/>
    <w:next w:val="Normal"/>
    <w:semiHidden/>
    <w:qFormat/>
    <w:locked/>
    <w:rsid w:val="002353B1"/>
    <w:pPr>
      <w:spacing w:before="240" w:after="60"/>
      <w:outlineLvl w:val="4"/>
    </w:pPr>
    <w:rPr>
      <w:b/>
      <w:bCs/>
      <w:i/>
      <w:iCs/>
      <w:sz w:val="26"/>
      <w:szCs w:val="26"/>
    </w:rPr>
  </w:style>
  <w:style w:type="paragraph" w:styleId="Heading6">
    <w:name w:val="heading 6"/>
    <w:basedOn w:val="Normal"/>
    <w:next w:val="Normal"/>
    <w:semiHidden/>
    <w:qFormat/>
    <w:locked/>
    <w:rsid w:val="002353B1"/>
    <w:pPr>
      <w:spacing w:before="240" w:after="60"/>
      <w:outlineLvl w:val="5"/>
    </w:pPr>
    <w:rPr>
      <w:b/>
      <w:bCs/>
      <w:sz w:val="22"/>
      <w:szCs w:val="22"/>
    </w:rPr>
  </w:style>
  <w:style w:type="paragraph" w:styleId="Heading7">
    <w:name w:val="heading 7"/>
    <w:basedOn w:val="Normal"/>
    <w:next w:val="Normal"/>
    <w:semiHidden/>
    <w:qFormat/>
    <w:locked/>
    <w:rsid w:val="002353B1"/>
    <w:pPr>
      <w:spacing w:before="240" w:after="60"/>
      <w:outlineLvl w:val="6"/>
    </w:pPr>
  </w:style>
  <w:style w:type="paragraph" w:styleId="Heading8">
    <w:name w:val="heading 8"/>
    <w:basedOn w:val="Normal"/>
    <w:next w:val="Normal"/>
    <w:semiHidden/>
    <w:qFormat/>
    <w:locked/>
    <w:rsid w:val="002353B1"/>
    <w:pPr>
      <w:spacing w:before="240" w:after="60"/>
      <w:outlineLvl w:val="7"/>
    </w:pPr>
    <w:rPr>
      <w:i/>
      <w:iCs/>
    </w:rPr>
  </w:style>
  <w:style w:type="paragraph" w:styleId="Heading9">
    <w:name w:val="heading 9"/>
    <w:basedOn w:val="Normal"/>
    <w:next w:val="Normal"/>
    <w:semiHidden/>
    <w:qFormat/>
    <w:locked/>
    <w:rsid w:val="002353B1"/>
    <w:pPr>
      <w:spacing w:before="240" w:after="60"/>
      <w:outlineLvl w:val="8"/>
    </w:pPr>
    <w:rPr>
      <w:rFonts w:cs="Arial"/>
      <w:sz w:val="22"/>
      <w:szCs w:val="22"/>
    </w:rPr>
  </w:style>
  <w:style w:type="character" w:default="1" w:styleId="DefaultParagraphFont">
    <w:name w:val="Default Paragraph Font"/>
    <w:uiPriority w:val="1"/>
    <w:semiHidden/>
    <w:unhideWhenUsed/>
    <w:rsid w:val="001B40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4060"/>
  </w:style>
  <w:style w:type="paragraph" w:customStyle="1" w:styleId="QPPBodytext">
    <w:name w:val="QPP Body text"/>
    <w:basedOn w:val="Normal"/>
    <w:link w:val="QPPBodytextChar"/>
    <w:rsid w:val="001B4060"/>
    <w:pPr>
      <w:autoSpaceDE w:val="0"/>
      <w:autoSpaceDN w:val="0"/>
      <w:adjustRightInd w:val="0"/>
    </w:pPr>
    <w:rPr>
      <w:rFonts w:cs="Arial"/>
      <w:color w:val="000000"/>
      <w:szCs w:val="20"/>
    </w:rPr>
  </w:style>
  <w:style w:type="character" w:customStyle="1" w:styleId="QPPBodytextChar">
    <w:name w:val="QPP Body text Char"/>
    <w:link w:val="QPPBodytext"/>
    <w:rsid w:val="002353B1"/>
    <w:rPr>
      <w:rFonts w:ascii="Arial" w:hAnsi="Arial" w:cs="Arial"/>
      <w:color w:val="000000"/>
    </w:rPr>
  </w:style>
  <w:style w:type="paragraph" w:customStyle="1" w:styleId="HGTableBullet2">
    <w:name w:val="HG Table Bullet 2"/>
    <w:basedOn w:val="QPPTableTextBody"/>
    <w:rsid w:val="001B4060"/>
    <w:pPr>
      <w:numPr>
        <w:numId w:val="35"/>
      </w:numPr>
      <w:tabs>
        <w:tab w:val="left" w:pos="567"/>
      </w:tabs>
    </w:pPr>
  </w:style>
  <w:style w:type="paragraph" w:customStyle="1" w:styleId="QPPTableTextBody">
    <w:name w:val="QPP Table Text Body"/>
    <w:basedOn w:val="QPPBodytext"/>
    <w:link w:val="QPPTableTextBodyChar"/>
    <w:autoRedefine/>
    <w:rsid w:val="001B4060"/>
    <w:pPr>
      <w:spacing w:before="60" w:after="60"/>
    </w:pPr>
  </w:style>
  <w:style w:type="character" w:customStyle="1" w:styleId="QPPTableTextBodyChar">
    <w:name w:val="QPP Table Text Body Char"/>
    <w:basedOn w:val="QPPBodytextChar"/>
    <w:link w:val="QPPTableTextBody"/>
    <w:rsid w:val="002353B1"/>
    <w:rPr>
      <w:rFonts w:ascii="Arial" w:hAnsi="Arial" w:cs="Arial"/>
      <w:color w:val="000000"/>
    </w:rPr>
  </w:style>
  <w:style w:type="paragraph" w:customStyle="1" w:styleId="QPPEditorsNoteStyle1">
    <w:name w:val="QPP Editor's Note Style 1"/>
    <w:basedOn w:val="Normal"/>
    <w:next w:val="QPPBodytext"/>
    <w:link w:val="QPPEditorsNoteStyle1Char"/>
    <w:rsid w:val="001B4060"/>
    <w:pPr>
      <w:spacing w:before="100" w:beforeAutospacing="1" w:after="100" w:afterAutospacing="1"/>
    </w:pPr>
    <w:rPr>
      <w:sz w:val="16"/>
      <w:szCs w:val="16"/>
    </w:rPr>
  </w:style>
  <w:style w:type="character" w:customStyle="1" w:styleId="QPPEditorsNoteStyle1Char">
    <w:name w:val="QPP Editor's Note Style 1 Char"/>
    <w:link w:val="QPPEditorsNoteStyle1"/>
    <w:rsid w:val="002353B1"/>
    <w:rPr>
      <w:rFonts w:ascii="Arial" w:hAnsi="Arial"/>
      <w:sz w:val="16"/>
      <w:szCs w:val="16"/>
    </w:rPr>
  </w:style>
  <w:style w:type="paragraph" w:customStyle="1" w:styleId="QPPTableHeadingStyle1">
    <w:name w:val="QPP Table Heading Style 1"/>
    <w:basedOn w:val="QPPHeading4"/>
    <w:rsid w:val="001B4060"/>
    <w:pPr>
      <w:spacing w:after="0"/>
      <w:ind w:left="0" w:firstLine="0"/>
    </w:pPr>
  </w:style>
  <w:style w:type="paragraph" w:customStyle="1" w:styleId="QPPHeading4">
    <w:name w:val="QPP Heading 4"/>
    <w:basedOn w:val="Normal"/>
    <w:link w:val="QPPHeading4Char"/>
    <w:autoRedefine/>
    <w:rsid w:val="001B4060"/>
    <w:pPr>
      <w:keepNext/>
      <w:spacing w:before="100" w:after="200"/>
      <w:ind w:left="851" w:hanging="851"/>
      <w:outlineLvl w:val="2"/>
    </w:pPr>
    <w:rPr>
      <w:rFonts w:cs="Arial"/>
      <w:b/>
      <w:bCs/>
      <w:szCs w:val="26"/>
    </w:rPr>
  </w:style>
  <w:style w:type="character" w:customStyle="1" w:styleId="QPPHeading4Char">
    <w:name w:val="QPP Heading 4 Char"/>
    <w:link w:val="QPPHeading4"/>
    <w:rsid w:val="002353B1"/>
    <w:rPr>
      <w:rFonts w:ascii="Arial" w:hAnsi="Arial" w:cs="Arial"/>
      <w:b/>
      <w:bCs/>
      <w:szCs w:val="26"/>
    </w:rPr>
  </w:style>
  <w:style w:type="table" w:styleId="TableGrid">
    <w:name w:val="Table Grid"/>
    <w:basedOn w:val="TableNormal"/>
    <w:semiHidden/>
    <w:rsid w:val="001B406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1B4060"/>
    <w:pPr>
      <w:numPr>
        <w:numId w:val="4"/>
      </w:numPr>
    </w:pPr>
    <w:rPr>
      <w:rFonts w:cs="Arial"/>
      <w:szCs w:val="20"/>
      <w:lang w:eastAsia="en-US"/>
    </w:rPr>
  </w:style>
  <w:style w:type="paragraph" w:customStyle="1" w:styleId="QPPHeading1">
    <w:name w:val="QPP Heading 1"/>
    <w:basedOn w:val="Heading1"/>
    <w:autoRedefine/>
    <w:rsid w:val="001B4060"/>
    <w:pPr>
      <w:spacing w:before="100" w:after="200"/>
      <w:ind w:left="851" w:hanging="851"/>
    </w:pPr>
  </w:style>
  <w:style w:type="paragraph" w:customStyle="1" w:styleId="QPPDotBulletPoint">
    <w:name w:val="QPP Dot Bullet Point"/>
    <w:basedOn w:val="Normal"/>
    <w:semiHidden/>
    <w:locked/>
    <w:rsid w:val="002353B1"/>
    <w:pPr>
      <w:numPr>
        <w:numId w:val="5"/>
      </w:numPr>
    </w:pPr>
  </w:style>
  <w:style w:type="paragraph" w:customStyle="1" w:styleId="QPPBulletpoint3">
    <w:name w:val="QPP Bullet point 3"/>
    <w:basedOn w:val="Normal"/>
    <w:rsid w:val="001B4060"/>
    <w:pPr>
      <w:numPr>
        <w:numId w:val="3"/>
      </w:numPr>
      <w:tabs>
        <w:tab w:val="left" w:pos="1701"/>
      </w:tabs>
    </w:pPr>
    <w:rPr>
      <w:rFonts w:cs="Arial"/>
      <w:szCs w:val="20"/>
      <w:lang w:eastAsia="en-US"/>
    </w:rPr>
  </w:style>
  <w:style w:type="paragraph" w:customStyle="1" w:styleId="QPPTableTextBold">
    <w:name w:val="QPP Table Text Bold"/>
    <w:basedOn w:val="QPPTableTextBody"/>
    <w:rsid w:val="001B4060"/>
    <w:rPr>
      <w:b/>
    </w:rPr>
  </w:style>
  <w:style w:type="paragraph" w:customStyle="1" w:styleId="QPPBulletpoint2">
    <w:name w:val="QPP Bullet point 2"/>
    <w:basedOn w:val="Normal"/>
    <w:rsid w:val="001B4060"/>
    <w:pPr>
      <w:numPr>
        <w:numId w:val="36"/>
      </w:numPr>
    </w:pPr>
    <w:rPr>
      <w:rFonts w:cs="Arial"/>
      <w:szCs w:val="20"/>
      <w:lang w:eastAsia="en-US"/>
    </w:rPr>
  </w:style>
  <w:style w:type="paragraph" w:customStyle="1" w:styleId="QPPHeading2">
    <w:name w:val="QPP Heading 2"/>
    <w:basedOn w:val="Normal"/>
    <w:autoRedefine/>
    <w:rsid w:val="001B4060"/>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1B4060"/>
    <w:rPr>
      <w:i/>
      <w:iCs/>
    </w:rPr>
  </w:style>
  <w:style w:type="paragraph" w:customStyle="1" w:styleId="QPPFooter">
    <w:name w:val="QPP Footer"/>
    <w:basedOn w:val="Normal"/>
    <w:rsid w:val="001B4060"/>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1B4060"/>
    <w:pPr>
      <w:spacing w:before="100" w:after="100"/>
      <w:ind w:left="567"/>
    </w:pPr>
    <w:rPr>
      <w:sz w:val="16"/>
      <w:szCs w:val="16"/>
    </w:rPr>
  </w:style>
  <w:style w:type="paragraph" w:customStyle="1" w:styleId="QPPEditorsnotebulletpoint1">
    <w:name w:val="QPP Editor's note bullet point 1"/>
    <w:basedOn w:val="Normal"/>
    <w:rsid w:val="001B4060"/>
    <w:pPr>
      <w:numPr>
        <w:numId w:val="1"/>
      </w:numPr>
      <w:tabs>
        <w:tab w:val="left" w:pos="426"/>
      </w:tabs>
    </w:pPr>
    <w:rPr>
      <w:sz w:val="16"/>
      <w:szCs w:val="16"/>
    </w:rPr>
  </w:style>
  <w:style w:type="paragraph" w:customStyle="1" w:styleId="QPPTableBullet">
    <w:name w:val="QPP Table Bullet"/>
    <w:basedOn w:val="Normal"/>
    <w:rsid w:val="001B4060"/>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1B4060"/>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1B4060"/>
    <w:pPr>
      <w:numPr>
        <w:numId w:val="34"/>
      </w:numPr>
    </w:pPr>
  </w:style>
  <w:style w:type="paragraph" w:customStyle="1" w:styleId="HGTableBullet3">
    <w:name w:val="HG Table Bullet 3"/>
    <w:basedOn w:val="QPPTableTextBody"/>
    <w:rsid w:val="001B4060"/>
    <w:pPr>
      <w:numPr>
        <w:numId w:val="13"/>
      </w:numPr>
    </w:pPr>
  </w:style>
  <w:style w:type="paragraph" w:styleId="BalloonText">
    <w:name w:val="Balloon Text"/>
    <w:basedOn w:val="Normal"/>
    <w:semiHidden/>
    <w:locked/>
    <w:rsid w:val="002353B1"/>
    <w:rPr>
      <w:rFonts w:ascii="Tahoma" w:hAnsi="Tahoma" w:cs="Tahoma"/>
      <w:sz w:val="16"/>
      <w:szCs w:val="16"/>
    </w:rPr>
  </w:style>
  <w:style w:type="paragraph" w:customStyle="1" w:styleId="QPPBullet">
    <w:name w:val="QPP Bullet"/>
    <w:basedOn w:val="Normal"/>
    <w:autoRedefine/>
    <w:rsid w:val="001B4060"/>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1B4060"/>
    <w:rPr>
      <w:vertAlign w:val="subscript"/>
    </w:rPr>
  </w:style>
  <w:style w:type="character" w:customStyle="1" w:styleId="QPPSubscriptChar">
    <w:name w:val="QPP Subscript Char"/>
    <w:link w:val="QPPSubscript"/>
    <w:rsid w:val="002353B1"/>
    <w:rPr>
      <w:rFonts w:ascii="Arial" w:hAnsi="Arial" w:cs="Arial"/>
      <w:color w:val="000000"/>
      <w:vertAlign w:val="subscript"/>
    </w:rPr>
  </w:style>
  <w:style w:type="paragraph" w:customStyle="1" w:styleId="QPPBulletPoint5DOT">
    <w:name w:val="QPP Bullet Point 5 DOT"/>
    <w:basedOn w:val="QPPBodytext"/>
    <w:autoRedefine/>
    <w:rsid w:val="001B4060"/>
    <w:pPr>
      <w:numPr>
        <w:numId w:val="11"/>
      </w:numPr>
    </w:pPr>
  </w:style>
  <w:style w:type="paragraph" w:customStyle="1" w:styleId="QPPBodyTextITALIC">
    <w:name w:val="QPP Body Text ITALIC"/>
    <w:basedOn w:val="QPPBodytext"/>
    <w:autoRedefine/>
    <w:rsid w:val="001B4060"/>
    <w:rPr>
      <w:i/>
    </w:rPr>
  </w:style>
  <w:style w:type="paragraph" w:customStyle="1" w:styleId="QPPSuperscript">
    <w:name w:val="QPP Superscript"/>
    <w:basedOn w:val="QPPBodytext"/>
    <w:next w:val="QPPBodytext"/>
    <w:link w:val="QPPSuperscriptChar"/>
    <w:rsid w:val="001B4060"/>
    <w:rPr>
      <w:vertAlign w:val="superscript"/>
    </w:rPr>
  </w:style>
  <w:style w:type="character" w:customStyle="1" w:styleId="QPPSuperscriptChar">
    <w:name w:val="QPP Superscript Char"/>
    <w:link w:val="QPPSuperscript"/>
    <w:rsid w:val="002353B1"/>
    <w:rPr>
      <w:rFonts w:ascii="Arial" w:hAnsi="Arial" w:cs="Arial"/>
      <w:color w:val="000000"/>
      <w:vertAlign w:val="superscript"/>
    </w:rPr>
  </w:style>
  <w:style w:type="character" w:styleId="CommentReference">
    <w:name w:val="annotation reference"/>
    <w:semiHidden/>
    <w:locked/>
    <w:rsid w:val="002353B1"/>
    <w:rPr>
      <w:sz w:val="16"/>
      <w:szCs w:val="16"/>
    </w:rPr>
  </w:style>
  <w:style w:type="paragraph" w:styleId="CommentText">
    <w:name w:val="annotation text"/>
    <w:basedOn w:val="Normal"/>
    <w:semiHidden/>
    <w:locked/>
    <w:rsid w:val="002353B1"/>
    <w:rPr>
      <w:szCs w:val="20"/>
    </w:rPr>
  </w:style>
  <w:style w:type="paragraph" w:styleId="CommentSubject">
    <w:name w:val="annotation subject"/>
    <w:basedOn w:val="CommentText"/>
    <w:next w:val="CommentText"/>
    <w:semiHidden/>
    <w:locked/>
    <w:rsid w:val="002353B1"/>
    <w:rPr>
      <w:b/>
      <w:bCs/>
    </w:rPr>
  </w:style>
  <w:style w:type="character" w:styleId="Hyperlink">
    <w:name w:val="Hyperlink"/>
    <w:rsid w:val="001B4060"/>
    <w:rPr>
      <w:color w:val="0000FF"/>
      <w:u w:val="single"/>
    </w:rPr>
  </w:style>
  <w:style w:type="paragraph" w:customStyle="1" w:styleId="HGTableBullet4">
    <w:name w:val="HG Table Bullet 4"/>
    <w:basedOn w:val="QPPTableTextBody"/>
    <w:rsid w:val="001B4060"/>
    <w:pPr>
      <w:numPr>
        <w:numId w:val="14"/>
      </w:numPr>
      <w:tabs>
        <w:tab w:val="left" w:pos="567"/>
      </w:tabs>
    </w:pPr>
  </w:style>
  <w:style w:type="paragraph" w:styleId="ListParagraph">
    <w:name w:val="List Paragraph"/>
    <w:basedOn w:val="Normal"/>
    <w:uiPriority w:val="34"/>
    <w:qFormat/>
    <w:rsid w:val="001B4060"/>
    <w:pPr>
      <w:ind w:left="720"/>
    </w:pPr>
    <w:rPr>
      <w:rFonts w:ascii="Calibri" w:eastAsia="Calibri" w:hAnsi="Calibri" w:cs="Calibri"/>
      <w:sz w:val="22"/>
      <w:szCs w:val="22"/>
      <w:lang w:eastAsia="en-US"/>
    </w:rPr>
  </w:style>
  <w:style w:type="character" w:styleId="FollowedHyperlink">
    <w:name w:val="FollowedHyperlink"/>
    <w:semiHidden/>
    <w:locked/>
    <w:rsid w:val="002353B1"/>
    <w:rPr>
      <w:color w:val="800080"/>
      <w:u w:val="single"/>
    </w:rPr>
  </w:style>
  <w:style w:type="character" w:customStyle="1" w:styleId="HighlightingBlue">
    <w:name w:val="Highlighting Blue"/>
    <w:rsid w:val="001B4060"/>
    <w:rPr>
      <w:szCs w:val="16"/>
      <w:bdr w:val="none" w:sz="0" w:space="0" w:color="auto"/>
      <w:shd w:val="clear" w:color="auto" w:fill="00FFFF"/>
    </w:rPr>
  </w:style>
  <w:style w:type="character" w:customStyle="1" w:styleId="HighlightingGreen">
    <w:name w:val="Highlighting Green"/>
    <w:rsid w:val="001B4060"/>
    <w:rPr>
      <w:szCs w:val="16"/>
      <w:bdr w:val="none" w:sz="0" w:space="0" w:color="auto"/>
      <w:shd w:val="clear" w:color="auto" w:fill="00FF00"/>
    </w:rPr>
  </w:style>
  <w:style w:type="character" w:customStyle="1" w:styleId="HighlightingPink">
    <w:name w:val="Highlighting Pink"/>
    <w:rsid w:val="001B4060"/>
    <w:rPr>
      <w:szCs w:val="16"/>
      <w:bdr w:val="none" w:sz="0" w:space="0" w:color="auto"/>
      <w:shd w:val="clear" w:color="auto" w:fill="FF99CC"/>
    </w:rPr>
  </w:style>
  <w:style w:type="character" w:customStyle="1" w:styleId="HighlightingRed">
    <w:name w:val="Highlighting Red"/>
    <w:rsid w:val="001B4060"/>
    <w:rPr>
      <w:szCs w:val="16"/>
      <w:bdr w:val="none" w:sz="0" w:space="0" w:color="auto"/>
      <w:shd w:val="clear" w:color="auto" w:fill="FF0000"/>
    </w:rPr>
  </w:style>
  <w:style w:type="character" w:customStyle="1" w:styleId="HighlightingYellow">
    <w:name w:val="Highlighting Yellow"/>
    <w:rsid w:val="001B4060"/>
    <w:rPr>
      <w:szCs w:val="16"/>
      <w:bdr w:val="none" w:sz="0" w:space="0" w:color="auto"/>
      <w:shd w:val="clear" w:color="auto" w:fill="FFFF00"/>
    </w:rPr>
  </w:style>
  <w:style w:type="paragraph" w:styleId="Header">
    <w:name w:val="header"/>
    <w:basedOn w:val="Normal"/>
    <w:semiHidden/>
    <w:locked/>
    <w:rsid w:val="002353B1"/>
    <w:pPr>
      <w:tabs>
        <w:tab w:val="center" w:pos="4153"/>
        <w:tab w:val="right" w:pos="8306"/>
      </w:tabs>
    </w:pPr>
  </w:style>
  <w:style w:type="paragraph" w:styleId="Footer">
    <w:name w:val="footer"/>
    <w:basedOn w:val="Normal"/>
    <w:semiHidden/>
    <w:locked/>
    <w:rsid w:val="002353B1"/>
    <w:pPr>
      <w:tabs>
        <w:tab w:val="center" w:pos="4153"/>
        <w:tab w:val="right" w:pos="8306"/>
      </w:tabs>
    </w:pPr>
  </w:style>
  <w:style w:type="numbering" w:styleId="111111">
    <w:name w:val="Outline List 2"/>
    <w:basedOn w:val="NoList"/>
    <w:semiHidden/>
    <w:locked/>
    <w:rsid w:val="002353B1"/>
  </w:style>
  <w:style w:type="numbering" w:styleId="1ai">
    <w:name w:val="Outline List 1"/>
    <w:basedOn w:val="NoList"/>
    <w:semiHidden/>
    <w:locked/>
    <w:rsid w:val="002353B1"/>
  </w:style>
  <w:style w:type="numbering" w:styleId="ArticleSection">
    <w:name w:val="Outline List 3"/>
    <w:basedOn w:val="NoList"/>
    <w:semiHidden/>
    <w:locked/>
    <w:rsid w:val="002353B1"/>
  </w:style>
  <w:style w:type="paragraph" w:styleId="Bibliography">
    <w:name w:val="Bibliography"/>
    <w:basedOn w:val="Normal"/>
    <w:next w:val="Normal"/>
    <w:uiPriority w:val="37"/>
    <w:semiHidden/>
    <w:unhideWhenUsed/>
    <w:rsid w:val="001B4060"/>
  </w:style>
  <w:style w:type="paragraph" w:styleId="BlockText">
    <w:name w:val="Block Text"/>
    <w:basedOn w:val="Normal"/>
    <w:semiHidden/>
    <w:locked/>
    <w:rsid w:val="002353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2353B1"/>
    <w:pPr>
      <w:spacing w:after="120"/>
    </w:pPr>
  </w:style>
  <w:style w:type="character" w:customStyle="1" w:styleId="BodyTextChar">
    <w:name w:val="Body Text Char"/>
    <w:basedOn w:val="DefaultParagraphFont"/>
    <w:link w:val="BodyText"/>
    <w:semiHidden/>
    <w:rsid w:val="002353B1"/>
    <w:rPr>
      <w:rFonts w:ascii="Arial" w:hAnsi="Arial"/>
      <w:szCs w:val="24"/>
    </w:rPr>
  </w:style>
  <w:style w:type="paragraph" w:styleId="BodyText2">
    <w:name w:val="Body Text 2"/>
    <w:basedOn w:val="Normal"/>
    <w:link w:val="BodyText2Char"/>
    <w:semiHidden/>
    <w:locked/>
    <w:rsid w:val="002353B1"/>
    <w:pPr>
      <w:spacing w:after="120" w:line="480" w:lineRule="auto"/>
    </w:pPr>
  </w:style>
  <w:style w:type="character" w:customStyle="1" w:styleId="BodyText2Char">
    <w:name w:val="Body Text 2 Char"/>
    <w:basedOn w:val="DefaultParagraphFont"/>
    <w:link w:val="BodyText2"/>
    <w:semiHidden/>
    <w:rsid w:val="002353B1"/>
    <w:rPr>
      <w:rFonts w:ascii="Arial" w:hAnsi="Arial"/>
      <w:szCs w:val="24"/>
    </w:rPr>
  </w:style>
  <w:style w:type="paragraph" w:styleId="BodyText3">
    <w:name w:val="Body Text 3"/>
    <w:basedOn w:val="Normal"/>
    <w:link w:val="BodyText3Char"/>
    <w:semiHidden/>
    <w:locked/>
    <w:rsid w:val="002353B1"/>
    <w:pPr>
      <w:spacing w:after="120"/>
    </w:pPr>
    <w:rPr>
      <w:sz w:val="16"/>
      <w:szCs w:val="16"/>
    </w:rPr>
  </w:style>
  <w:style w:type="character" w:customStyle="1" w:styleId="BodyText3Char">
    <w:name w:val="Body Text 3 Char"/>
    <w:basedOn w:val="DefaultParagraphFont"/>
    <w:link w:val="BodyText3"/>
    <w:semiHidden/>
    <w:rsid w:val="002353B1"/>
    <w:rPr>
      <w:rFonts w:ascii="Arial" w:hAnsi="Arial"/>
      <w:sz w:val="16"/>
      <w:szCs w:val="16"/>
    </w:rPr>
  </w:style>
  <w:style w:type="paragraph" w:styleId="BodyTextFirstIndent">
    <w:name w:val="Body Text First Indent"/>
    <w:basedOn w:val="BodyText"/>
    <w:link w:val="BodyTextFirstIndentChar"/>
    <w:semiHidden/>
    <w:locked/>
    <w:rsid w:val="002353B1"/>
    <w:pPr>
      <w:spacing w:after="0"/>
      <w:ind w:firstLine="360"/>
    </w:pPr>
  </w:style>
  <w:style w:type="character" w:customStyle="1" w:styleId="BodyTextFirstIndentChar">
    <w:name w:val="Body Text First Indent Char"/>
    <w:basedOn w:val="BodyTextChar"/>
    <w:link w:val="BodyTextFirstIndent"/>
    <w:semiHidden/>
    <w:rsid w:val="002353B1"/>
    <w:rPr>
      <w:rFonts w:ascii="Arial" w:hAnsi="Arial"/>
      <w:szCs w:val="24"/>
    </w:rPr>
  </w:style>
  <w:style w:type="paragraph" w:styleId="BodyTextIndent">
    <w:name w:val="Body Text Indent"/>
    <w:basedOn w:val="Normal"/>
    <w:link w:val="BodyTextIndentChar"/>
    <w:semiHidden/>
    <w:locked/>
    <w:rsid w:val="002353B1"/>
    <w:pPr>
      <w:spacing w:after="120"/>
      <w:ind w:left="283"/>
    </w:pPr>
  </w:style>
  <w:style w:type="character" w:customStyle="1" w:styleId="BodyTextIndentChar">
    <w:name w:val="Body Text Indent Char"/>
    <w:basedOn w:val="DefaultParagraphFont"/>
    <w:link w:val="BodyTextIndent"/>
    <w:semiHidden/>
    <w:rsid w:val="002353B1"/>
    <w:rPr>
      <w:rFonts w:ascii="Arial" w:hAnsi="Arial"/>
      <w:szCs w:val="24"/>
    </w:rPr>
  </w:style>
  <w:style w:type="paragraph" w:styleId="BodyTextFirstIndent2">
    <w:name w:val="Body Text First Indent 2"/>
    <w:basedOn w:val="BodyTextIndent"/>
    <w:link w:val="BodyTextFirstIndent2Char"/>
    <w:semiHidden/>
    <w:locked/>
    <w:rsid w:val="002353B1"/>
    <w:pPr>
      <w:spacing w:after="0"/>
      <w:ind w:left="360" w:firstLine="360"/>
    </w:pPr>
  </w:style>
  <w:style w:type="character" w:customStyle="1" w:styleId="BodyTextFirstIndent2Char">
    <w:name w:val="Body Text First Indent 2 Char"/>
    <w:basedOn w:val="BodyTextIndentChar"/>
    <w:link w:val="BodyTextFirstIndent2"/>
    <w:semiHidden/>
    <w:rsid w:val="002353B1"/>
    <w:rPr>
      <w:rFonts w:ascii="Arial" w:hAnsi="Arial"/>
      <w:szCs w:val="24"/>
    </w:rPr>
  </w:style>
  <w:style w:type="paragraph" w:styleId="BodyTextIndent2">
    <w:name w:val="Body Text Indent 2"/>
    <w:basedOn w:val="Normal"/>
    <w:link w:val="BodyTextIndent2Char"/>
    <w:semiHidden/>
    <w:locked/>
    <w:rsid w:val="002353B1"/>
    <w:pPr>
      <w:spacing w:after="120" w:line="480" w:lineRule="auto"/>
      <w:ind w:left="283"/>
    </w:pPr>
  </w:style>
  <w:style w:type="character" w:customStyle="1" w:styleId="BodyTextIndent2Char">
    <w:name w:val="Body Text Indent 2 Char"/>
    <w:basedOn w:val="DefaultParagraphFont"/>
    <w:link w:val="BodyTextIndent2"/>
    <w:semiHidden/>
    <w:rsid w:val="002353B1"/>
    <w:rPr>
      <w:rFonts w:ascii="Arial" w:hAnsi="Arial"/>
      <w:szCs w:val="24"/>
    </w:rPr>
  </w:style>
  <w:style w:type="paragraph" w:styleId="BodyTextIndent3">
    <w:name w:val="Body Text Indent 3"/>
    <w:basedOn w:val="Normal"/>
    <w:link w:val="BodyTextIndent3Char"/>
    <w:semiHidden/>
    <w:locked/>
    <w:rsid w:val="002353B1"/>
    <w:pPr>
      <w:spacing w:after="120"/>
      <w:ind w:left="283"/>
    </w:pPr>
    <w:rPr>
      <w:sz w:val="16"/>
      <w:szCs w:val="16"/>
    </w:rPr>
  </w:style>
  <w:style w:type="character" w:customStyle="1" w:styleId="BodyTextIndent3Char">
    <w:name w:val="Body Text Indent 3 Char"/>
    <w:basedOn w:val="DefaultParagraphFont"/>
    <w:link w:val="BodyTextIndent3"/>
    <w:semiHidden/>
    <w:rsid w:val="002353B1"/>
    <w:rPr>
      <w:rFonts w:ascii="Arial" w:hAnsi="Arial"/>
      <w:sz w:val="16"/>
      <w:szCs w:val="16"/>
    </w:rPr>
  </w:style>
  <w:style w:type="character" w:styleId="BookTitle">
    <w:name w:val="Book Title"/>
    <w:basedOn w:val="DefaultParagraphFont"/>
    <w:uiPriority w:val="33"/>
    <w:semiHidden/>
    <w:qFormat/>
    <w:rsid w:val="001B4060"/>
    <w:rPr>
      <w:b/>
      <w:bCs/>
      <w:smallCaps/>
      <w:spacing w:val="5"/>
    </w:rPr>
  </w:style>
  <w:style w:type="paragraph" w:styleId="Caption">
    <w:name w:val="caption"/>
    <w:basedOn w:val="Normal"/>
    <w:next w:val="Normal"/>
    <w:semiHidden/>
    <w:unhideWhenUsed/>
    <w:qFormat/>
    <w:locked/>
    <w:rsid w:val="002353B1"/>
    <w:pPr>
      <w:spacing w:after="200"/>
    </w:pPr>
    <w:rPr>
      <w:b/>
      <w:bCs/>
      <w:color w:val="4F81BD" w:themeColor="accent1"/>
      <w:sz w:val="18"/>
      <w:szCs w:val="18"/>
    </w:rPr>
  </w:style>
  <w:style w:type="paragraph" w:styleId="Closing">
    <w:name w:val="Closing"/>
    <w:basedOn w:val="Normal"/>
    <w:link w:val="ClosingChar"/>
    <w:semiHidden/>
    <w:locked/>
    <w:rsid w:val="002353B1"/>
    <w:pPr>
      <w:ind w:left="4252"/>
    </w:pPr>
  </w:style>
  <w:style w:type="character" w:customStyle="1" w:styleId="ClosingChar">
    <w:name w:val="Closing Char"/>
    <w:basedOn w:val="DefaultParagraphFont"/>
    <w:link w:val="Closing"/>
    <w:semiHidden/>
    <w:rsid w:val="002353B1"/>
    <w:rPr>
      <w:rFonts w:ascii="Arial" w:hAnsi="Arial"/>
      <w:szCs w:val="24"/>
    </w:rPr>
  </w:style>
  <w:style w:type="table" w:styleId="ColorfulGrid">
    <w:name w:val="Colorful Grid"/>
    <w:basedOn w:val="TableNormal"/>
    <w:uiPriority w:val="73"/>
    <w:semiHidden/>
    <w:rsid w:val="001B406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B406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1B406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1B406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1B406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1B406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1B406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1B406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B406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1B406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1B406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1B406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1B406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1B406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1B406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B406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B406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B406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1B406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B406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B406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1B406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B406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1B406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1B406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1B406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1B406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1B406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2353B1"/>
  </w:style>
  <w:style w:type="character" w:customStyle="1" w:styleId="DateChar">
    <w:name w:val="Date Char"/>
    <w:basedOn w:val="DefaultParagraphFont"/>
    <w:link w:val="Date"/>
    <w:semiHidden/>
    <w:rsid w:val="002353B1"/>
    <w:rPr>
      <w:rFonts w:ascii="Arial" w:hAnsi="Arial"/>
      <w:szCs w:val="24"/>
    </w:rPr>
  </w:style>
  <w:style w:type="paragraph" w:styleId="DocumentMap">
    <w:name w:val="Document Map"/>
    <w:basedOn w:val="Normal"/>
    <w:link w:val="DocumentMapChar"/>
    <w:semiHidden/>
    <w:locked/>
    <w:rsid w:val="002353B1"/>
    <w:rPr>
      <w:rFonts w:ascii="Tahoma" w:hAnsi="Tahoma" w:cs="Tahoma"/>
      <w:sz w:val="16"/>
      <w:szCs w:val="16"/>
    </w:rPr>
  </w:style>
  <w:style w:type="character" w:customStyle="1" w:styleId="DocumentMapChar">
    <w:name w:val="Document Map Char"/>
    <w:basedOn w:val="DefaultParagraphFont"/>
    <w:link w:val="DocumentMap"/>
    <w:semiHidden/>
    <w:rsid w:val="002353B1"/>
    <w:rPr>
      <w:rFonts w:ascii="Tahoma" w:hAnsi="Tahoma" w:cs="Tahoma"/>
      <w:sz w:val="16"/>
      <w:szCs w:val="16"/>
    </w:rPr>
  </w:style>
  <w:style w:type="paragraph" w:styleId="E-mailSignature">
    <w:name w:val="E-mail Signature"/>
    <w:basedOn w:val="Normal"/>
    <w:link w:val="E-mailSignatureChar"/>
    <w:semiHidden/>
    <w:locked/>
    <w:rsid w:val="002353B1"/>
  </w:style>
  <w:style w:type="character" w:customStyle="1" w:styleId="E-mailSignatureChar">
    <w:name w:val="E-mail Signature Char"/>
    <w:basedOn w:val="DefaultParagraphFont"/>
    <w:link w:val="E-mailSignature"/>
    <w:semiHidden/>
    <w:rsid w:val="002353B1"/>
    <w:rPr>
      <w:rFonts w:ascii="Arial" w:hAnsi="Arial"/>
      <w:szCs w:val="24"/>
    </w:rPr>
  </w:style>
  <w:style w:type="character" w:styleId="Emphasis">
    <w:name w:val="Emphasis"/>
    <w:basedOn w:val="DefaultParagraphFont"/>
    <w:semiHidden/>
    <w:qFormat/>
    <w:locked/>
    <w:rsid w:val="002353B1"/>
    <w:rPr>
      <w:i/>
      <w:iCs/>
    </w:rPr>
  </w:style>
  <w:style w:type="character" w:styleId="EndnoteReference">
    <w:name w:val="endnote reference"/>
    <w:basedOn w:val="DefaultParagraphFont"/>
    <w:semiHidden/>
    <w:locked/>
    <w:rsid w:val="002353B1"/>
    <w:rPr>
      <w:vertAlign w:val="superscript"/>
    </w:rPr>
  </w:style>
  <w:style w:type="paragraph" w:styleId="EndnoteText">
    <w:name w:val="endnote text"/>
    <w:basedOn w:val="Normal"/>
    <w:link w:val="EndnoteTextChar"/>
    <w:semiHidden/>
    <w:locked/>
    <w:rsid w:val="002353B1"/>
    <w:rPr>
      <w:szCs w:val="20"/>
    </w:rPr>
  </w:style>
  <w:style w:type="character" w:customStyle="1" w:styleId="EndnoteTextChar">
    <w:name w:val="Endnote Text Char"/>
    <w:basedOn w:val="DefaultParagraphFont"/>
    <w:link w:val="EndnoteText"/>
    <w:semiHidden/>
    <w:rsid w:val="002353B1"/>
    <w:rPr>
      <w:rFonts w:ascii="Arial" w:hAnsi="Arial"/>
    </w:rPr>
  </w:style>
  <w:style w:type="paragraph" w:styleId="EnvelopeAddress">
    <w:name w:val="envelope address"/>
    <w:basedOn w:val="Normal"/>
    <w:semiHidden/>
    <w:locked/>
    <w:rsid w:val="002353B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2353B1"/>
    <w:rPr>
      <w:rFonts w:asciiTheme="majorHAnsi" w:eastAsiaTheme="majorEastAsia" w:hAnsiTheme="majorHAnsi" w:cstheme="majorBidi"/>
      <w:szCs w:val="20"/>
    </w:rPr>
  </w:style>
  <w:style w:type="character" w:styleId="FootnoteReference">
    <w:name w:val="footnote reference"/>
    <w:basedOn w:val="DefaultParagraphFont"/>
    <w:semiHidden/>
    <w:locked/>
    <w:rsid w:val="002353B1"/>
    <w:rPr>
      <w:vertAlign w:val="superscript"/>
    </w:rPr>
  </w:style>
  <w:style w:type="paragraph" w:styleId="FootnoteText">
    <w:name w:val="footnote text"/>
    <w:basedOn w:val="Normal"/>
    <w:link w:val="FootnoteTextChar"/>
    <w:semiHidden/>
    <w:locked/>
    <w:rsid w:val="002353B1"/>
    <w:rPr>
      <w:szCs w:val="20"/>
    </w:rPr>
  </w:style>
  <w:style w:type="character" w:customStyle="1" w:styleId="FootnoteTextChar">
    <w:name w:val="Footnote Text Char"/>
    <w:basedOn w:val="DefaultParagraphFont"/>
    <w:link w:val="FootnoteText"/>
    <w:semiHidden/>
    <w:rsid w:val="002353B1"/>
    <w:rPr>
      <w:rFonts w:ascii="Arial" w:hAnsi="Arial"/>
    </w:rPr>
  </w:style>
  <w:style w:type="character" w:styleId="HTMLAcronym">
    <w:name w:val="HTML Acronym"/>
    <w:basedOn w:val="DefaultParagraphFont"/>
    <w:semiHidden/>
    <w:locked/>
    <w:rsid w:val="002353B1"/>
  </w:style>
  <w:style w:type="paragraph" w:styleId="HTMLAddress">
    <w:name w:val="HTML Address"/>
    <w:basedOn w:val="Normal"/>
    <w:link w:val="HTMLAddressChar"/>
    <w:semiHidden/>
    <w:locked/>
    <w:rsid w:val="002353B1"/>
    <w:rPr>
      <w:i/>
      <w:iCs/>
    </w:rPr>
  </w:style>
  <w:style w:type="character" w:customStyle="1" w:styleId="HTMLAddressChar">
    <w:name w:val="HTML Address Char"/>
    <w:basedOn w:val="DefaultParagraphFont"/>
    <w:link w:val="HTMLAddress"/>
    <w:semiHidden/>
    <w:rsid w:val="002353B1"/>
    <w:rPr>
      <w:rFonts w:ascii="Arial" w:hAnsi="Arial"/>
      <w:i/>
      <w:iCs/>
      <w:szCs w:val="24"/>
    </w:rPr>
  </w:style>
  <w:style w:type="character" w:styleId="HTMLCite">
    <w:name w:val="HTML Cite"/>
    <w:basedOn w:val="DefaultParagraphFont"/>
    <w:semiHidden/>
    <w:locked/>
    <w:rsid w:val="002353B1"/>
    <w:rPr>
      <w:i/>
      <w:iCs/>
    </w:rPr>
  </w:style>
  <w:style w:type="character" w:styleId="HTMLCode">
    <w:name w:val="HTML Code"/>
    <w:basedOn w:val="DefaultParagraphFont"/>
    <w:semiHidden/>
    <w:locked/>
    <w:rsid w:val="002353B1"/>
    <w:rPr>
      <w:rFonts w:ascii="Consolas" w:hAnsi="Consolas" w:cs="Consolas"/>
      <w:sz w:val="20"/>
      <w:szCs w:val="20"/>
    </w:rPr>
  </w:style>
  <w:style w:type="character" w:styleId="HTMLDefinition">
    <w:name w:val="HTML Definition"/>
    <w:basedOn w:val="DefaultParagraphFont"/>
    <w:semiHidden/>
    <w:locked/>
    <w:rsid w:val="002353B1"/>
    <w:rPr>
      <w:i/>
      <w:iCs/>
    </w:rPr>
  </w:style>
  <w:style w:type="character" w:styleId="HTMLKeyboard">
    <w:name w:val="HTML Keyboard"/>
    <w:basedOn w:val="DefaultParagraphFont"/>
    <w:semiHidden/>
    <w:locked/>
    <w:rsid w:val="002353B1"/>
    <w:rPr>
      <w:rFonts w:ascii="Consolas" w:hAnsi="Consolas" w:cs="Consolas"/>
      <w:sz w:val="20"/>
      <w:szCs w:val="20"/>
    </w:rPr>
  </w:style>
  <w:style w:type="paragraph" w:styleId="HTMLPreformatted">
    <w:name w:val="HTML Preformatted"/>
    <w:basedOn w:val="Normal"/>
    <w:link w:val="HTMLPreformattedChar"/>
    <w:semiHidden/>
    <w:locked/>
    <w:rsid w:val="002353B1"/>
    <w:rPr>
      <w:rFonts w:ascii="Consolas" w:hAnsi="Consolas" w:cs="Consolas"/>
      <w:szCs w:val="20"/>
    </w:rPr>
  </w:style>
  <w:style w:type="character" w:customStyle="1" w:styleId="HTMLPreformattedChar">
    <w:name w:val="HTML Preformatted Char"/>
    <w:basedOn w:val="DefaultParagraphFont"/>
    <w:link w:val="HTMLPreformatted"/>
    <w:semiHidden/>
    <w:rsid w:val="002353B1"/>
    <w:rPr>
      <w:rFonts w:ascii="Consolas" w:hAnsi="Consolas" w:cs="Consolas"/>
    </w:rPr>
  </w:style>
  <w:style w:type="character" w:styleId="HTMLSample">
    <w:name w:val="HTML Sample"/>
    <w:basedOn w:val="DefaultParagraphFont"/>
    <w:semiHidden/>
    <w:locked/>
    <w:rsid w:val="002353B1"/>
    <w:rPr>
      <w:rFonts w:ascii="Consolas" w:hAnsi="Consolas" w:cs="Consolas"/>
      <w:sz w:val="24"/>
      <w:szCs w:val="24"/>
    </w:rPr>
  </w:style>
  <w:style w:type="character" w:styleId="HTMLTypewriter">
    <w:name w:val="HTML Typewriter"/>
    <w:basedOn w:val="DefaultParagraphFont"/>
    <w:semiHidden/>
    <w:locked/>
    <w:rsid w:val="002353B1"/>
    <w:rPr>
      <w:rFonts w:ascii="Consolas" w:hAnsi="Consolas" w:cs="Consolas"/>
      <w:sz w:val="20"/>
      <w:szCs w:val="20"/>
    </w:rPr>
  </w:style>
  <w:style w:type="character" w:styleId="HTMLVariable">
    <w:name w:val="HTML Variable"/>
    <w:basedOn w:val="DefaultParagraphFont"/>
    <w:semiHidden/>
    <w:locked/>
    <w:rsid w:val="002353B1"/>
    <w:rPr>
      <w:i/>
      <w:iCs/>
    </w:rPr>
  </w:style>
  <w:style w:type="paragraph" w:styleId="Index1">
    <w:name w:val="index 1"/>
    <w:basedOn w:val="Normal"/>
    <w:next w:val="Normal"/>
    <w:autoRedefine/>
    <w:semiHidden/>
    <w:locked/>
    <w:rsid w:val="002353B1"/>
    <w:pPr>
      <w:ind w:left="200" w:hanging="200"/>
    </w:pPr>
  </w:style>
  <w:style w:type="paragraph" w:styleId="Index2">
    <w:name w:val="index 2"/>
    <w:basedOn w:val="Normal"/>
    <w:next w:val="Normal"/>
    <w:autoRedefine/>
    <w:semiHidden/>
    <w:locked/>
    <w:rsid w:val="002353B1"/>
    <w:pPr>
      <w:ind w:left="400" w:hanging="200"/>
    </w:pPr>
  </w:style>
  <w:style w:type="paragraph" w:styleId="Index3">
    <w:name w:val="index 3"/>
    <w:basedOn w:val="Normal"/>
    <w:next w:val="Normal"/>
    <w:autoRedefine/>
    <w:semiHidden/>
    <w:locked/>
    <w:rsid w:val="002353B1"/>
    <w:pPr>
      <w:ind w:left="600" w:hanging="200"/>
    </w:pPr>
  </w:style>
  <w:style w:type="paragraph" w:styleId="Index4">
    <w:name w:val="index 4"/>
    <w:basedOn w:val="Normal"/>
    <w:next w:val="Normal"/>
    <w:autoRedefine/>
    <w:semiHidden/>
    <w:locked/>
    <w:rsid w:val="002353B1"/>
    <w:pPr>
      <w:ind w:left="800" w:hanging="200"/>
    </w:pPr>
  </w:style>
  <w:style w:type="paragraph" w:styleId="Index5">
    <w:name w:val="index 5"/>
    <w:basedOn w:val="Normal"/>
    <w:next w:val="Normal"/>
    <w:autoRedefine/>
    <w:semiHidden/>
    <w:locked/>
    <w:rsid w:val="002353B1"/>
    <w:pPr>
      <w:ind w:left="1000" w:hanging="200"/>
    </w:pPr>
  </w:style>
  <w:style w:type="paragraph" w:styleId="Index6">
    <w:name w:val="index 6"/>
    <w:basedOn w:val="Normal"/>
    <w:next w:val="Normal"/>
    <w:autoRedefine/>
    <w:semiHidden/>
    <w:locked/>
    <w:rsid w:val="002353B1"/>
    <w:pPr>
      <w:ind w:left="1200" w:hanging="200"/>
    </w:pPr>
  </w:style>
  <w:style w:type="paragraph" w:styleId="Index7">
    <w:name w:val="index 7"/>
    <w:basedOn w:val="Normal"/>
    <w:next w:val="Normal"/>
    <w:autoRedefine/>
    <w:semiHidden/>
    <w:locked/>
    <w:rsid w:val="002353B1"/>
    <w:pPr>
      <w:ind w:left="1400" w:hanging="200"/>
    </w:pPr>
  </w:style>
  <w:style w:type="paragraph" w:styleId="Index8">
    <w:name w:val="index 8"/>
    <w:basedOn w:val="Normal"/>
    <w:next w:val="Normal"/>
    <w:autoRedefine/>
    <w:semiHidden/>
    <w:locked/>
    <w:rsid w:val="002353B1"/>
    <w:pPr>
      <w:ind w:left="1600" w:hanging="200"/>
    </w:pPr>
  </w:style>
  <w:style w:type="paragraph" w:styleId="Index9">
    <w:name w:val="index 9"/>
    <w:basedOn w:val="Normal"/>
    <w:next w:val="Normal"/>
    <w:autoRedefine/>
    <w:semiHidden/>
    <w:locked/>
    <w:rsid w:val="002353B1"/>
    <w:pPr>
      <w:ind w:left="1800" w:hanging="200"/>
    </w:pPr>
  </w:style>
  <w:style w:type="paragraph" w:styleId="IndexHeading">
    <w:name w:val="index heading"/>
    <w:basedOn w:val="Normal"/>
    <w:next w:val="Index1"/>
    <w:semiHidden/>
    <w:locked/>
    <w:rsid w:val="002353B1"/>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1B4060"/>
    <w:rPr>
      <w:b/>
      <w:bCs/>
      <w:i/>
      <w:iCs/>
      <w:color w:val="4F81BD" w:themeColor="accent1"/>
    </w:rPr>
  </w:style>
  <w:style w:type="paragraph" w:styleId="IntenseQuote">
    <w:name w:val="Intense Quote"/>
    <w:basedOn w:val="Normal"/>
    <w:next w:val="Normal"/>
    <w:link w:val="IntenseQuoteChar"/>
    <w:uiPriority w:val="30"/>
    <w:semiHidden/>
    <w:qFormat/>
    <w:rsid w:val="001B40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353B1"/>
    <w:rPr>
      <w:rFonts w:ascii="Arial" w:hAnsi="Arial"/>
      <w:b/>
      <w:bCs/>
      <w:i/>
      <w:iCs/>
      <w:color w:val="4F81BD" w:themeColor="accent1"/>
      <w:szCs w:val="24"/>
    </w:rPr>
  </w:style>
  <w:style w:type="character" w:styleId="IntenseReference">
    <w:name w:val="Intense Reference"/>
    <w:basedOn w:val="DefaultParagraphFont"/>
    <w:uiPriority w:val="32"/>
    <w:semiHidden/>
    <w:qFormat/>
    <w:rsid w:val="001B4060"/>
    <w:rPr>
      <w:b/>
      <w:bCs/>
      <w:smallCaps/>
      <w:color w:val="C0504D" w:themeColor="accent2"/>
      <w:spacing w:val="5"/>
      <w:u w:val="single"/>
    </w:rPr>
  </w:style>
  <w:style w:type="table" w:styleId="LightGrid">
    <w:name w:val="Light Grid"/>
    <w:basedOn w:val="TableNormal"/>
    <w:uiPriority w:val="62"/>
    <w:semiHidden/>
    <w:rsid w:val="001B40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B40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1B406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1B40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1B40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1B406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1B406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1B40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B40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1B406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1B40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1B40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1B406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1B406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1B40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B40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1B40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1B40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1B40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1B40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1B40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2353B1"/>
  </w:style>
  <w:style w:type="paragraph" w:styleId="List">
    <w:name w:val="List"/>
    <w:basedOn w:val="Normal"/>
    <w:semiHidden/>
    <w:locked/>
    <w:rsid w:val="002353B1"/>
    <w:pPr>
      <w:ind w:left="283" w:hanging="283"/>
      <w:contextualSpacing/>
    </w:pPr>
  </w:style>
  <w:style w:type="paragraph" w:styleId="List2">
    <w:name w:val="List 2"/>
    <w:basedOn w:val="Normal"/>
    <w:semiHidden/>
    <w:locked/>
    <w:rsid w:val="002353B1"/>
    <w:pPr>
      <w:ind w:left="566" w:hanging="283"/>
      <w:contextualSpacing/>
    </w:pPr>
  </w:style>
  <w:style w:type="paragraph" w:styleId="List3">
    <w:name w:val="List 3"/>
    <w:basedOn w:val="Normal"/>
    <w:semiHidden/>
    <w:locked/>
    <w:rsid w:val="002353B1"/>
    <w:pPr>
      <w:ind w:left="849" w:hanging="283"/>
      <w:contextualSpacing/>
    </w:pPr>
  </w:style>
  <w:style w:type="paragraph" w:styleId="List4">
    <w:name w:val="List 4"/>
    <w:basedOn w:val="Normal"/>
    <w:semiHidden/>
    <w:locked/>
    <w:rsid w:val="002353B1"/>
    <w:pPr>
      <w:ind w:left="1132" w:hanging="283"/>
      <w:contextualSpacing/>
    </w:pPr>
  </w:style>
  <w:style w:type="paragraph" w:styleId="List5">
    <w:name w:val="List 5"/>
    <w:basedOn w:val="Normal"/>
    <w:semiHidden/>
    <w:locked/>
    <w:rsid w:val="002353B1"/>
    <w:pPr>
      <w:ind w:left="1415" w:hanging="283"/>
      <w:contextualSpacing/>
    </w:pPr>
  </w:style>
  <w:style w:type="paragraph" w:styleId="ListBullet">
    <w:name w:val="List Bullet"/>
    <w:basedOn w:val="Normal"/>
    <w:semiHidden/>
    <w:locked/>
    <w:rsid w:val="002353B1"/>
    <w:pPr>
      <w:numPr>
        <w:numId w:val="24"/>
      </w:numPr>
      <w:contextualSpacing/>
    </w:pPr>
  </w:style>
  <w:style w:type="paragraph" w:styleId="ListBullet2">
    <w:name w:val="List Bullet 2"/>
    <w:basedOn w:val="Normal"/>
    <w:semiHidden/>
    <w:locked/>
    <w:rsid w:val="002353B1"/>
    <w:pPr>
      <w:numPr>
        <w:numId w:val="25"/>
      </w:numPr>
      <w:contextualSpacing/>
    </w:pPr>
  </w:style>
  <w:style w:type="paragraph" w:styleId="ListBullet3">
    <w:name w:val="List Bullet 3"/>
    <w:basedOn w:val="Normal"/>
    <w:semiHidden/>
    <w:locked/>
    <w:rsid w:val="002353B1"/>
    <w:pPr>
      <w:numPr>
        <w:numId w:val="26"/>
      </w:numPr>
      <w:contextualSpacing/>
    </w:pPr>
  </w:style>
  <w:style w:type="paragraph" w:styleId="ListBullet4">
    <w:name w:val="List Bullet 4"/>
    <w:basedOn w:val="Normal"/>
    <w:semiHidden/>
    <w:locked/>
    <w:rsid w:val="002353B1"/>
    <w:pPr>
      <w:numPr>
        <w:numId w:val="27"/>
      </w:numPr>
      <w:contextualSpacing/>
    </w:pPr>
  </w:style>
  <w:style w:type="paragraph" w:styleId="ListBullet5">
    <w:name w:val="List Bullet 5"/>
    <w:basedOn w:val="Normal"/>
    <w:semiHidden/>
    <w:locked/>
    <w:rsid w:val="002353B1"/>
    <w:pPr>
      <w:numPr>
        <w:numId w:val="28"/>
      </w:numPr>
      <w:contextualSpacing/>
    </w:pPr>
  </w:style>
  <w:style w:type="paragraph" w:styleId="ListContinue">
    <w:name w:val="List Continue"/>
    <w:basedOn w:val="Normal"/>
    <w:semiHidden/>
    <w:locked/>
    <w:rsid w:val="002353B1"/>
    <w:pPr>
      <w:spacing w:after="120"/>
      <w:ind w:left="283"/>
      <w:contextualSpacing/>
    </w:pPr>
  </w:style>
  <w:style w:type="paragraph" w:styleId="ListContinue2">
    <w:name w:val="List Continue 2"/>
    <w:basedOn w:val="Normal"/>
    <w:semiHidden/>
    <w:locked/>
    <w:rsid w:val="002353B1"/>
    <w:pPr>
      <w:spacing w:after="120"/>
      <w:ind w:left="566"/>
      <w:contextualSpacing/>
    </w:pPr>
  </w:style>
  <w:style w:type="paragraph" w:styleId="ListContinue3">
    <w:name w:val="List Continue 3"/>
    <w:basedOn w:val="Normal"/>
    <w:semiHidden/>
    <w:locked/>
    <w:rsid w:val="002353B1"/>
    <w:pPr>
      <w:spacing w:after="120"/>
      <w:ind w:left="849"/>
      <w:contextualSpacing/>
    </w:pPr>
  </w:style>
  <w:style w:type="paragraph" w:styleId="ListContinue4">
    <w:name w:val="List Continue 4"/>
    <w:basedOn w:val="Normal"/>
    <w:semiHidden/>
    <w:locked/>
    <w:rsid w:val="002353B1"/>
    <w:pPr>
      <w:spacing w:after="120"/>
      <w:ind w:left="1132"/>
      <w:contextualSpacing/>
    </w:pPr>
  </w:style>
  <w:style w:type="paragraph" w:styleId="ListContinue5">
    <w:name w:val="List Continue 5"/>
    <w:basedOn w:val="Normal"/>
    <w:semiHidden/>
    <w:locked/>
    <w:rsid w:val="002353B1"/>
    <w:pPr>
      <w:spacing w:after="120"/>
      <w:ind w:left="1415"/>
      <w:contextualSpacing/>
    </w:pPr>
  </w:style>
  <w:style w:type="paragraph" w:styleId="ListNumber">
    <w:name w:val="List Number"/>
    <w:basedOn w:val="Normal"/>
    <w:semiHidden/>
    <w:locked/>
    <w:rsid w:val="002353B1"/>
    <w:pPr>
      <w:numPr>
        <w:numId w:val="29"/>
      </w:numPr>
      <w:contextualSpacing/>
    </w:pPr>
  </w:style>
  <w:style w:type="paragraph" w:styleId="ListNumber2">
    <w:name w:val="List Number 2"/>
    <w:basedOn w:val="Normal"/>
    <w:semiHidden/>
    <w:locked/>
    <w:rsid w:val="002353B1"/>
    <w:pPr>
      <w:numPr>
        <w:numId w:val="30"/>
      </w:numPr>
      <w:contextualSpacing/>
    </w:pPr>
  </w:style>
  <w:style w:type="paragraph" w:styleId="ListNumber3">
    <w:name w:val="List Number 3"/>
    <w:basedOn w:val="Normal"/>
    <w:semiHidden/>
    <w:locked/>
    <w:rsid w:val="002353B1"/>
    <w:pPr>
      <w:numPr>
        <w:numId w:val="31"/>
      </w:numPr>
      <w:contextualSpacing/>
    </w:pPr>
  </w:style>
  <w:style w:type="paragraph" w:styleId="ListNumber4">
    <w:name w:val="List Number 4"/>
    <w:basedOn w:val="Normal"/>
    <w:semiHidden/>
    <w:locked/>
    <w:rsid w:val="002353B1"/>
    <w:pPr>
      <w:numPr>
        <w:numId w:val="32"/>
      </w:numPr>
      <w:contextualSpacing/>
    </w:pPr>
  </w:style>
  <w:style w:type="paragraph" w:styleId="ListNumber5">
    <w:name w:val="List Number 5"/>
    <w:basedOn w:val="Normal"/>
    <w:semiHidden/>
    <w:locked/>
    <w:rsid w:val="002353B1"/>
    <w:pPr>
      <w:numPr>
        <w:numId w:val="33"/>
      </w:numPr>
      <w:contextualSpacing/>
    </w:pPr>
  </w:style>
  <w:style w:type="paragraph" w:styleId="MacroText">
    <w:name w:val="macro"/>
    <w:link w:val="MacroTextChar"/>
    <w:semiHidden/>
    <w:locked/>
    <w:rsid w:val="002353B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2353B1"/>
    <w:rPr>
      <w:rFonts w:ascii="Consolas" w:hAnsi="Consolas" w:cs="Consolas"/>
    </w:rPr>
  </w:style>
  <w:style w:type="table" w:styleId="MediumGrid1">
    <w:name w:val="Medium Grid 1"/>
    <w:basedOn w:val="TableNormal"/>
    <w:uiPriority w:val="67"/>
    <w:semiHidden/>
    <w:rsid w:val="001B40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B406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1B406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1B40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1B406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1B40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1B406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1B40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B40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B406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B406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B406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B406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B406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1B40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1B40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1B40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1B40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1B40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1B40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1B40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1B406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B406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1B406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1B406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1B406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1B406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1B406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1B40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B40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B406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B406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B406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B406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B406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1B40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B406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B406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B40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B406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B40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B406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B40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B40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B40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B40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B40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B40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B40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2353B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53B1"/>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B4060"/>
    <w:rPr>
      <w:rFonts w:ascii="Arial" w:hAnsi="Arial"/>
      <w:szCs w:val="24"/>
    </w:rPr>
  </w:style>
  <w:style w:type="paragraph" w:styleId="NormalWeb">
    <w:name w:val="Normal (Web)"/>
    <w:basedOn w:val="Normal"/>
    <w:semiHidden/>
    <w:locked/>
    <w:rsid w:val="002353B1"/>
    <w:rPr>
      <w:rFonts w:ascii="Times New Roman" w:hAnsi="Times New Roman"/>
      <w:sz w:val="24"/>
    </w:rPr>
  </w:style>
  <w:style w:type="paragraph" w:styleId="NormalIndent">
    <w:name w:val="Normal Indent"/>
    <w:basedOn w:val="Normal"/>
    <w:semiHidden/>
    <w:locked/>
    <w:rsid w:val="002353B1"/>
    <w:pPr>
      <w:ind w:left="720"/>
    </w:pPr>
  </w:style>
  <w:style w:type="paragraph" w:styleId="NoteHeading">
    <w:name w:val="Note Heading"/>
    <w:basedOn w:val="Normal"/>
    <w:next w:val="Normal"/>
    <w:link w:val="NoteHeadingChar"/>
    <w:semiHidden/>
    <w:locked/>
    <w:rsid w:val="002353B1"/>
  </w:style>
  <w:style w:type="character" w:customStyle="1" w:styleId="NoteHeadingChar">
    <w:name w:val="Note Heading Char"/>
    <w:basedOn w:val="DefaultParagraphFont"/>
    <w:link w:val="NoteHeading"/>
    <w:semiHidden/>
    <w:rsid w:val="002353B1"/>
    <w:rPr>
      <w:rFonts w:ascii="Arial" w:hAnsi="Arial"/>
      <w:szCs w:val="24"/>
    </w:rPr>
  </w:style>
  <w:style w:type="character" w:styleId="PageNumber">
    <w:name w:val="page number"/>
    <w:basedOn w:val="DefaultParagraphFont"/>
    <w:semiHidden/>
    <w:locked/>
    <w:rsid w:val="002353B1"/>
  </w:style>
  <w:style w:type="character" w:styleId="PlaceholderText">
    <w:name w:val="Placeholder Text"/>
    <w:basedOn w:val="DefaultParagraphFont"/>
    <w:uiPriority w:val="99"/>
    <w:semiHidden/>
    <w:rsid w:val="001B4060"/>
    <w:rPr>
      <w:color w:val="808080"/>
    </w:rPr>
  </w:style>
  <w:style w:type="paragraph" w:styleId="PlainText">
    <w:name w:val="Plain Text"/>
    <w:basedOn w:val="Normal"/>
    <w:link w:val="PlainTextChar"/>
    <w:semiHidden/>
    <w:locked/>
    <w:rsid w:val="002353B1"/>
    <w:rPr>
      <w:rFonts w:ascii="Consolas" w:hAnsi="Consolas" w:cs="Consolas"/>
      <w:sz w:val="21"/>
      <w:szCs w:val="21"/>
    </w:rPr>
  </w:style>
  <w:style w:type="character" w:customStyle="1" w:styleId="PlainTextChar">
    <w:name w:val="Plain Text Char"/>
    <w:basedOn w:val="DefaultParagraphFont"/>
    <w:link w:val="PlainText"/>
    <w:semiHidden/>
    <w:rsid w:val="002353B1"/>
    <w:rPr>
      <w:rFonts w:ascii="Consolas" w:hAnsi="Consolas" w:cs="Consolas"/>
      <w:sz w:val="21"/>
      <w:szCs w:val="21"/>
    </w:rPr>
  </w:style>
  <w:style w:type="paragraph" w:styleId="Quote">
    <w:name w:val="Quote"/>
    <w:basedOn w:val="Normal"/>
    <w:next w:val="Normal"/>
    <w:link w:val="QuoteChar"/>
    <w:uiPriority w:val="29"/>
    <w:semiHidden/>
    <w:qFormat/>
    <w:rsid w:val="001B4060"/>
    <w:rPr>
      <w:i/>
      <w:iCs/>
      <w:color w:val="000000" w:themeColor="text1"/>
    </w:rPr>
  </w:style>
  <w:style w:type="character" w:customStyle="1" w:styleId="QuoteChar">
    <w:name w:val="Quote Char"/>
    <w:basedOn w:val="DefaultParagraphFont"/>
    <w:link w:val="Quote"/>
    <w:uiPriority w:val="29"/>
    <w:semiHidden/>
    <w:rsid w:val="002353B1"/>
    <w:rPr>
      <w:rFonts w:ascii="Arial" w:hAnsi="Arial"/>
      <w:i/>
      <w:iCs/>
      <w:color w:val="000000" w:themeColor="text1"/>
      <w:szCs w:val="24"/>
    </w:rPr>
  </w:style>
  <w:style w:type="paragraph" w:styleId="Salutation">
    <w:name w:val="Salutation"/>
    <w:basedOn w:val="Normal"/>
    <w:next w:val="Normal"/>
    <w:link w:val="SalutationChar"/>
    <w:semiHidden/>
    <w:locked/>
    <w:rsid w:val="002353B1"/>
  </w:style>
  <w:style w:type="character" w:customStyle="1" w:styleId="SalutationChar">
    <w:name w:val="Salutation Char"/>
    <w:basedOn w:val="DefaultParagraphFont"/>
    <w:link w:val="Salutation"/>
    <w:semiHidden/>
    <w:rsid w:val="002353B1"/>
    <w:rPr>
      <w:rFonts w:ascii="Arial" w:hAnsi="Arial"/>
      <w:szCs w:val="24"/>
    </w:rPr>
  </w:style>
  <w:style w:type="paragraph" w:styleId="Signature">
    <w:name w:val="Signature"/>
    <w:basedOn w:val="Normal"/>
    <w:link w:val="SignatureChar"/>
    <w:semiHidden/>
    <w:locked/>
    <w:rsid w:val="002353B1"/>
    <w:pPr>
      <w:ind w:left="4252"/>
    </w:pPr>
  </w:style>
  <w:style w:type="character" w:customStyle="1" w:styleId="SignatureChar">
    <w:name w:val="Signature Char"/>
    <w:basedOn w:val="DefaultParagraphFont"/>
    <w:link w:val="Signature"/>
    <w:semiHidden/>
    <w:rsid w:val="002353B1"/>
    <w:rPr>
      <w:rFonts w:ascii="Arial" w:hAnsi="Arial"/>
      <w:szCs w:val="24"/>
    </w:rPr>
  </w:style>
  <w:style w:type="character" w:styleId="Strong">
    <w:name w:val="Strong"/>
    <w:basedOn w:val="DefaultParagraphFont"/>
    <w:semiHidden/>
    <w:qFormat/>
    <w:locked/>
    <w:rsid w:val="002353B1"/>
    <w:rPr>
      <w:b/>
      <w:bCs/>
    </w:rPr>
  </w:style>
  <w:style w:type="paragraph" w:styleId="Subtitle">
    <w:name w:val="Subtitle"/>
    <w:basedOn w:val="Normal"/>
    <w:next w:val="Normal"/>
    <w:link w:val="SubtitleChar"/>
    <w:semiHidden/>
    <w:qFormat/>
    <w:locked/>
    <w:rsid w:val="002353B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2353B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1B4060"/>
    <w:rPr>
      <w:i/>
      <w:iCs/>
      <w:color w:val="808080" w:themeColor="text1" w:themeTint="7F"/>
    </w:rPr>
  </w:style>
  <w:style w:type="character" w:styleId="SubtleReference">
    <w:name w:val="Subtle Reference"/>
    <w:basedOn w:val="DefaultParagraphFont"/>
    <w:uiPriority w:val="31"/>
    <w:semiHidden/>
    <w:qFormat/>
    <w:rsid w:val="001B4060"/>
    <w:rPr>
      <w:smallCaps/>
      <w:color w:val="C0504D" w:themeColor="accent2"/>
      <w:u w:val="single"/>
    </w:rPr>
  </w:style>
  <w:style w:type="table" w:styleId="Table3Deffects1">
    <w:name w:val="Table 3D effects 1"/>
    <w:basedOn w:val="TableNormal"/>
    <w:semiHidden/>
    <w:locked/>
    <w:rsid w:val="002353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2353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2353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2353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2353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2353B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2353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2353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2353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2353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2353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2353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2353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2353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2353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2353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2353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2353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2353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2353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2353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2353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2353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2353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2353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2353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2353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2353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2353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2353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2353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2353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2353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2353B1"/>
    <w:pPr>
      <w:ind w:left="200" w:hanging="200"/>
    </w:pPr>
  </w:style>
  <w:style w:type="paragraph" w:styleId="TableofFigures">
    <w:name w:val="table of figures"/>
    <w:basedOn w:val="Normal"/>
    <w:next w:val="Normal"/>
    <w:semiHidden/>
    <w:locked/>
    <w:rsid w:val="002353B1"/>
  </w:style>
  <w:style w:type="table" w:styleId="TableProfessional">
    <w:name w:val="Table Professional"/>
    <w:basedOn w:val="TableNormal"/>
    <w:semiHidden/>
    <w:locked/>
    <w:rsid w:val="002353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2353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2353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2353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2353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2353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235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2353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2353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2353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2353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2353B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2353B1"/>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2353B1"/>
    <w:pPr>
      <w:spacing w:after="100"/>
    </w:pPr>
  </w:style>
  <w:style w:type="paragraph" w:styleId="TOC2">
    <w:name w:val="toc 2"/>
    <w:basedOn w:val="Normal"/>
    <w:next w:val="Normal"/>
    <w:autoRedefine/>
    <w:semiHidden/>
    <w:locked/>
    <w:rsid w:val="002353B1"/>
    <w:pPr>
      <w:spacing w:after="100"/>
      <w:ind w:left="200"/>
    </w:pPr>
  </w:style>
  <w:style w:type="paragraph" w:styleId="TOC3">
    <w:name w:val="toc 3"/>
    <w:basedOn w:val="Normal"/>
    <w:next w:val="Normal"/>
    <w:autoRedefine/>
    <w:semiHidden/>
    <w:locked/>
    <w:rsid w:val="002353B1"/>
    <w:pPr>
      <w:spacing w:after="100"/>
      <w:ind w:left="400"/>
    </w:pPr>
  </w:style>
  <w:style w:type="paragraph" w:styleId="TOC4">
    <w:name w:val="toc 4"/>
    <w:basedOn w:val="Normal"/>
    <w:next w:val="Normal"/>
    <w:autoRedefine/>
    <w:semiHidden/>
    <w:locked/>
    <w:rsid w:val="002353B1"/>
    <w:pPr>
      <w:spacing w:after="100"/>
      <w:ind w:left="600"/>
    </w:pPr>
  </w:style>
  <w:style w:type="paragraph" w:styleId="TOC5">
    <w:name w:val="toc 5"/>
    <w:basedOn w:val="Normal"/>
    <w:next w:val="Normal"/>
    <w:autoRedefine/>
    <w:semiHidden/>
    <w:locked/>
    <w:rsid w:val="002353B1"/>
    <w:pPr>
      <w:spacing w:after="100"/>
      <w:ind w:left="800"/>
    </w:pPr>
  </w:style>
  <w:style w:type="paragraph" w:styleId="TOC6">
    <w:name w:val="toc 6"/>
    <w:basedOn w:val="Normal"/>
    <w:next w:val="Normal"/>
    <w:autoRedefine/>
    <w:semiHidden/>
    <w:locked/>
    <w:rsid w:val="002353B1"/>
    <w:pPr>
      <w:spacing w:after="100"/>
      <w:ind w:left="1000"/>
    </w:pPr>
  </w:style>
  <w:style w:type="paragraph" w:styleId="TOC7">
    <w:name w:val="toc 7"/>
    <w:basedOn w:val="Normal"/>
    <w:next w:val="Normal"/>
    <w:autoRedefine/>
    <w:semiHidden/>
    <w:locked/>
    <w:rsid w:val="002353B1"/>
    <w:pPr>
      <w:spacing w:after="100"/>
      <w:ind w:left="1200"/>
    </w:pPr>
  </w:style>
  <w:style w:type="paragraph" w:styleId="TOC8">
    <w:name w:val="toc 8"/>
    <w:basedOn w:val="Normal"/>
    <w:next w:val="Normal"/>
    <w:autoRedefine/>
    <w:semiHidden/>
    <w:locked/>
    <w:rsid w:val="002353B1"/>
    <w:pPr>
      <w:spacing w:after="100"/>
      <w:ind w:left="1400"/>
    </w:pPr>
  </w:style>
  <w:style w:type="paragraph" w:styleId="TOC9">
    <w:name w:val="toc 9"/>
    <w:basedOn w:val="Normal"/>
    <w:next w:val="Normal"/>
    <w:autoRedefine/>
    <w:semiHidden/>
    <w:locked/>
    <w:rsid w:val="002353B1"/>
    <w:pPr>
      <w:spacing w:after="100"/>
      <w:ind w:left="1600"/>
    </w:pPr>
  </w:style>
  <w:style w:type="paragraph" w:styleId="TOCHeading">
    <w:name w:val="TOC Heading"/>
    <w:basedOn w:val="Heading1"/>
    <w:next w:val="Normal"/>
    <w:uiPriority w:val="39"/>
    <w:unhideWhenUsed/>
    <w:qFormat/>
    <w:rsid w:val="001B406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1B4060"/>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1B4060"/>
    <w:rPr>
      <w:i/>
    </w:rPr>
  </w:style>
  <w:style w:type="character" w:customStyle="1" w:styleId="QPPTableTextITALICChar">
    <w:name w:val="QPP Table Text ITALIC Char"/>
    <w:basedOn w:val="QPPTableTextBodyChar"/>
    <w:link w:val="QPPTableTextITALIC"/>
    <w:rsid w:val="002353B1"/>
    <w:rPr>
      <w:rFonts w:ascii="Arial" w:hAnsi="Arial" w:cs="Arial"/>
      <w:i/>
      <w:color w:val="000000"/>
    </w:rPr>
  </w:style>
  <w:style w:type="character" w:customStyle="1" w:styleId="HyperlinkITALIC">
    <w:name w:val="Hyperlink ITALIC"/>
    <w:basedOn w:val="Hyperlink"/>
    <w:uiPriority w:val="1"/>
    <w:rsid w:val="001B4060"/>
    <w:rPr>
      <w:i/>
      <w:color w:val="0000FF"/>
      <w:u w:val="single"/>
    </w:rPr>
  </w:style>
  <w:style w:type="paragraph" w:styleId="Revision">
    <w:name w:val="Revision"/>
    <w:hidden/>
    <w:uiPriority w:val="99"/>
    <w:semiHidden/>
    <w:rsid w:val="008B3B02"/>
    <w:rPr>
      <w:rFonts w:ascii="Arial" w:hAnsi="Arial"/>
      <w:szCs w:val="24"/>
    </w:rPr>
  </w:style>
  <w:style w:type="table" w:customStyle="1" w:styleId="QPPTableGrid">
    <w:name w:val="QPP Table Grid"/>
    <w:basedOn w:val="TableNormal"/>
    <w:uiPriority w:val="99"/>
    <w:rsid w:val="001B406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90315">
      <w:bodyDiv w:val="1"/>
      <w:marLeft w:val="0"/>
      <w:marRight w:val="0"/>
      <w:marTop w:val="0"/>
      <w:marBottom w:val="0"/>
      <w:divBdr>
        <w:top w:val="none" w:sz="0" w:space="0" w:color="auto"/>
        <w:left w:val="none" w:sz="0" w:space="0" w:color="auto"/>
        <w:bottom w:val="none" w:sz="0" w:space="0" w:color="auto"/>
        <w:right w:val="none" w:sz="0" w:space="0" w:color="auto"/>
      </w:divBdr>
    </w:div>
    <w:div w:id="1661693609">
      <w:bodyDiv w:val="1"/>
      <w:marLeft w:val="0"/>
      <w:marRight w:val="0"/>
      <w:marTop w:val="0"/>
      <w:marBottom w:val="0"/>
      <w:divBdr>
        <w:top w:val="none" w:sz="0" w:space="0" w:color="auto"/>
        <w:left w:val="none" w:sz="0" w:space="0" w:color="auto"/>
        <w:bottom w:val="none" w:sz="0" w:space="0" w:color="auto"/>
        <w:right w:val="none" w:sz="0" w:space="0" w:color="auto"/>
      </w:divBdr>
    </w:div>
    <w:div w:id="20763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ServiceStationCode.docx" TargetMode="External"/><Relationship Id="rId18" Type="http://schemas.openxmlformats.org/officeDocument/2006/relationships/hyperlink" Target="http://infostore.saiglobal.com/store/details.aspx?ProductID=243203" TargetMode="External"/><Relationship Id="rId26" Type="http://schemas.openxmlformats.org/officeDocument/2006/relationships/hyperlink" Target="http://infostore.saiglobal.com/store/details.aspx?ProductID=524827" TargetMode="External"/><Relationship Id="rId21" Type="http://schemas.openxmlformats.org/officeDocument/2006/relationships/hyperlink" Target="http://infostore.saiglobal.com/store/details.aspx?ProductID=243203" TargetMode="External"/><Relationship Id="rId34" Type="http://schemas.openxmlformats.org/officeDocument/2006/relationships/footer" Target="footer2.xml"/><Relationship Id="rId7" Type="http://schemas.openxmlformats.org/officeDocument/2006/relationships/hyperlink" Target="IndustryCode.docx" TargetMode="External"/><Relationship Id="rId12" Type="http://schemas.openxmlformats.org/officeDocument/2006/relationships/hyperlink" Target="ServiceStationCode.docx" TargetMode="External"/><Relationship Id="rId17" Type="http://schemas.openxmlformats.org/officeDocument/2006/relationships/hyperlink" Target="http://infostore.saiglobal.com/store/details.aspx?ProductID=253546" TargetMode="External"/><Relationship Id="rId25" Type="http://schemas.openxmlformats.org/officeDocument/2006/relationships/hyperlink" Target="http://infostore.saiglobal.com/store/details.aspx?ProductID=253546"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infostore.saiglobal.com/store/details.aspx?ProductID=253546" TargetMode="External"/><Relationship Id="rId29" Type="http://schemas.openxmlformats.org/officeDocument/2006/relationships/hyperlink" Target="http://infostore.saiglobal.com/store/details.aspx?ProductID=3669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erviceStationCode.docx" TargetMode="External"/><Relationship Id="rId24" Type="http://schemas.openxmlformats.org/officeDocument/2006/relationships/hyperlink" Target="http://infostore.saiglobal.com/store/details.aspx?ProductID=253546"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infostore.saiglobal.com/store/details.aspx?ProductID=253546" TargetMode="External"/><Relationship Id="rId28" Type="http://schemas.openxmlformats.org/officeDocument/2006/relationships/hyperlink" Target="http://infostore.saiglobal.com/store/Details.aspx?docn=supr000000033" TargetMode="External"/><Relationship Id="rId36" Type="http://schemas.openxmlformats.org/officeDocument/2006/relationships/footer" Target="footer3.xml"/><Relationship Id="rId10" Type="http://schemas.openxmlformats.org/officeDocument/2006/relationships/hyperlink" Target="ServiceStationCode.docx" TargetMode="External"/><Relationship Id="rId19" Type="http://schemas.openxmlformats.org/officeDocument/2006/relationships/hyperlink" Target="http://infostore.saiglobal.com/store/details.aspx?ProductID=519079"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IndustryCode.docx" TargetMode="External"/><Relationship Id="rId14" Type="http://schemas.openxmlformats.org/officeDocument/2006/relationships/image" Target="media/image1.png"/><Relationship Id="rId22" Type="http://schemas.openxmlformats.org/officeDocument/2006/relationships/hyperlink" Target="http://infostore.saiglobal.com/store/details.aspx?ProductID=253546" TargetMode="External"/><Relationship Id="rId27" Type="http://schemas.openxmlformats.org/officeDocument/2006/relationships/hyperlink" Target="http://infostore.saiglobal.com/store/details.aspx?ProductID=996679" TargetMode="External"/><Relationship Id="rId30" Type="http://schemas.openxmlformats.org/officeDocument/2006/relationships/hyperlink" Target="http://infostore.saiglobal.com/store/details.aspx?ProductID=1382662" TargetMode="External"/><Relationship Id="rId35" Type="http://schemas.openxmlformats.org/officeDocument/2006/relationships/header" Target="header3.xml"/><Relationship Id="rId8" Type="http://schemas.openxmlformats.org/officeDocument/2006/relationships/hyperlink" Target="IndustryCode.docx"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417</TotalTime>
  <Pages>8</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LOCAL PLAN CODE CONTENT</vt:lpstr>
    </vt:vector>
  </TitlesOfParts>
  <Company>Brisbane City Council</Company>
  <LinksUpToDate>false</LinksUpToDate>
  <CharactersWithSpaces>24515</CharactersWithSpaces>
  <SharedDoc>false</SharedDoc>
  <HLinks>
    <vt:vector size="378" baseType="variant">
      <vt:variant>
        <vt:i4>524294</vt:i4>
      </vt:variant>
      <vt:variant>
        <vt:i4>186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180</vt:i4>
      </vt:variant>
      <vt:variant>
        <vt:i4>0</vt:i4>
      </vt:variant>
      <vt:variant>
        <vt:i4>5</vt:i4>
      </vt:variant>
      <vt:variant>
        <vt:lpwstr>http://www.brisbane.qld.gov.au/planning-building/planning-guidelines-and-tools/brisbanes-new-city-plan/draft-new-city-plan-mapping/index.htm</vt:lpwstr>
      </vt:variant>
      <vt:variant>
        <vt:lpwstr/>
      </vt:variant>
      <vt:variant>
        <vt:i4>1179655</vt:i4>
      </vt:variant>
      <vt:variant>
        <vt:i4>177</vt:i4>
      </vt:variant>
      <vt:variant>
        <vt:i4>0</vt:i4>
      </vt:variant>
      <vt:variant>
        <vt:i4>5</vt:i4>
      </vt:variant>
      <vt:variant>
        <vt:lpwstr>../Schedule 1 - Definitions/Definitions.doc</vt:lpwstr>
      </vt:variant>
      <vt:variant>
        <vt:lpwstr>BuildingHeight</vt:lpwstr>
      </vt:variant>
      <vt:variant>
        <vt:i4>786454</vt:i4>
      </vt:variant>
      <vt:variant>
        <vt:i4>174</vt:i4>
      </vt:variant>
      <vt:variant>
        <vt:i4>0</vt:i4>
      </vt:variant>
      <vt:variant>
        <vt:i4>5</vt:i4>
      </vt:variant>
      <vt:variant>
        <vt:lpwstr>../Schedule 1 - Definitions/Definitions.doc</vt:lpwstr>
      </vt:variant>
      <vt:variant>
        <vt:lpwstr>Storey</vt:lpwstr>
      </vt:variant>
      <vt:variant>
        <vt:i4>524294</vt:i4>
      </vt:variant>
      <vt:variant>
        <vt:i4>171</vt:i4>
      </vt:variant>
      <vt:variant>
        <vt:i4>0</vt:i4>
      </vt:variant>
      <vt:variant>
        <vt:i4>5</vt:i4>
      </vt:variant>
      <vt:variant>
        <vt:lpwstr>http://www.brisbane.qld.gov.au/planning-building/planning-guidelines-and-tools/brisbanes-new-city-plan/draft-new-city-plan-mapping/index.htm</vt:lpwstr>
      </vt:variant>
      <vt:variant>
        <vt:lpwstr/>
      </vt:variant>
      <vt:variant>
        <vt:i4>6488182</vt:i4>
      </vt:variant>
      <vt:variant>
        <vt:i4>168</vt:i4>
      </vt:variant>
      <vt:variant>
        <vt:i4>0</vt:i4>
      </vt:variant>
      <vt:variant>
        <vt:i4>5</vt:i4>
      </vt:variant>
      <vt:variant>
        <vt:lpwstr>../Schedule 1 - Definitions/Definitions.doc</vt:lpwstr>
      </vt:variant>
      <vt:variant>
        <vt:lpwstr>PlotRatio</vt:lpwstr>
      </vt:variant>
      <vt:variant>
        <vt:i4>786454</vt:i4>
      </vt:variant>
      <vt:variant>
        <vt:i4>165</vt:i4>
      </vt:variant>
      <vt:variant>
        <vt:i4>0</vt:i4>
      </vt:variant>
      <vt:variant>
        <vt:i4>5</vt:i4>
      </vt:variant>
      <vt:variant>
        <vt:lpwstr>../Schedule 1 - Definitions/Definitions.doc</vt:lpwstr>
      </vt:variant>
      <vt:variant>
        <vt:lpwstr>Storey</vt:lpwstr>
      </vt:variant>
      <vt:variant>
        <vt:i4>1507337</vt:i4>
      </vt:variant>
      <vt:variant>
        <vt:i4>162</vt:i4>
      </vt:variant>
      <vt:variant>
        <vt:i4>0</vt:i4>
      </vt:variant>
      <vt:variant>
        <vt:i4>5</vt:i4>
      </vt:variant>
      <vt:variant>
        <vt:lpwstr>../Schedule 1 - Definitions/Definitions.doc</vt:lpwstr>
      </vt:variant>
      <vt:variant>
        <vt:lpwstr>Setback</vt:lpwstr>
      </vt:variant>
      <vt:variant>
        <vt:i4>1179655</vt:i4>
      </vt:variant>
      <vt:variant>
        <vt:i4>159</vt:i4>
      </vt:variant>
      <vt:variant>
        <vt:i4>0</vt:i4>
      </vt:variant>
      <vt:variant>
        <vt:i4>5</vt:i4>
      </vt:variant>
      <vt:variant>
        <vt:lpwstr>../Schedule 1 - Definitions/Definitions.doc</vt:lpwstr>
      </vt:variant>
      <vt:variant>
        <vt:lpwstr>BuildingHeight</vt:lpwstr>
      </vt:variant>
      <vt:variant>
        <vt:i4>1507337</vt:i4>
      </vt:variant>
      <vt:variant>
        <vt:i4>156</vt:i4>
      </vt:variant>
      <vt:variant>
        <vt:i4>0</vt:i4>
      </vt:variant>
      <vt:variant>
        <vt:i4>5</vt:i4>
      </vt:variant>
      <vt:variant>
        <vt:lpwstr>../Schedule 1 - Definitions/Definitions.doc</vt:lpwstr>
      </vt:variant>
      <vt:variant>
        <vt:lpwstr>Setback</vt:lpwstr>
      </vt:variant>
      <vt:variant>
        <vt:i4>6488182</vt:i4>
      </vt:variant>
      <vt:variant>
        <vt:i4>153</vt:i4>
      </vt:variant>
      <vt:variant>
        <vt:i4>0</vt:i4>
      </vt:variant>
      <vt:variant>
        <vt:i4>5</vt:i4>
      </vt:variant>
      <vt:variant>
        <vt:lpwstr>../Schedule 1 - Definitions/Definitions.doc</vt:lpwstr>
      </vt:variant>
      <vt:variant>
        <vt:lpwstr>PlotRatio</vt:lpwstr>
      </vt:variant>
      <vt:variant>
        <vt:i4>786454</vt:i4>
      </vt:variant>
      <vt:variant>
        <vt:i4>150</vt:i4>
      </vt:variant>
      <vt:variant>
        <vt:i4>0</vt:i4>
      </vt:variant>
      <vt:variant>
        <vt:i4>5</vt:i4>
      </vt:variant>
      <vt:variant>
        <vt:lpwstr>../Schedule 1 - Definitions/Definitions.doc</vt:lpwstr>
      </vt:variant>
      <vt:variant>
        <vt:lpwstr>Storey</vt:lpwstr>
      </vt:variant>
      <vt:variant>
        <vt:i4>7929971</vt:i4>
      </vt:variant>
      <vt:variant>
        <vt:i4>147</vt:i4>
      </vt:variant>
      <vt:variant>
        <vt:i4>0</vt:i4>
      </vt:variant>
      <vt:variant>
        <vt:i4>5</vt:i4>
      </vt:variant>
      <vt:variant>
        <vt:lpwstr/>
      </vt:variant>
      <vt:variant>
        <vt:lpwstr>Figurea</vt:lpwstr>
      </vt:variant>
      <vt:variant>
        <vt:i4>7929965</vt:i4>
      </vt:variant>
      <vt:variant>
        <vt:i4>144</vt:i4>
      </vt:variant>
      <vt:variant>
        <vt:i4>0</vt:i4>
      </vt:variant>
      <vt:variant>
        <vt:i4>5</vt:i4>
      </vt:variant>
      <vt:variant>
        <vt:lpwstr>../Schedule 1 - Definitions/Definitions.doc</vt:lpwstr>
      </vt:variant>
      <vt:variant>
        <vt:lpwstr>Park</vt:lpwstr>
      </vt:variant>
      <vt:variant>
        <vt:i4>7929971</vt:i4>
      </vt:variant>
      <vt:variant>
        <vt:i4>141</vt:i4>
      </vt:variant>
      <vt:variant>
        <vt:i4>0</vt:i4>
      </vt:variant>
      <vt:variant>
        <vt:i4>5</vt:i4>
      </vt:variant>
      <vt:variant>
        <vt:lpwstr/>
      </vt:variant>
      <vt:variant>
        <vt:lpwstr>Figurea</vt:lpwstr>
      </vt:variant>
      <vt:variant>
        <vt:i4>7929965</vt:i4>
      </vt:variant>
      <vt:variant>
        <vt:i4>138</vt:i4>
      </vt:variant>
      <vt:variant>
        <vt:i4>0</vt:i4>
      </vt:variant>
      <vt:variant>
        <vt:i4>5</vt:i4>
      </vt:variant>
      <vt:variant>
        <vt:lpwstr>../Schedule 1 - Definitions/Definitions.doc</vt:lpwstr>
      </vt:variant>
      <vt:variant>
        <vt:lpwstr>Park</vt:lpwstr>
      </vt:variant>
      <vt:variant>
        <vt:i4>1179655</vt:i4>
      </vt:variant>
      <vt:variant>
        <vt:i4>135</vt:i4>
      </vt:variant>
      <vt:variant>
        <vt:i4>0</vt:i4>
      </vt:variant>
      <vt:variant>
        <vt:i4>5</vt:i4>
      </vt:variant>
      <vt:variant>
        <vt:lpwstr>../Schedule 1 - Definitions/Definitions.doc</vt:lpwstr>
      </vt:variant>
      <vt:variant>
        <vt:lpwstr>BuildingHeight</vt:lpwstr>
      </vt:variant>
      <vt:variant>
        <vt:i4>786454</vt:i4>
      </vt:variant>
      <vt:variant>
        <vt:i4>132</vt:i4>
      </vt:variant>
      <vt:variant>
        <vt:i4>0</vt:i4>
      </vt:variant>
      <vt:variant>
        <vt:i4>5</vt:i4>
      </vt:variant>
      <vt:variant>
        <vt:lpwstr>../Schedule 1 - Definitions/Definitions.doc</vt:lpwstr>
      </vt:variant>
      <vt:variant>
        <vt:lpwstr>Storey</vt:lpwstr>
      </vt:variant>
      <vt:variant>
        <vt:i4>3211296</vt:i4>
      </vt:variant>
      <vt:variant>
        <vt:i4>129</vt:i4>
      </vt:variant>
      <vt:variant>
        <vt:i4>0</vt:i4>
      </vt:variant>
      <vt:variant>
        <vt:i4>5</vt:i4>
      </vt:variant>
      <vt:variant>
        <vt:lpwstr>BowenHillsLP.doc</vt:lpwstr>
      </vt:variant>
      <vt:variant>
        <vt:lpwstr>Table72223b</vt:lpwstr>
      </vt:variant>
      <vt:variant>
        <vt:i4>1179655</vt:i4>
      </vt:variant>
      <vt:variant>
        <vt:i4>126</vt:i4>
      </vt:variant>
      <vt:variant>
        <vt:i4>0</vt:i4>
      </vt:variant>
      <vt:variant>
        <vt:i4>5</vt:i4>
      </vt:variant>
      <vt:variant>
        <vt:lpwstr>../Schedule 1 - Definitions/Definitions.doc</vt:lpwstr>
      </vt:variant>
      <vt:variant>
        <vt:lpwstr>BuildingHeight</vt:lpwstr>
      </vt:variant>
      <vt:variant>
        <vt:i4>786454</vt:i4>
      </vt:variant>
      <vt:variant>
        <vt:i4>123</vt:i4>
      </vt:variant>
      <vt:variant>
        <vt:i4>0</vt:i4>
      </vt:variant>
      <vt:variant>
        <vt:i4>5</vt:i4>
      </vt:variant>
      <vt:variant>
        <vt:lpwstr>../Schedule 1 - Definitions/Definitions.doc</vt:lpwstr>
      </vt:variant>
      <vt:variant>
        <vt:lpwstr>Storey</vt:lpwstr>
      </vt:variant>
      <vt:variant>
        <vt:i4>262146</vt:i4>
      </vt:variant>
      <vt:variant>
        <vt:i4>120</vt:i4>
      </vt:variant>
      <vt:variant>
        <vt:i4>0</vt:i4>
      </vt:variant>
      <vt:variant>
        <vt:i4>5</vt:i4>
      </vt:variant>
      <vt:variant>
        <vt:lpwstr>../Schedule 1 - Definitions/Definitions.doc</vt:lpwstr>
      </vt:variant>
      <vt:variant>
        <vt:lpwstr>Amenity</vt:lpwstr>
      </vt:variant>
      <vt:variant>
        <vt:i4>1245196</vt:i4>
      </vt:variant>
      <vt:variant>
        <vt:i4>117</vt:i4>
      </vt:variant>
      <vt:variant>
        <vt:i4>0</vt:i4>
      </vt:variant>
      <vt:variant>
        <vt:i4>5</vt:i4>
      </vt:variant>
      <vt:variant>
        <vt:lpwstr>../Schedule 1 - Definitions/Definitions.doc</vt:lpwstr>
      </vt:variant>
      <vt:variant>
        <vt:lpwstr>CommunityFacilities</vt:lpwstr>
      </vt:variant>
      <vt:variant>
        <vt:i4>1179655</vt:i4>
      </vt:variant>
      <vt:variant>
        <vt:i4>114</vt:i4>
      </vt:variant>
      <vt:variant>
        <vt:i4>0</vt:i4>
      </vt:variant>
      <vt:variant>
        <vt:i4>5</vt:i4>
      </vt:variant>
      <vt:variant>
        <vt:lpwstr>../Schedule 1 - Definitions/Definitions.doc</vt:lpwstr>
      </vt:variant>
      <vt:variant>
        <vt:lpwstr>BuildingHeight</vt:lpwstr>
      </vt:variant>
      <vt:variant>
        <vt:i4>786454</vt:i4>
      </vt:variant>
      <vt:variant>
        <vt:i4>111</vt:i4>
      </vt:variant>
      <vt:variant>
        <vt:i4>0</vt:i4>
      </vt:variant>
      <vt:variant>
        <vt:i4>5</vt:i4>
      </vt:variant>
      <vt:variant>
        <vt:lpwstr>../Schedule 1 - Definitions/Definitions.doc</vt:lpwstr>
      </vt:variant>
      <vt:variant>
        <vt:lpwstr>Storey</vt:lpwstr>
      </vt:variant>
      <vt:variant>
        <vt:i4>786454</vt:i4>
      </vt:variant>
      <vt:variant>
        <vt:i4>108</vt:i4>
      </vt:variant>
      <vt:variant>
        <vt:i4>0</vt:i4>
      </vt:variant>
      <vt:variant>
        <vt:i4>5</vt:i4>
      </vt:variant>
      <vt:variant>
        <vt:lpwstr>../Schedule 1 - Definitions/Definitions.doc</vt:lpwstr>
      </vt:variant>
      <vt:variant>
        <vt:lpwstr>Storey</vt:lpwstr>
      </vt:variant>
      <vt:variant>
        <vt:i4>262146</vt:i4>
      </vt:variant>
      <vt:variant>
        <vt:i4>105</vt:i4>
      </vt:variant>
      <vt:variant>
        <vt:i4>0</vt:i4>
      </vt:variant>
      <vt:variant>
        <vt:i4>5</vt:i4>
      </vt:variant>
      <vt:variant>
        <vt:lpwstr>../Schedule 1 - Definitions/Definitions.doc</vt:lpwstr>
      </vt:variant>
      <vt:variant>
        <vt:lpwstr>Amenity</vt:lpwstr>
      </vt:variant>
      <vt:variant>
        <vt:i4>1507337</vt:i4>
      </vt:variant>
      <vt:variant>
        <vt:i4>102</vt:i4>
      </vt:variant>
      <vt:variant>
        <vt:i4>0</vt:i4>
      </vt:variant>
      <vt:variant>
        <vt:i4>5</vt:i4>
      </vt:variant>
      <vt:variant>
        <vt:lpwstr>../Schedule 1 - Definitions/Definitions.doc</vt:lpwstr>
      </vt:variant>
      <vt:variant>
        <vt:lpwstr>Setback</vt:lpwstr>
      </vt:variant>
      <vt:variant>
        <vt:i4>7012467</vt:i4>
      </vt:variant>
      <vt:variant>
        <vt:i4>99</vt:i4>
      </vt:variant>
      <vt:variant>
        <vt:i4>0</vt:i4>
      </vt:variant>
      <vt:variant>
        <vt:i4>5</vt:i4>
      </vt:variant>
      <vt:variant>
        <vt:lpwstr>../Schedule 1 - Definitions/Definitions.doc</vt:lpwstr>
      </vt:variant>
      <vt:variant>
        <vt:lpwstr>Shop</vt:lpwstr>
      </vt:variant>
      <vt:variant>
        <vt:i4>2031629</vt:i4>
      </vt:variant>
      <vt:variant>
        <vt:i4>96</vt:i4>
      </vt:variant>
      <vt:variant>
        <vt:i4>0</vt:i4>
      </vt:variant>
      <vt:variant>
        <vt:i4>5</vt:i4>
      </vt:variant>
      <vt:variant>
        <vt:lpwstr>../Schedule 1 - Definitions/Definitions.doc</vt:lpwstr>
      </vt:variant>
      <vt:variant>
        <vt:lpwstr>Lowimpactindustryusedef</vt:lpwstr>
      </vt:variant>
      <vt:variant>
        <vt:i4>7209070</vt:i4>
      </vt:variant>
      <vt:variant>
        <vt:i4>93</vt:i4>
      </vt:variant>
      <vt:variant>
        <vt:i4>0</vt:i4>
      </vt:variant>
      <vt:variant>
        <vt:i4>5</vt:i4>
      </vt:variant>
      <vt:variant>
        <vt:lpwstr>../Schedule 1 - Definitions/Definitions.doc</vt:lpwstr>
      </vt:variant>
      <vt:variant>
        <vt:lpwstr>Showroom</vt:lpwstr>
      </vt:variant>
      <vt:variant>
        <vt:i4>2031629</vt:i4>
      </vt:variant>
      <vt:variant>
        <vt:i4>90</vt:i4>
      </vt:variant>
      <vt:variant>
        <vt:i4>0</vt:i4>
      </vt:variant>
      <vt:variant>
        <vt:i4>5</vt:i4>
      </vt:variant>
      <vt:variant>
        <vt:lpwstr>../Schedule 1 - Definitions/Definitions.doc</vt:lpwstr>
      </vt:variant>
      <vt:variant>
        <vt:lpwstr>Lowimpactindustryusedef</vt:lpwstr>
      </vt:variant>
      <vt:variant>
        <vt:i4>917511</vt:i4>
      </vt:variant>
      <vt:variant>
        <vt:i4>87</vt:i4>
      </vt:variant>
      <vt:variant>
        <vt:i4>0</vt:i4>
      </vt:variant>
      <vt:variant>
        <vt:i4>5</vt:i4>
      </vt:variant>
      <vt:variant>
        <vt:lpwstr>../Schedule 1 - Definitions/Definitions.doc</vt:lpwstr>
      </vt:variant>
      <vt:variant>
        <vt:lpwstr>ServInd</vt:lpwstr>
      </vt:variant>
      <vt:variant>
        <vt:i4>262146</vt:i4>
      </vt:variant>
      <vt:variant>
        <vt:i4>84</vt:i4>
      </vt:variant>
      <vt:variant>
        <vt:i4>0</vt:i4>
      </vt:variant>
      <vt:variant>
        <vt:i4>5</vt:i4>
      </vt:variant>
      <vt:variant>
        <vt:lpwstr>../Schedule 1 - Definitions/Definitions.doc</vt:lpwstr>
      </vt:variant>
      <vt:variant>
        <vt:lpwstr>Amenity</vt:lpwstr>
      </vt:variant>
      <vt:variant>
        <vt:i4>6553707</vt:i4>
      </vt:variant>
      <vt:variant>
        <vt:i4>81</vt:i4>
      </vt:variant>
      <vt:variant>
        <vt:i4>0</vt:i4>
      </vt:variant>
      <vt:variant>
        <vt:i4>5</vt:i4>
      </vt:variant>
      <vt:variant>
        <vt:lpwstr>../Schedule 1 - Definitions/Definitions.doc</vt:lpwstr>
      </vt:variant>
      <vt:variant>
        <vt:lpwstr>FoodDrink</vt:lpwstr>
      </vt:variant>
      <vt:variant>
        <vt:i4>262146</vt:i4>
      </vt:variant>
      <vt:variant>
        <vt:i4>78</vt:i4>
      </vt:variant>
      <vt:variant>
        <vt:i4>0</vt:i4>
      </vt:variant>
      <vt:variant>
        <vt:i4>5</vt:i4>
      </vt:variant>
      <vt:variant>
        <vt:lpwstr>../Schedule 1 - Definitions/Definitions.doc</vt:lpwstr>
      </vt:variant>
      <vt:variant>
        <vt:lpwstr>Amenity</vt:lpwstr>
      </vt:variant>
      <vt:variant>
        <vt:i4>1507335</vt:i4>
      </vt:variant>
      <vt:variant>
        <vt:i4>75</vt:i4>
      </vt:variant>
      <vt:variant>
        <vt:i4>0</vt:i4>
      </vt:variant>
      <vt:variant>
        <vt:i4>5</vt:i4>
      </vt:variant>
      <vt:variant>
        <vt:lpwstr>../Schedule 1 - Definitions/Definitions.doc</vt:lpwstr>
      </vt:variant>
      <vt:variant>
        <vt:lpwstr>CityCentre</vt:lpwstr>
      </vt:variant>
      <vt:variant>
        <vt:i4>262146</vt:i4>
      </vt:variant>
      <vt:variant>
        <vt:i4>72</vt:i4>
      </vt:variant>
      <vt:variant>
        <vt:i4>0</vt:i4>
      </vt:variant>
      <vt:variant>
        <vt:i4>5</vt:i4>
      </vt:variant>
      <vt:variant>
        <vt:lpwstr>../Schedule 1 - Definitions/Definitions.doc</vt:lpwstr>
      </vt:variant>
      <vt:variant>
        <vt:lpwstr>Amenity</vt:lpwstr>
      </vt:variant>
      <vt:variant>
        <vt:i4>2031629</vt:i4>
      </vt:variant>
      <vt:variant>
        <vt:i4>69</vt:i4>
      </vt:variant>
      <vt:variant>
        <vt:i4>0</vt:i4>
      </vt:variant>
      <vt:variant>
        <vt:i4>5</vt:i4>
      </vt:variant>
      <vt:variant>
        <vt:lpwstr>../Schedule 1 - Definitions/Definitions.doc</vt:lpwstr>
      </vt:variant>
      <vt:variant>
        <vt:lpwstr>Lowimpactindustryusedef</vt:lpwstr>
      </vt:variant>
      <vt:variant>
        <vt:i4>524294</vt:i4>
      </vt:variant>
      <vt:variant>
        <vt:i4>66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60</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57</vt:i4>
      </vt:variant>
      <vt:variant>
        <vt:i4>0</vt:i4>
      </vt:variant>
      <vt:variant>
        <vt:i4>5</vt:i4>
      </vt:variant>
      <vt:variant>
        <vt:lpwstr>../Schedule 1 - Definitions/Definitions.doc</vt:lpwstr>
      </vt:variant>
      <vt:variant>
        <vt:lpwstr>Storey</vt:lpwstr>
      </vt:variant>
      <vt:variant>
        <vt:i4>1179655</vt:i4>
      </vt:variant>
      <vt:variant>
        <vt:i4>54</vt:i4>
      </vt:variant>
      <vt:variant>
        <vt:i4>0</vt:i4>
      </vt:variant>
      <vt:variant>
        <vt:i4>5</vt:i4>
      </vt:variant>
      <vt:variant>
        <vt:lpwstr>../Schedule 1 - Definitions/Definitions.doc</vt:lpwstr>
      </vt:variant>
      <vt:variant>
        <vt:lpwstr>BuildingHeight</vt:lpwstr>
      </vt:variant>
      <vt:variant>
        <vt:i4>1900554</vt:i4>
      </vt:variant>
      <vt:variant>
        <vt:i4>51</vt:i4>
      </vt:variant>
      <vt:variant>
        <vt:i4>0</vt:i4>
      </vt:variant>
      <vt:variant>
        <vt:i4>5</vt:i4>
      </vt:variant>
      <vt:variant>
        <vt:lpwstr>../Schedule 1 - Definitions/Definitions.doc</vt:lpwstr>
      </vt:variant>
      <vt:variant>
        <vt:lpwstr>NonRes</vt:lpwstr>
      </vt:variant>
      <vt:variant>
        <vt:i4>3866739</vt:i4>
      </vt:variant>
      <vt:variant>
        <vt:i4>48</vt:i4>
      </vt:variant>
      <vt:variant>
        <vt:i4>0</vt:i4>
      </vt:variant>
      <vt:variant>
        <vt:i4>5</vt:i4>
      </vt:variant>
      <vt:variant>
        <vt:lpwstr/>
      </vt:variant>
      <vt:variant>
        <vt:lpwstr>Table72223b</vt:lpwstr>
      </vt:variant>
      <vt:variant>
        <vt:i4>7602300</vt:i4>
      </vt:variant>
      <vt:variant>
        <vt:i4>45</vt:i4>
      </vt:variant>
      <vt:variant>
        <vt:i4>0</vt:i4>
      </vt:variant>
      <vt:variant>
        <vt:i4>5</vt:i4>
      </vt:variant>
      <vt:variant>
        <vt:lpwstr>../Schedule 1 - Definitions/Definitions.doc</vt:lpwstr>
      </vt:variant>
      <vt:variant>
        <vt:lpwstr>hospital</vt:lpwstr>
      </vt:variant>
      <vt:variant>
        <vt:i4>1507335</vt:i4>
      </vt:variant>
      <vt:variant>
        <vt:i4>42</vt:i4>
      </vt:variant>
      <vt:variant>
        <vt:i4>0</vt:i4>
      </vt:variant>
      <vt:variant>
        <vt:i4>5</vt:i4>
      </vt:variant>
      <vt:variant>
        <vt:lpwstr>../Schedule 1 - Definitions/Definitions.doc</vt:lpwstr>
      </vt:variant>
      <vt:variant>
        <vt:lpwstr>CityCentre</vt:lpwstr>
      </vt:variant>
      <vt:variant>
        <vt:i4>6422563</vt:i4>
      </vt:variant>
      <vt:variant>
        <vt:i4>39</vt:i4>
      </vt:variant>
      <vt:variant>
        <vt:i4>0</vt:i4>
      </vt:variant>
      <vt:variant>
        <vt:i4>5</vt:i4>
      </vt:variant>
      <vt:variant>
        <vt:lpwstr>../Part 5 - Tables of assessment/Part5NeighbourhoodPlans/BowenHillsTOA.doc</vt:lpwstr>
      </vt:variant>
      <vt:variant>
        <vt:lpwstr>Table568D</vt:lpwstr>
      </vt:variant>
      <vt:variant>
        <vt:i4>6422563</vt:i4>
      </vt:variant>
      <vt:variant>
        <vt:i4>36</vt:i4>
      </vt:variant>
      <vt:variant>
        <vt:i4>0</vt:i4>
      </vt:variant>
      <vt:variant>
        <vt:i4>5</vt:i4>
      </vt:variant>
      <vt:variant>
        <vt:lpwstr>../Part 5 - Tables of assessment/Part5NeighbourhoodPlans/BowenHillsTOA.doc</vt:lpwstr>
      </vt:variant>
      <vt:variant>
        <vt:lpwstr>Table568C</vt:lpwstr>
      </vt:variant>
      <vt:variant>
        <vt:i4>6422563</vt:i4>
      </vt:variant>
      <vt:variant>
        <vt:i4>33</vt:i4>
      </vt:variant>
      <vt:variant>
        <vt:i4>0</vt:i4>
      </vt:variant>
      <vt:variant>
        <vt:i4>5</vt:i4>
      </vt:variant>
      <vt:variant>
        <vt:lpwstr>../Part 5 - Tables of assessment/Part5NeighbourhoodPlans/BowenHillsTOA.doc</vt:lpwstr>
      </vt:variant>
      <vt:variant>
        <vt:lpwstr>Table568b</vt:lpwstr>
      </vt:variant>
      <vt:variant>
        <vt:i4>6422630</vt:i4>
      </vt:variant>
      <vt:variant>
        <vt:i4>30</vt:i4>
      </vt:variant>
      <vt:variant>
        <vt:i4>0</vt:i4>
      </vt:variant>
      <vt:variant>
        <vt:i4>5</vt:i4>
      </vt:variant>
      <vt:variant>
        <vt:lpwstr>../Part 5 - Tables of assessment/Part5NeighbourhoodPlans/BowenHillsTOA.doc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CODE CONTENT</dc:title>
  <dc:creator>Sarah Davies</dc:creator>
  <cp:lastModifiedBy>Alisha Pettit</cp:lastModifiedBy>
  <cp:revision>64</cp:revision>
  <cp:lastPrinted>2012-11-28T04:19:00Z</cp:lastPrinted>
  <dcterms:created xsi:type="dcterms:W3CDTF">2013-10-08T10:26:00Z</dcterms:created>
  <dcterms:modified xsi:type="dcterms:W3CDTF">2018-11-19T06:20:00Z</dcterms:modified>
</cp:coreProperties>
</file>