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329B9" w14:textId="284A9DF7" w:rsidR="00DE4BB4" w:rsidRDefault="00DE4BB4" w:rsidP="00DE4BB4">
      <w:pPr>
        <w:pStyle w:val="Heading1"/>
      </w:pPr>
      <w:bookmarkStart w:id="0" w:name="_Toc197934562"/>
      <w:bookmarkStart w:id="1" w:name="_Toc197935081"/>
      <w:bookmarkStart w:id="2" w:name="_Toc197936723"/>
      <w:bookmarkStart w:id="3" w:name="_Toc185318048"/>
      <w:r>
        <w:t>Brisbane City Council</w:t>
      </w:r>
    </w:p>
    <w:p w14:paraId="5A2441DF" w14:textId="77777777" w:rsidR="00DE4BB4" w:rsidRDefault="00DE4BB4" w:rsidP="00DE4BB4">
      <w:pPr>
        <w:pStyle w:val="Heading1"/>
      </w:pPr>
      <w:r>
        <w:t>Reference Specifications for Engineering Work</w:t>
      </w:r>
    </w:p>
    <w:p w14:paraId="436133AF" w14:textId="77777777" w:rsidR="00B241DB" w:rsidRDefault="00DE4BB4" w:rsidP="00DE4BB4">
      <w:pPr>
        <w:pStyle w:val="Heading1"/>
      </w:pPr>
      <w:r>
        <w:t>S155 Road Pavement Markings</w:t>
      </w:r>
    </w:p>
    <w:p w14:paraId="59D63F69" w14:textId="353EC03A" w:rsidR="00CD6876" w:rsidRPr="00CD6876" w:rsidRDefault="00CD6876" w:rsidP="00CD6876">
      <w:pPr>
        <w:sectPr w:rsidR="00CD6876" w:rsidRPr="00CD6876" w:rsidSect="00495374">
          <w:headerReference w:type="default" r:id="rId10"/>
          <w:footerReference w:type="default" r:id="rId11"/>
          <w:headerReference w:type="first" r:id="rId12"/>
          <w:footerReference w:type="first" r:id="rId13"/>
          <w:pgSz w:w="11906" w:h="16838" w:code="9"/>
          <w:pgMar w:top="1134" w:right="1134" w:bottom="992" w:left="1418" w:header="1843" w:footer="851" w:gutter="0"/>
          <w:pgNumType w:start="1"/>
          <w:cols w:space="720"/>
          <w:docGrid w:linePitch="272"/>
        </w:sectPr>
      </w:pPr>
    </w:p>
    <w:p w14:paraId="43D3B1FA" w14:textId="1F8F5C57" w:rsidR="00A96313" w:rsidRDefault="00A96313" w:rsidP="00F13163">
      <w:pPr>
        <w:pStyle w:val="Heading2"/>
        <w:numPr>
          <w:ilvl w:val="0"/>
          <w:numId w:val="0"/>
        </w:numPr>
        <w:ind w:left="709" w:hanging="709"/>
      </w:pPr>
      <w:r>
        <w:lastRenderedPageBreak/>
        <w:t>Amendment Register</w:t>
      </w:r>
      <w:bookmarkEnd w:id="0"/>
      <w:bookmarkEnd w:id="1"/>
      <w:bookmarkEnd w:id="2"/>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528"/>
        <w:gridCol w:w="1276"/>
      </w:tblGrid>
      <w:tr w:rsidR="00A96313" w:rsidRPr="00314F62" w14:paraId="40FC6D9F" w14:textId="77777777" w:rsidTr="005C6EB1">
        <w:tc>
          <w:tcPr>
            <w:tcW w:w="1242" w:type="dxa"/>
            <w:tcBorders>
              <w:top w:val="single" w:sz="12" w:space="0" w:color="auto"/>
              <w:left w:val="nil"/>
              <w:bottom w:val="single" w:sz="12" w:space="0" w:color="auto"/>
              <w:right w:val="single" w:sz="2" w:space="0" w:color="auto"/>
            </w:tcBorders>
            <w:shd w:val="pct10" w:color="auto" w:fill="auto"/>
            <w:vAlign w:val="center"/>
          </w:tcPr>
          <w:p w14:paraId="2B5F9040" w14:textId="77777777" w:rsidR="00A96313" w:rsidRPr="00314F62" w:rsidRDefault="00A96313" w:rsidP="008607D0">
            <w:pPr>
              <w:pStyle w:val="TableHeadCen"/>
            </w:pPr>
            <w:r w:rsidRPr="00314F62">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0C2DA538" w14:textId="77777777" w:rsidR="00A96313" w:rsidRPr="00314F62" w:rsidRDefault="00A96313" w:rsidP="008607D0">
            <w:pPr>
              <w:pStyle w:val="TableHeadCen"/>
            </w:pPr>
            <w:r w:rsidRPr="00314F62">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4E281123" w14:textId="77777777" w:rsidR="00A96313" w:rsidRPr="00314F62" w:rsidRDefault="00A96313" w:rsidP="00A96313">
            <w:pPr>
              <w:pStyle w:val="TableHead"/>
            </w:pPr>
            <w:r w:rsidRPr="00314F62">
              <w:t>Description</w:t>
            </w:r>
          </w:p>
        </w:tc>
        <w:tc>
          <w:tcPr>
            <w:tcW w:w="1276" w:type="dxa"/>
            <w:tcBorders>
              <w:top w:val="single" w:sz="12" w:space="0" w:color="auto"/>
              <w:left w:val="single" w:sz="2" w:space="0" w:color="auto"/>
              <w:bottom w:val="single" w:sz="12" w:space="0" w:color="auto"/>
              <w:right w:val="nil"/>
            </w:tcBorders>
            <w:shd w:val="pct10" w:color="auto" w:fill="auto"/>
            <w:vAlign w:val="center"/>
          </w:tcPr>
          <w:p w14:paraId="7226439A" w14:textId="77777777" w:rsidR="00A96313" w:rsidRPr="00314F62" w:rsidRDefault="00A96313" w:rsidP="008607D0">
            <w:pPr>
              <w:pStyle w:val="TableHeadCen"/>
            </w:pPr>
            <w:r w:rsidRPr="00314F62">
              <w:t>Date</w:t>
            </w:r>
          </w:p>
        </w:tc>
      </w:tr>
      <w:tr w:rsidR="00A96313" w:rsidRPr="00314F62" w14:paraId="6BF3240D" w14:textId="77777777" w:rsidTr="005C6EB1">
        <w:tc>
          <w:tcPr>
            <w:tcW w:w="1242" w:type="dxa"/>
            <w:tcBorders>
              <w:top w:val="single" w:sz="12" w:space="0" w:color="auto"/>
              <w:left w:val="nil"/>
              <w:bottom w:val="single" w:sz="8" w:space="0" w:color="auto"/>
              <w:right w:val="single" w:sz="2" w:space="0" w:color="auto"/>
            </w:tcBorders>
            <w:vAlign w:val="center"/>
          </w:tcPr>
          <w:p w14:paraId="2F063E36" w14:textId="77777777" w:rsidR="00A96313" w:rsidRPr="00314F62" w:rsidRDefault="00A96313" w:rsidP="00A96313">
            <w:pPr>
              <w:pStyle w:val="TableCen"/>
            </w:pPr>
            <w:r w:rsidRPr="00314F62">
              <w:t>1.0</w:t>
            </w:r>
          </w:p>
        </w:tc>
        <w:tc>
          <w:tcPr>
            <w:tcW w:w="1310" w:type="dxa"/>
            <w:tcBorders>
              <w:top w:val="single" w:sz="12" w:space="0" w:color="auto"/>
              <w:left w:val="single" w:sz="2" w:space="0" w:color="auto"/>
              <w:bottom w:val="single" w:sz="8" w:space="0" w:color="auto"/>
              <w:right w:val="single" w:sz="2" w:space="0" w:color="auto"/>
            </w:tcBorders>
            <w:vAlign w:val="center"/>
          </w:tcPr>
          <w:p w14:paraId="1D8D621B" w14:textId="77777777" w:rsidR="00A96313" w:rsidRPr="00314F62" w:rsidRDefault="00A96313" w:rsidP="00A96313">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53F95A08" w14:textId="77777777" w:rsidR="00E2568C" w:rsidRPr="00314F62" w:rsidRDefault="00A96313" w:rsidP="00A96313">
            <w:pPr>
              <w:pStyle w:val="Table"/>
            </w:pPr>
            <w:r w:rsidRPr="00314F62">
              <w:t>Original issue</w:t>
            </w:r>
            <w:r w:rsidR="008C4DB3" w:rsidRPr="00314F62">
              <w:t>.</w:t>
            </w:r>
          </w:p>
          <w:p w14:paraId="1FFFD5E7" w14:textId="77777777" w:rsidR="00A96313" w:rsidRPr="00314F62" w:rsidRDefault="008C4DB3" w:rsidP="00A96313">
            <w:pPr>
              <w:pStyle w:val="Table"/>
            </w:pPr>
            <w:r w:rsidRPr="00314F62">
              <w:t xml:space="preserve">Sections moved from </w:t>
            </w:r>
            <w:r w:rsidR="00636645" w:rsidRPr="00314F62">
              <w:t xml:space="preserve">Reference Specification for Civil Engineering Works </w:t>
            </w:r>
            <w:r w:rsidRPr="00314F62">
              <w:t>S150 Roadworks</w:t>
            </w:r>
          </w:p>
        </w:tc>
        <w:tc>
          <w:tcPr>
            <w:tcW w:w="1276" w:type="dxa"/>
            <w:tcBorders>
              <w:top w:val="single" w:sz="12" w:space="0" w:color="auto"/>
              <w:left w:val="single" w:sz="2" w:space="0" w:color="auto"/>
              <w:bottom w:val="single" w:sz="8" w:space="0" w:color="auto"/>
              <w:right w:val="nil"/>
            </w:tcBorders>
            <w:vAlign w:val="center"/>
          </w:tcPr>
          <w:p w14:paraId="34BDAF19" w14:textId="77777777" w:rsidR="00A96313" w:rsidRPr="00314F62" w:rsidRDefault="00B66A9D" w:rsidP="006058D0">
            <w:pPr>
              <w:pStyle w:val="TableCen"/>
            </w:pPr>
            <w:r w:rsidRPr="00314F62">
              <w:rPr>
                <w:noProof/>
              </w:rPr>
              <w:t xml:space="preserve">Apr </w:t>
            </w:r>
            <w:r w:rsidR="006058D0">
              <w:rPr>
                <w:noProof/>
              </w:rPr>
              <w:t>20</w:t>
            </w:r>
            <w:r w:rsidRPr="00314F62">
              <w:rPr>
                <w:noProof/>
              </w:rPr>
              <w:t>14</w:t>
            </w:r>
          </w:p>
        </w:tc>
      </w:tr>
      <w:tr w:rsidR="006A41C8" w:rsidRPr="00314F62" w14:paraId="797FCD83" w14:textId="77777777" w:rsidTr="005C6EB1">
        <w:trPr>
          <w:trHeight w:val="340"/>
        </w:trPr>
        <w:tc>
          <w:tcPr>
            <w:tcW w:w="1242" w:type="dxa"/>
            <w:vMerge w:val="restart"/>
            <w:tcBorders>
              <w:top w:val="single" w:sz="8" w:space="0" w:color="auto"/>
              <w:left w:val="nil"/>
              <w:bottom w:val="single" w:sz="8" w:space="0" w:color="auto"/>
              <w:right w:val="single" w:sz="2" w:space="0" w:color="auto"/>
            </w:tcBorders>
            <w:vAlign w:val="center"/>
          </w:tcPr>
          <w:p w14:paraId="69BAFBFC" w14:textId="77777777" w:rsidR="006A41C8" w:rsidRPr="00314F62" w:rsidRDefault="006A41C8" w:rsidP="00A96313">
            <w:pPr>
              <w:pStyle w:val="TableCen"/>
            </w:pPr>
            <w:r w:rsidRPr="00314F62">
              <w:t>2.0</w:t>
            </w:r>
          </w:p>
        </w:tc>
        <w:tc>
          <w:tcPr>
            <w:tcW w:w="1310" w:type="dxa"/>
            <w:tcBorders>
              <w:top w:val="single" w:sz="8" w:space="0" w:color="auto"/>
              <w:left w:val="single" w:sz="2" w:space="0" w:color="auto"/>
              <w:bottom w:val="single" w:sz="2" w:space="0" w:color="auto"/>
              <w:right w:val="single" w:sz="2" w:space="0" w:color="auto"/>
            </w:tcBorders>
            <w:vAlign w:val="center"/>
          </w:tcPr>
          <w:p w14:paraId="4561D6BA" w14:textId="77777777" w:rsidR="006A41C8" w:rsidRPr="00314F62" w:rsidRDefault="006A41C8" w:rsidP="00A96313">
            <w:pPr>
              <w:pStyle w:val="TableCen"/>
            </w:pPr>
            <w:r w:rsidRPr="00314F62">
              <w:t>1.2</w:t>
            </w:r>
          </w:p>
        </w:tc>
        <w:tc>
          <w:tcPr>
            <w:tcW w:w="5528" w:type="dxa"/>
            <w:tcBorders>
              <w:top w:val="single" w:sz="8" w:space="0" w:color="auto"/>
              <w:left w:val="single" w:sz="2" w:space="0" w:color="auto"/>
              <w:bottom w:val="single" w:sz="2" w:space="0" w:color="auto"/>
              <w:right w:val="single" w:sz="2" w:space="0" w:color="auto"/>
            </w:tcBorders>
            <w:vAlign w:val="center"/>
          </w:tcPr>
          <w:p w14:paraId="557771CA" w14:textId="77777777" w:rsidR="006A41C8" w:rsidRPr="00314F62" w:rsidRDefault="006A41C8" w:rsidP="00A96313">
            <w:pPr>
              <w:pStyle w:val="Table"/>
            </w:pPr>
            <w:r w:rsidRPr="00314F62">
              <w:t>References list expanded</w:t>
            </w:r>
          </w:p>
        </w:tc>
        <w:tc>
          <w:tcPr>
            <w:tcW w:w="1276" w:type="dxa"/>
            <w:vMerge w:val="restart"/>
            <w:tcBorders>
              <w:top w:val="single" w:sz="8" w:space="0" w:color="auto"/>
              <w:left w:val="single" w:sz="2" w:space="0" w:color="auto"/>
              <w:right w:val="nil"/>
            </w:tcBorders>
            <w:vAlign w:val="center"/>
          </w:tcPr>
          <w:p w14:paraId="62553284" w14:textId="77777777" w:rsidR="006A41C8" w:rsidRPr="00314F62" w:rsidRDefault="006A41C8" w:rsidP="006058D0">
            <w:pPr>
              <w:pStyle w:val="TableCen"/>
              <w:rPr>
                <w:noProof/>
              </w:rPr>
            </w:pPr>
            <w:r w:rsidRPr="00314F62">
              <w:rPr>
                <w:noProof/>
              </w:rPr>
              <w:t xml:space="preserve">May </w:t>
            </w:r>
            <w:r w:rsidR="006058D0">
              <w:rPr>
                <w:noProof/>
              </w:rPr>
              <w:t>20</w:t>
            </w:r>
            <w:r w:rsidRPr="00314F62">
              <w:rPr>
                <w:noProof/>
              </w:rPr>
              <w:t>16</w:t>
            </w:r>
          </w:p>
        </w:tc>
      </w:tr>
      <w:tr w:rsidR="0060066B" w:rsidRPr="00314F62" w14:paraId="45CB1560"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36FC1972" w14:textId="77777777" w:rsidR="0060066B" w:rsidRPr="00314F62" w:rsidRDefault="0060066B" w:rsidP="00A96313">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068F1D3" w14:textId="77777777" w:rsidR="0060066B" w:rsidRPr="00314F62" w:rsidRDefault="0060066B" w:rsidP="00A96313">
            <w:pPr>
              <w:pStyle w:val="TableCen"/>
            </w:pPr>
            <w:r w:rsidRPr="00314F62">
              <w:t>3.5.2</w:t>
            </w:r>
          </w:p>
        </w:tc>
        <w:tc>
          <w:tcPr>
            <w:tcW w:w="5528" w:type="dxa"/>
            <w:tcBorders>
              <w:top w:val="single" w:sz="2" w:space="0" w:color="auto"/>
              <w:left w:val="single" w:sz="2" w:space="0" w:color="auto"/>
              <w:bottom w:val="single" w:sz="2" w:space="0" w:color="auto"/>
              <w:right w:val="single" w:sz="2" w:space="0" w:color="auto"/>
            </w:tcBorders>
            <w:vAlign w:val="center"/>
          </w:tcPr>
          <w:p w14:paraId="5511E319" w14:textId="77777777" w:rsidR="0060066B" w:rsidRPr="00314F62" w:rsidRDefault="0060066B" w:rsidP="00A96313">
            <w:pPr>
              <w:pStyle w:val="Table"/>
            </w:pPr>
            <w:r w:rsidRPr="00314F62">
              <w:t>Road hierarchy descriptions updated</w:t>
            </w:r>
          </w:p>
        </w:tc>
        <w:tc>
          <w:tcPr>
            <w:tcW w:w="1276" w:type="dxa"/>
            <w:vMerge/>
            <w:tcBorders>
              <w:top w:val="single" w:sz="12" w:space="0" w:color="auto"/>
              <w:left w:val="single" w:sz="2" w:space="0" w:color="auto"/>
              <w:right w:val="nil"/>
            </w:tcBorders>
            <w:vAlign w:val="center"/>
          </w:tcPr>
          <w:p w14:paraId="2A421FCF" w14:textId="77777777" w:rsidR="0060066B" w:rsidRPr="00314F62" w:rsidRDefault="0060066B" w:rsidP="00A96313">
            <w:pPr>
              <w:pStyle w:val="TableCen"/>
              <w:rPr>
                <w:noProof/>
              </w:rPr>
            </w:pPr>
          </w:p>
        </w:tc>
      </w:tr>
      <w:tr w:rsidR="006A41C8" w:rsidRPr="00314F62" w14:paraId="08B3A514" w14:textId="77777777" w:rsidTr="005C6EB1">
        <w:tc>
          <w:tcPr>
            <w:tcW w:w="1242" w:type="dxa"/>
            <w:vMerge/>
            <w:tcBorders>
              <w:top w:val="single" w:sz="8" w:space="0" w:color="auto"/>
              <w:left w:val="nil"/>
              <w:bottom w:val="single" w:sz="8" w:space="0" w:color="auto"/>
              <w:right w:val="single" w:sz="2" w:space="0" w:color="auto"/>
            </w:tcBorders>
            <w:vAlign w:val="center"/>
          </w:tcPr>
          <w:p w14:paraId="1AFFE12A" w14:textId="77777777" w:rsidR="006A41C8" w:rsidRPr="00314F62" w:rsidRDefault="006A41C8" w:rsidP="00A96313">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656DC134" w14:textId="77777777" w:rsidR="006A41C8" w:rsidRPr="00314F62" w:rsidRDefault="006A41C8" w:rsidP="00A96313">
            <w:pPr>
              <w:pStyle w:val="TableCen"/>
            </w:pPr>
            <w:r w:rsidRPr="00314F62">
              <w:t>3.5.9</w:t>
            </w:r>
          </w:p>
        </w:tc>
        <w:tc>
          <w:tcPr>
            <w:tcW w:w="5528" w:type="dxa"/>
            <w:tcBorders>
              <w:top w:val="single" w:sz="2" w:space="0" w:color="auto"/>
              <w:left w:val="single" w:sz="2" w:space="0" w:color="auto"/>
              <w:bottom w:val="single" w:sz="8" w:space="0" w:color="auto"/>
              <w:right w:val="single" w:sz="2" w:space="0" w:color="auto"/>
            </w:tcBorders>
            <w:vAlign w:val="center"/>
          </w:tcPr>
          <w:p w14:paraId="3E99C387" w14:textId="77777777" w:rsidR="006A41C8" w:rsidRPr="00314F62" w:rsidRDefault="006A41C8" w:rsidP="00A96313">
            <w:pPr>
              <w:pStyle w:val="Table"/>
            </w:pPr>
            <w:r w:rsidRPr="00314F62">
              <w:t>Reference to SEQ Water Supply and Sewerage Design and Construction Code drawing updated</w:t>
            </w:r>
          </w:p>
        </w:tc>
        <w:tc>
          <w:tcPr>
            <w:tcW w:w="1276" w:type="dxa"/>
            <w:vMerge/>
            <w:tcBorders>
              <w:left w:val="single" w:sz="2" w:space="0" w:color="auto"/>
              <w:bottom w:val="single" w:sz="8" w:space="0" w:color="auto"/>
              <w:right w:val="nil"/>
            </w:tcBorders>
            <w:vAlign w:val="center"/>
          </w:tcPr>
          <w:p w14:paraId="2BEEF181" w14:textId="77777777" w:rsidR="006A41C8" w:rsidRPr="00314F62" w:rsidRDefault="006A41C8" w:rsidP="00A96313">
            <w:pPr>
              <w:pStyle w:val="TableCen"/>
              <w:rPr>
                <w:noProof/>
              </w:rPr>
            </w:pPr>
          </w:p>
        </w:tc>
      </w:tr>
      <w:tr w:rsidR="00AB1619" w:rsidRPr="00314F62" w14:paraId="379466CB" w14:textId="77777777" w:rsidTr="005C6EB1">
        <w:trPr>
          <w:trHeight w:val="340"/>
        </w:trPr>
        <w:tc>
          <w:tcPr>
            <w:tcW w:w="1242" w:type="dxa"/>
            <w:vMerge w:val="restart"/>
            <w:tcBorders>
              <w:top w:val="single" w:sz="8" w:space="0" w:color="auto"/>
              <w:left w:val="nil"/>
              <w:bottom w:val="single" w:sz="8" w:space="0" w:color="auto"/>
              <w:right w:val="single" w:sz="2" w:space="0" w:color="auto"/>
            </w:tcBorders>
            <w:vAlign w:val="center"/>
          </w:tcPr>
          <w:p w14:paraId="6ED0A11E" w14:textId="77777777" w:rsidR="00AB1619" w:rsidRPr="00314F62" w:rsidRDefault="00AB1619" w:rsidP="00824EDE">
            <w:pPr>
              <w:pStyle w:val="TableCen"/>
            </w:pPr>
            <w:r w:rsidRPr="00314F62">
              <w:t>3.0</w:t>
            </w:r>
          </w:p>
        </w:tc>
        <w:tc>
          <w:tcPr>
            <w:tcW w:w="1310" w:type="dxa"/>
            <w:tcBorders>
              <w:top w:val="single" w:sz="8" w:space="0" w:color="auto"/>
              <w:left w:val="single" w:sz="2" w:space="0" w:color="auto"/>
              <w:bottom w:val="single" w:sz="2" w:space="0" w:color="auto"/>
              <w:right w:val="single" w:sz="2" w:space="0" w:color="auto"/>
            </w:tcBorders>
            <w:vAlign w:val="center"/>
          </w:tcPr>
          <w:p w14:paraId="54C1E639" w14:textId="77777777" w:rsidR="00AB1619" w:rsidRPr="00314F62" w:rsidRDefault="00AB1619" w:rsidP="00824EDE">
            <w:pPr>
              <w:pStyle w:val="TableCen"/>
            </w:pPr>
            <w:r w:rsidRPr="00314F62">
              <w:t>1.3</w:t>
            </w:r>
          </w:p>
        </w:tc>
        <w:tc>
          <w:tcPr>
            <w:tcW w:w="5528" w:type="dxa"/>
            <w:tcBorders>
              <w:top w:val="single" w:sz="8" w:space="0" w:color="auto"/>
              <w:left w:val="single" w:sz="2" w:space="0" w:color="auto"/>
              <w:bottom w:val="single" w:sz="2" w:space="0" w:color="auto"/>
              <w:right w:val="single" w:sz="2" w:space="0" w:color="auto"/>
            </w:tcBorders>
            <w:vAlign w:val="center"/>
          </w:tcPr>
          <w:p w14:paraId="2DA9E8F5" w14:textId="77777777" w:rsidR="00AB1619" w:rsidRPr="00314F62" w:rsidRDefault="00AB1619" w:rsidP="00824EDE">
            <w:pPr>
              <w:pStyle w:val="Table"/>
            </w:pPr>
            <w:r w:rsidRPr="00314F62">
              <w:t>Title of Austroads Guide to Road Design document updated to current title.</w:t>
            </w:r>
          </w:p>
        </w:tc>
        <w:tc>
          <w:tcPr>
            <w:tcW w:w="1276" w:type="dxa"/>
            <w:vMerge w:val="restart"/>
            <w:tcBorders>
              <w:top w:val="single" w:sz="8" w:space="0" w:color="auto"/>
              <w:left w:val="single" w:sz="2" w:space="0" w:color="auto"/>
              <w:right w:val="nil"/>
            </w:tcBorders>
            <w:vAlign w:val="center"/>
          </w:tcPr>
          <w:p w14:paraId="6A5AC715" w14:textId="77777777" w:rsidR="00AB1619" w:rsidRPr="00314F62" w:rsidRDefault="006058D0" w:rsidP="006058D0">
            <w:pPr>
              <w:pStyle w:val="TableCen"/>
              <w:rPr>
                <w:noProof/>
              </w:rPr>
            </w:pPr>
            <w:r>
              <w:rPr>
                <w:noProof/>
              </w:rPr>
              <w:t>Nov</w:t>
            </w:r>
            <w:r w:rsidRPr="00314F62">
              <w:rPr>
                <w:noProof/>
              </w:rPr>
              <w:t xml:space="preserve"> </w:t>
            </w:r>
            <w:r>
              <w:rPr>
                <w:noProof/>
              </w:rPr>
              <w:t>20</w:t>
            </w:r>
            <w:r w:rsidR="00AB1619" w:rsidRPr="00314F62">
              <w:rPr>
                <w:noProof/>
              </w:rPr>
              <w:t>18</w:t>
            </w:r>
          </w:p>
        </w:tc>
      </w:tr>
      <w:tr w:rsidR="00CE4C5D" w:rsidRPr="00314F62" w14:paraId="34E3D0BC"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53383E61" w14:textId="77777777" w:rsidR="00CE4C5D" w:rsidRPr="00314F62" w:rsidRDefault="00CE4C5D" w:rsidP="00824ED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FBDF7C4" w14:textId="77777777" w:rsidR="00CE4C5D" w:rsidRPr="00314F62" w:rsidRDefault="00CE4C5D" w:rsidP="00824EDE">
            <w:pPr>
              <w:pStyle w:val="TableCen"/>
            </w:pPr>
            <w:r w:rsidRPr="00314F62">
              <w:t>3.3.1</w:t>
            </w:r>
          </w:p>
        </w:tc>
        <w:tc>
          <w:tcPr>
            <w:tcW w:w="5528" w:type="dxa"/>
            <w:tcBorders>
              <w:top w:val="single" w:sz="2" w:space="0" w:color="auto"/>
              <w:left w:val="single" w:sz="2" w:space="0" w:color="auto"/>
              <w:bottom w:val="single" w:sz="2" w:space="0" w:color="auto"/>
              <w:right w:val="single" w:sz="2" w:space="0" w:color="auto"/>
            </w:tcBorders>
            <w:vAlign w:val="center"/>
          </w:tcPr>
          <w:p w14:paraId="25D6DC97" w14:textId="77777777" w:rsidR="00CE4C5D" w:rsidRPr="00314F62" w:rsidRDefault="00CE4C5D" w:rsidP="00824EDE">
            <w:pPr>
              <w:pStyle w:val="Table"/>
            </w:pPr>
            <w:r w:rsidRPr="00314F62">
              <w:t xml:space="preserve">Allowance </w:t>
            </w:r>
            <w:r w:rsidR="00752E97" w:rsidRPr="00314F62">
              <w:t>for</w:t>
            </w:r>
            <w:r w:rsidRPr="00314F62">
              <w:t xml:space="preserve"> waterborne paint at &gt;600 </w:t>
            </w:r>
            <w:r w:rsidRPr="00314F62">
              <w:rPr>
                <w:rFonts w:cs="Arial"/>
              </w:rPr>
              <w:t>µ</w:t>
            </w:r>
            <w:r w:rsidRPr="00314F62">
              <w:t>m thickness to be used for longitudinal lines</w:t>
            </w:r>
          </w:p>
        </w:tc>
        <w:tc>
          <w:tcPr>
            <w:tcW w:w="1276" w:type="dxa"/>
            <w:vMerge/>
            <w:tcBorders>
              <w:left w:val="single" w:sz="2" w:space="0" w:color="auto"/>
              <w:right w:val="nil"/>
            </w:tcBorders>
            <w:vAlign w:val="center"/>
          </w:tcPr>
          <w:p w14:paraId="3ED96426" w14:textId="77777777" w:rsidR="00CE4C5D" w:rsidRPr="00314F62" w:rsidRDefault="00CE4C5D" w:rsidP="00824EDE">
            <w:pPr>
              <w:pStyle w:val="TableCen"/>
              <w:rPr>
                <w:noProof/>
              </w:rPr>
            </w:pPr>
          </w:p>
        </w:tc>
      </w:tr>
      <w:tr w:rsidR="00AB1619" w:rsidRPr="00314F62" w14:paraId="4C3A0A3F"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22CB885A" w14:textId="77777777" w:rsidR="00AB1619" w:rsidRPr="00314F62" w:rsidRDefault="00AB1619" w:rsidP="00824ED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53AA62E" w14:textId="77777777" w:rsidR="00AB1619" w:rsidRPr="00314F62" w:rsidRDefault="00AB1619" w:rsidP="00824EDE">
            <w:pPr>
              <w:pStyle w:val="TableCen"/>
            </w:pPr>
            <w:r w:rsidRPr="00314F62">
              <w:t>3.5.1</w:t>
            </w:r>
          </w:p>
        </w:tc>
        <w:tc>
          <w:tcPr>
            <w:tcW w:w="5528" w:type="dxa"/>
            <w:tcBorders>
              <w:top w:val="single" w:sz="2" w:space="0" w:color="auto"/>
              <w:left w:val="single" w:sz="2" w:space="0" w:color="auto"/>
              <w:bottom w:val="single" w:sz="2" w:space="0" w:color="auto"/>
              <w:right w:val="single" w:sz="2" w:space="0" w:color="auto"/>
            </w:tcBorders>
            <w:vAlign w:val="center"/>
          </w:tcPr>
          <w:p w14:paraId="66062978" w14:textId="77777777" w:rsidR="00AB1619" w:rsidRPr="00314F62" w:rsidRDefault="00AB1619" w:rsidP="00824EDE">
            <w:pPr>
              <w:pStyle w:val="Table"/>
            </w:pPr>
            <w:r w:rsidRPr="00314F62">
              <w:t>Reference to AS 1742 included.</w:t>
            </w:r>
          </w:p>
        </w:tc>
        <w:tc>
          <w:tcPr>
            <w:tcW w:w="1276" w:type="dxa"/>
            <w:vMerge/>
            <w:tcBorders>
              <w:left w:val="single" w:sz="2" w:space="0" w:color="auto"/>
              <w:right w:val="nil"/>
            </w:tcBorders>
            <w:vAlign w:val="center"/>
          </w:tcPr>
          <w:p w14:paraId="1571DD0D" w14:textId="77777777" w:rsidR="00AB1619" w:rsidRPr="00314F62" w:rsidRDefault="00AB1619" w:rsidP="00824EDE">
            <w:pPr>
              <w:pStyle w:val="TableCen"/>
              <w:rPr>
                <w:noProof/>
              </w:rPr>
            </w:pPr>
          </w:p>
        </w:tc>
      </w:tr>
      <w:tr w:rsidR="00AB1619" w:rsidRPr="00314F62" w14:paraId="1A891451"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69A7FA83" w14:textId="77777777" w:rsidR="00AB1619" w:rsidRPr="00314F62" w:rsidRDefault="00AB1619" w:rsidP="00824ED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C425572" w14:textId="77777777" w:rsidR="00AB1619" w:rsidRPr="00314F62" w:rsidRDefault="00AB1619" w:rsidP="00824EDE">
            <w:pPr>
              <w:pStyle w:val="TableCen"/>
            </w:pPr>
            <w:r w:rsidRPr="00314F62">
              <w:t>3.5.2</w:t>
            </w:r>
          </w:p>
        </w:tc>
        <w:tc>
          <w:tcPr>
            <w:tcW w:w="5528" w:type="dxa"/>
            <w:tcBorders>
              <w:top w:val="single" w:sz="2" w:space="0" w:color="auto"/>
              <w:left w:val="single" w:sz="2" w:space="0" w:color="auto"/>
              <w:bottom w:val="single" w:sz="2" w:space="0" w:color="auto"/>
              <w:right w:val="single" w:sz="2" w:space="0" w:color="auto"/>
            </w:tcBorders>
            <w:vAlign w:val="center"/>
          </w:tcPr>
          <w:p w14:paraId="47D4D8CB" w14:textId="77777777" w:rsidR="00AB1619" w:rsidRPr="00314F62" w:rsidRDefault="00AB1619" w:rsidP="00824EDE">
            <w:pPr>
              <w:pStyle w:val="Table"/>
            </w:pPr>
            <w:r w:rsidRPr="00314F62">
              <w:t>Road hierarchy descriptions updated</w:t>
            </w:r>
          </w:p>
        </w:tc>
        <w:tc>
          <w:tcPr>
            <w:tcW w:w="1276" w:type="dxa"/>
            <w:vMerge/>
            <w:tcBorders>
              <w:left w:val="single" w:sz="2" w:space="0" w:color="auto"/>
              <w:right w:val="nil"/>
            </w:tcBorders>
            <w:vAlign w:val="center"/>
          </w:tcPr>
          <w:p w14:paraId="4B8DD09E" w14:textId="77777777" w:rsidR="00AB1619" w:rsidRPr="00314F62" w:rsidRDefault="00AB1619" w:rsidP="00824EDE">
            <w:pPr>
              <w:pStyle w:val="TableCen"/>
              <w:rPr>
                <w:noProof/>
              </w:rPr>
            </w:pPr>
          </w:p>
        </w:tc>
      </w:tr>
      <w:tr w:rsidR="00AB1619" w:rsidRPr="00314F62" w14:paraId="5C391320" w14:textId="77777777" w:rsidTr="005C6EB1">
        <w:tc>
          <w:tcPr>
            <w:tcW w:w="1242" w:type="dxa"/>
            <w:vMerge/>
            <w:tcBorders>
              <w:top w:val="single" w:sz="8" w:space="0" w:color="auto"/>
              <w:left w:val="nil"/>
              <w:bottom w:val="single" w:sz="8" w:space="0" w:color="auto"/>
              <w:right w:val="single" w:sz="2" w:space="0" w:color="auto"/>
            </w:tcBorders>
            <w:vAlign w:val="center"/>
          </w:tcPr>
          <w:p w14:paraId="17DD35E1" w14:textId="77777777" w:rsidR="00AB1619" w:rsidRPr="00314F62" w:rsidRDefault="00AB1619" w:rsidP="00824EDE">
            <w:pPr>
              <w:pStyle w:val="TableCen"/>
            </w:pPr>
          </w:p>
        </w:tc>
        <w:tc>
          <w:tcPr>
            <w:tcW w:w="1310" w:type="dxa"/>
            <w:vMerge w:val="restart"/>
            <w:tcBorders>
              <w:top w:val="single" w:sz="2" w:space="0" w:color="auto"/>
              <w:left w:val="single" w:sz="2" w:space="0" w:color="auto"/>
              <w:bottom w:val="single" w:sz="2" w:space="0" w:color="auto"/>
              <w:right w:val="single" w:sz="2" w:space="0" w:color="auto"/>
            </w:tcBorders>
            <w:vAlign w:val="center"/>
          </w:tcPr>
          <w:p w14:paraId="1C68B309" w14:textId="77777777" w:rsidR="00AB1619" w:rsidRPr="00314F62" w:rsidRDefault="00AB1619" w:rsidP="00824EDE">
            <w:pPr>
              <w:pStyle w:val="TableCen"/>
            </w:pPr>
            <w:r w:rsidRPr="00314F62">
              <w:t>3.5.3</w:t>
            </w:r>
          </w:p>
        </w:tc>
        <w:tc>
          <w:tcPr>
            <w:tcW w:w="5528" w:type="dxa"/>
            <w:tcBorders>
              <w:top w:val="single" w:sz="2" w:space="0" w:color="auto"/>
              <w:left w:val="single" w:sz="2" w:space="0" w:color="auto"/>
              <w:bottom w:val="single" w:sz="2" w:space="0" w:color="auto"/>
              <w:right w:val="single" w:sz="2" w:space="0" w:color="auto"/>
            </w:tcBorders>
            <w:vAlign w:val="center"/>
          </w:tcPr>
          <w:p w14:paraId="77A91FE1" w14:textId="77777777" w:rsidR="00AB1619" w:rsidRPr="00314F62" w:rsidRDefault="00AB1619" w:rsidP="00824EDE">
            <w:pPr>
              <w:pStyle w:val="Table"/>
            </w:pPr>
            <w:r w:rsidRPr="00314F62">
              <w:t>Updated material type requirements for longitudinal and transverse markings.</w:t>
            </w:r>
          </w:p>
        </w:tc>
        <w:tc>
          <w:tcPr>
            <w:tcW w:w="1276" w:type="dxa"/>
            <w:vMerge/>
            <w:tcBorders>
              <w:left w:val="single" w:sz="2" w:space="0" w:color="auto"/>
              <w:right w:val="nil"/>
            </w:tcBorders>
            <w:vAlign w:val="center"/>
          </w:tcPr>
          <w:p w14:paraId="2E39031C" w14:textId="77777777" w:rsidR="00AB1619" w:rsidRPr="00314F62" w:rsidRDefault="00AB1619" w:rsidP="00824EDE">
            <w:pPr>
              <w:pStyle w:val="TableCen"/>
              <w:rPr>
                <w:noProof/>
              </w:rPr>
            </w:pPr>
          </w:p>
        </w:tc>
      </w:tr>
      <w:tr w:rsidR="00AB1619" w:rsidRPr="00314F62" w14:paraId="4E522A9E" w14:textId="77777777" w:rsidTr="005C6EB1">
        <w:tc>
          <w:tcPr>
            <w:tcW w:w="1242" w:type="dxa"/>
            <w:vMerge/>
            <w:tcBorders>
              <w:top w:val="single" w:sz="8" w:space="0" w:color="auto"/>
              <w:left w:val="nil"/>
              <w:bottom w:val="single" w:sz="8" w:space="0" w:color="auto"/>
              <w:right w:val="single" w:sz="2" w:space="0" w:color="auto"/>
            </w:tcBorders>
            <w:vAlign w:val="center"/>
          </w:tcPr>
          <w:p w14:paraId="149F972F" w14:textId="77777777" w:rsidR="00AB1619" w:rsidRPr="00314F62" w:rsidRDefault="00AB1619" w:rsidP="00824EDE">
            <w:pPr>
              <w:pStyle w:val="TableCen"/>
            </w:pPr>
          </w:p>
        </w:tc>
        <w:tc>
          <w:tcPr>
            <w:tcW w:w="1310" w:type="dxa"/>
            <w:vMerge/>
            <w:tcBorders>
              <w:top w:val="single" w:sz="2" w:space="0" w:color="auto"/>
              <w:left w:val="single" w:sz="2" w:space="0" w:color="auto"/>
              <w:bottom w:val="single" w:sz="2" w:space="0" w:color="auto"/>
              <w:right w:val="single" w:sz="2" w:space="0" w:color="auto"/>
            </w:tcBorders>
            <w:vAlign w:val="center"/>
          </w:tcPr>
          <w:p w14:paraId="49779069" w14:textId="77777777" w:rsidR="00AB1619" w:rsidRPr="00314F62" w:rsidRDefault="00AB1619" w:rsidP="00824EDE">
            <w:pPr>
              <w:pStyle w:val="TableCen"/>
            </w:pPr>
          </w:p>
        </w:tc>
        <w:tc>
          <w:tcPr>
            <w:tcW w:w="5528" w:type="dxa"/>
            <w:tcBorders>
              <w:top w:val="single" w:sz="2" w:space="0" w:color="auto"/>
              <w:left w:val="single" w:sz="2" w:space="0" w:color="auto"/>
              <w:bottom w:val="single" w:sz="2" w:space="0" w:color="auto"/>
              <w:right w:val="single" w:sz="2" w:space="0" w:color="auto"/>
            </w:tcBorders>
            <w:vAlign w:val="center"/>
          </w:tcPr>
          <w:p w14:paraId="0AEBD7AD" w14:textId="77777777" w:rsidR="00AB1619" w:rsidRPr="00314F62" w:rsidRDefault="00AB1619" w:rsidP="00824EDE">
            <w:pPr>
              <w:pStyle w:val="Table"/>
            </w:pPr>
            <w:r w:rsidRPr="00314F62">
              <w:t>‘Bicycle Awareness Zones’ reference removed from Specification.  ‘Bicycle Awareness Zones’ are no longer permitted on Brisbane City Council-controlled Roads.</w:t>
            </w:r>
          </w:p>
        </w:tc>
        <w:tc>
          <w:tcPr>
            <w:tcW w:w="1276" w:type="dxa"/>
            <w:vMerge/>
            <w:tcBorders>
              <w:left w:val="single" w:sz="2" w:space="0" w:color="auto"/>
              <w:right w:val="nil"/>
            </w:tcBorders>
            <w:vAlign w:val="center"/>
          </w:tcPr>
          <w:p w14:paraId="14BDBEEC" w14:textId="77777777" w:rsidR="00AB1619" w:rsidRPr="00314F62" w:rsidRDefault="00AB1619" w:rsidP="00824EDE">
            <w:pPr>
              <w:pStyle w:val="TableCen"/>
              <w:rPr>
                <w:noProof/>
              </w:rPr>
            </w:pPr>
          </w:p>
        </w:tc>
      </w:tr>
      <w:tr w:rsidR="008541D0" w:rsidRPr="00314F62" w14:paraId="6490CAEA" w14:textId="77777777" w:rsidTr="005C6EB1">
        <w:tc>
          <w:tcPr>
            <w:tcW w:w="1242" w:type="dxa"/>
            <w:vMerge/>
            <w:tcBorders>
              <w:top w:val="single" w:sz="8" w:space="0" w:color="auto"/>
              <w:left w:val="nil"/>
              <w:bottom w:val="single" w:sz="8" w:space="0" w:color="auto"/>
              <w:right w:val="single" w:sz="2" w:space="0" w:color="auto"/>
            </w:tcBorders>
            <w:vAlign w:val="center"/>
          </w:tcPr>
          <w:p w14:paraId="4139C2CB" w14:textId="77777777" w:rsidR="008541D0" w:rsidRPr="00314F62" w:rsidRDefault="008541D0" w:rsidP="008541D0">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FF2C5F4" w14:textId="77777777" w:rsidR="008541D0" w:rsidRPr="00314F62" w:rsidRDefault="008541D0" w:rsidP="008541D0">
            <w:pPr>
              <w:pStyle w:val="TableCen"/>
            </w:pPr>
            <w:r w:rsidRPr="00314F62">
              <w:t>3.5.4</w:t>
            </w:r>
          </w:p>
        </w:tc>
        <w:tc>
          <w:tcPr>
            <w:tcW w:w="5528" w:type="dxa"/>
            <w:tcBorders>
              <w:top w:val="single" w:sz="2" w:space="0" w:color="auto"/>
              <w:left w:val="single" w:sz="2" w:space="0" w:color="auto"/>
              <w:bottom w:val="single" w:sz="2" w:space="0" w:color="auto"/>
              <w:right w:val="single" w:sz="2" w:space="0" w:color="auto"/>
            </w:tcBorders>
            <w:vAlign w:val="center"/>
          </w:tcPr>
          <w:p w14:paraId="7FA1042B" w14:textId="77777777" w:rsidR="008541D0" w:rsidRPr="00314F62" w:rsidRDefault="008541D0" w:rsidP="008541D0">
            <w:pPr>
              <w:pStyle w:val="Table"/>
            </w:pPr>
            <w:r w:rsidRPr="00314F62">
              <w:t xml:space="preserve">Cold applied plastic material added to </w:t>
            </w:r>
            <w:r w:rsidR="00A763CE">
              <w:t>C</w:t>
            </w:r>
            <w:r w:rsidRPr="00314F62">
              <w:t>lause.</w:t>
            </w:r>
          </w:p>
        </w:tc>
        <w:tc>
          <w:tcPr>
            <w:tcW w:w="1276" w:type="dxa"/>
            <w:vMerge/>
            <w:tcBorders>
              <w:left w:val="single" w:sz="2" w:space="0" w:color="auto"/>
              <w:bottom w:val="single" w:sz="12" w:space="0" w:color="auto"/>
              <w:right w:val="nil"/>
            </w:tcBorders>
            <w:vAlign w:val="center"/>
          </w:tcPr>
          <w:p w14:paraId="5F29E05A" w14:textId="77777777" w:rsidR="008541D0" w:rsidRPr="00314F62" w:rsidRDefault="008541D0" w:rsidP="008541D0">
            <w:pPr>
              <w:pStyle w:val="TableCen"/>
              <w:rPr>
                <w:noProof/>
              </w:rPr>
            </w:pPr>
          </w:p>
        </w:tc>
      </w:tr>
      <w:tr w:rsidR="008541D0" w:rsidRPr="00314F62" w14:paraId="0426A464" w14:textId="77777777" w:rsidTr="005C6EB1">
        <w:tc>
          <w:tcPr>
            <w:tcW w:w="1242" w:type="dxa"/>
            <w:vMerge/>
            <w:tcBorders>
              <w:top w:val="single" w:sz="8" w:space="0" w:color="auto"/>
              <w:left w:val="nil"/>
              <w:bottom w:val="single" w:sz="8" w:space="0" w:color="auto"/>
              <w:right w:val="single" w:sz="2" w:space="0" w:color="auto"/>
            </w:tcBorders>
            <w:vAlign w:val="center"/>
          </w:tcPr>
          <w:p w14:paraId="21C55444" w14:textId="77777777" w:rsidR="008541D0" w:rsidRPr="00314F62" w:rsidRDefault="008541D0" w:rsidP="008541D0">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2A3E85B4" w14:textId="77777777" w:rsidR="008541D0" w:rsidRPr="00314F62" w:rsidRDefault="008541D0" w:rsidP="008541D0">
            <w:pPr>
              <w:pStyle w:val="TableCen"/>
            </w:pPr>
            <w:r w:rsidRPr="00314F62">
              <w:t>Table 4.2</w:t>
            </w:r>
          </w:p>
        </w:tc>
        <w:tc>
          <w:tcPr>
            <w:tcW w:w="5528" w:type="dxa"/>
            <w:tcBorders>
              <w:top w:val="single" w:sz="2" w:space="0" w:color="auto"/>
              <w:left w:val="single" w:sz="2" w:space="0" w:color="auto"/>
              <w:bottom w:val="single" w:sz="8" w:space="0" w:color="auto"/>
              <w:right w:val="single" w:sz="2" w:space="0" w:color="auto"/>
            </w:tcBorders>
            <w:vAlign w:val="center"/>
          </w:tcPr>
          <w:p w14:paraId="3B9C0B6E" w14:textId="77777777" w:rsidR="008541D0" w:rsidRPr="00314F62" w:rsidRDefault="008541D0" w:rsidP="008541D0">
            <w:pPr>
              <w:pStyle w:val="Table"/>
            </w:pPr>
            <w:r w:rsidRPr="00314F62">
              <w:t>Cross-references in table updated</w:t>
            </w:r>
          </w:p>
        </w:tc>
        <w:tc>
          <w:tcPr>
            <w:tcW w:w="1276" w:type="dxa"/>
            <w:vMerge/>
            <w:tcBorders>
              <w:left w:val="single" w:sz="2" w:space="0" w:color="auto"/>
              <w:bottom w:val="single" w:sz="8" w:space="0" w:color="auto"/>
              <w:right w:val="nil"/>
            </w:tcBorders>
            <w:vAlign w:val="center"/>
          </w:tcPr>
          <w:p w14:paraId="6C6F47E9" w14:textId="77777777" w:rsidR="008541D0" w:rsidRPr="00314F62" w:rsidRDefault="008541D0" w:rsidP="008541D0">
            <w:pPr>
              <w:pStyle w:val="TableCen"/>
              <w:rPr>
                <w:noProof/>
              </w:rPr>
            </w:pPr>
          </w:p>
        </w:tc>
      </w:tr>
      <w:tr w:rsidR="00A763CE" w:rsidRPr="00314F62" w14:paraId="7D6A746F" w14:textId="77777777" w:rsidTr="005C6EB1">
        <w:tc>
          <w:tcPr>
            <w:tcW w:w="1242" w:type="dxa"/>
            <w:vMerge w:val="restart"/>
            <w:tcBorders>
              <w:top w:val="single" w:sz="8" w:space="0" w:color="auto"/>
              <w:left w:val="nil"/>
              <w:bottom w:val="single" w:sz="8" w:space="0" w:color="auto"/>
              <w:right w:val="single" w:sz="2" w:space="0" w:color="auto"/>
            </w:tcBorders>
            <w:vAlign w:val="center"/>
          </w:tcPr>
          <w:p w14:paraId="597D55C9" w14:textId="77777777" w:rsidR="00A763CE" w:rsidRDefault="00A763CE" w:rsidP="00A763CE">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3850E878" w14:textId="77777777" w:rsidR="00A763CE" w:rsidRPr="00FB5EDC" w:rsidRDefault="00A763CE" w:rsidP="00FB5EDC">
            <w:pPr>
              <w:pStyle w:val="TableCen"/>
            </w:pPr>
            <w:r w:rsidRPr="00FB5EDC">
              <w:t>General</w:t>
            </w:r>
          </w:p>
        </w:tc>
        <w:tc>
          <w:tcPr>
            <w:tcW w:w="5528" w:type="dxa"/>
            <w:tcBorders>
              <w:top w:val="single" w:sz="8" w:space="0" w:color="auto"/>
              <w:left w:val="single" w:sz="2" w:space="0" w:color="auto"/>
              <w:bottom w:val="single" w:sz="2" w:space="0" w:color="auto"/>
              <w:right w:val="single" w:sz="2" w:space="0" w:color="auto"/>
            </w:tcBorders>
            <w:vAlign w:val="center"/>
          </w:tcPr>
          <w:p w14:paraId="12F32561" w14:textId="77777777" w:rsidR="00A763CE" w:rsidRDefault="00A763CE" w:rsidP="00A763CE">
            <w:pPr>
              <w:pStyle w:val="Table"/>
            </w:pPr>
            <w:r>
              <w:t>General Title Altered to ‘</w:t>
            </w:r>
            <w:r w:rsidRPr="002D26BA">
              <w:t>Reference Specifications for Engineering Work</w:t>
            </w:r>
            <w:r>
              <w:t>’</w:t>
            </w:r>
          </w:p>
        </w:tc>
        <w:tc>
          <w:tcPr>
            <w:tcW w:w="1276" w:type="dxa"/>
            <w:vMerge w:val="restart"/>
            <w:tcBorders>
              <w:top w:val="single" w:sz="8" w:space="0" w:color="auto"/>
              <w:left w:val="single" w:sz="2" w:space="0" w:color="auto"/>
              <w:right w:val="nil"/>
            </w:tcBorders>
            <w:vAlign w:val="center"/>
          </w:tcPr>
          <w:p w14:paraId="14EDAF4A" w14:textId="77777777" w:rsidR="00A763CE" w:rsidRPr="00FB5EDC" w:rsidRDefault="00084AC7" w:rsidP="00FB5EDC">
            <w:pPr>
              <w:pStyle w:val="TableCen"/>
            </w:pPr>
            <w:r w:rsidRPr="00FB5EDC">
              <w:t>Nov</w:t>
            </w:r>
            <w:r w:rsidR="00A763CE" w:rsidRPr="00FB5EDC">
              <w:t xml:space="preserve"> 2019</w:t>
            </w:r>
          </w:p>
        </w:tc>
      </w:tr>
      <w:tr w:rsidR="00A763CE" w:rsidRPr="00314F62" w14:paraId="75D65C86" w14:textId="77777777" w:rsidTr="005C133F">
        <w:tc>
          <w:tcPr>
            <w:tcW w:w="1242" w:type="dxa"/>
            <w:vMerge/>
            <w:tcBorders>
              <w:top w:val="single" w:sz="8" w:space="0" w:color="auto"/>
              <w:left w:val="nil"/>
              <w:bottom w:val="single" w:sz="8" w:space="0" w:color="auto"/>
              <w:right w:val="single" w:sz="2" w:space="0" w:color="auto"/>
            </w:tcBorders>
            <w:vAlign w:val="center"/>
          </w:tcPr>
          <w:p w14:paraId="7801BC42" w14:textId="77777777" w:rsidR="00A763CE" w:rsidRPr="00314F62" w:rsidRDefault="00A763CE" w:rsidP="00A763C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5A02C94" w14:textId="77777777" w:rsidR="00A763CE" w:rsidRPr="00FB5EDC" w:rsidRDefault="00A763CE" w:rsidP="00FB5EDC">
            <w:pPr>
              <w:pStyle w:val="TableCen"/>
            </w:pPr>
            <w:r w:rsidRPr="00FB5EDC">
              <w:t>1.2</w:t>
            </w:r>
          </w:p>
        </w:tc>
        <w:tc>
          <w:tcPr>
            <w:tcW w:w="5528" w:type="dxa"/>
            <w:tcBorders>
              <w:top w:val="single" w:sz="2" w:space="0" w:color="auto"/>
              <w:left w:val="single" w:sz="2" w:space="0" w:color="auto"/>
              <w:bottom w:val="single" w:sz="2" w:space="0" w:color="auto"/>
              <w:right w:val="single" w:sz="2" w:space="0" w:color="auto"/>
            </w:tcBorders>
            <w:vAlign w:val="center"/>
          </w:tcPr>
          <w:p w14:paraId="1CDB2CAB" w14:textId="77777777" w:rsidR="00A763CE" w:rsidRPr="00314F62" w:rsidRDefault="00A763CE" w:rsidP="00A763CE">
            <w:pPr>
              <w:pStyle w:val="Table"/>
            </w:pPr>
            <w:r>
              <w:t xml:space="preserve">Reference to </w:t>
            </w:r>
            <w:r w:rsidRPr="00314F62">
              <w:t>AS 4586</w:t>
            </w:r>
            <w:r>
              <w:t xml:space="preserve"> updated to latest numbering.</w:t>
            </w:r>
          </w:p>
        </w:tc>
        <w:tc>
          <w:tcPr>
            <w:tcW w:w="1276" w:type="dxa"/>
            <w:vMerge/>
            <w:tcBorders>
              <w:left w:val="single" w:sz="2" w:space="0" w:color="auto"/>
              <w:right w:val="nil"/>
            </w:tcBorders>
            <w:vAlign w:val="center"/>
          </w:tcPr>
          <w:p w14:paraId="1F4D5C30" w14:textId="77777777" w:rsidR="00A763CE" w:rsidRPr="00336E50" w:rsidRDefault="00A763CE" w:rsidP="005C6EB1">
            <w:pPr>
              <w:pStyle w:val="TableCen"/>
            </w:pPr>
          </w:p>
        </w:tc>
      </w:tr>
      <w:tr w:rsidR="00A763CE" w:rsidRPr="00314F62" w14:paraId="5D423E68" w14:textId="77777777" w:rsidTr="005C133F">
        <w:tc>
          <w:tcPr>
            <w:tcW w:w="1242" w:type="dxa"/>
            <w:vMerge/>
            <w:tcBorders>
              <w:top w:val="single" w:sz="8" w:space="0" w:color="auto"/>
              <w:left w:val="nil"/>
              <w:bottom w:val="single" w:sz="8" w:space="0" w:color="auto"/>
              <w:right w:val="single" w:sz="2" w:space="0" w:color="auto"/>
            </w:tcBorders>
            <w:vAlign w:val="center"/>
          </w:tcPr>
          <w:p w14:paraId="3BA87EA2" w14:textId="77777777" w:rsidR="00A763CE" w:rsidRPr="00314F62" w:rsidRDefault="00A763CE" w:rsidP="00A763CE">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4A0EF3BA" w14:textId="77777777" w:rsidR="00A763CE" w:rsidRPr="00FB5EDC" w:rsidRDefault="00A763CE" w:rsidP="00FB5EDC">
            <w:pPr>
              <w:pStyle w:val="TableCen"/>
            </w:pPr>
            <w:r w:rsidRPr="00FB5EDC">
              <w:t>4.2</w:t>
            </w:r>
          </w:p>
        </w:tc>
        <w:tc>
          <w:tcPr>
            <w:tcW w:w="5528" w:type="dxa"/>
            <w:tcBorders>
              <w:top w:val="single" w:sz="2" w:space="0" w:color="auto"/>
              <w:left w:val="single" w:sz="2" w:space="0" w:color="auto"/>
              <w:bottom w:val="single" w:sz="8" w:space="0" w:color="auto"/>
              <w:right w:val="single" w:sz="2" w:space="0" w:color="auto"/>
            </w:tcBorders>
            <w:vAlign w:val="center"/>
          </w:tcPr>
          <w:p w14:paraId="3AA90F78" w14:textId="77777777" w:rsidR="00A763CE" w:rsidRPr="00FB5EDC" w:rsidRDefault="00A763CE" w:rsidP="00FB5EDC">
            <w:pPr>
              <w:pStyle w:val="Table"/>
            </w:pPr>
            <w:r w:rsidRPr="00FB5EDC">
              <w:t>Slip resistance requirements for coloured pavement treatments updated to current standards.</w:t>
            </w:r>
          </w:p>
          <w:p w14:paraId="02C353D3" w14:textId="22D395F5" w:rsidR="00A763CE" w:rsidRPr="00FB5EDC" w:rsidRDefault="00A763CE" w:rsidP="00FB5EDC">
            <w:pPr>
              <w:pStyle w:val="Table"/>
            </w:pPr>
            <w:r w:rsidRPr="00FB5EDC">
              <w:t>Table</w:t>
            </w:r>
            <w:r w:rsidR="008638AA" w:rsidRPr="00314F62">
              <w:t> </w:t>
            </w:r>
            <w:r w:rsidRPr="00FB5EDC">
              <w:t>4.1 removed from document.</w:t>
            </w:r>
          </w:p>
        </w:tc>
        <w:tc>
          <w:tcPr>
            <w:tcW w:w="1276" w:type="dxa"/>
            <w:vMerge/>
            <w:tcBorders>
              <w:left w:val="single" w:sz="2" w:space="0" w:color="auto"/>
              <w:bottom w:val="single" w:sz="8" w:space="0" w:color="auto"/>
              <w:right w:val="nil"/>
            </w:tcBorders>
            <w:vAlign w:val="center"/>
          </w:tcPr>
          <w:p w14:paraId="1A738857" w14:textId="77777777" w:rsidR="00A763CE" w:rsidRPr="00336E50" w:rsidRDefault="00A763CE">
            <w:pPr>
              <w:pStyle w:val="TableCen"/>
            </w:pPr>
          </w:p>
        </w:tc>
      </w:tr>
      <w:tr w:rsidR="002318B9" w:rsidRPr="00314F62" w14:paraId="5A00521A" w14:textId="77777777" w:rsidTr="005C133F">
        <w:tc>
          <w:tcPr>
            <w:tcW w:w="1242" w:type="dxa"/>
            <w:vMerge w:val="restart"/>
            <w:tcBorders>
              <w:top w:val="single" w:sz="8" w:space="0" w:color="auto"/>
              <w:left w:val="nil"/>
              <w:right w:val="single" w:sz="2" w:space="0" w:color="auto"/>
            </w:tcBorders>
            <w:vAlign w:val="center"/>
          </w:tcPr>
          <w:p w14:paraId="51611397" w14:textId="77777777" w:rsidR="002318B9" w:rsidRPr="00314F62" w:rsidRDefault="002318B9" w:rsidP="00FB5EDC">
            <w:pPr>
              <w:pStyle w:val="TableCen"/>
            </w:pPr>
            <w:r>
              <w:t>5.0</w:t>
            </w:r>
          </w:p>
        </w:tc>
        <w:tc>
          <w:tcPr>
            <w:tcW w:w="1310" w:type="dxa"/>
            <w:tcBorders>
              <w:top w:val="single" w:sz="8" w:space="0" w:color="auto"/>
              <w:left w:val="single" w:sz="2" w:space="0" w:color="auto"/>
              <w:bottom w:val="single" w:sz="2" w:space="0" w:color="auto"/>
              <w:right w:val="single" w:sz="2" w:space="0" w:color="auto"/>
            </w:tcBorders>
            <w:vAlign w:val="center"/>
          </w:tcPr>
          <w:p w14:paraId="143972B5" w14:textId="77777777" w:rsidR="002318B9" w:rsidRPr="00FB5EDC" w:rsidRDefault="002318B9" w:rsidP="00FB5EDC">
            <w:pPr>
              <w:pStyle w:val="TableCen"/>
            </w:pPr>
            <w:r w:rsidRPr="00FB5EDC">
              <w:t>General</w:t>
            </w:r>
          </w:p>
        </w:tc>
        <w:tc>
          <w:tcPr>
            <w:tcW w:w="5528" w:type="dxa"/>
            <w:tcBorders>
              <w:top w:val="single" w:sz="8" w:space="0" w:color="auto"/>
              <w:left w:val="single" w:sz="2" w:space="0" w:color="auto"/>
              <w:bottom w:val="single" w:sz="2" w:space="0" w:color="auto"/>
              <w:right w:val="single" w:sz="2" w:space="0" w:color="auto"/>
            </w:tcBorders>
            <w:vAlign w:val="center"/>
          </w:tcPr>
          <w:p w14:paraId="7AF23DFA" w14:textId="77777777" w:rsidR="002318B9" w:rsidRPr="00FB5EDC" w:rsidRDefault="002318B9" w:rsidP="00FB5EDC">
            <w:pPr>
              <w:pStyle w:val="Table"/>
            </w:pPr>
            <w:r w:rsidRPr="00FB5EDC">
              <w:t>Document name changed from ‘Reference Specifications for Civil Engineering Work’ to ‘Reference Specifications for Engineering Work’</w:t>
            </w:r>
          </w:p>
        </w:tc>
        <w:tc>
          <w:tcPr>
            <w:tcW w:w="1276" w:type="dxa"/>
            <w:vMerge w:val="restart"/>
            <w:tcBorders>
              <w:top w:val="single" w:sz="8" w:space="0" w:color="auto"/>
              <w:left w:val="single" w:sz="2" w:space="0" w:color="auto"/>
              <w:right w:val="nil"/>
            </w:tcBorders>
            <w:vAlign w:val="center"/>
          </w:tcPr>
          <w:p w14:paraId="3A4090D0" w14:textId="4BDC7D5C" w:rsidR="002318B9" w:rsidRPr="00FB5EDC" w:rsidRDefault="002940F8" w:rsidP="00FB5EDC">
            <w:pPr>
              <w:pStyle w:val="TableCen"/>
            </w:pPr>
            <w:r>
              <w:t>Mar 2021</w:t>
            </w:r>
          </w:p>
        </w:tc>
      </w:tr>
      <w:tr w:rsidR="002318B9" w:rsidRPr="00314F62" w14:paraId="60EA2C49" w14:textId="77777777" w:rsidTr="00F22017">
        <w:tc>
          <w:tcPr>
            <w:tcW w:w="1242" w:type="dxa"/>
            <w:vMerge/>
            <w:tcBorders>
              <w:left w:val="nil"/>
              <w:right w:val="single" w:sz="2" w:space="0" w:color="auto"/>
            </w:tcBorders>
            <w:vAlign w:val="center"/>
          </w:tcPr>
          <w:p w14:paraId="7626D499"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AB6E5DF" w14:textId="73AD9C50" w:rsidR="002318B9" w:rsidRPr="005C133F" w:rsidRDefault="002318B9" w:rsidP="005C133F">
            <w:pPr>
              <w:pStyle w:val="TableCen"/>
            </w:pPr>
            <w:r>
              <w:t>1.3</w:t>
            </w:r>
          </w:p>
        </w:tc>
        <w:tc>
          <w:tcPr>
            <w:tcW w:w="5528" w:type="dxa"/>
            <w:tcBorders>
              <w:top w:val="single" w:sz="2" w:space="0" w:color="auto"/>
              <w:left w:val="single" w:sz="2" w:space="0" w:color="auto"/>
              <w:bottom w:val="single" w:sz="2" w:space="0" w:color="auto"/>
              <w:right w:val="single" w:sz="2" w:space="0" w:color="auto"/>
            </w:tcBorders>
            <w:vAlign w:val="center"/>
          </w:tcPr>
          <w:p w14:paraId="659D7241" w14:textId="4DF4E1EE" w:rsidR="002318B9" w:rsidRDefault="002318B9" w:rsidP="005C133F">
            <w:pPr>
              <w:pStyle w:val="Table"/>
            </w:pPr>
            <w:r>
              <w:t>Reference to Austroads Guide updated.</w:t>
            </w:r>
          </w:p>
        </w:tc>
        <w:tc>
          <w:tcPr>
            <w:tcW w:w="1276" w:type="dxa"/>
            <w:vMerge/>
            <w:tcBorders>
              <w:left w:val="single" w:sz="2" w:space="0" w:color="auto"/>
              <w:right w:val="nil"/>
            </w:tcBorders>
            <w:vAlign w:val="center"/>
          </w:tcPr>
          <w:p w14:paraId="64350413" w14:textId="77777777" w:rsidR="002318B9" w:rsidRDefault="002318B9" w:rsidP="00FB5EDC">
            <w:pPr>
              <w:pStyle w:val="TableCen"/>
            </w:pPr>
          </w:p>
        </w:tc>
      </w:tr>
      <w:tr w:rsidR="002318B9" w:rsidRPr="00314F62" w14:paraId="2FD1297B" w14:textId="77777777" w:rsidTr="00F22017">
        <w:tc>
          <w:tcPr>
            <w:tcW w:w="1242" w:type="dxa"/>
            <w:vMerge/>
            <w:tcBorders>
              <w:left w:val="nil"/>
              <w:right w:val="single" w:sz="2" w:space="0" w:color="auto"/>
            </w:tcBorders>
            <w:vAlign w:val="center"/>
          </w:tcPr>
          <w:p w14:paraId="595AA7C7"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5E3728F" w14:textId="77777777" w:rsidR="002318B9" w:rsidRPr="00FB5EDC" w:rsidRDefault="002318B9" w:rsidP="005C133F">
            <w:pPr>
              <w:pStyle w:val="TableCen"/>
            </w:pPr>
            <w:r w:rsidRPr="005C133F">
              <w:t>3.3.4</w:t>
            </w:r>
          </w:p>
        </w:tc>
        <w:tc>
          <w:tcPr>
            <w:tcW w:w="5528" w:type="dxa"/>
            <w:tcBorders>
              <w:top w:val="single" w:sz="2" w:space="0" w:color="auto"/>
              <w:left w:val="single" w:sz="2" w:space="0" w:color="auto"/>
              <w:bottom w:val="single" w:sz="2" w:space="0" w:color="auto"/>
              <w:right w:val="single" w:sz="2" w:space="0" w:color="auto"/>
            </w:tcBorders>
            <w:vAlign w:val="center"/>
          </w:tcPr>
          <w:p w14:paraId="01AE95B2" w14:textId="77777777" w:rsidR="002318B9" w:rsidRPr="00FB5EDC" w:rsidRDefault="002318B9" w:rsidP="005C133F">
            <w:pPr>
              <w:pStyle w:val="Table"/>
            </w:pPr>
            <w:r>
              <w:t xml:space="preserve">‘Retroreflectivity’ requirement added to </w:t>
            </w:r>
            <w:r w:rsidRPr="005C133F">
              <w:t>Pavement marking tape</w:t>
            </w:r>
            <w:r>
              <w:t xml:space="preserve"> clause.</w:t>
            </w:r>
          </w:p>
        </w:tc>
        <w:tc>
          <w:tcPr>
            <w:tcW w:w="1276" w:type="dxa"/>
            <w:vMerge/>
            <w:tcBorders>
              <w:left w:val="single" w:sz="2" w:space="0" w:color="auto"/>
              <w:right w:val="nil"/>
            </w:tcBorders>
            <w:vAlign w:val="center"/>
          </w:tcPr>
          <w:p w14:paraId="21B1748E" w14:textId="77777777" w:rsidR="002318B9" w:rsidRDefault="002318B9" w:rsidP="00FB5EDC">
            <w:pPr>
              <w:pStyle w:val="TableCen"/>
            </w:pPr>
          </w:p>
        </w:tc>
      </w:tr>
      <w:tr w:rsidR="002318B9" w:rsidRPr="00314F62" w14:paraId="4AF14DB2" w14:textId="77777777" w:rsidTr="00F22017">
        <w:tc>
          <w:tcPr>
            <w:tcW w:w="1242" w:type="dxa"/>
            <w:vMerge/>
            <w:tcBorders>
              <w:left w:val="nil"/>
              <w:right w:val="single" w:sz="2" w:space="0" w:color="auto"/>
            </w:tcBorders>
            <w:vAlign w:val="center"/>
          </w:tcPr>
          <w:p w14:paraId="48F13791"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8EDA2EB" w14:textId="6369E413" w:rsidR="002318B9" w:rsidRDefault="002318B9" w:rsidP="005C133F">
            <w:pPr>
              <w:pStyle w:val="TableCen"/>
            </w:pPr>
            <w:r>
              <w:t>4.7</w:t>
            </w:r>
          </w:p>
        </w:tc>
        <w:tc>
          <w:tcPr>
            <w:tcW w:w="5528" w:type="dxa"/>
            <w:tcBorders>
              <w:top w:val="single" w:sz="2" w:space="0" w:color="auto"/>
              <w:left w:val="single" w:sz="2" w:space="0" w:color="auto"/>
              <w:bottom w:val="single" w:sz="2" w:space="0" w:color="auto"/>
              <w:right w:val="single" w:sz="2" w:space="0" w:color="auto"/>
            </w:tcBorders>
            <w:vAlign w:val="center"/>
          </w:tcPr>
          <w:p w14:paraId="7F900B20" w14:textId="2A315BCE" w:rsidR="002318B9" w:rsidRDefault="002318B9" w:rsidP="007A144C">
            <w:pPr>
              <w:pStyle w:val="Table"/>
            </w:pPr>
            <w:r>
              <w:t>Road marking colour for white lettering and symbols on coloured pavement treatments added.</w:t>
            </w:r>
          </w:p>
        </w:tc>
        <w:tc>
          <w:tcPr>
            <w:tcW w:w="1276" w:type="dxa"/>
            <w:vMerge/>
            <w:tcBorders>
              <w:left w:val="single" w:sz="2" w:space="0" w:color="auto"/>
              <w:right w:val="nil"/>
            </w:tcBorders>
            <w:vAlign w:val="center"/>
          </w:tcPr>
          <w:p w14:paraId="5407D132" w14:textId="77777777" w:rsidR="002318B9" w:rsidRDefault="002318B9" w:rsidP="00FB5EDC">
            <w:pPr>
              <w:pStyle w:val="TableCen"/>
            </w:pPr>
          </w:p>
        </w:tc>
      </w:tr>
      <w:tr w:rsidR="002318B9" w:rsidRPr="00314F62" w14:paraId="588FA712" w14:textId="77777777" w:rsidTr="00F22017">
        <w:tc>
          <w:tcPr>
            <w:tcW w:w="1242" w:type="dxa"/>
            <w:vMerge/>
            <w:tcBorders>
              <w:left w:val="nil"/>
              <w:right w:val="single" w:sz="2" w:space="0" w:color="auto"/>
            </w:tcBorders>
            <w:vAlign w:val="center"/>
          </w:tcPr>
          <w:p w14:paraId="65670243"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BCEC358" w14:textId="2189B058" w:rsidR="002318B9" w:rsidRPr="005C133F" w:rsidRDefault="002318B9" w:rsidP="005C133F">
            <w:pPr>
              <w:pStyle w:val="TableCen"/>
            </w:pPr>
            <w:r>
              <w:t>4.7.3 and 4.7.4</w:t>
            </w:r>
          </w:p>
        </w:tc>
        <w:tc>
          <w:tcPr>
            <w:tcW w:w="5528" w:type="dxa"/>
            <w:tcBorders>
              <w:top w:val="single" w:sz="2" w:space="0" w:color="auto"/>
              <w:left w:val="single" w:sz="2" w:space="0" w:color="auto"/>
              <w:bottom w:val="single" w:sz="2" w:space="0" w:color="auto"/>
              <w:right w:val="single" w:sz="2" w:space="0" w:color="auto"/>
            </w:tcBorders>
            <w:vAlign w:val="center"/>
          </w:tcPr>
          <w:p w14:paraId="0628DC3E" w14:textId="3B5C4FEE" w:rsidR="002318B9" w:rsidRDefault="002318B9" w:rsidP="007A144C">
            <w:pPr>
              <w:pStyle w:val="Table"/>
            </w:pPr>
            <w:r>
              <w:t xml:space="preserve">Road marking colour for </w:t>
            </w:r>
            <w:r w:rsidRPr="001B7E00">
              <w:rPr>
                <w:i/>
                <w:iCs/>
              </w:rPr>
              <w:t>BICYCLE SHARED ZONES</w:t>
            </w:r>
            <w:r>
              <w:t xml:space="preserve"> added </w:t>
            </w:r>
            <w:r w:rsidRPr="001B7E00">
              <w:rPr>
                <w:i/>
                <w:iCs/>
              </w:rPr>
              <w:t>ON-ROAD BICYCLE LANES</w:t>
            </w:r>
            <w:r>
              <w:t xml:space="preserve"> and </w:t>
            </w:r>
            <w:r w:rsidRPr="001B7E00">
              <w:rPr>
                <w:i/>
                <w:iCs/>
              </w:rPr>
              <w:t>OFF-ROAD BICYCLE FACILITIES</w:t>
            </w:r>
            <w:r>
              <w:t xml:space="preserve"> included.</w:t>
            </w:r>
          </w:p>
        </w:tc>
        <w:tc>
          <w:tcPr>
            <w:tcW w:w="1276" w:type="dxa"/>
            <w:vMerge/>
            <w:tcBorders>
              <w:left w:val="single" w:sz="2" w:space="0" w:color="auto"/>
              <w:right w:val="nil"/>
            </w:tcBorders>
            <w:vAlign w:val="center"/>
          </w:tcPr>
          <w:p w14:paraId="6895DEC2" w14:textId="77777777" w:rsidR="002318B9" w:rsidRDefault="002318B9" w:rsidP="00FB5EDC">
            <w:pPr>
              <w:pStyle w:val="TableCen"/>
            </w:pPr>
          </w:p>
        </w:tc>
      </w:tr>
      <w:tr w:rsidR="002318B9" w:rsidRPr="00314F62" w14:paraId="1F0ED079" w14:textId="77777777" w:rsidTr="00F22017">
        <w:tc>
          <w:tcPr>
            <w:tcW w:w="1242" w:type="dxa"/>
            <w:vMerge/>
            <w:tcBorders>
              <w:left w:val="nil"/>
              <w:right w:val="single" w:sz="2" w:space="0" w:color="auto"/>
            </w:tcBorders>
            <w:vAlign w:val="center"/>
          </w:tcPr>
          <w:p w14:paraId="05FA26A8"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8A9A73D" w14:textId="2A18DCE0" w:rsidR="002318B9" w:rsidRDefault="00B4751D" w:rsidP="005C133F">
            <w:pPr>
              <w:pStyle w:val="TableCen"/>
            </w:pPr>
            <w:r>
              <w:t>4.7.6</w:t>
            </w:r>
            <w:r w:rsidR="006E1A6E">
              <w:t xml:space="preserve"> and </w:t>
            </w:r>
            <w:r w:rsidR="002318B9" w:rsidRPr="001B7E00">
              <w:t>4.8.4</w:t>
            </w:r>
          </w:p>
        </w:tc>
        <w:tc>
          <w:tcPr>
            <w:tcW w:w="5528" w:type="dxa"/>
            <w:tcBorders>
              <w:top w:val="single" w:sz="2" w:space="0" w:color="auto"/>
              <w:left w:val="single" w:sz="2" w:space="0" w:color="auto"/>
              <w:bottom w:val="single" w:sz="2" w:space="0" w:color="auto"/>
              <w:right w:val="single" w:sz="2" w:space="0" w:color="auto"/>
            </w:tcBorders>
            <w:vAlign w:val="center"/>
          </w:tcPr>
          <w:p w14:paraId="4F81AF71" w14:textId="711A89D3" w:rsidR="002318B9" w:rsidRDefault="002318B9" w:rsidP="005C133F">
            <w:pPr>
              <w:pStyle w:val="Table"/>
            </w:pPr>
            <w:r w:rsidRPr="006C4391">
              <w:rPr>
                <w:i/>
                <w:iCs/>
              </w:rPr>
              <w:t>SCHOOL ZONE ENHANCED</w:t>
            </w:r>
            <w:r>
              <w:t xml:space="preserve"> marking type changed to </w:t>
            </w:r>
            <w:r w:rsidRPr="006C4391">
              <w:rPr>
                <w:i/>
                <w:iCs/>
              </w:rPr>
              <w:t>SCHOOL ZONE ENHANCED TREATMENT</w:t>
            </w:r>
            <w:r>
              <w:t xml:space="preserve"> to be consistent with current standards.</w:t>
            </w:r>
          </w:p>
        </w:tc>
        <w:tc>
          <w:tcPr>
            <w:tcW w:w="1276" w:type="dxa"/>
            <w:vMerge/>
            <w:tcBorders>
              <w:left w:val="single" w:sz="2" w:space="0" w:color="auto"/>
              <w:right w:val="nil"/>
            </w:tcBorders>
            <w:vAlign w:val="center"/>
          </w:tcPr>
          <w:p w14:paraId="3D346B8D" w14:textId="77777777" w:rsidR="002318B9" w:rsidRDefault="002318B9" w:rsidP="00FB5EDC">
            <w:pPr>
              <w:pStyle w:val="TableCen"/>
            </w:pPr>
          </w:p>
        </w:tc>
      </w:tr>
      <w:tr w:rsidR="002318B9" w:rsidRPr="00314F62" w14:paraId="067FF3F5" w14:textId="77777777" w:rsidTr="005C133F">
        <w:tc>
          <w:tcPr>
            <w:tcW w:w="1242" w:type="dxa"/>
            <w:vMerge/>
            <w:tcBorders>
              <w:left w:val="nil"/>
              <w:bottom w:val="single" w:sz="12" w:space="0" w:color="auto"/>
              <w:right w:val="single" w:sz="2" w:space="0" w:color="auto"/>
            </w:tcBorders>
            <w:vAlign w:val="center"/>
          </w:tcPr>
          <w:p w14:paraId="238492A4" w14:textId="77777777" w:rsidR="002318B9" w:rsidRDefault="002318B9" w:rsidP="00204594">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2FFA5E05" w14:textId="4D7FFD54" w:rsidR="002318B9" w:rsidRPr="001B7E00" w:rsidRDefault="002318B9" w:rsidP="00204594">
            <w:pPr>
              <w:pStyle w:val="TableCen"/>
            </w:pPr>
            <w:r>
              <w:t>4.7</w:t>
            </w:r>
            <w:r w:rsidR="00B4751D">
              <w:t>.7</w:t>
            </w:r>
            <w:r>
              <w:t xml:space="preserve"> and </w:t>
            </w:r>
            <w:r w:rsidRPr="00E175E3">
              <w:t>4.8.5</w:t>
            </w:r>
          </w:p>
        </w:tc>
        <w:tc>
          <w:tcPr>
            <w:tcW w:w="5528" w:type="dxa"/>
            <w:tcBorders>
              <w:top w:val="single" w:sz="2" w:space="0" w:color="auto"/>
              <w:left w:val="single" w:sz="2" w:space="0" w:color="auto"/>
              <w:bottom w:val="single" w:sz="12" w:space="0" w:color="auto"/>
              <w:right w:val="single" w:sz="2" w:space="0" w:color="auto"/>
            </w:tcBorders>
            <w:vAlign w:val="center"/>
          </w:tcPr>
          <w:p w14:paraId="32F5A163" w14:textId="025EB515" w:rsidR="002318B9" w:rsidRPr="006C4391" w:rsidRDefault="002318B9" w:rsidP="00204594">
            <w:pPr>
              <w:pStyle w:val="Table"/>
              <w:rPr>
                <w:i/>
                <w:iCs/>
              </w:rPr>
            </w:pPr>
            <w:r>
              <w:t xml:space="preserve">Requirements for </w:t>
            </w:r>
            <w:r w:rsidRPr="00E175E3">
              <w:t>Significant Wildlife Conservation Area (SWCA) Thresholds</w:t>
            </w:r>
            <w:r>
              <w:t xml:space="preserve"> added.</w:t>
            </w:r>
          </w:p>
        </w:tc>
        <w:tc>
          <w:tcPr>
            <w:tcW w:w="1276" w:type="dxa"/>
            <w:vMerge/>
            <w:tcBorders>
              <w:left w:val="single" w:sz="2" w:space="0" w:color="auto"/>
              <w:bottom w:val="single" w:sz="12" w:space="0" w:color="auto"/>
              <w:right w:val="nil"/>
            </w:tcBorders>
            <w:vAlign w:val="center"/>
          </w:tcPr>
          <w:p w14:paraId="143D15F4" w14:textId="77777777" w:rsidR="002318B9" w:rsidRDefault="002318B9" w:rsidP="00204594">
            <w:pPr>
              <w:pStyle w:val="TableCen"/>
            </w:pPr>
          </w:p>
        </w:tc>
      </w:tr>
    </w:tbl>
    <w:p w14:paraId="06311F84" w14:textId="77777777" w:rsidR="00A96313" w:rsidRPr="00314F62" w:rsidRDefault="00A96313" w:rsidP="00DA52DE"/>
    <w:p w14:paraId="2592B78A" w14:textId="77777777" w:rsidR="00DA52DE" w:rsidRPr="00314F62" w:rsidRDefault="00DA52DE" w:rsidP="00DA52DE"/>
    <w:p w14:paraId="0897DF89" w14:textId="77777777" w:rsidR="00DA52DE" w:rsidRPr="00314F62" w:rsidRDefault="00DA52DE" w:rsidP="00DA52DE"/>
    <w:p w14:paraId="36D19524" w14:textId="77777777" w:rsidR="00A96313" w:rsidRPr="00314F62" w:rsidRDefault="00A96313" w:rsidP="00A96313">
      <w:pPr>
        <w:pStyle w:val="BodyTextIndent"/>
        <w:sectPr w:rsidR="00A96313" w:rsidRPr="00314F62" w:rsidSect="00495374">
          <w:headerReference w:type="default" r:id="rId14"/>
          <w:footerReference w:type="default" r:id="rId15"/>
          <w:pgSz w:w="11906" w:h="16838" w:code="9"/>
          <w:pgMar w:top="1134" w:right="1134" w:bottom="992" w:left="1418" w:header="1134" w:footer="851" w:gutter="0"/>
          <w:pgNumType w:start="1"/>
          <w:cols w:space="720"/>
        </w:sectPr>
      </w:pPr>
    </w:p>
    <w:p w14:paraId="215367A3" w14:textId="77777777" w:rsidR="00DC0FFE" w:rsidRPr="00314F62" w:rsidRDefault="006058D0" w:rsidP="00C62B5E">
      <w:pPr>
        <w:pStyle w:val="BodyTextIndentBoldItalicCen"/>
      </w:pPr>
      <w:r w:rsidRPr="00314F62">
        <w:lastRenderedPageBreak/>
        <w:t>(</w:t>
      </w:r>
      <w:r w:rsidR="00DC0FFE" w:rsidRPr="00314F62">
        <w:t xml:space="preserve">This </w:t>
      </w:r>
      <w:r w:rsidRPr="00314F62">
        <w:t>Page Left Intentionally Blank)</w:t>
      </w:r>
    </w:p>
    <w:p w14:paraId="17BB9EBA" w14:textId="77777777" w:rsidR="00A96313" w:rsidRPr="00314F62" w:rsidRDefault="00A96313" w:rsidP="00A96313">
      <w:pPr>
        <w:pStyle w:val="BodyTextIndent"/>
        <w:sectPr w:rsidR="00A96313" w:rsidRPr="00314F62" w:rsidSect="00495374">
          <w:pgSz w:w="11906" w:h="16838" w:code="9"/>
          <w:pgMar w:top="1134" w:right="1134" w:bottom="992" w:left="1418" w:header="1134" w:footer="851" w:gutter="0"/>
          <w:pgNumType w:start="1"/>
          <w:cols w:space="720"/>
          <w:vAlign w:val="center"/>
          <w:titlePg/>
          <w:docGrid w:linePitch="272"/>
        </w:sectPr>
      </w:pPr>
    </w:p>
    <w:p w14:paraId="13C4F620" w14:textId="77777777" w:rsidR="008C4DB3" w:rsidRPr="00314F62" w:rsidRDefault="008C4DB3" w:rsidP="00F13163">
      <w:pPr>
        <w:pStyle w:val="Heading2"/>
        <w:numPr>
          <w:ilvl w:val="0"/>
          <w:numId w:val="0"/>
        </w:numPr>
        <w:ind w:left="709" w:hanging="709"/>
      </w:pPr>
      <w:bookmarkStart w:id="5" w:name="_Toc197934563"/>
      <w:bookmarkStart w:id="6" w:name="_Toc197935082"/>
      <w:bookmarkStart w:id="7" w:name="_Toc197936724"/>
      <w:r w:rsidRPr="00314F62">
        <w:lastRenderedPageBreak/>
        <w:t>TABLE OF CONTENTS</w:t>
      </w:r>
      <w:bookmarkEnd w:id="5"/>
      <w:bookmarkEnd w:id="6"/>
      <w:bookmarkEnd w:id="7"/>
    </w:p>
    <w:p w14:paraId="0D94DC63" w14:textId="1072F860" w:rsidR="00D72C66" w:rsidRDefault="00CD6876" w:rsidP="00495374">
      <w:pPr>
        <w:pStyle w:val="TOC1"/>
        <w:rPr>
          <w:rFonts w:asciiTheme="minorHAnsi" w:eastAsiaTheme="minorEastAsia" w:hAnsiTheme="minorHAnsi" w:cstheme="minorBidi"/>
          <w:sz w:val="22"/>
          <w:szCs w:val="22"/>
        </w:rPr>
      </w:pPr>
      <w:r>
        <w:fldChar w:fldCharType="begin"/>
      </w:r>
      <w:r>
        <w:instrText xml:space="preserve"> TOC \t "Heading 2,1,Heading 3,2,Heading 4,3,Heading 5,4" </w:instrText>
      </w:r>
      <w:r>
        <w:fldChar w:fldCharType="separate"/>
      </w:r>
      <w:r w:rsidR="00D72C66">
        <w:t>1.0</w:t>
      </w:r>
      <w:r w:rsidR="00D72C66">
        <w:rPr>
          <w:rFonts w:asciiTheme="minorHAnsi" w:eastAsiaTheme="minorEastAsia" w:hAnsiTheme="minorHAnsi" w:cstheme="minorBidi"/>
          <w:sz w:val="22"/>
          <w:szCs w:val="22"/>
        </w:rPr>
        <w:tab/>
      </w:r>
      <w:r w:rsidR="00D72C66">
        <w:t>GENERAL</w:t>
      </w:r>
      <w:r w:rsidR="00D72C66">
        <w:tab/>
      </w:r>
      <w:r w:rsidR="00D72C66">
        <w:fldChar w:fldCharType="begin"/>
      </w:r>
      <w:r w:rsidR="00D72C66">
        <w:instrText xml:space="preserve"> PAGEREF _Toc75951877 \h </w:instrText>
      </w:r>
      <w:r w:rsidR="00D72C66">
        <w:fldChar w:fldCharType="separate"/>
      </w:r>
      <w:r w:rsidR="00D72C66">
        <w:t>1</w:t>
      </w:r>
      <w:r w:rsidR="00D72C66">
        <w:fldChar w:fldCharType="end"/>
      </w:r>
    </w:p>
    <w:p w14:paraId="22D78600" w14:textId="51B8EDFE" w:rsidR="00D72C66" w:rsidRDefault="00D72C66" w:rsidP="00495374">
      <w:pPr>
        <w:pStyle w:val="TOC2"/>
        <w:rPr>
          <w:rFonts w:asciiTheme="minorHAnsi" w:eastAsiaTheme="minorEastAsia" w:hAnsiTheme="minorHAnsi" w:cstheme="minorBidi"/>
        </w:rPr>
      </w:pPr>
      <w:r>
        <w:t>1.1</w:t>
      </w:r>
      <w:r>
        <w:rPr>
          <w:rFonts w:asciiTheme="minorHAnsi" w:eastAsiaTheme="minorEastAsia" w:hAnsiTheme="minorHAnsi" w:cstheme="minorBidi"/>
        </w:rPr>
        <w:tab/>
      </w:r>
      <w:r>
        <w:t>Section Control</w:t>
      </w:r>
      <w:r>
        <w:tab/>
      </w:r>
      <w:r>
        <w:fldChar w:fldCharType="begin"/>
      </w:r>
      <w:r>
        <w:instrText xml:space="preserve"> PAGEREF _Toc75951878 \h </w:instrText>
      </w:r>
      <w:r>
        <w:fldChar w:fldCharType="separate"/>
      </w:r>
      <w:r>
        <w:t>1</w:t>
      </w:r>
      <w:r>
        <w:fldChar w:fldCharType="end"/>
      </w:r>
    </w:p>
    <w:p w14:paraId="413C8524" w14:textId="454FFEDF" w:rsidR="00D72C66" w:rsidRDefault="00D72C66" w:rsidP="00495374">
      <w:pPr>
        <w:pStyle w:val="TOC2"/>
        <w:rPr>
          <w:rFonts w:asciiTheme="minorHAnsi" w:eastAsiaTheme="minorEastAsia" w:hAnsiTheme="minorHAnsi" w:cstheme="minorBidi"/>
        </w:rPr>
      </w:pPr>
      <w:r>
        <w:t>1.2</w:t>
      </w:r>
      <w:r>
        <w:rPr>
          <w:rFonts w:asciiTheme="minorHAnsi" w:eastAsiaTheme="minorEastAsia" w:hAnsiTheme="minorHAnsi" w:cstheme="minorBidi"/>
        </w:rPr>
        <w:tab/>
      </w:r>
      <w:r>
        <w:t>Standards</w:t>
      </w:r>
      <w:r>
        <w:tab/>
      </w:r>
      <w:r>
        <w:fldChar w:fldCharType="begin"/>
      </w:r>
      <w:r>
        <w:instrText xml:space="preserve"> PAGEREF _Toc75951879 \h </w:instrText>
      </w:r>
      <w:r>
        <w:fldChar w:fldCharType="separate"/>
      </w:r>
      <w:r>
        <w:t>1</w:t>
      </w:r>
      <w:r>
        <w:fldChar w:fldCharType="end"/>
      </w:r>
    </w:p>
    <w:p w14:paraId="49CC996F" w14:textId="04A6CB14" w:rsidR="00D72C66" w:rsidRDefault="00D72C66" w:rsidP="00495374">
      <w:pPr>
        <w:pStyle w:val="TOC2"/>
        <w:rPr>
          <w:rFonts w:asciiTheme="minorHAnsi" w:eastAsiaTheme="minorEastAsia" w:hAnsiTheme="minorHAnsi" w:cstheme="minorBidi"/>
        </w:rPr>
      </w:pPr>
      <w:r>
        <w:t>1.3</w:t>
      </w:r>
      <w:r>
        <w:rPr>
          <w:rFonts w:asciiTheme="minorHAnsi" w:eastAsiaTheme="minorEastAsia" w:hAnsiTheme="minorHAnsi" w:cstheme="minorBidi"/>
        </w:rPr>
        <w:tab/>
      </w:r>
      <w:r>
        <w:t>References</w:t>
      </w:r>
      <w:r>
        <w:tab/>
      </w:r>
      <w:r>
        <w:fldChar w:fldCharType="begin"/>
      </w:r>
      <w:r>
        <w:instrText xml:space="preserve"> PAGEREF _Toc75951880 \h </w:instrText>
      </w:r>
      <w:r>
        <w:fldChar w:fldCharType="separate"/>
      </w:r>
      <w:r>
        <w:t>1</w:t>
      </w:r>
      <w:r>
        <w:fldChar w:fldCharType="end"/>
      </w:r>
    </w:p>
    <w:p w14:paraId="49270B9E" w14:textId="1DA3BF41" w:rsidR="00D72C66" w:rsidRDefault="00D72C66" w:rsidP="00495374">
      <w:pPr>
        <w:pStyle w:val="TOC2"/>
        <w:rPr>
          <w:rFonts w:asciiTheme="minorHAnsi" w:eastAsiaTheme="minorEastAsia" w:hAnsiTheme="minorHAnsi" w:cstheme="minorBidi"/>
        </w:rPr>
      </w:pPr>
      <w:r>
        <w:t>1.4</w:t>
      </w:r>
      <w:r>
        <w:rPr>
          <w:rFonts w:asciiTheme="minorHAnsi" w:eastAsiaTheme="minorEastAsia" w:hAnsiTheme="minorHAnsi" w:cstheme="minorBidi"/>
        </w:rPr>
        <w:tab/>
      </w:r>
      <w:r>
        <w:t>Defintions</w:t>
      </w:r>
      <w:r>
        <w:tab/>
      </w:r>
      <w:r>
        <w:fldChar w:fldCharType="begin"/>
      </w:r>
      <w:r>
        <w:instrText xml:space="preserve"> PAGEREF _Toc75951881 \h </w:instrText>
      </w:r>
      <w:r>
        <w:fldChar w:fldCharType="separate"/>
      </w:r>
      <w:r>
        <w:t>2</w:t>
      </w:r>
      <w:r>
        <w:fldChar w:fldCharType="end"/>
      </w:r>
    </w:p>
    <w:p w14:paraId="79F5937F" w14:textId="5BCB77D2" w:rsidR="00D72C66" w:rsidRDefault="00D72C66" w:rsidP="00495374">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QUALITY</w:t>
      </w:r>
      <w:r>
        <w:tab/>
      </w:r>
      <w:r>
        <w:fldChar w:fldCharType="begin"/>
      </w:r>
      <w:r>
        <w:instrText xml:space="preserve"> PAGEREF _Toc75951882 \h </w:instrText>
      </w:r>
      <w:r>
        <w:fldChar w:fldCharType="separate"/>
      </w:r>
      <w:r>
        <w:t>2</w:t>
      </w:r>
      <w:r>
        <w:fldChar w:fldCharType="end"/>
      </w:r>
    </w:p>
    <w:p w14:paraId="5D286CF1" w14:textId="70F248FC" w:rsidR="00D72C66" w:rsidRDefault="00D72C66" w:rsidP="00495374">
      <w:pPr>
        <w:pStyle w:val="TOC2"/>
        <w:rPr>
          <w:rFonts w:asciiTheme="minorHAnsi" w:eastAsiaTheme="minorEastAsia" w:hAnsiTheme="minorHAnsi" w:cstheme="minorBidi"/>
        </w:rPr>
      </w:pPr>
      <w:r>
        <w:t>2.1</w:t>
      </w:r>
      <w:r>
        <w:rPr>
          <w:rFonts w:asciiTheme="minorHAnsi" w:eastAsiaTheme="minorEastAsia" w:hAnsiTheme="minorHAnsi" w:cstheme="minorBidi"/>
        </w:rPr>
        <w:tab/>
      </w:r>
      <w:r>
        <w:t>Generally</w:t>
      </w:r>
      <w:r>
        <w:tab/>
      </w:r>
      <w:r>
        <w:fldChar w:fldCharType="begin"/>
      </w:r>
      <w:r>
        <w:instrText xml:space="preserve"> PAGEREF _Toc75951883 \h </w:instrText>
      </w:r>
      <w:r>
        <w:fldChar w:fldCharType="separate"/>
      </w:r>
      <w:r>
        <w:t>2</w:t>
      </w:r>
      <w:r>
        <w:fldChar w:fldCharType="end"/>
      </w:r>
    </w:p>
    <w:p w14:paraId="72E8327D" w14:textId="5117FA80" w:rsidR="00D72C66" w:rsidRDefault="00D72C66" w:rsidP="00495374">
      <w:pPr>
        <w:pStyle w:val="TOC2"/>
        <w:rPr>
          <w:rFonts w:asciiTheme="minorHAnsi" w:eastAsiaTheme="minorEastAsia" w:hAnsiTheme="minorHAnsi" w:cstheme="minorBidi"/>
        </w:rPr>
      </w:pPr>
      <w:r>
        <w:t>2.2</w:t>
      </w:r>
      <w:r>
        <w:rPr>
          <w:rFonts w:asciiTheme="minorHAnsi" w:eastAsiaTheme="minorEastAsia" w:hAnsiTheme="minorHAnsi" w:cstheme="minorBidi"/>
        </w:rPr>
        <w:tab/>
      </w:r>
      <w:r>
        <w:t>Inspections</w:t>
      </w:r>
      <w:r>
        <w:tab/>
      </w:r>
      <w:r>
        <w:fldChar w:fldCharType="begin"/>
      </w:r>
      <w:r>
        <w:instrText xml:space="preserve"> PAGEREF _Toc75951884 \h </w:instrText>
      </w:r>
      <w:r>
        <w:fldChar w:fldCharType="separate"/>
      </w:r>
      <w:r>
        <w:t>2</w:t>
      </w:r>
      <w:r>
        <w:fldChar w:fldCharType="end"/>
      </w:r>
    </w:p>
    <w:p w14:paraId="50E5D68D" w14:textId="18C71C97" w:rsidR="00D72C66" w:rsidRDefault="00D72C66" w:rsidP="00495374">
      <w:pPr>
        <w:pStyle w:val="TOC2"/>
        <w:rPr>
          <w:rFonts w:asciiTheme="minorHAnsi" w:eastAsiaTheme="minorEastAsia" w:hAnsiTheme="minorHAnsi" w:cstheme="minorBidi"/>
        </w:rPr>
      </w:pPr>
      <w:r>
        <w:t>2.3</w:t>
      </w:r>
      <w:r>
        <w:rPr>
          <w:rFonts w:asciiTheme="minorHAnsi" w:eastAsiaTheme="minorEastAsia" w:hAnsiTheme="minorHAnsi" w:cstheme="minorBidi"/>
        </w:rPr>
        <w:tab/>
      </w:r>
      <w:r>
        <w:t>Samples</w:t>
      </w:r>
      <w:r>
        <w:tab/>
      </w:r>
      <w:r>
        <w:fldChar w:fldCharType="begin"/>
      </w:r>
      <w:r>
        <w:instrText xml:space="preserve"> PAGEREF _Toc75951885 \h </w:instrText>
      </w:r>
      <w:r>
        <w:fldChar w:fldCharType="separate"/>
      </w:r>
      <w:r>
        <w:t>2</w:t>
      </w:r>
      <w:r>
        <w:fldChar w:fldCharType="end"/>
      </w:r>
    </w:p>
    <w:p w14:paraId="1C64C3DB" w14:textId="51F33B9B" w:rsidR="00D72C66" w:rsidRDefault="00D72C66" w:rsidP="00495374">
      <w:pPr>
        <w:pStyle w:val="TOC2"/>
        <w:rPr>
          <w:rFonts w:asciiTheme="minorHAnsi" w:eastAsiaTheme="minorEastAsia" w:hAnsiTheme="minorHAnsi" w:cstheme="minorBidi"/>
        </w:rPr>
      </w:pPr>
      <w:r>
        <w:t>2.4</w:t>
      </w:r>
      <w:r>
        <w:rPr>
          <w:rFonts w:asciiTheme="minorHAnsi" w:eastAsiaTheme="minorEastAsia" w:hAnsiTheme="minorHAnsi" w:cstheme="minorBidi"/>
        </w:rPr>
        <w:tab/>
      </w:r>
      <w:r>
        <w:t>Contractor’s Submissions</w:t>
      </w:r>
      <w:r>
        <w:tab/>
      </w:r>
      <w:r>
        <w:fldChar w:fldCharType="begin"/>
      </w:r>
      <w:r>
        <w:instrText xml:space="preserve"> PAGEREF _Toc75951886 \h </w:instrText>
      </w:r>
      <w:r>
        <w:fldChar w:fldCharType="separate"/>
      </w:r>
      <w:r>
        <w:t>2</w:t>
      </w:r>
      <w:r>
        <w:fldChar w:fldCharType="end"/>
      </w:r>
    </w:p>
    <w:p w14:paraId="60BA59DC" w14:textId="6EA1BDBC" w:rsidR="00D72C66" w:rsidRDefault="00D72C66" w:rsidP="00495374">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Longitudinal and Transverse PAvement Markings</w:t>
      </w:r>
      <w:r>
        <w:tab/>
      </w:r>
      <w:r>
        <w:fldChar w:fldCharType="begin"/>
      </w:r>
      <w:r>
        <w:instrText xml:space="preserve"> PAGEREF _Toc75951887 \h </w:instrText>
      </w:r>
      <w:r>
        <w:fldChar w:fldCharType="separate"/>
      </w:r>
      <w:r>
        <w:t>2</w:t>
      </w:r>
      <w:r>
        <w:fldChar w:fldCharType="end"/>
      </w:r>
    </w:p>
    <w:p w14:paraId="68163AB1" w14:textId="79104A17" w:rsidR="00D72C66" w:rsidRDefault="00D72C66" w:rsidP="00495374">
      <w:pPr>
        <w:pStyle w:val="TOC2"/>
        <w:rPr>
          <w:rFonts w:asciiTheme="minorHAnsi" w:eastAsiaTheme="minorEastAsia" w:hAnsiTheme="minorHAnsi" w:cstheme="minorBidi"/>
        </w:rPr>
      </w:pPr>
      <w:r>
        <w:t>3.1</w:t>
      </w:r>
      <w:r>
        <w:rPr>
          <w:rFonts w:asciiTheme="minorHAnsi" w:eastAsiaTheme="minorEastAsia" w:hAnsiTheme="minorHAnsi" w:cstheme="minorBidi"/>
        </w:rPr>
        <w:tab/>
      </w:r>
      <w:r>
        <w:t>Redundant Line Removal</w:t>
      </w:r>
      <w:r>
        <w:tab/>
      </w:r>
      <w:r>
        <w:fldChar w:fldCharType="begin"/>
      </w:r>
      <w:r>
        <w:instrText xml:space="preserve"> PAGEREF _Toc75951888 \h </w:instrText>
      </w:r>
      <w:r>
        <w:fldChar w:fldCharType="separate"/>
      </w:r>
      <w:r>
        <w:t>2</w:t>
      </w:r>
      <w:r>
        <w:fldChar w:fldCharType="end"/>
      </w:r>
    </w:p>
    <w:p w14:paraId="37D6761D" w14:textId="1B7DA2EC" w:rsidR="00D72C66" w:rsidRDefault="00D72C66" w:rsidP="00495374">
      <w:pPr>
        <w:pStyle w:val="TOC2"/>
        <w:rPr>
          <w:rFonts w:asciiTheme="minorHAnsi" w:eastAsiaTheme="minorEastAsia" w:hAnsiTheme="minorHAnsi" w:cstheme="minorBidi"/>
        </w:rPr>
      </w:pPr>
      <w:r>
        <w:t>3.2</w:t>
      </w:r>
      <w:r>
        <w:rPr>
          <w:rFonts w:asciiTheme="minorHAnsi" w:eastAsiaTheme="minorEastAsia" w:hAnsiTheme="minorHAnsi" w:cstheme="minorBidi"/>
        </w:rPr>
        <w:tab/>
      </w:r>
      <w:r>
        <w:t>Colour</w:t>
      </w:r>
      <w:r>
        <w:tab/>
      </w:r>
      <w:r>
        <w:fldChar w:fldCharType="begin"/>
      </w:r>
      <w:r>
        <w:instrText xml:space="preserve"> PAGEREF _Toc75951889 \h </w:instrText>
      </w:r>
      <w:r>
        <w:fldChar w:fldCharType="separate"/>
      </w:r>
      <w:r>
        <w:t>3</w:t>
      </w:r>
      <w:r>
        <w:fldChar w:fldCharType="end"/>
      </w:r>
    </w:p>
    <w:p w14:paraId="397DF9E5" w14:textId="40354BF5" w:rsidR="00D72C66" w:rsidRDefault="00D72C66" w:rsidP="00495374">
      <w:pPr>
        <w:pStyle w:val="TOC2"/>
        <w:rPr>
          <w:rFonts w:asciiTheme="minorHAnsi" w:eastAsiaTheme="minorEastAsia" w:hAnsiTheme="minorHAnsi" w:cstheme="minorBidi"/>
        </w:rPr>
      </w:pPr>
      <w:r>
        <w:t>3.3</w:t>
      </w:r>
      <w:r>
        <w:rPr>
          <w:rFonts w:asciiTheme="minorHAnsi" w:eastAsiaTheme="minorEastAsia" w:hAnsiTheme="minorHAnsi" w:cstheme="minorBidi"/>
        </w:rPr>
        <w:tab/>
      </w:r>
      <w:r>
        <w:t>Materials</w:t>
      </w:r>
      <w:r>
        <w:tab/>
      </w:r>
      <w:r>
        <w:fldChar w:fldCharType="begin"/>
      </w:r>
      <w:r>
        <w:instrText xml:space="preserve"> PAGEREF _Toc75951890 \h </w:instrText>
      </w:r>
      <w:r>
        <w:fldChar w:fldCharType="separate"/>
      </w:r>
      <w:r>
        <w:t>3</w:t>
      </w:r>
      <w:r>
        <w:fldChar w:fldCharType="end"/>
      </w:r>
    </w:p>
    <w:p w14:paraId="30E8AB59" w14:textId="791C6B0D" w:rsidR="00D72C66" w:rsidRPr="00745E56" w:rsidRDefault="00D72C66" w:rsidP="00745E56">
      <w:pPr>
        <w:pStyle w:val="TOC3"/>
        <w:rPr>
          <w:rFonts w:asciiTheme="minorHAnsi" w:eastAsiaTheme="minorEastAsia" w:hAnsiTheme="minorHAnsi" w:cstheme="minorBidi"/>
          <w:sz w:val="22"/>
          <w:szCs w:val="22"/>
        </w:rPr>
      </w:pPr>
      <w:r w:rsidRPr="00745E56">
        <w:t>3.3.1</w:t>
      </w:r>
      <w:r w:rsidRPr="00745E56">
        <w:rPr>
          <w:rFonts w:asciiTheme="minorHAnsi" w:eastAsiaTheme="minorEastAsia" w:hAnsiTheme="minorHAnsi" w:cstheme="minorBidi"/>
          <w:sz w:val="22"/>
          <w:szCs w:val="22"/>
        </w:rPr>
        <w:tab/>
      </w:r>
      <w:r w:rsidRPr="00745E56">
        <w:t>Paint</w:t>
      </w:r>
      <w:r w:rsidRPr="00745E56">
        <w:tab/>
      </w:r>
      <w:r w:rsidRPr="00745E56">
        <w:fldChar w:fldCharType="begin"/>
      </w:r>
      <w:r w:rsidRPr="00745E56">
        <w:instrText xml:space="preserve"> PAGEREF _Toc75951891 \h </w:instrText>
      </w:r>
      <w:r w:rsidRPr="00745E56">
        <w:fldChar w:fldCharType="separate"/>
      </w:r>
      <w:r w:rsidRPr="00745E56">
        <w:t>3</w:t>
      </w:r>
      <w:r w:rsidRPr="00745E56">
        <w:fldChar w:fldCharType="end"/>
      </w:r>
    </w:p>
    <w:p w14:paraId="6902310C" w14:textId="171E979C" w:rsidR="00D72C66" w:rsidRDefault="00D72C66" w:rsidP="00745E56">
      <w:pPr>
        <w:pStyle w:val="TOC3"/>
        <w:rPr>
          <w:rFonts w:asciiTheme="minorHAnsi" w:eastAsiaTheme="minorEastAsia" w:hAnsiTheme="minorHAnsi" w:cstheme="minorBidi"/>
          <w:sz w:val="22"/>
          <w:szCs w:val="22"/>
        </w:rPr>
      </w:pPr>
      <w:r w:rsidRPr="00302D50">
        <w:t>3.3.2</w:t>
      </w:r>
      <w:r>
        <w:rPr>
          <w:rFonts w:asciiTheme="minorHAnsi" w:eastAsiaTheme="minorEastAsia" w:hAnsiTheme="minorHAnsi" w:cstheme="minorBidi"/>
          <w:sz w:val="22"/>
          <w:szCs w:val="22"/>
        </w:rPr>
        <w:tab/>
      </w:r>
      <w:r w:rsidRPr="00745E56">
        <w:t>Thermoplastic materials</w:t>
      </w:r>
      <w:r>
        <w:tab/>
      </w:r>
      <w:r>
        <w:fldChar w:fldCharType="begin"/>
      </w:r>
      <w:r>
        <w:instrText xml:space="preserve"> PAGEREF _Toc75951892 \h </w:instrText>
      </w:r>
      <w:r>
        <w:fldChar w:fldCharType="separate"/>
      </w:r>
      <w:r>
        <w:t>3</w:t>
      </w:r>
      <w:r>
        <w:fldChar w:fldCharType="end"/>
      </w:r>
    </w:p>
    <w:p w14:paraId="142090A6" w14:textId="1D6A5D51" w:rsidR="00D72C66" w:rsidRDefault="00D72C66" w:rsidP="00745E56">
      <w:pPr>
        <w:pStyle w:val="TOC3"/>
        <w:rPr>
          <w:rFonts w:asciiTheme="minorHAnsi" w:eastAsiaTheme="minorEastAsia" w:hAnsiTheme="minorHAnsi" w:cstheme="minorBidi"/>
          <w:sz w:val="22"/>
          <w:szCs w:val="22"/>
        </w:rPr>
      </w:pPr>
      <w:r w:rsidRPr="00302D50">
        <w:t>3.3.3</w:t>
      </w:r>
      <w:r>
        <w:rPr>
          <w:rFonts w:asciiTheme="minorHAnsi" w:eastAsiaTheme="minorEastAsia" w:hAnsiTheme="minorHAnsi" w:cstheme="minorBidi"/>
          <w:sz w:val="22"/>
          <w:szCs w:val="22"/>
        </w:rPr>
        <w:tab/>
      </w:r>
      <w:r>
        <w:t>Two-part cold applied materials</w:t>
      </w:r>
      <w:r>
        <w:tab/>
      </w:r>
      <w:r>
        <w:fldChar w:fldCharType="begin"/>
      </w:r>
      <w:r>
        <w:instrText xml:space="preserve"> PAGEREF _Toc75951893 \h </w:instrText>
      </w:r>
      <w:r>
        <w:fldChar w:fldCharType="separate"/>
      </w:r>
      <w:r>
        <w:t>3</w:t>
      </w:r>
      <w:r>
        <w:fldChar w:fldCharType="end"/>
      </w:r>
    </w:p>
    <w:p w14:paraId="4059EA60" w14:textId="031BEB2E" w:rsidR="00D72C66" w:rsidRDefault="00D72C66" w:rsidP="00745E56">
      <w:pPr>
        <w:pStyle w:val="TOC3"/>
        <w:rPr>
          <w:rFonts w:asciiTheme="minorHAnsi" w:eastAsiaTheme="minorEastAsia" w:hAnsiTheme="minorHAnsi" w:cstheme="minorBidi"/>
          <w:sz w:val="22"/>
          <w:szCs w:val="22"/>
        </w:rPr>
      </w:pPr>
      <w:r w:rsidRPr="00302D50">
        <w:t>3.3.4</w:t>
      </w:r>
      <w:r>
        <w:rPr>
          <w:rFonts w:asciiTheme="minorHAnsi" w:eastAsiaTheme="minorEastAsia" w:hAnsiTheme="minorHAnsi" w:cstheme="minorBidi"/>
          <w:sz w:val="22"/>
          <w:szCs w:val="22"/>
        </w:rPr>
        <w:tab/>
      </w:r>
      <w:r>
        <w:t>Pavement marking tape</w:t>
      </w:r>
      <w:r>
        <w:tab/>
      </w:r>
      <w:r>
        <w:fldChar w:fldCharType="begin"/>
      </w:r>
      <w:r>
        <w:instrText xml:space="preserve"> PAGEREF _Toc75951894 \h </w:instrText>
      </w:r>
      <w:r>
        <w:fldChar w:fldCharType="separate"/>
      </w:r>
      <w:r>
        <w:t>3</w:t>
      </w:r>
      <w:r>
        <w:fldChar w:fldCharType="end"/>
      </w:r>
    </w:p>
    <w:p w14:paraId="548135F2" w14:textId="316ADE20" w:rsidR="00D72C66" w:rsidRDefault="00D72C66" w:rsidP="00745E56">
      <w:pPr>
        <w:pStyle w:val="TOC3"/>
        <w:rPr>
          <w:rFonts w:asciiTheme="minorHAnsi" w:eastAsiaTheme="minorEastAsia" w:hAnsiTheme="minorHAnsi" w:cstheme="minorBidi"/>
          <w:sz w:val="22"/>
          <w:szCs w:val="22"/>
        </w:rPr>
      </w:pPr>
      <w:r w:rsidRPr="00302D50">
        <w:t>3.3.5</w:t>
      </w:r>
      <w:r>
        <w:rPr>
          <w:rFonts w:asciiTheme="minorHAnsi" w:eastAsiaTheme="minorEastAsia" w:hAnsiTheme="minorHAnsi" w:cstheme="minorBidi"/>
          <w:sz w:val="22"/>
          <w:szCs w:val="22"/>
        </w:rPr>
        <w:tab/>
      </w:r>
      <w:r>
        <w:t>Reflective glass beads</w:t>
      </w:r>
      <w:r>
        <w:tab/>
      </w:r>
      <w:r>
        <w:fldChar w:fldCharType="begin"/>
      </w:r>
      <w:r>
        <w:instrText xml:space="preserve"> PAGEREF _Toc75951895 \h </w:instrText>
      </w:r>
      <w:r>
        <w:fldChar w:fldCharType="separate"/>
      </w:r>
      <w:r>
        <w:t>3</w:t>
      </w:r>
      <w:r>
        <w:fldChar w:fldCharType="end"/>
      </w:r>
    </w:p>
    <w:p w14:paraId="7BFF7348" w14:textId="6988D271" w:rsidR="00D72C66" w:rsidRDefault="00D72C66" w:rsidP="00745E56">
      <w:pPr>
        <w:pStyle w:val="TOC3"/>
        <w:rPr>
          <w:rFonts w:asciiTheme="minorHAnsi" w:eastAsiaTheme="minorEastAsia" w:hAnsiTheme="minorHAnsi" w:cstheme="minorBidi"/>
          <w:sz w:val="22"/>
          <w:szCs w:val="22"/>
        </w:rPr>
      </w:pPr>
      <w:r w:rsidRPr="00302D50">
        <w:t>3.3.6</w:t>
      </w:r>
      <w:r>
        <w:rPr>
          <w:rFonts w:asciiTheme="minorHAnsi" w:eastAsiaTheme="minorEastAsia" w:hAnsiTheme="minorHAnsi" w:cstheme="minorBidi"/>
          <w:sz w:val="22"/>
          <w:szCs w:val="22"/>
        </w:rPr>
        <w:tab/>
      </w:r>
      <w:r>
        <w:t>Anti-skid material</w:t>
      </w:r>
      <w:r>
        <w:tab/>
      </w:r>
      <w:r>
        <w:fldChar w:fldCharType="begin"/>
      </w:r>
      <w:r>
        <w:instrText xml:space="preserve"> PAGEREF _Toc75951896 \h </w:instrText>
      </w:r>
      <w:r>
        <w:fldChar w:fldCharType="separate"/>
      </w:r>
      <w:r>
        <w:t>3</w:t>
      </w:r>
      <w:r>
        <w:fldChar w:fldCharType="end"/>
      </w:r>
    </w:p>
    <w:p w14:paraId="11F6805A" w14:textId="7B1B7A80" w:rsidR="00D72C66" w:rsidRDefault="00D72C66" w:rsidP="00745E56">
      <w:pPr>
        <w:pStyle w:val="TOC3"/>
        <w:rPr>
          <w:rFonts w:asciiTheme="minorHAnsi" w:eastAsiaTheme="minorEastAsia" w:hAnsiTheme="minorHAnsi" w:cstheme="minorBidi"/>
          <w:sz w:val="22"/>
          <w:szCs w:val="22"/>
        </w:rPr>
      </w:pPr>
      <w:r w:rsidRPr="00302D50">
        <w:t>3.3.7</w:t>
      </w:r>
      <w:r>
        <w:rPr>
          <w:rFonts w:asciiTheme="minorHAnsi" w:eastAsiaTheme="minorEastAsia" w:hAnsiTheme="minorHAnsi" w:cstheme="minorBidi"/>
          <w:sz w:val="22"/>
          <w:szCs w:val="22"/>
        </w:rPr>
        <w:tab/>
      </w:r>
      <w:r>
        <w:t>Raised retroreflective pavement markers</w:t>
      </w:r>
      <w:r>
        <w:tab/>
      </w:r>
      <w:r>
        <w:fldChar w:fldCharType="begin"/>
      </w:r>
      <w:r>
        <w:instrText xml:space="preserve"> PAGEREF _Toc75951897 \h </w:instrText>
      </w:r>
      <w:r>
        <w:fldChar w:fldCharType="separate"/>
      </w:r>
      <w:r>
        <w:t>4</w:t>
      </w:r>
      <w:r>
        <w:fldChar w:fldCharType="end"/>
      </w:r>
    </w:p>
    <w:p w14:paraId="38A6C574" w14:textId="50F15014" w:rsidR="00D72C66" w:rsidRDefault="00D72C66" w:rsidP="00745E56">
      <w:pPr>
        <w:pStyle w:val="TOC3"/>
        <w:rPr>
          <w:rFonts w:asciiTheme="minorHAnsi" w:eastAsiaTheme="minorEastAsia" w:hAnsiTheme="minorHAnsi" w:cstheme="minorBidi"/>
          <w:sz w:val="22"/>
          <w:szCs w:val="22"/>
        </w:rPr>
      </w:pPr>
      <w:r w:rsidRPr="00302D50">
        <w:t>3.3.8</w:t>
      </w:r>
      <w:r>
        <w:rPr>
          <w:rFonts w:asciiTheme="minorHAnsi" w:eastAsiaTheme="minorEastAsia" w:hAnsiTheme="minorHAnsi" w:cstheme="minorBidi"/>
          <w:sz w:val="22"/>
          <w:szCs w:val="22"/>
        </w:rPr>
        <w:tab/>
      </w:r>
      <w:r>
        <w:t>Raised non-retroreflective pavement markers</w:t>
      </w:r>
      <w:r>
        <w:tab/>
      </w:r>
      <w:r>
        <w:fldChar w:fldCharType="begin"/>
      </w:r>
      <w:r>
        <w:instrText xml:space="preserve"> PAGEREF _Toc75951898 \h </w:instrText>
      </w:r>
      <w:r>
        <w:fldChar w:fldCharType="separate"/>
      </w:r>
      <w:r>
        <w:t>4</w:t>
      </w:r>
      <w:r>
        <w:fldChar w:fldCharType="end"/>
      </w:r>
    </w:p>
    <w:p w14:paraId="70F1B4ED" w14:textId="035C970B" w:rsidR="00D72C66" w:rsidRDefault="00D72C66" w:rsidP="00745E56">
      <w:pPr>
        <w:pStyle w:val="TOC3"/>
        <w:rPr>
          <w:rFonts w:asciiTheme="minorHAnsi" w:eastAsiaTheme="minorEastAsia" w:hAnsiTheme="minorHAnsi" w:cstheme="minorBidi"/>
          <w:sz w:val="22"/>
          <w:szCs w:val="22"/>
        </w:rPr>
      </w:pPr>
      <w:r w:rsidRPr="00302D50">
        <w:t>3.3.9</w:t>
      </w:r>
      <w:r>
        <w:rPr>
          <w:rFonts w:asciiTheme="minorHAnsi" w:eastAsiaTheme="minorEastAsia" w:hAnsiTheme="minorHAnsi" w:cstheme="minorBidi"/>
          <w:sz w:val="22"/>
          <w:szCs w:val="22"/>
        </w:rPr>
        <w:tab/>
      </w:r>
      <w:r>
        <w:t>Adhesives for raised pavement markers</w:t>
      </w:r>
      <w:r>
        <w:tab/>
      </w:r>
      <w:r>
        <w:fldChar w:fldCharType="begin"/>
      </w:r>
      <w:r>
        <w:instrText xml:space="preserve"> PAGEREF _Toc75951899 \h </w:instrText>
      </w:r>
      <w:r>
        <w:fldChar w:fldCharType="separate"/>
      </w:r>
      <w:r>
        <w:t>4</w:t>
      </w:r>
      <w:r>
        <w:fldChar w:fldCharType="end"/>
      </w:r>
    </w:p>
    <w:p w14:paraId="03B6D460" w14:textId="51A128AC" w:rsidR="00D72C66" w:rsidRDefault="00D72C66" w:rsidP="00745E56">
      <w:pPr>
        <w:pStyle w:val="TOC3"/>
        <w:rPr>
          <w:rFonts w:asciiTheme="minorHAnsi" w:eastAsiaTheme="minorEastAsia" w:hAnsiTheme="minorHAnsi" w:cstheme="minorBidi"/>
          <w:sz w:val="22"/>
          <w:szCs w:val="22"/>
        </w:rPr>
      </w:pPr>
      <w:r w:rsidRPr="00302D50">
        <w:t>3.3.10</w:t>
      </w:r>
      <w:r>
        <w:rPr>
          <w:rFonts w:asciiTheme="minorHAnsi" w:eastAsiaTheme="minorEastAsia" w:hAnsiTheme="minorHAnsi" w:cstheme="minorBidi"/>
          <w:sz w:val="22"/>
          <w:szCs w:val="22"/>
        </w:rPr>
        <w:tab/>
      </w:r>
      <w:r>
        <w:t>Temporary pavement markers</w:t>
      </w:r>
      <w:r>
        <w:tab/>
      </w:r>
      <w:r>
        <w:fldChar w:fldCharType="begin"/>
      </w:r>
      <w:r>
        <w:instrText xml:space="preserve"> PAGEREF _Toc75951900 \h </w:instrText>
      </w:r>
      <w:r>
        <w:fldChar w:fldCharType="separate"/>
      </w:r>
      <w:r>
        <w:t>4</w:t>
      </w:r>
      <w:r>
        <w:fldChar w:fldCharType="end"/>
      </w:r>
    </w:p>
    <w:p w14:paraId="17FE061F" w14:textId="01268AFD" w:rsidR="00D72C66" w:rsidRDefault="00D72C66" w:rsidP="00495374">
      <w:pPr>
        <w:pStyle w:val="TOC2"/>
        <w:rPr>
          <w:rFonts w:asciiTheme="minorHAnsi" w:eastAsiaTheme="minorEastAsia" w:hAnsiTheme="minorHAnsi" w:cstheme="minorBidi"/>
        </w:rPr>
      </w:pPr>
      <w:r>
        <w:t>3.4</w:t>
      </w:r>
      <w:r>
        <w:rPr>
          <w:rFonts w:asciiTheme="minorHAnsi" w:eastAsiaTheme="minorEastAsia" w:hAnsiTheme="minorHAnsi" w:cstheme="minorBidi"/>
        </w:rPr>
        <w:tab/>
      </w:r>
      <w:r>
        <w:t>Execution and Installation</w:t>
      </w:r>
      <w:r>
        <w:tab/>
      </w:r>
      <w:r>
        <w:fldChar w:fldCharType="begin"/>
      </w:r>
      <w:r>
        <w:instrText xml:space="preserve"> PAGEREF _Toc75951901 \h </w:instrText>
      </w:r>
      <w:r>
        <w:fldChar w:fldCharType="separate"/>
      </w:r>
      <w:r>
        <w:t>4</w:t>
      </w:r>
      <w:r>
        <w:fldChar w:fldCharType="end"/>
      </w:r>
    </w:p>
    <w:p w14:paraId="073DA34A" w14:textId="1F4254B4" w:rsidR="00D72C66" w:rsidRDefault="00D72C66" w:rsidP="00745E56">
      <w:pPr>
        <w:pStyle w:val="TOC3"/>
        <w:rPr>
          <w:rFonts w:asciiTheme="minorHAnsi" w:eastAsiaTheme="minorEastAsia" w:hAnsiTheme="minorHAnsi" w:cstheme="minorBidi"/>
          <w:sz w:val="22"/>
          <w:szCs w:val="22"/>
        </w:rPr>
      </w:pPr>
      <w:r w:rsidRPr="00302D50">
        <w:t>3.4.1</w:t>
      </w:r>
      <w:r>
        <w:rPr>
          <w:rFonts w:asciiTheme="minorHAnsi" w:eastAsiaTheme="minorEastAsia" w:hAnsiTheme="minorHAnsi" w:cstheme="minorBidi"/>
          <w:sz w:val="22"/>
          <w:szCs w:val="22"/>
        </w:rPr>
        <w:tab/>
      </w:r>
      <w:r>
        <w:t>Weather conditions</w:t>
      </w:r>
      <w:r>
        <w:tab/>
      </w:r>
      <w:r>
        <w:fldChar w:fldCharType="begin"/>
      </w:r>
      <w:r>
        <w:instrText xml:space="preserve"> PAGEREF _Toc75951902 \h </w:instrText>
      </w:r>
      <w:r>
        <w:fldChar w:fldCharType="separate"/>
      </w:r>
      <w:r>
        <w:t>4</w:t>
      </w:r>
      <w:r>
        <w:fldChar w:fldCharType="end"/>
      </w:r>
    </w:p>
    <w:p w14:paraId="62AE010F" w14:textId="5FE5AD0C" w:rsidR="00D72C66" w:rsidRDefault="00D72C66" w:rsidP="00745E56">
      <w:pPr>
        <w:pStyle w:val="TOC3"/>
        <w:rPr>
          <w:rFonts w:asciiTheme="minorHAnsi" w:eastAsiaTheme="minorEastAsia" w:hAnsiTheme="minorHAnsi" w:cstheme="minorBidi"/>
          <w:sz w:val="22"/>
          <w:szCs w:val="22"/>
        </w:rPr>
      </w:pPr>
      <w:r w:rsidRPr="00302D50">
        <w:t>3.4.2</w:t>
      </w:r>
      <w:r>
        <w:rPr>
          <w:rFonts w:asciiTheme="minorHAnsi" w:eastAsiaTheme="minorEastAsia" w:hAnsiTheme="minorHAnsi" w:cstheme="minorBidi"/>
          <w:sz w:val="22"/>
          <w:szCs w:val="22"/>
        </w:rPr>
        <w:tab/>
      </w:r>
      <w:r>
        <w:t>Surface preparation</w:t>
      </w:r>
      <w:r>
        <w:tab/>
      </w:r>
      <w:r>
        <w:fldChar w:fldCharType="begin"/>
      </w:r>
      <w:r>
        <w:instrText xml:space="preserve"> PAGEREF _Toc75951903 \h </w:instrText>
      </w:r>
      <w:r>
        <w:fldChar w:fldCharType="separate"/>
      </w:r>
      <w:r>
        <w:t>4</w:t>
      </w:r>
      <w:r>
        <w:fldChar w:fldCharType="end"/>
      </w:r>
    </w:p>
    <w:p w14:paraId="486B789C" w14:textId="2E20B12B" w:rsidR="00D72C66" w:rsidRDefault="00D72C66" w:rsidP="00745E56">
      <w:pPr>
        <w:pStyle w:val="TOC3"/>
        <w:rPr>
          <w:rFonts w:asciiTheme="minorHAnsi" w:eastAsiaTheme="minorEastAsia" w:hAnsiTheme="minorHAnsi" w:cstheme="minorBidi"/>
          <w:sz w:val="22"/>
          <w:szCs w:val="22"/>
        </w:rPr>
      </w:pPr>
      <w:r w:rsidRPr="00302D50">
        <w:t>3.4.3</w:t>
      </w:r>
      <w:r>
        <w:rPr>
          <w:rFonts w:asciiTheme="minorHAnsi" w:eastAsiaTheme="minorEastAsia" w:hAnsiTheme="minorHAnsi" w:cstheme="minorBidi"/>
          <w:sz w:val="22"/>
          <w:szCs w:val="22"/>
        </w:rPr>
        <w:tab/>
      </w:r>
      <w:r>
        <w:t>Spotting</w:t>
      </w:r>
      <w:r>
        <w:tab/>
      </w:r>
      <w:r>
        <w:fldChar w:fldCharType="begin"/>
      </w:r>
      <w:r>
        <w:instrText xml:space="preserve"> PAGEREF _Toc75951904 \h </w:instrText>
      </w:r>
      <w:r>
        <w:fldChar w:fldCharType="separate"/>
      </w:r>
      <w:r>
        <w:t>5</w:t>
      </w:r>
      <w:r>
        <w:fldChar w:fldCharType="end"/>
      </w:r>
    </w:p>
    <w:p w14:paraId="5DFEE28B" w14:textId="770559B8" w:rsidR="00D72C66" w:rsidRDefault="00D72C66" w:rsidP="00745E56">
      <w:pPr>
        <w:pStyle w:val="TOC3"/>
        <w:rPr>
          <w:rFonts w:asciiTheme="minorHAnsi" w:eastAsiaTheme="minorEastAsia" w:hAnsiTheme="minorHAnsi" w:cstheme="minorBidi"/>
          <w:sz w:val="22"/>
          <w:szCs w:val="22"/>
        </w:rPr>
      </w:pPr>
      <w:r w:rsidRPr="00302D50">
        <w:t>3.4.4</w:t>
      </w:r>
      <w:r>
        <w:rPr>
          <w:rFonts w:asciiTheme="minorHAnsi" w:eastAsiaTheme="minorEastAsia" w:hAnsiTheme="minorHAnsi" w:cstheme="minorBidi"/>
          <w:sz w:val="22"/>
          <w:szCs w:val="22"/>
        </w:rPr>
        <w:tab/>
      </w:r>
      <w:r>
        <w:t>Applying paint</w:t>
      </w:r>
      <w:r>
        <w:tab/>
      </w:r>
      <w:r>
        <w:fldChar w:fldCharType="begin"/>
      </w:r>
      <w:r>
        <w:instrText xml:space="preserve"> PAGEREF _Toc75951905 \h </w:instrText>
      </w:r>
      <w:r>
        <w:fldChar w:fldCharType="separate"/>
      </w:r>
      <w:r>
        <w:t>5</w:t>
      </w:r>
      <w:r>
        <w:fldChar w:fldCharType="end"/>
      </w:r>
    </w:p>
    <w:p w14:paraId="1645E197" w14:textId="29E60823" w:rsidR="00D72C66" w:rsidRDefault="00D72C66" w:rsidP="00745E56">
      <w:pPr>
        <w:pStyle w:val="TOC3"/>
        <w:rPr>
          <w:rFonts w:asciiTheme="minorHAnsi" w:eastAsiaTheme="minorEastAsia" w:hAnsiTheme="minorHAnsi" w:cstheme="minorBidi"/>
          <w:sz w:val="22"/>
          <w:szCs w:val="22"/>
        </w:rPr>
      </w:pPr>
      <w:r w:rsidRPr="00302D50">
        <w:t>3.4.5</w:t>
      </w:r>
      <w:r>
        <w:rPr>
          <w:rFonts w:asciiTheme="minorHAnsi" w:eastAsiaTheme="minorEastAsia" w:hAnsiTheme="minorHAnsi" w:cstheme="minorBidi"/>
          <w:sz w:val="22"/>
          <w:szCs w:val="22"/>
        </w:rPr>
        <w:tab/>
      </w:r>
      <w:r>
        <w:t>Applying thermoplastic material</w:t>
      </w:r>
      <w:r>
        <w:tab/>
      </w:r>
      <w:r>
        <w:fldChar w:fldCharType="begin"/>
      </w:r>
      <w:r>
        <w:instrText xml:space="preserve"> PAGEREF _Toc75951906 \h </w:instrText>
      </w:r>
      <w:r>
        <w:fldChar w:fldCharType="separate"/>
      </w:r>
      <w:r>
        <w:t>5</w:t>
      </w:r>
      <w:r>
        <w:fldChar w:fldCharType="end"/>
      </w:r>
    </w:p>
    <w:p w14:paraId="11EC1156" w14:textId="7056BB50" w:rsidR="00D72C66" w:rsidRDefault="00D72C66" w:rsidP="00745E56">
      <w:pPr>
        <w:pStyle w:val="TOC3"/>
        <w:rPr>
          <w:rFonts w:asciiTheme="minorHAnsi" w:eastAsiaTheme="minorEastAsia" w:hAnsiTheme="minorHAnsi" w:cstheme="minorBidi"/>
          <w:sz w:val="22"/>
          <w:szCs w:val="22"/>
        </w:rPr>
      </w:pPr>
      <w:r w:rsidRPr="00302D50">
        <w:t>3.4.6</w:t>
      </w:r>
      <w:r>
        <w:rPr>
          <w:rFonts w:asciiTheme="minorHAnsi" w:eastAsiaTheme="minorEastAsia" w:hAnsiTheme="minorHAnsi" w:cstheme="minorBidi"/>
          <w:sz w:val="22"/>
          <w:szCs w:val="22"/>
        </w:rPr>
        <w:tab/>
      </w:r>
      <w:r>
        <w:t>Applying two-part cold applied material</w:t>
      </w:r>
      <w:r>
        <w:tab/>
      </w:r>
      <w:r>
        <w:fldChar w:fldCharType="begin"/>
      </w:r>
      <w:r>
        <w:instrText xml:space="preserve"> PAGEREF _Toc75951907 \h </w:instrText>
      </w:r>
      <w:r>
        <w:fldChar w:fldCharType="separate"/>
      </w:r>
      <w:r>
        <w:t>5</w:t>
      </w:r>
      <w:r>
        <w:fldChar w:fldCharType="end"/>
      </w:r>
    </w:p>
    <w:p w14:paraId="2861BB8D" w14:textId="4A67B8AE" w:rsidR="00D72C66" w:rsidRDefault="00D72C66" w:rsidP="00745E56">
      <w:pPr>
        <w:pStyle w:val="TOC3"/>
        <w:rPr>
          <w:rFonts w:asciiTheme="minorHAnsi" w:eastAsiaTheme="minorEastAsia" w:hAnsiTheme="minorHAnsi" w:cstheme="minorBidi"/>
          <w:sz w:val="22"/>
          <w:szCs w:val="22"/>
        </w:rPr>
      </w:pPr>
      <w:r w:rsidRPr="00302D50">
        <w:t>3.4.7</w:t>
      </w:r>
      <w:r>
        <w:rPr>
          <w:rFonts w:asciiTheme="minorHAnsi" w:eastAsiaTheme="minorEastAsia" w:hAnsiTheme="minorHAnsi" w:cstheme="minorBidi"/>
          <w:sz w:val="22"/>
          <w:szCs w:val="22"/>
        </w:rPr>
        <w:tab/>
      </w:r>
      <w:r>
        <w:t>Applying drop-on glass beads</w:t>
      </w:r>
      <w:r>
        <w:tab/>
      </w:r>
      <w:r>
        <w:fldChar w:fldCharType="begin"/>
      </w:r>
      <w:r>
        <w:instrText xml:space="preserve"> PAGEREF _Toc75951908 \h </w:instrText>
      </w:r>
      <w:r>
        <w:fldChar w:fldCharType="separate"/>
      </w:r>
      <w:r>
        <w:t>5</w:t>
      </w:r>
      <w:r>
        <w:fldChar w:fldCharType="end"/>
      </w:r>
    </w:p>
    <w:p w14:paraId="4864E99D" w14:textId="4D21D16D" w:rsidR="00D72C66" w:rsidRDefault="00D72C66" w:rsidP="00745E56">
      <w:pPr>
        <w:pStyle w:val="TOC3"/>
        <w:rPr>
          <w:rFonts w:asciiTheme="minorHAnsi" w:eastAsiaTheme="minorEastAsia" w:hAnsiTheme="minorHAnsi" w:cstheme="minorBidi"/>
          <w:sz w:val="22"/>
          <w:szCs w:val="22"/>
        </w:rPr>
      </w:pPr>
      <w:r w:rsidRPr="00302D50">
        <w:t>3.4.8</w:t>
      </w:r>
      <w:r>
        <w:rPr>
          <w:rFonts w:asciiTheme="minorHAnsi" w:eastAsiaTheme="minorEastAsia" w:hAnsiTheme="minorHAnsi" w:cstheme="minorBidi"/>
          <w:sz w:val="22"/>
          <w:szCs w:val="22"/>
        </w:rPr>
        <w:tab/>
      </w:r>
      <w:r>
        <w:t>Applying anti-skid material</w:t>
      </w:r>
      <w:r>
        <w:tab/>
      </w:r>
      <w:r>
        <w:fldChar w:fldCharType="begin"/>
      </w:r>
      <w:r>
        <w:instrText xml:space="preserve"> PAGEREF _Toc75951909 \h </w:instrText>
      </w:r>
      <w:r>
        <w:fldChar w:fldCharType="separate"/>
      </w:r>
      <w:r>
        <w:t>6</w:t>
      </w:r>
      <w:r>
        <w:fldChar w:fldCharType="end"/>
      </w:r>
    </w:p>
    <w:p w14:paraId="6262FA42" w14:textId="6FE8397D" w:rsidR="00D72C66" w:rsidRDefault="00D72C66" w:rsidP="00745E56">
      <w:pPr>
        <w:pStyle w:val="TOC3"/>
        <w:rPr>
          <w:rFonts w:asciiTheme="minorHAnsi" w:eastAsiaTheme="minorEastAsia" w:hAnsiTheme="minorHAnsi" w:cstheme="minorBidi"/>
          <w:sz w:val="22"/>
          <w:szCs w:val="22"/>
        </w:rPr>
      </w:pPr>
      <w:r w:rsidRPr="00302D50">
        <w:t>3.4.9</w:t>
      </w:r>
      <w:r>
        <w:rPr>
          <w:rFonts w:asciiTheme="minorHAnsi" w:eastAsiaTheme="minorEastAsia" w:hAnsiTheme="minorHAnsi" w:cstheme="minorBidi"/>
          <w:sz w:val="22"/>
          <w:szCs w:val="22"/>
        </w:rPr>
        <w:tab/>
      </w:r>
      <w:r>
        <w:t>Applying pavement marking tape</w:t>
      </w:r>
      <w:r>
        <w:tab/>
      </w:r>
      <w:r>
        <w:fldChar w:fldCharType="begin"/>
      </w:r>
      <w:r>
        <w:instrText xml:space="preserve"> PAGEREF _Toc75951910 \h </w:instrText>
      </w:r>
      <w:r>
        <w:fldChar w:fldCharType="separate"/>
      </w:r>
      <w:r>
        <w:t>6</w:t>
      </w:r>
      <w:r>
        <w:fldChar w:fldCharType="end"/>
      </w:r>
    </w:p>
    <w:p w14:paraId="0A27A819" w14:textId="515C5F51" w:rsidR="00D72C66" w:rsidRDefault="00D72C66" w:rsidP="00745E56">
      <w:pPr>
        <w:pStyle w:val="TOC3"/>
        <w:rPr>
          <w:rFonts w:asciiTheme="minorHAnsi" w:eastAsiaTheme="minorEastAsia" w:hAnsiTheme="minorHAnsi" w:cstheme="minorBidi"/>
          <w:sz w:val="22"/>
          <w:szCs w:val="22"/>
        </w:rPr>
      </w:pPr>
      <w:r w:rsidRPr="00302D50">
        <w:t>3.4.10</w:t>
      </w:r>
      <w:r>
        <w:rPr>
          <w:rFonts w:asciiTheme="minorHAnsi" w:eastAsiaTheme="minorEastAsia" w:hAnsiTheme="minorHAnsi" w:cstheme="minorBidi"/>
          <w:sz w:val="22"/>
          <w:szCs w:val="22"/>
        </w:rPr>
        <w:tab/>
      </w:r>
      <w:r>
        <w:t>Applying raised pavement markers</w:t>
      </w:r>
      <w:r>
        <w:tab/>
      </w:r>
      <w:r>
        <w:fldChar w:fldCharType="begin"/>
      </w:r>
      <w:r>
        <w:instrText xml:space="preserve"> PAGEREF _Toc75951911 \h </w:instrText>
      </w:r>
      <w:r>
        <w:fldChar w:fldCharType="separate"/>
      </w:r>
      <w:r>
        <w:t>6</w:t>
      </w:r>
      <w:r>
        <w:fldChar w:fldCharType="end"/>
      </w:r>
    </w:p>
    <w:p w14:paraId="2E686CB3" w14:textId="13E7DC97" w:rsidR="00D72C66" w:rsidRDefault="00D72C66" w:rsidP="00745E56">
      <w:pPr>
        <w:pStyle w:val="TOC3"/>
        <w:rPr>
          <w:rFonts w:asciiTheme="minorHAnsi" w:eastAsiaTheme="minorEastAsia" w:hAnsiTheme="minorHAnsi" w:cstheme="minorBidi"/>
          <w:sz w:val="22"/>
          <w:szCs w:val="22"/>
        </w:rPr>
      </w:pPr>
      <w:r w:rsidRPr="00302D50">
        <w:t>3.4.11</w:t>
      </w:r>
      <w:r>
        <w:rPr>
          <w:rFonts w:asciiTheme="minorHAnsi" w:eastAsiaTheme="minorEastAsia" w:hAnsiTheme="minorHAnsi" w:cstheme="minorBidi"/>
          <w:sz w:val="22"/>
          <w:szCs w:val="22"/>
        </w:rPr>
        <w:tab/>
      </w:r>
      <w:r>
        <w:t>Alignment and finish</w:t>
      </w:r>
      <w:r>
        <w:tab/>
      </w:r>
      <w:r>
        <w:fldChar w:fldCharType="begin"/>
      </w:r>
      <w:r>
        <w:instrText xml:space="preserve"> PAGEREF _Toc75951912 \h </w:instrText>
      </w:r>
      <w:r>
        <w:fldChar w:fldCharType="separate"/>
      </w:r>
      <w:r>
        <w:t>6</w:t>
      </w:r>
      <w:r>
        <w:fldChar w:fldCharType="end"/>
      </w:r>
    </w:p>
    <w:p w14:paraId="771EC98B" w14:textId="2AF22325" w:rsidR="00D72C66" w:rsidRDefault="00D72C66" w:rsidP="00495374">
      <w:pPr>
        <w:pStyle w:val="TOC2"/>
        <w:rPr>
          <w:rFonts w:asciiTheme="minorHAnsi" w:eastAsiaTheme="minorEastAsia" w:hAnsiTheme="minorHAnsi" w:cstheme="minorBidi"/>
        </w:rPr>
      </w:pPr>
      <w:r>
        <w:t>3.5</w:t>
      </w:r>
      <w:r>
        <w:rPr>
          <w:rFonts w:asciiTheme="minorHAnsi" w:eastAsiaTheme="minorEastAsia" w:hAnsiTheme="minorHAnsi" w:cstheme="minorBidi"/>
        </w:rPr>
        <w:tab/>
      </w:r>
      <w:r>
        <w:t>Installation Requirements</w:t>
      </w:r>
      <w:r>
        <w:tab/>
      </w:r>
      <w:r>
        <w:fldChar w:fldCharType="begin"/>
      </w:r>
      <w:r>
        <w:instrText xml:space="preserve"> PAGEREF _Toc75951913 \h </w:instrText>
      </w:r>
      <w:r>
        <w:fldChar w:fldCharType="separate"/>
      </w:r>
      <w:r>
        <w:t>7</w:t>
      </w:r>
      <w:r>
        <w:fldChar w:fldCharType="end"/>
      </w:r>
    </w:p>
    <w:p w14:paraId="7326D460" w14:textId="0E5E48ED" w:rsidR="00D72C66" w:rsidRDefault="00D72C66" w:rsidP="00745E56">
      <w:pPr>
        <w:pStyle w:val="TOC3"/>
        <w:rPr>
          <w:rFonts w:asciiTheme="minorHAnsi" w:eastAsiaTheme="minorEastAsia" w:hAnsiTheme="minorHAnsi" w:cstheme="minorBidi"/>
          <w:sz w:val="22"/>
          <w:szCs w:val="22"/>
        </w:rPr>
      </w:pPr>
      <w:r w:rsidRPr="00302D50">
        <w:t>3.5.1</w:t>
      </w:r>
      <w:r>
        <w:rPr>
          <w:rFonts w:asciiTheme="minorHAnsi" w:eastAsiaTheme="minorEastAsia" w:hAnsiTheme="minorHAnsi" w:cstheme="minorBidi"/>
          <w:sz w:val="22"/>
          <w:szCs w:val="22"/>
        </w:rPr>
        <w:tab/>
      </w:r>
      <w:r>
        <w:t>Marking dimensions and layout</w:t>
      </w:r>
      <w:r>
        <w:tab/>
      </w:r>
      <w:r>
        <w:fldChar w:fldCharType="begin"/>
      </w:r>
      <w:r>
        <w:instrText xml:space="preserve"> PAGEREF _Toc75951914 \h </w:instrText>
      </w:r>
      <w:r>
        <w:fldChar w:fldCharType="separate"/>
      </w:r>
      <w:r>
        <w:t>7</w:t>
      </w:r>
      <w:r>
        <w:fldChar w:fldCharType="end"/>
      </w:r>
    </w:p>
    <w:p w14:paraId="33AE62E2" w14:textId="1CCDFEE6" w:rsidR="00D72C66" w:rsidRDefault="00D72C66" w:rsidP="00745E56">
      <w:pPr>
        <w:pStyle w:val="TOC3"/>
        <w:rPr>
          <w:rFonts w:asciiTheme="minorHAnsi" w:eastAsiaTheme="minorEastAsia" w:hAnsiTheme="minorHAnsi" w:cstheme="minorBidi"/>
          <w:sz w:val="22"/>
          <w:szCs w:val="22"/>
        </w:rPr>
      </w:pPr>
      <w:r w:rsidRPr="00302D50">
        <w:t>3.5.2</w:t>
      </w:r>
      <w:r>
        <w:rPr>
          <w:rFonts w:asciiTheme="minorHAnsi" w:eastAsiaTheme="minorEastAsia" w:hAnsiTheme="minorHAnsi" w:cstheme="minorBidi"/>
          <w:sz w:val="22"/>
          <w:szCs w:val="22"/>
        </w:rPr>
        <w:tab/>
      </w:r>
      <w:r>
        <w:t>Road hierarchy</w:t>
      </w:r>
      <w:r>
        <w:tab/>
      </w:r>
      <w:r>
        <w:fldChar w:fldCharType="begin"/>
      </w:r>
      <w:r>
        <w:instrText xml:space="preserve"> PAGEREF _Toc75951915 \h </w:instrText>
      </w:r>
      <w:r>
        <w:fldChar w:fldCharType="separate"/>
      </w:r>
      <w:r>
        <w:t>8</w:t>
      </w:r>
      <w:r>
        <w:fldChar w:fldCharType="end"/>
      </w:r>
    </w:p>
    <w:p w14:paraId="44144341" w14:textId="05AF0A2C" w:rsidR="00D72C66" w:rsidRDefault="00D72C66" w:rsidP="00745E56">
      <w:pPr>
        <w:pStyle w:val="TOC3"/>
        <w:rPr>
          <w:rFonts w:asciiTheme="minorHAnsi" w:eastAsiaTheme="minorEastAsia" w:hAnsiTheme="minorHAnsi" w:cstheme="minorBidi"/>
          <w:sz w:val="22"/>
          <w:szCs w:val="22"/>
        </w:rPr>
      </w:pPr>
      <w:r w:rsidRPr="00302D50">
        <w:t>3.5.3</w:t>
      </w:r>
      <w:r>
        <w:rPr>
          <w:rFonts w:asciiTheme="minorHAnsi" w:eastAsiaTheme="minorEastAsia" w:hAnsiTheme="minorHAnsi" w:cstheme="minorBidi"/>
          <w:sz w:val="22"/>
          <w:szCs w:val="22"/>
        </w:rPr>
        <w:tab/>
      </w:r>
      <w:r>
        <w:t>Colour application</w:t>
      </w:r>
      <w:r>
        <w:tab/>
      </w:r>
      <w:r>
        <w:fldChar w:fldCharType="begin"/>
      </w:r>
      <w:r>
        <w:instrText xml:space="preserve"> PAGEREF _Toc75951916 \h </w:instrText>
      </w:r>
      <w:r>
        <w:fldChar w:fldCharType="separate"/>
      </w:r>
      <w:r>
        <w:t>10</w:t>
      </w:r>
      <w:r>
        <w:fldChar w:fldCharType="end"/>
      </w:r>
    </w:p>
    <w:p w14:paraId="5864F592" w14:textId="30F2D57C" w:rsidR="00D72C66" w:rsidRDefault="00D72C66" w:rsidP="00745E56">
      <w:pPr>
        <w:pStyle w:val="TOC3"/>
        <w:rPr>
          <w:rFonts w:asciiTheme="minorHAnsi" w:eastAsiaTheme="minorEastAsia" w:hAnsiTheme="minorHAnsi" w:cstheme="minorBidi"/>
          <w:sz w:val="22"/>
          <w:szCs w:val="22"/>
        </w:rPr>
      </w:pPr>
      <w:r w:rsidRPr="00302D50">
        <w:t>3.5.4</w:t>
      </w:r>
      <w:r>
        <w:rPr>
          <w:rFonts w:asciiTheme="minorHAnsi" w:eastAsiaTheme="minorEastAsia" w:hAnsiTheme="minorHAnsi" w:cstheme="minorBidi"/>
          <w:sz w:val="22"/>
          <w:szCs w:val="22"/>
        </w:rPr>
        <w:tab/>
      </w:r>
      <w:r>
        <w:t>Symbology and markings</w:t>
      </w:r>
      <w:r>
        <w:tab/>
      </w:r>
      <w:r>
        <w:fldChar w:fldCharType="begin"/>
      </w:r>
      <w:r>
        <w:instrText xml:space="preserve"> PAGEREF _Toc75951917 \h </w:instrText>
      </w:r>
      <w:r>
        <w:fldChar w:fldCharType="separate"/>
      </w:r>
      <w:r>
        <w:t>11</w:t>
      </w:r>
      <w:r>
        <w:fldChar w:fldCharType="end"/>
      </w:r>
    </w:p>
    <w:p w14:paraId="342DBD87" w14:textId="721620C0" w:rsidR="00D72C66" w:rsidRDefault="00D72C66" w:rsidP="00745E56">
      <w:pPr>
        <w:pStyle w:val="TOC3"/>
        <w:rPr>
          <w:rFonts w:asciiTheme="minorHAnsi" w:eastAsiaTheme="minorEastAsia" w:hAnsiTheme="minorHAnsi" w:cstheme="minorBidi"/>
          <w:sz w:val="22"/>
          <w:szCs w:val="22"/>
        </w:rPr>
      </w:pPr>
      <w:r w:rsidRPr="00302D50">
        <w:t>3.5.5</w:t>
      </w:r>
      <w:r>
        <w:rPr>
          <w:rFonts w:asciiTheme="minorHAnsi" w:eastAsiaTheme="minorEastAsia" w:hAnsiTheme="minorHAnsi" w:cstheme="minorBidi"/>
          <w:sz w:val="22"/>
          <w:szCs w:val="22"/>
        </w:rPr>
        <w:tab/>
      </w:r>
      <w:r>
        <w:t>Pedestrian crossings</w:t>
      </w:r>
      <w:r>
        <w:tab/>
      </w:r>
      <w:r>
        <w:fldChar w:fldCharType="begin"/>
      </w:r>
      <w:r>
        <w:instrText xml:space="preserve"> PAGEREF _Toc75951918 \h </w:instrText>
      </w:r>
      <w:r>
        <w:fldChar w:fldCharType="separate"/>
      </w:r>
      <w:r>
        <w:t>11</w:t>
      </w:r>
      <w:r>
        <w:fldChar w:fldCharType="end"/>
      </w:r>
    </w:p>
    <w:p w14:paraId="59CCB590" w14:textId="47CB214C" w:rsidR="00D72C66" w:rsidRDefault="00D72C66" w:rsidP="00745E56">
      <w:pPr>
        <w:pStyle w:val="TOC3"/>
        <w:rPr>
          <w:rFonts w:asciiTheme="minorHAnsi" w:eastAsiaTheme="minorEastAsia" w:hAnsiTheme="minorHAnsi" w:cstheme="minorBidi"/>
          <w:sz w:val="22"/>
          <w:szCs w:val="22"/>
        </w:rPr>
      </w:pPr>
      <w:r w:rsidRPr="00302D50">
        <w:t>3.5.6</w:t>
      </w:r>
      <w:r>
        <w:rPr>
          <w:rFonts w:asciiTheme="minorHAnsi" w:eastAsiaTheme="minorEastAsia" w:hAnsiTheme="minorHAnsi" w:cstheme="minorBidi"/>
          <w:sz w:val="22"/>
          <w:szCs w:val="22"/>
        </w:rPr>
        <w:tab/>
      </w:r>
      <w:r>
        <w:t>Bicycle facilities</w:t>
      </w:r>
      <w:r>
        <w:tab/>
      </w:r>
      <w:r>
        <w:fldChar w:fldCharType="begin"/>
      </w:r>
      <w:r>
        <w:instrText xml:space="preserve"> PAGEREF _Toc75951919 \h </w:instrText>
      </w:r>
      <w:r>
        <w:fldChar w:fldCharType="separate"/>
      </w:r>
      <w:r>
        <w:t>11</w:t>
      </w:r>
      <w:r>
        <w:fldChar w:fldCharType="end"/>
      </w:r>
    </w:p>
    <w:p w14:paraId="1D5E4722" w14:textId="5CAF537B" w:rsidR="00D72C66" w:rsidRDefault="00D72C66" w:rsidP="00745E56">
      <w:pPr>
        <w:pStyle w:val="TOC3"/>
        <w:rPr>
          <w:rFonts w:asciiTheme="minorHAnsi" w:eastAsiaTheme="minorEastAsia" w:hAnsiTheme="minorHAnsi" w:cstheme="minorBidi"/>
          <w:sz w:val="22"/>
          <w:szCs w:val="22"/>
        </w:rPr>
      </w:pPr>
      <w:r w:rsidRPr="00302D50">
        <w:t>3.5.7</w:t>
      </w:r>
      <w:r>
        <w:rPr>
          <w:rFonts w:asciiTheme="minorHAnsi" w:eastAsiaTheme="minorEastAsia" w:hAnsiTheme="minorHAnsi" w:cstheme="minorBidi"/>
          <w:sz w:val="22"/>
          <w:szCs w:val="22"/>
        </w:rPr>
        <w:tab/>
      </w:r>
      <w:r>
        <w:t>Raised retroreflective pavement markers – longitudinal markings</w:t>
      </w:r>
      <w:r>
        <w:tab/>
      </w:r>
      <w:r>
        <w:fldChar w:fldCharType="begin"/>
      </w:r>
      <w:r>
        <w:instrText xml:space="preserve"> PAGEREF _Toc75951920 \h </w:instrText>
      </w:r>
      <w:r>
        <w:fldChar w:fldCharType="separate"/>
      </w:r>
      <w:r>
        <w:t>11</w:t>
      </w:r>
      <w:r>
        <w:fldChar w:fldCharType="end"/>
      </w:r>
    </w:p>
    <w:p w14:paraId="44DB9375" w14:textId="3B864EEA" w:rsidR="00D72C66" w:rsidRDefault="00D72C66" w:rsidP="00745E56">
      <w:pPr>
        <w:pStyle w:val="TOC3"/>
        <w:rPr>
          <w:rFonts w:asciiTheme="minorHAnsi" w:eastAsiaTheme="minorEastAsia" w:hAnsiTheme="minorHAnsi" w:cstheme="minorBidi"/>
          <w:sz w:val="22"/>
          <w:szCs w:val="22"/>
        </w:rPr>
      </w:pPr>
      <w:r w:rsidRPr="00302D50">
        <w:t>3.5.8</w:t>
      </w:r>
      <w:r>
        <w:rPr>
          <w:rFonts w:asciiTheme="minorHAnsi" w:eastAsiaTheme="minorEastAsia" w:hAnsiTheme="minorHAnsi" w:cstheme="minorBidi"/>
          <w:sz w:val="22"/>
          <w:szCs w:val="22"/>
        </w:rPr>
        <w:tab/>
      </w:r>
      <w:r>
        <w:t>Raised retroreflective pavement markers – island tails and medians</w:t>
      </w:r>
      <w:r>
        <w:tab/>
      </w:r>
      <w:r>
        <w:fldChar w:fldCharType="begin"/>
      </w:r>
      <w:r>
        <w:instrText xml:space="preserve"> PAGEREF _Toc75951921 \h </w:instrText>
      </w:r>
      <w:r>
        <w:fldChar w:fldCharType="separate"/>
      </w:r>
      <w:r>
        <w:t>12</w:t>
      </w:r>
      <w:r>
        <w:fldChar w:fldCharType="end"/>
      </w:r>
    </w:p>
    <w:p w14:paraId="36B4BA82" w14:textId="07DEF595" w:rsidR="00D72C66" w:rsidRDefault="00D72C66" w:rsidP="00745E56">
      <w:pPr>
        <w:pStyle w:val="TOC3"/>
        <w:rPr>
          <w:rFonts w:asciiTheme="minorHAnsi" w:eastAsiaTheme="minorEastAsia" w:hAnsiTheme="minorHAnsi" w:cstheme="minorBidi"/>
          <w:sz w:val="22"/>
          <w:szCs w:val="22"/>
        </w:rPr>
      </w:pPr>
      <w:r w:rsidRPr="00302D50">
        <w:t>3.5.9</w:t>
      </w:r>
      <w:r>
        <w:rPr>
          <w:rFonts w:asciiTheme="minorHAnsi" w:eastAsiaTheme="minorEastAsia" w:hAnsiTheme="minorHAnsi" w:cstheme="minorBidi"/>
          <w:sz w:val="22"/>
          <w:szCs w:val="22"/>
        </w:rPr>
        <w:tab/>
      </w:r>
      <w:r>
        <w:t>Fire hydrant markers</w:t>
      </w:r>
      <w:r>
        <w:tab/>
      </w:r>
      <w:r>
        <w:fldChar w:fldCharType="begin"/>
      </w:r>
      <w:r>
        <w:instrText xml:space="preserve"> PAGEREF _Toc75951922 \h </w:instrText>
      </w:r>
      <w:r>
        <w:fldChar w:fldCharType="separate"/>
      </w:r>
      <w:r>
        <w:t>12</w:t>
      </w:r>
      <w:r>
        <w:fldChar w:fldCharType="end"/>
      </w:r>
    </w:p>
    <w:p w14:paraId="4E63E03F" w14:textId="7467D72A" w:rsidR="00D72C66" w:rsidRDefault="00D72C66" w:rsidP="00745E56">
      <w:pPr>
        <w:pStyle w:val="TOC3"/>
        <w:rPr>
          <w:rFonts w:asciiTheme="minorHAnsi" w:eastAsiaTheme="minorEastAsia" w:hAnsiTheme="minorHAnsi" w:cstheme="minorBidi"/>
          <w:sz w:val="22"/>
          <w:szCs w:val="22"/>
        </w:rPr>
      </w:pPr>
      <w:r w:rsidRPr="00302D50">
        <w:t>3.5.10</w:t>
      </w:r>
      <w:r>
        <w:rPr>
          <w:rFonts w:asciiTheme="minorHAnsi" w:eastAsiaTheme="minorEastAsia" w:hAnsiTheme="minorHAnsi" w:cstheme="minorBidi"/>
          <w:sz w:val="22"/>
          <w:szCs w:val="22"/>
        </w:rPr>
        <w:tab/>
      </w:r>
      <w:r>
        <w:t>Raised retroreflective pavement markers – other locations</w:t>
      </w:r>
      <w:r>
        <w:tab/>
      </w:r>
      <w:r>
        <w:fldChar w:fldCharType="begin"/>
      </w:r>
      <w:r>
        <w:instrText xml:space="preserve"> PAGEREF _Toc75951923 \h </w:instrText>
      </w:r>
      <w:r>
        <w:fldChar w:fldCharType="separate"/>
      </w:r>
      <w:r>
        <w:t>12</w:t>
      </w:r>
      <w:r>
        <w:fldChar w:fldCharType="end"/>
      </w:r>
    </w:p>
    <w:p w14:paraId="689EB49D" w14:textId="2A5F402F" w:rsidR="00D72C66" w:rsidRDefault="00D72C66" w:rsidP="00495374">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COLOURED PAVEMENT TREATMENTS</w:t>
      </w:r>
      <w:r>
        <w:tab/>
      </w:r>
      <w:r>
        <w:fldChar w:fldCharType="begin"/>
      </w:r>
      <w:r>
        <w:instrText xml:space="preserve"> PAGEREF _Toc75951924 \h </w:instrText>
      </w:r>
      <w:r>
        <w:fldChar w:fldCharType="separate"/>
      </w:r>
      <w:r>
        <w:t>12</w:t>
      </w:r>
      <w:r>
        <w:fldChar w:fldCharType="end"/>
      </w:r>
    </w:p>
    <w:p w14:paraId="2B83E22C" w14:textId="1CF36433" w:rsidR="00D72C66" w:rsidRDefault="00D72C66" w:rsidP="00495374">
      <w:pPr>
        <w:pStyle w:val="TOC2"/>
        <w:rPr>
          <w:rFonts w:asciiTheme="minorHAnsi" w:eastAsiaTheme="minorEastAsia" w:hAnsiTheme="minorHAnsi" w:cstheme="minorBidi"/>
        </w:rPr>
      </w:pPr>
      <w:r>
        <w:t>4.1</w:t>
      </w:r>
      <w:r>
        <w:rPr>
          <w:rFonts w:asciiTheme="minorHAnsi" w:eastAsiaTheme="minorEastAsia" w:hAnsiTheme="minorHAnsi" w:cstheme="minorBidi"/>
        </w:rPr>
        <w:tab/>
      </w:r>
      <w:r>
        <w:t>General</w:t>
      </w:r>
      <w:r>
        <w:tab/>
      </w:r>
      <w:r>
        <w:fldChar w:fldCharType="begin"/>
      </w:r>
      <w:r>
        <w:instrText xml:space="preserve"> PAGEREF _Toc75951925 \h </w:instrText>
      </w:r>
      <w:r>
        <w:fldChar w:fldCharType="separate"/>
      </w:r>
      <w:r>
        <w:t>12</w:t>
      </w:r>
      <w:r>
        <w:fldChar w:fldCharType="end"/>
      </w:r>
    </w:p>
    <w:p w14:paraId="7D88847A" w14:textId="0C05B995" w:rsidR="00D72C66" w:rsidRDefault="00D72C66" w:rsidP="00495374">
      <w:pPr>
        <w:pStyle w:val="TOC2"/>
        <w:rPr>
          <w:rFonts w:asciiTheme="minorHAnsi" w:eastAsiaTheme="minorEastAsia" w:hAnsiTheme="minorHAnsi" w:cstheme="minorBidi"/>
        </w:rPr>
      </w:pPr>
      <w:r>
        <w:t>4.2</w:t>
      </w:r>
      <w:r>
        <w:rPr>
          <w:rFonts w:asciiTheme="minorHAnsi" w:eastAsiaTheme="minorEastAsia" w:hAnsiTheme="minorHAnsi" w:cstheme="minorBidi"/>
        </w:rPr>
        <w:tab/>
      </w:r>
      <w:r>
        <w:t>Slip Resistance</w:t>
      </w:r>
      <w:r>
        <w:tab/>
      </w:r>
      <w:r>
        <w:fldChar w:fldCharType="begin"/>
      </w:r>
      <w:r>
        <w:instrText xml:space="preserve"> PAGEREF _Toc75951926 \h </w:instrText>
      </w:r>
      <w:r>
        <w:fldChar w:fldCharType="separate"/>
      </w:r>
      <w:r>
        <w:t>12</w:t>
      </w:r>
      <w:r>
        <w:fldChar w:fldCharType="end"/>
      </w:r>
    </w:p>
    <w:p w14:paraId="794F3BFF" w14:textId="408B2B24" w:rsidR="00D72C66" w:rsidRDefault="00D72C66" w:rsidP="00495374">
      <w:pPr>
        <w:pStyle w:val="TOC2"/>
        <w:rPr>
          <w:rFonts w:asciiTheme="minorHAnsi" w:eastAsiaTheme="minorEastAsia" w:hAnsiTheme="minorHAnsi" w:cstheme="minorBidi"/>
        </w:rPr>
      </w:pPr>
      <w:r>
        <w:t>4.3</w:t>
      </w:r>
      <w:r>
        <w:rPr>
          <w:rFonts w:asciiTheme="minorHAnsi" w:eastAsiaTheme="minorEastAsia" w:hAnsiTheme="minorHAnsi" w:cstheme="minorBidi"/>
        </w:rPr>
        <w:tab/>
      </w:r>
      <w:r>
        <w:t>Skid Resistance</w:t>
      </w:r>
      <w:r>
        <w:tab/>
      </w:r>
      <w:r>
        <w:fldChar w:fldCharType="begin"/>
      </w:r>
      <w:r>
        <w:instrText xml:space="preserve"> PAGEREF _Toc75951927 \h </w:instrText>
      </w:r>
      <w:r>
        <w:fldChar w:fldCharType="separate"/>
      </w:r>
      <w:r>
        <w:t>12</w:t>
      </w:r>
      <w:r>
        <w:fldChar w:fldCharType="end"/>
      </w:r>
    </w:p>
    <w:p w14:paraId="418DAD45" w14:textId="733CF9DE" w:rsidR="00EC613A" w:rsidRDefault="00D72C66" w:rsidP="00EC613A">
      <w:pPr>
        <w:pStyle w:val="TOC2"/>
        <w:rPr>
          <w:b w:val="0"/>
          <w:smallCaps w:val="0"/>
        </w:rPr>
      </w:pPr>
      <w:r>
        <w:t>4.4</w:t>
      </w:r>
      <w:r>
        <w:rPr>
          <w:rFonts w:asciiTheme="minorHAnsi" w:eastAsiaTheme="minorEastAsia" w:hAnsiTheme="minorHAnsi" w:cstheme="minorBidi"/>
        </w:rPr>
        <w:tab/>
      </w:r>
      <w:r>
        <w:t>General Requirements</w:t>
      </w:r>
      <w:r>
        <w:tab/>
      </w:r>
      <w:r>
        <w:fldChar w:fldCharType="begin"/>
      </w:r>
      <w:r>
        <w:instrText xml:space="preserve"> PAGEREF _Toc75951928 \h </w:instrText>
      </w:r>
      <w:r>
        <w:fldChar w:fldCharType="separate"/>
      </w:r>
      <w:r>
        <w:t>13</w:t>
      </w:r>
      <w:r>
        <w:fldChar w:fldCharType="end"/>
      </w:r>
      <w:r w:rsidR="00EC613A">
        <w:br w:type="page"/>
      </w:r>
    </w:p>
    <w:p w14:paraId="56C71AED" w14:textId="75FE8DAA" w:rsidR="00D72C66" w:rsidRDefault="00D72C66" w:rsidP="00495374">
      <w:pPr>
        <w:pStyle w:val="TOC2"/>
        <w:rPr>
          <w:rFonts w:asciiTheme="minorHAnsi" w:eastAsiaTheme="minorEastAsia" w:hAnsiTheme="minorHAnsi" w:cstheme="minorBidi"/>
        </w:rPr>
      </w:pPr>
      <w:r>
        <w:lastRenderedPageBreak/>
        <w:t>4.5</w:t>
      </w:r>
      <w:r>
        <w:rPr>
          <w:rFonts w:asciiTheme="minorHAnsi" w:eastAsiaTheme="minorEastAsia" w:hAnsiTheme="minorHAnsi" w:cstheme="minorBidi"/>
        </w:rPr>
        <w:tab/>
      </w:r>
      <w:r>
        <w:t>Type 1 Treatment (Stencilled or Stamped/Imprinted Surfacing System)</w:t>
      </w:r>
      <w:r>
        <w:tab/>
      </w:r>
      <w:r>
        <w:fldChar w:fldCharType="begin"/>
      </w:r>
      <w:r>
        <w:instrText xml:space="preserve"> PAGEREF _Toc75951929 \h </w:instrText>
      </w:r>
      <w:r>
        <w:fldChar w:fldCharType="separate"/>
      </w:r>
      <w:r>
        <w:t>13</w:t>
      </w:r>
      <w:r>
        <w:fldChar w:fldCharType="end"/>
      </w:r>
    </w:p>
    <w:p w14:paraId="2F60C8BF" w14:textId="2C70DDB2" w:rsidR="00D72C66" w:rsidRDefault="00D72C66" w:rsidP="00745E56">
      <w:pPr>
        <w:pStyle w:val="TOC3"/>
        <w:rPr>
          <w:rFonts w:asciiTheme="minorHAnsi" w:eastAsiaTheme="minorEastAsia" w:hAnsiTheme="minorHAnsi" w:cstheme="minorBidi"/>
          <w:sz w:val="22"/>
          <w:szCs w:val="22"/>
        </w:rPr>
      </w:pPr>
      <w:r w:rsidRPr="00302D50">
        <w:t>4.5.1</w:t>
      </w:r>
      <w:r>
        <w:rPr>
          <w:rFonts w:asciiTheme="minorHAnsi" w:eastAsiaTheme="minorEastAsia" w:hAnsiTheme="minorHAnsi" w:cstheme="minorBidi"/>
          <w:sz w:val="22"/>
          <w:szCs w:val="22"/>
        </w:rPr>
        <w:tab/>
      </w:r>
      <w:r>
        <w:t>General</w:t>
      </w:r>
      <w:r>
        <w:tab/>
      </w:r>
      <w:r>
        <w:fldChar w:fldCharType="begin"/>
      </w:r>
      <w:r>
        <w:instrText xml:space="preserve"> PAGEREF _Toc75951930 \h </w:instrText>
      </w:r>
      <w:r>
        <w:fldChar w:fldCharType="separate"/>
      </w:r>
      <w:r>
        <w:t>13</w:t>
      </w:r>
      <w:r>
        <w:fldChar w:fldCharType="end"/>
      </w:r>
    </w:p>
    <w:p w14:paraId="2F020847" w14:textId="18A4B05D" w:rsidR="00D72C66" w:rsidRDefault="00D72C66" w:rsidP="00745E56">
      <w:pPr>
        <w:pStyle w:val="TOC3"/>
        <w:rPr>
          <w:rFonts w:asciiTheme="minorHAnsi" w:eastAsiaTheme="minorEastAsia" w:hAnsiTheme="minorHAnsi" w:cstheme="minorBidi"/>
          <w:sz w:val="22"/>
          <w:szCs w:val="22"/>
        </w:rPr>
      </w:pPr>
      <w:r w:rsidRPr="00302D50">
        <w:t>4.5.2</w:t>
      </w:r>
      <w:r>
        <w:rPr>
          <w:rFonts w:asciiTheme="minorHAnsi" w:eastAsiaTheme="minorEastAsia" w:hAnsiTheme="minorHAnsi" w:cstheme="minorBidi"/>
          <w:sz w:val="22"/>
          <w:szCs w:val="22"/>
        </w:rPr>
        <w:tab/>
      </w:r>
      <w:r>
        <w:t>Coating system</w:t>
      </w:r>
      <w:r>
        <w:tab/>
      </w:r>
      <w:r>
        <w:fldChar w:fldCharType="begin"/>
      </w:r>
      <w:r>
        <w:instrText xml:space="preserve"> PAGEREF _Toc75951931 \h </w:instrText>
      </w:r>
      <w:r>
        <w:fldChar w:fldCharType="separate"/>
      </w:r>
      <w:r>
        <w:t>14</w:t>
      </w:r>
      <w:r>
        <w:fldChar w:fldCharType="end"/>
      </w:r>
    </w:p>
    <w:p w14:paraId="7C044ACE" w14:textId="3063E49D" w:rsidR="00D72C66" w:rsidRDefault="00D72C66" w:rsidP="00745E56">
      <w:pPr>
        <w:pStyle w:val="TOC3"/>
        <w:rPr>
          <w:rFonts w:asciiTheme="minorHAnsi" w:eastAsiaTheme="minorEastAsia" w:hAnsiTheme="minorHAnsi" w:cstheme="minorBidi"/>
          <w:sz w:val="22"/>
          <w:szCs w:val="22"/>
        </w:rPr>
      </w:pPr>
      <w:r w:rsidRPr="00302D50">
        <w:t>4.5.3</w:t>
      </w:r>
      <w:r>
        <w:rPr>
          <w:rFonts w:asciiTheme="minorHAnsi" w:eastAsiaTheme="minorEastAsia" w:hAnsiTheme="minorHAnsi" w:cstheme="minorBidi"/>
          <w:sz w:val="22"/>
          <w:szCs w:val="22"/>
        </w:rPr>
        <w:tab/>
      </w:r>
      <w:r>
        <w:t>Resin bonded aggregate system</w:t>
      </w:r>
      <w:r>
        <w:tab/>
      </w:r>
      <w:r>
        <w:fldChar w:fldCharType="begin"/>
      </w:r>
      <w:r>
        <w:instrText xml:space="preserve"> PAGEREF _Toc75951932 \h </w:instrText>
      </w:r>
      <w:r>
        <w:fldChar w:fldCharType="separate"/>
      </w:r>
      <w:r>
        <w:t>14</w:t>
      </w:r>
      <w:r>
        <w:fldChar w:fldCharType="end"/>
      </w:r>
    </w:p>
    <w:p w14:paraId="4BB6B7D2" w14:textId="3C158787" w:rsidR="00D72C66" w:rsidRDefault="00D72C66" w:rsidP="00495374">
      <w:pPr>
        <w:pStyle w:val="TOC2"/>
        <w:rPr>
          <w:rFonts w:asciiTheme="minorHAnsi" w:eastAsiaTheme="minorEastAsia" w:hAnsiTheme="minorHAnsi" w:cstheme="minorBidi"/>
        </w:rPr>
      </w:pPr>
      <w:r>
        <w:t>4.6</w:t>
      </w:r>
      <w:r>
        <w:rPr>
          <w:rFonts w:asciiTheme="minorHAnsi" w:eastAsiaTheme="minorEastAsia" w:hAnsiTheme="minorHAnsi" w:cstheme="minorBidi"/>
        </w:rPr>
        <w:tab/>
      </w:r>
      <w:r>
        <w:t>Type 2 Treatment (High Friction Surfacing System)</w:t>
      </w:r>
      <w:r>
        <w:tab/>
      </w:r>
      <w:r>
        <w:fldChar w:fldCharType="begin"/>
      </w:r>
      <w:r>
        <w:instrText xml:space="preserve"> PAGEREF _Toc75951933 \h </w:instrText>
      </w:r>
      <w:r>
        <w:fldChar w:fldCharType="separate"/>
      </w:r>
      <w:r>
        <w:t>14</w:t>
      </w:r>
      <w:r>
        <w:fldChar w:fldCharType="end"/>
      </w:r>
    </w:p>
    <w:p w14:paraId="3BB6DE36" w14:textId="4CDBA8B4" w:rsidR="00D72C66" w:rsidRDefault="00D72C66" w:rsidP="00745E56">
      <w:pPr>
        <w:pStyle w:val="TOC3"/>
        <w:rPr>
          <w:rFonts w:asciiTheme="minorHAnsi" w:eastAsiaTheme="minorEastAsia" w:hAnsiTheme="minorHAnsi" w:cstheme="minorBidi"/>
          <w:sz w:val="22"/>
          <w:szCs w:val="22"/>
        </w:rPr>
      </w:pPr>
      <w:r w:rsidRPr="00302D50">
        <w:t>4.6.1</w:t>
      </w:r>
      <w:r>
        <w:rPr>
          <w:rFonts w:asciiTheme="minorHAnsi" w:eastAsiaTheme="minorEastAsia" w:hAnsiTheme="minorHAnsi" w:cstheme="minorBidi"/>
          <w:sz w:val="22"/>
          <w:szCs w:val="22"/>
        </w:rPr>
        <w:tab/>
      </w:r>
      <w:r>
        <w:t>General</w:t>
      </w:r>
      <w:r>
        <w:tab/>
      </w:r>
      <w:r>
        <w:fldChar w:fldCharType="begin"/>
      </w:r>
      <w:r>
        <w:instrText xml:space="preserve"> PAGEREF _Toc75951934 \h </w:instrText>
      </w:r>
      <w:r>
        <w:fldChar w:fldCharType="separate"/>
      </w:r>
      <w:r>
        <w:t>14</w:t>
      </w:r>
      <w:r>
        <w:fldChar w:fldCharType="end"/>
      </w:r>
    </w:p>
    <w:p w14:paraId="71779F2C" w14:textId="29A0B2BE" w:rsidR="00D72C66" w:rsidRDefault="00D72C66" w:rsidP="00745E56">
      <w:pPr>
        <w:pStyle w:val="TOC3"/>
        <w:rPr>
          <w:rFonts w:asciiTheme="minorHAnsi" w:eastAsiaTheme="minorEastAsia" w:hAnsiTheme="minorHAnsi" w:cstheme="minorBidi"/>
          <w:sz w:val="22"/>
          <w:szCs w:val="22"/>
        </w:rPr>
      </w:pPr>
      <w:r w:rsidRPr="00302D50">
        <w:t>4.6.2</w:t>
      </w:r>
      <w:r>
        <w:rPr>
          <w:rFonts w:asciiTheme="minorHAnsi" w:eastAsiaTheme="minorEastAsia" w:hAnsiTheme="minorHAnsi" w:cstheme="minorBidi"/>
          <w:sz w:val="22"/>
          <w:szCs w:val="22"/>
        </w:rPr>
        <w:tab/>
      </w:r>
      <w:r>
        <w:t>Resin binder</w:t>
      </w:r>
      <w:r>
        <w:tab/>
      </w:r>
      <w:r>
        <w:fldChar w:fldCharType="begin"/>
      </w:r>
      <w:r>
        <w:instrText xml:space="preserve"> PAGEREF _Toc75951935 \h </w:instrText>
      </w:r>
      <w:r>
        <w:fldChar w:fldCharType="separate"/>
      </w:r>
      <w:r>
        <w:t>15</w:t>
      </w:r>
      <w:r>
        <w:fldChar w:fldCharType="end"/>
      </w:r>
    </w:p>
    <w:p w14:paraId="152247DC" w14:textId="0BD73616" w:rsidR="00D72C66" w:rsidRDefault="00D72C66" w:rsidP="00745E56">
      <w:pPr>
        <w:pStyle w:val="TOC3"/>
        <w:rPr>
          <w:rFonts w:asciiTheme="minorHAnsi" w:eastAsiaTheme="minorEastAsia" w:hAnsiTheme="minorHAnsi" w:cstheme="minorBidi"/>
          <w:sz w:val="22"/>
          <w:szCs w:val="22"/>
        </w:rPr>
      </w:pPr>
      <w:r w:rsidRPr="00302D50">
        <w:t>4.6.3</w:t>
      </w:r>
      <w:r>
        <w:rPr>
          <w:rFonts w:asciiTheme="minorHAnsi" w:eastAsiaTheme="minorEastAsia" w:hAnsiTheme="minorHAnsi" w:cstheme="minorBidi"/>
          <w:sz w:val="22"/>
          <w:szCs w:val="22"/>
        </w:rPr>
        <w:tab/>
      </w:r>
      <w:r>
        <w:t>Aggregates</w:t>
      </w:r>
      <w:r>
        <w:tab/>
      </w:r>
      <w:r>
        <w:fldChar w:fldCharType="begin"/>
      </w:r>
      <w:r>
        <w:instrText xml:space="preserve"> PAGEREF _Toc75951936 \h </w:instrText>
      </w:r>
      <w:r>
        <w:fldChar w:fldCharType="separate"/>
      </w:r>
      <w:r>
        <w:t>15</w:t>
      </w:r>
      <w:r>
        <w:fldChar w:fldCharType="end"/>
      </w:r>
    </w:p>
    <w:p w14:paraId="5F2B738C" w14:textId="4ACA7C7B" w:rsidR="00D72C66" w:rsidRDefault="00D72C66" w:rsidP="00495374">
      <w:pPr>
        <w:pStyle w:val="TOC2"/>
        <w:rPr>
          <w:rFonts w:asciiTheme="minorHAnsi" w:eastAsiaTheme="minorEastAsia" w:hAnsiTheme="minorHAnsi" w:cstheme="minorBidi"/>
        </w:rPr>
      </w:pPr>
      <w:r>
        <w:t>4.7</w:t>
      </w:r>
      <w:r>
        <w:rPr>
          <w:rFonts w:asciiTheme="minorHAnsi" w:eastAsiaTheme="minorEastAsia" w:hAnsiTheme="minorHAnsi" w:cstheme="minorBidi"/>
        </w:rPr>
        <w:tab/>
      </w:r>
      <w:r>
        <w:t>Colour</w:t>
      </w:r>
      <w:r>
        <w:tab/>
      </w:r>
      <w:r>
        <w:fldChar w:fldCharType="begin"/>
      </w:r>
      <w:r>
        <w:instrText xml:space="preserve"> PAGEREF _Toc75951937 \h </w:instrText>
      </w:r>
      <w:r>
        <w:fldChar w:fldCharType="separate"/>
      </w:r>
      <w:r>
        <w:t>15</w:t>
      </w:r>
      <w:r>
        <w:fldChar w:fldCharType="end"/>
      </w:r>
    </w:p>
    <w:p w14:paraId="20FCBDA5" w14:textId="7A4908FC" w:rsidR="00D72C66" w:rsidRDefault="00D72C66" w:rsidP="00745E56">
      <w:pPr>
        <w:pStyle w:val="TOC3"/>
        <w:rPr>
          <w:rFonts w:asciiTheme="minorHAnsi" w:eastAsiaTheme="minorEastAsia" w:hAnsiTheme="minorHAnsi" w:cstheme="minorBidi"/>
          <w:sz w:val="22"/>
          <w:szCs w:val="22"/>
        </w:rPr>
      </w:pPr>
      <w:r w:rsidRPr="00302D50">
        <w:t>4.7.1</w:t>
      </w:r>
      <w:r>
        <w:rPr>
          <w:rFonts w:asciiTheme="minorHAnsi" w:eastAsiaTheme="minorEastAsia" w:hAnsiTheme="minorHAnsi" w:cstheme="minorBidi"/>
          <w:sz w:val="22"/>
          <w:szCs w:val="22"/>
        </w:rPr>
        <w:tab/>
      </w:r>
      <w:r>
        <w:t>General</w:t>
      </w:r>
      <w:r>
        <w:tab/>
      </w:r>
      <w:r>
        <w:fldChar w:fldCharType="begin"/>
      </w:r>
      <w:r>
        <w:instrText xml:space="preserve"> PAGEREF _Toc75951938 \h </w:instrText>
      </w:r>
      <w:r>
        <w:fldChar w:fldCharType="separate"/>
      </w:r>
      <w:r>
        <w:t>15</w:t>
      </w:r>
      <w:r>
        <w:fldChar w:fldCharType="end"/>
      </w:r>
    </w:p>
    <w:p w14:paraId="1B04191E" w14:textId="231185D8" w:rsidR="00D72C66" w:rsidRDefault="00D72C66" w:rsidP="00745E56">
      <w:pPr>
        <w:pStyle w:val="TOC3"/>
        <w:rPr>
          <w:rFonts w:asciiTheme="minorHAnsi" w:eastAsiaTheme="minorEastAsia" w:hAnsiTheme="minorHAnsi" w:cstheme="minorBidi"/>
          <w:sz w:val="22"/>
          <w:szCs w:val="22"/>
        </w:rPr>
      </w:pPr>
      <w:r w:rsidRPr="00302D50">
        <w:t>4.7.2</w:t>
      </w:r>
      <w:r>
        <w:rPr>
          <w:rFonts w:asciiTheme="minorHAnsi" w:eastAsiaTheme="minorEastAsia" w:hAnsiTheme="minorHAnsi" w:cstheme="minorBidi"/>
          <w:sz w:val="22"/>
          <w:szCs w:val="22"/>
        </w:rPr>
        <w:tab/>
      </w:r>
      <w:r>
        <w:t>Local traffic area (LATM) schemes</w:t>
      </w:r>
      <w:r>
        <w:tab/>
      </w:r>
      <w:r>
        <w:fldChar w:fldCharType="begin"/>
      </w:r>
      <w:r>
        <w:instrText xml:space="preserve"> PAGEREF _Toc75951939 \h </w:instrText>
      </w:r>
      <w:r>
        <w:fldChar w:fldCharType="separate"/>
      </w:r>
      <w:r>
        <w:t>15</w:t>
      </w:r>
      <w:r>
        <w:fldChar w:fldCharType="end"/>
      </w:r>
    </w:p>
    <w:p w14:paraId="074453E4" w14:textId="376CBF4B" w:rsidR="00D72C66" w:rsidRDefault="00D72C66" w:rsidP="00745E56">
      <w:pPr>
        <w:pStyle w:val="TOC3"/>
        <w:rPr>
          <w:rFonts w:asciiTheme="minorHAnsi" w:eastAsiaTheme="minorEastAsia" w:hAnsiTheme="minorHAnsi" w:cstheme="minorBidi"/>
          <w:sz w:val="22"/>
          <w:szCs w:val="22"/>
        </w:rPr>
      </w:pPr>
      <w:r w:rsidRPr="00302D50">
        <w:t>4.7.3</w:t>
      </w:r>
      <w:r>
        <w:rPr>
          <w:rFonts w:asciiTheme="minorHAnsi" w:eastAsiaTheme="minorEastAsia" w:hAnsiTheme="minorHAnsi" w:cstheme="minorBidi"/>
          <w:sz w:val="22"/>
          <w:szCs w:val="22"/>
        </w:rPr>
        <w:tab/>
      </w:r>
      <w:r>
        <w:t>On-road Bicycle lanes and Bicycle Shared Zones</w:t>
      </w:r>
      <w:r>
        <w:tab/>
      </w:r>
      <w:r>
        <w:fldChar w:fldCharType="begin"/>
      </w:r>
      <w:r>
        <w:instrText xml:space="preserve"> PAGEREF _Toc75951940 \h </w:instrText>
      </w:r>
      <w:r>
        <w:fldChar w:fldCharType="separate"/>
      </w:r>
      <w:r>
        <w:t>16</w:t>
      </w:r>
      <w:r>
        <w:fldChar w:fldCharType="end"/>
      </w:r>
    </w:p>
    <w:p w14:paraId="635309F3" w14:textId="7FDCFB1F" w:rsidR="00D72C66" w:rsidRDefault="00D72C66" w:rsidP="00745E56">
      <w:pPr>
        <w:pStyle w:val="TOC3"/>
        <w:rPr>
          <w:rFonts w:asciiTheme="minorHAnsi" w:eastAsiaTheme="minorEastAsia" w:hAnsiTheme="minorHAnsi" w:cstheme="minorBidi"/>
          <w:sz w:val="22"/>
          <w:szCs w:val="22"/>
        </w:rPr>
      </w:pPr>
      <w:r w:rsidRPr="00302D50">
        <w:t>4.7.4</w:t>
      </w:r>
      <w:r>
        <w:rPr>
          <w:rFonts w:asciiTheme="minorHAnsi" w:eastAsiaTheme="minorEastAsia" w:hAnsiTheme="minorHAnsi" w:cstheme="minorBidi"/>
          <w:sz w:val="22"/>
          <w:szCs w:val="22"/>
        </w:rPr>
        <w:tab/>
      </w:r>
      <w:r>
        <w:t>Off-road Bicycle facilities</w:t>
      </w:r>
      <w:r>
        <w:tab/>
      </w:r>
      <w:r>
        <w:fldChar w:fldCharType="begin"/>
      </w:r>
      <w:r>
        <w:instrText xml:space="preserve"> PAGEREF _Toc75951941 \h </w:instrText>
      </w:r>
      <w:r>
        <w:fldChar w:fldCharType="separate"/>
      </w:r>
      <w:r>
        <w:t>16</w:t>
      </w:r>
      <w:r>
        <w:fldChar w:fldCharType="end"/>
      </w:r>
    </w:p>
    <w:p w14:paraId="03B18AFE" w14:textId="2BA93510" w:rsidR="00D72C66" w:rsidRDefault="00D72C66" w:rsidP="00745E56">
      <w:pPr>
        <w:pStyle w:val="TOC3"/>
        <w:rPr>
          <w:rFonts w:asciiTheme="minorHAnsi" w:eastAsiaTheme="minorEastAsia" w:hAnsiTheme="minorHAnsi" w:cstheme="minorBidi"/>
          <w:sz w:val="22"/>
          <w:szCs w:val="22"/>
        </w:rPr>
      </w:pPr>
      <w:r w:rsidRPr="00302D50">
        <w:t>4.7.5</w:t>
      </w:r>
      <w:r>
        <w:rPr>
          <w:rFonts w:asciiTheme="minorHAnsi" w:eastAsiaTheme="minorEastAsia" w:hAnsiTheme="minorHAnsi" w:cstheme="minorBidi"/>
          <w:sz w:val="22"/>
          <w:szCs w:val="22"/>
        </w:rPr>
        <w:tab/>
      </w:r>
      <w:r>
        <w:t>Bus lanes</w:t>
      </w:r>
      <w:r>
        <w:tab/>
      </w:r>
      <w:r>
        <w:fldChar w:fldCharType="begin"/>
      </w:r>
      <w:r>
        <w:instrText xml:space="preserve"> PAGEREF _Toc75951942 \h </w:instrText>
      </w:r>
      <w:r>
        <w:fldChar w:fldCharType="separate"/>
      </w:r>
      <w:r>
        <w:t>16</w:t>
      </w:r>
      <w:r>
        <w:fldChar w:fldCharType="end"/>
      </w:r>
    </w:p>
    <w:p w14:paraId="4D2DF256" w14:textId="0FBCF954" w:rsidR="00D72C66" w:rsidRDefault="00D72C66" w:rsidP="00745E56">
      <w:pPr>
        <w:pStyle w:val="TOC3"/>
        <w:rPr>
          <w:rFonts w:asciiTheme="minorHAnsi" w:eastAsiaTheme="minorEastAsia" w:hAnsiTheme="minorHAnsi" w:cstheme="minorBidi"/>
          <w:sz w:val="22"/>
          <w:szCs w:val="22"/>
        </w:rPr>
      </w:pPr>
      <w:r w:rsidRPr="00302D50">
        <w:t>4.7.6</w:t>
      </w:r>
      <w:r>
        <w:rPr>
          <w:rFonts w:asciiTheme="minorHAnsi" w:eastAsiaTheme="minorEastAsia" w:hAnsiTheme="minorHAnsi" w:cstheme="minorBidi"/>
          <w:sz w:val="22"/>
          <w:szCs w:val="22"/>
        </w:rPr>
        <w:tab/>
      </w:r>
      <w:r>
        <w:t>School Zone Enhanced Treatment</w:t>
      </w:r>
      <w:r>
        <w:tab/>
      </w:r>
      <w:r>
        <w:fldChar w:fldCharType="begin"/>
      </w:r>
      <w:r>
        <w:instrText xml:space="preserve"> PAGEREF _Toc75951943 \h </w:instrText>
      </w:r>
      <w:r>
        <w:fldChar w:fldCharType="separate"/>
      </w:r>
      <w:r>
        <w:t>16</w:t>
      </w:r>
      <w:r>
        <w:fldChar w:fldCharType="end"/>
      </w:r>
    </w:p>
    <w:p w14:paraId="76B6B2B1" w14:textId="30290CE1" w:rsidR="00D72C66" w:rsidRDefault="00D72C66" w:rsidP="00745E56">
      <w:pPr>
        <w:pStyle w:val="TOC3"/>
        <w:rPr>
          <w:rFonts w:asciiTheme="minorHAnsi" w:eastAsiaTheme="minorEastAsia" w:hAnsiTheme="minorHAnsi" w:cstheme="minorBidi"/>
          <w:sz w:val="22"/>
          <w:szCs w:val="22"/>
        </w:rPr>
      </w:pPr>
      <w:r w:rsidRPr="00302D50">
        <w:t>4.7.7</w:t>
      </w:r>
      <w:r>
        <w:rPr>
          <w:rFonts w:asciiTheme="minorHAnsi" w:eastAsiaTheme="minorEastAsia" w:hAnsiTheme="minorHAnsi" w:cstheme="minorBidi"/>
          <w:sz w:val="22"/>
          <w:szCs w:val="22"/>
        </w:rPr>
        <w:tab/>
      </w:r>
      <w:r>
        <w:t>Significant Wildlife Conservation Area (SWCA) Thresholds</w:t>
      </w:r>
      <w:r>
        <w:tab/>
      </w:r>
      <w:r>
        <w:fldChar w:fldCharType="begin"/>
      </w:r>
      <w:r>
        <w:instrText xml:space="preserve"> PAGEREF _Toc75951944 \h </w:instrText>
      </w:r>
      <w:r>
        <w:fldChar w:fldCharType="separate"/>
      </w:r>
      <w:r>
        <w:t>16</w:t>
      </w:r>
      <w:r>
        <w:fldChar w:fldCharType="end"/>
      </w:r>
    </w:p>
    <w:p w14:paraId="59F22E41" w14:textId="60F0FBD7" w:rsidR="00D72C66" w:rsidRDefault="00D72C66" w:rsidP="00745E56">
      <w:pPr>
        <w:pStyle w:val="TOC3"/>
        <w:rPr>
          <w:rFonts w:asciiTheme="minorHAnsi" w:eastAsiaTheme="minorEastAsia" w:hAnsiTheme="minorHAnsi" w:cstheme="minorBidi"/>
          <w:sz w:val="22"/>
          <w:szCs w:val="22"/>
        </w:rPr>
      </w:pPr>
      <w:r w:rsidRPr="00302D50">
        <w:t>4.7.8</w:t>
      </w:r>
      <w:r>
        <w:rPr>
          <w:rFonts w:asciiTheme="minorHAnsi" w:eastAsiaTheme="minorEastAsia" w:hAnsiTheme="minorHAnsi" w:cstheme="minorBidi"/>
          <w:sz w:val="22"/>
          <w:szCs w:val="22"/>
        </w:rPr>
        <w:tab/>
      </w:r>
      <w:r>
        <w:t>Decorative streetscape</w:t>
      </w:r>
      <w:r>
        <w:tab/>
      </w:r>
      <w:r>
        <w:fldChar w:fldCharType="begin"/>
      </w:r>
      <w:r>
        <w:instrText xml:space="preserve"> PAGEREF _Toc75951945 \h </w:instrText>
      </w:r>
      <w:r>
        <w:fldChar w:fldCharType="separate"/>
      </w:r>
      <w:r>
        <w:t>16</w:t>
      </w:r>
      <w:r>
        <w:fldChar w:fldCharType="end"/>
      </w:r>
    </w:p>
    <w:p w14:paraId="3AE55A7E" w14:textId="52EBDC72" w:rsidR="00D72C66" w:rsidRDefault="00D72C66" w:rsidP="00495374">
      <w:pPr>
        <w:pStyle w:val="TOC2"/>
        <w:rPr>
          <w:rFonts w:asciiTheme="minorHAnsi" w:eastAsiaTheme="minorEastAsia" w:hAnsiTheme="minorHAnsi" w:cstheme="minorBidi"/>
        </w:rPr>
      </w:pPr>
      <w:r>
        <w:t>4.8</w:t>
      </w:r>
      <w:r>
        <w:rPr>
          <w:rFonts w:asciiTheme="minorHAnsi" w:eastAsiaTheme="minorEastAsia" w:hAnsiTheme="minorHAnsi" w:cstheme="minorBidi"/>
        </w:rPr>
        <w:tab/>
      </w:r>
      <w:r>
        <w:t>Application Of Coloured Pavement Treatment</w:t>
      </w:r>
      <w:r>
        <w:tab/>
      </w:r>
      <w:r>
        <w:fldChar w:fldCharType="begin"/>
      </w:r>
      <w:r>
        <w:instrText xml:space="preserve"> PAGEREF _Toc75951946 \h </w:instrText>
      </w:r>
      <w:r>
        <w:fldChar w:fldCharType="separate"/>
      </w:r>
      <w:r>
        <w:t>16</w:t>
      </w:r>
      <w:r>
        <w:fldChar w:fldCharType="end"/>
      </w:r>
    </w:p>
    <w:p w14:paraId="0BCD5650" w14:textId="7E17428F" w:rsidR="00D72C66" w:rsidRDefault="00D72C66" w:rsidP="00745E56">
      <w:pPr>
        <w:pStyle w:val="TOC3"/>
        <w:rPr>
          <w:rFonts w:asciiTheme="minorHAnsi" w:eastAsiaTheme="minorEastAsia" w:hAnsiTheme="minorHAnsi" w:cstheme="minorBidi"/>
          <w:sz w:val="22"/>
          <w:szCs w:val="22"/>
        </w:rPr>
      </w:pPr>
      <w:r w:rsidRPr="00302D50">
        <w:t>4.8.1</w:t>
      </w:r>
      <w:r>
        <w:rPr>
          <w:rFonts w:asciiTheme="minorHAnsi" w:eastAsiaTheme="minorEastAsia" w:hAnsiTheme="minorHAnsi" w:cstheme="minorBidi"/>
          <w:sz w:val="22"/>
          <w:szCs w:val="22"/>
        </w:rPr>
        <w:tab/>
      </w:r>
      <w:r>
        <w:t>Local area traffic management (LATM) schemes (traffic calming)</w:t>
      </w:r>
      <w:r>
        <w:tab/>
      </w:r>
      <w:r>
        <w:fldChar w:fldCharType="begin"/>
      </w:r>
      <w:r>
        <w:instrText xml:space="preserve"> PAGEREF _Toc75951947 \h </w:instrText>
      </w:r>
      <w:r>
        <w:fldChar w:fldCharType="separate"/>
      </w:r>
      <w:r>
        <w:t>16</w:t>
      </w:r>
      <w:r>
        <w:fldChar w:fldCharType="end"/>
      </w:r>
    </w:p>
    <w:p w14:paraId="5F74F9ED" w14:textId="353B6676" w:rsidR="00D72C66" w:rsidRDefault="00D72C66" w:rsidP="00745E56">
      <w:pPr>
        <w:pStyle w:val="TOC3"/>
        <w:rPr>
          <w:rFonts w:asciiTheme="minorHAnsi" w:eastAsiaTheme="minorEastAsia" w:hAnsiTheme="minorHAnsi" w:cstheme="minorBidi"/>
          <w:sz w:val="22"/>
          <w:szCs w:val="22"/>
        </w:rPr>
      </w:pPr>
      <w:r w:rsidRPr="00302D50">
        <w:t>4.8.2</w:t>
      </w:r>
      <w:r>
        <w:rPr>
          <w:rFonts w:asciiTheme="minorHAnsi" w:eastAsiaTheme="minorEastAsia" w:hAnsiTheme="minorHAnsi" w:cstheme="minorBidi"/>
          <w:sz w:val="22"/>
          <w:szCs w:val="22"/>
        </w:rPr>
        <w:tab/>
      </w:r>
      <w:r>
        <w:t>Bus lanes and transit lanes</w:t>
      </w:r>
      <w:r>
        <w:tab/>
      </w:r>
      <w:r>
        <w:fldChar w:fldCharType="begin"/>
      </w:r>
      <w:r>
        <w:instrText xml:space="preserve"> PAGEREF _Toc75951948 \h </w:instrText>
      </w:r>
      <w:r>
        <w:fldChar w:fldCharType="separate"/>
      </w:r>
      <w:r>
        <w:t>17</w:t>
      </w:r>
      <w:r>
        <w:fldChar w:fldCharType="end"/>
      </w:r>
    </w:p>
    <w:p w14:paraId="25A4E226" w14:textId="6F4EB9E9" w:rsidR="00D72C66" w:rsidRDefault="00D72C66" w:rsidP="00745E56">
      <w:pPr>
        <w:pStyle w:val="TOC3"/>
        <w:rPr>
          <w:rFonts w:asciiTheme="minorHAnsi" w:eastAsiaTheme="minorEastAsia" w:hAnsiTheme="minorHAnsi" w:cstheme="minorBidi"/>
          <w:sz w:val="22"/>
          <w:szCs w:val="22"/>
        </w:rPr>
      </w:pPr>
      <w:r w:rsidRPr="00302D50">
        <w:t>4.8.3</w:t>
      </w:r>
      <w:r>
        <w:rPr>
          <w:rFonts w:asciiTheme="minorHAnsi" w:eastAsiaTheme="minorEastAsia" w:hAnsiTheme="minorHAnsi" w:cstheme="minorBidi"/>
          <w:sz w:val="22"/>
          <w:szCs w:val="22"/>
        </w:rPr>
        <w:tab/>
      </w:r>
      <w:r>
        <w:t>Bicycle lanes</w:t>
      </w:r>
      <w:r>
        <w:tab/>
      </w:r>
      <w:r>
        <w:fldChar w:fldCharType="begin"/>
      </w:r>
      <w:r>
        <w:instrText xml:space="preserve"> PAGEREF _Toc75951949 \h </w:instrText>
      </w:r>
      <w:r>
        <w:fldChar w:fldCharType="separate"/>
      </w:r>
      <w:r>
        <w:t>17</w:t>
      </w:r>
      <w:r>
        <w:fldChar w:fldCharType="end"/>
      </w:r>
    </w:p>
    <w:p w14:paraId="4184989B" w14:textId="241415E4" w:rsidR="00D72C66" w:rsidRDefault="00D72C66" w:rsidP="00745E56">
      <w:pPr>
        <w:pStyle w:val="TOC3"/>
        <w:rPr>
          <w:rFonts w:asciiTheme="minorHAnsi" w:eastAsiaTheme="minorEastAsia" w:hAnsiTheme="minorHAnsi" w:cstheme="minorBidi"/>
          <w:sz w:val="22"/>
          <w:szCs w:val="22"/>
        </w:rPr>
      </w:pPr>
      <w:r w:rsidRPr="00302D50">
        <w:t>4.8.4</w:t>
      </w:r>
      <w:r>
        <w:rPr>
          <w:rFonts w:asciiTheme="minorHAnsi" w:eastAsiaTheme="minorEastAsia" w:hAnsiTheme="minorHAnsi" w:cstheme="minorBidi"/>
          <w:sz w:val="22"/>
          <w:szCs w:val="22"/>
        </w:rPr>
        <w:tab/>
      </w:r>
      <w:r>
        <w:t>School Zone Enhanced Treatment</w:t>
      </w:r>
      <w:r>
        <w:tab/>
      </w:r>
      <w:r>
        <w:fldChar w:fldCharType="begin"/>
      </w:r>
      <w:r>
        <w:instrText xml:space="preserve"> PAGEREF _Toc75951950 \h </w:instrText>
      </w:r>
      <w:r>
        <w:fldChar w:fldCharType="separate"/>
      </w:r>
      <w:r>
        <w:t>17</w:t>
      </w:r>
      <w:r>
        <w:fldChar w:fldCharType="end"/>
      </w:r>
    </w:p>
    <w:p w14:paraId="16DF531E" w14:textId="0C1F274B" w:rsidR="00D72C66" w:rsidRDefault="00D72C66" w:rsidP="00745E56">
      <w:pPr>
        <w:pStyle w:val="TOC3"/>
        <w:rPr>
          <w:rFonts w:asciiTheme="minorHAnsi" w:eastAsiaTheme="minorEastAsia" w:hAnsiTheme="minorHAnsi" w:cstheme="minorBidi"/>
          <w:sz w:val="22"/>
          <w:szCs w:val="22"/>
        </w:rPr>
      </w:pPr>
      <w:r w:rsidRPr="00302D50">
        <w:t>4.8.5</w:t>
      </w:r>
      <w:r>
        <w:rPr>
          <w:rFonts w:asciiTheme="minorHAnsi" w:eastAsiaTheme="minorEastAsia" w:hAnsiTheme="minorHAnsi" w:cstheme="minorBidi"/>
          <w:sz w:val="22"/>
          <w:szCs w:val="22"/>
        </w:rPr>
        <w:tab/>
      </w:r>
      <w:r>
        <w:t>Significant Wildlife Conservation Area (SWCA) Thresholds</w:t>
      </w:r>
      <w:r>
        <w:tab/>
      </w:r>
      <w:r>
        <w:fldChar w:fldCharType="begin"/>
      </w:r>
      <w:r>
        <w:instrText xml:space="preserve"> PAGEREF _Toc75951951 \h </w:instrText>
      </w:r>
      <w:r>
        <w:fldChar w:fldCharType="separate"/>
      </w:r>
      <w:r>
        <w:t>17</w:t>
      </w:r>
      <w:r>
        <w:fldChar w:fldCharType="end"/>
      </w:r>
    </w:p>
    <w:p w14:paraId="10847374" w14:textId="2762F9DF" w:rsidR="00D72C66" w:rsidRDefault="00D72C66" w:rsidP="00745E56">
      <w:pPr>
        <w:pStyle w:val="TOC3"/>
        <w:rPr>
          <w:rFonts w:asciiTheme="minorHAnsi" w:eastAsiaTheme="minorEastAsia" w:hAnsiTheme="minorHAnsi" w:cstheme="minorBidi"/>
          <w:sz w:val="22"/>
          <w:szCs w:val="22"/>
        </w:rPr>
      </w:pPr>
      <w:r w:rsidRPr="00302D50">
        <w:t>4.8.6</w:t>
      </w:r>
      <w:r>
        <w:rPr>
          <w:rFonts w:asciiTheme="minorHAnsi" w:eastAsiaTheme="minorEastAsia" w:hAnsiTheme="minorHAnsi" w:cstheme="minorBidi"/>
          <w:sz w:val="22"/>
          <w:szCs w:val="22"/>
        </w:rPr>
        <w:tab/>
      </w:r>
      <w:r>
        <w:t>Pedestrian facilities</w:t>
      </w:r>
      <w:r>
        <w:tab/>
      </w:r>
      <w:r>
        <w:fldChar w:fldCharType="begin"/>
      </w:r>
      <w:r>
        <w:instrText xml:space="preserve"> PAGEREF _Toc75951952 \h </w:instrText>
      </w:r>
      <w:r>
        <w:fldChar w:fldCharType="separate"/>
      </w:r>
      <w:r>
        <w:t>17</w:t>
      </w:r>
      <w:r>
        <w:fldChar w:fldCharType="end"/>
      </w:r>
    </w:p>
    <w:p w14:paraId="444DDC8B" w14:textId="1A7C20A7" w:rsidR="00D72C66" w:rsidRDefault="00D72C66" w:rsidP="00745E56">
      <w:pPr>
        <w:pStyle w:val="TOC3"/>
        <w:rPr>
          <w:rFonts w:asciiTheme="minorHAnsi" w:eastAsiaTheme="minorEastAsia" w:hAnsiTheme="minorHAnsi" w:cstheme="minorBidi"/>
          <w:sz w:val="22"/>
          <w:szCs w:val="22"/>
        </w:rPr>
      </w:pPr>
      <w:r w:rsidRPr="00302D50">
        <w:t>4.8.7</w:t>
      </w:r>
      <w:r>
        <w:rPr>
          <w:rFonts w:asciiTheme="minorHAnsi" w:eastAsiaTheme="minorEastAsia" w:hAnsiTheme="minorHAnsi" w:cstheme="minorBidi"/>
          <w:sz w:val="22"/>
          <w:szCs w:val="22"/>
        </w:rPr>
        <w:tab/>
      </w:r>
      <w:r>
        <w:t>High friction surface treatments</w:t>
      </w:r>
      <w:r>
        <w:tab/>
      </w:r>
      <w:r>
        <w:fldChar w:fldCharType="begin"/>
      </w:r>
      <w:r>
        <w:instrText xml:space="preserve"> PAGEREF _Toc75951953 \h </w:instrText>
      </w:r>
      <w:r>
        <w:fldChar w:fldCharType="separate"/>
      </w:r>
      <w:r>
        <w:t>18</w:t>
      </w:r>
      <w:r>
        <w:fldChar w:fldCharType="end"/>
      </w:r>
    </w:p>
    <w:p w14:paraId="7A128B32" w14:textId="7E7E3401" w:rsidR="00D72C66" w:rsidRDefault="00D72C66" w:rsidP="00745E56">
      <w:pPr>
        <w:pStyle w:val="TOC3"/>
        <w:rPr>
          <w:rFonts w:asciiTheme="minorHAnsi" w:eastAsiaTheme="minorEastAsia" w:hAnsiTheme="minorHAnsi" w:cstheme="minorBidi"/>
          <w:sz w:val="22"/>
          <w:szCs w:val="22"/>
        </w:rPr>
      </w:pPr>
      <w:r w:rsidRPr="00302D50">
        <w:t>4.8.8</w:t>
      </w:r>
      <w:r>
        <w:rPr>
          <w:rFonts w:asciiTheme="minorHAnsi" w:eastAsiaTheme="minorEastAsia" w:hAnsiTheme="minorHAnsi" w:cstheme="minorBidi"/>
          <w:sz w:val="22"/>
          <w:szCs w:val="22"/>
        </w:rPr>
        <w:tab/>
      </w:r>
      <w:r>
        <w:t>Installation and re-instatement – coloured pavement treatments</w:t>
      </w:r>
      <w:r>
        <w:tab/>
      </w:r>
      <w:r>
        <w:fldChar w:fldCharType="begin"/>
      </w:r>
      <w:r>
        <w:instrText xml:space="preserve"> PAGEREF _Toc75951954 \h </w:instrText>
      </w:r>
      <w:r>
        <w:fldChar w:fldCharType="separate"/>
      </w:r>
      <w:r>
        <w:t>18</w:t>
      </w:r>
      <w:r>
        <w:fldChar w:fldCharType="end"/>
      </w:r>
    </w:p>
    <w:p w14:paraId="5076A2C6" w14:textId="3473010A" w:rsidR="00DC0FFE" w:rsidRPr="00314F62" w:rsidRDefault="00CD6876" w:rsidP="002667DB">
      <w:pPr>
        <w:pStyle w:val="BodyTextIndent"/>
      </w:pPr>
      <w:r>
        <w:rPr>
          <w:b/>
          <w:caps/>
          <w:noProof/>
          <w:sz w:val="24"/>
          <w:szCs w:val="24"/>
        </w:rPr>
        <w:fldChar w:fldCharType="end"/>
      </w:r>
    </w:p>
    <w:p w14:paraId="724F76FE" w14:textId="77777777" w:rsidR="00DF6A5A" w:rsidRPr="00314F62" w:rsidRDefault="00DF6A5A" w:rsidP="002667DB">
      <w:pPr>
        <w:pStyle w:val="BodyTextIndent"/>
      </w:pPr>
    </w:p>
    <w:p w14:paraId="6D94F225" w14:textId="77777777" w:rsidR="00A96313" w:rsidRPr="00314F62" w:rsidRDefault="00A96313" w:rsidP="00DF6A5A">
      <w:pPr>
        <w:pStyle w:val="BodyTextIndent"/>
      </w:pPr>
    </w:p>
    <w:p w14:paraId="3A25BF8E" w14:textId="77777777" w:rsidR="00A96313" w:rsidRPr="00314F62" w:rsidRDefault="00A96313" w:rsidP="00A96313">
      <w:pPr>
        <w:pStyle w:val="BodyTextIndent"/>
        <w:sectPr w:rsidR="00A96313" w:rsidRPr="00314F62" w:rsidSect="00495374">
          <w:footerReference w:type="default" r:id="rId16"/>
          <w:pgSz w:w="11906" w:h="16838" w:code="9"/>
          <w:pgMar w:top="1134" w:right="1134" w:bottom="992" w:left="1418" w:header="1134" w:footer="851" w:gutter="0"/>
          <w:pgNumType w:fmt="lowerRoman" w:start="1"/>
          <w:cols w:space="720"/>
        </w:sectPr>
      </w:pPr>
    </w:p>
    <w:p w14:paraId="55326B66" w14:textId="77777777" w:rsidR="006B2AC1" w:rsidRPr="00314F62" w:rsidRDefault="006B2AC1" w:rsidP="00B241DB">
      <w:pPr>
        <w:pStyle w:val="Heading2"/>
      </w:pPr>
      <w:bookmarkStart w:id="8" w:name="_Toc493942089"/>
      <w:bookmarkStart w:id="9" w:name="_Toc493986928"/>
      <w:bookmarkStart w:id="10" w:name="_Toc197937195"/>
      <w:bookmarkStart w:id="11" w:name="_Toc75951877"/>
      <w:r w:rsidRPr="00B241DB">
        <w:lastRenderedPageBreak/>
        <w:t>GENERAL</w:t>
      </w:r>
      <w:bookmarkEnd w:id="8"/>
      <w:bookmarkEnd w:id="9"/>
      <w:bookmarkEnd w:id="10"/>
      <w:bookmarkEnd w:id="11"/>
    </w:p>
    <w:p w14:paraId="0A4F0678" w14:textId="77777777" w:rsidR="006B2AC1" w:rsidRPr="00314F62" w:rsidRDefault="00670983" w:rsidP="00B241DB">
      <w:pPr>
        <w:pStyle w:val="Heading3"/>
      </w:pPr>
      <w:bookmarkStart w:id="12" w:name="_Toc75951878"/>
      <w:r w:rsidRPr="00B241DB">
        <w:t>Section</w:t>
      </w:r>
      <w:r w:rsidRPr="00314F62">
        <w:t xml:space="preserve"> Control</w:t>
      </w:r>
      <w:bookmarkEnd w:id="12"/>
    </w:p>
    <w:p w14:paraId="14B7D7FA" w14:textId="77777777" w:rsidR="006B2AC1" w:rsidRPr="00314F62" w:rsidRDefault="006B2AC1" w:rsidP="006B2AC1">
      <w:pPr>
        <w:pStyle w:val="BodyTextIndent"/>
      </w:pPr>
      <w:r w:rsidRPr="00314F62">
        <w:t>Type</w:t>
      </w:r>
      <w:r w:rsidR="00B66A9D" w:rsidRPr="00314F62">
        <w:t>s</w:t>
      </w:r>
      <w:r w:rsidRPr="00314F62">
        <w:t xml:space="preserve"> of </w:t>
      </w:r>
      <w:r w:rsidR="00B66A9D" w:rsidRPr="00314F62">
        <w:t xml:space="preserve">road </w:t>
      </w:r>
      <w:r w:rsidRPr="00314F62">
        <w:t>pavement marking and coloured surface treatments.</w:t>
      </w:r>
    </w:p>
    <w:p w14:paraId="6BE55601" w14:textId="77777777" w:rsidR="00180DAC" w:rsidRPr="00314F62" w:rsidRDefault="00180DAC" w:rsidP="00B241DB">
      <w:pPr>
        <w:pStyle w:val="Heading3"/>
      </w:pPr>
      <w:bookmarkStart w:id="13" w:name="_Toc75951879"/>
      <w:r w:rsidRPr="00314F62">
        <w:t>Standards</w:t>
      </w:r>
      <w:bookmarkEnd w:id="13"/>
    </w:p>
    <w:tbl>
      <w:tblPr>
        <w:tblW w:w="8647" w:type="dxa"/>
        <w:tblInd w:w="709" w:type="dxa"/>
        <w:tblLook w:val="0400" w:firstRow="0" w:lastRow="0" w:firstColumn="0" w:lastColumn="0" w:noHBand="0" w:noVBand="1"/>
      </w:tblPr>
      <w:tblGrid>
        <w:gridCol w:w="2248"/>
        <w:gridCol w:w="21"/>
        <w:gridCol w:w="1818"/>
        <w:gridCol w:w="4560"/>
      </w:tblGrid>
      <w:tr w:rsidR="00197103" w:rsidRPr="00314F62" w14:paraId="19457AED" w14:textId="77777777" w:rsidTr="00DE4BB4">
        <w:trPr>
          <w:trHeight w:val="340"/>
        </w:trPr>
        <w:tc>
          <w:tcPr>
            <w:tcW w:w="2269" w:type="dxa"/>
            <w:gridSpan w:val="2"/>
            <w:vAlign w:val="center"/>
          </w:tcPr>
          <w:p w14:paraId="58214971" w14:textId="77777777" w:rsidR="00197103" w:rsidRPr="00314F62" w:rsidRDefault="00197103" w:rsidP="00A00F35">
            <w:pPr>
              <w:pStyle w:val="Table"/>
            </w:pPr>
            <w:r w:rsidRPr="00314F62">
              <w:t>ASTM International Standards</w:t>
            </w:r>
          </w:p>
        </w:tc>
        <w:tc>
          <w:tcPr>
            <w:tcW w:w="1818" w:type="dxa"/>
            <w:vAlign w:val="center"/>
          </w:tcPr>
          <w:p w14:paraId="100B4F3E" w14:textId="77777777" w:rsidR="00197103" w:rsidRPr="00314F62" w:rsidRDefault="00197103" w:rsidP="00A00F35">
            <w:pPr>
              <w:pStyle w:val="TableCen"/>
            </w:pPr>
            <w:r w:rsidRPr="00314F62">
              <w:t>ASTM E303-93 (2008)</w:t>
            </w:r>
          </w:p>
        </w:tc>
        <w:tc>
          <w:tcPr>
            <w:tcW w:w="4560" w:type="dxa"/>
            <w:vAlign w:val="center"/>
          </w:tcPr>
          <w:p w14:paraId="1CEBB32D" w14:textId="77777777" w:rsidR="00197103" w:rsidRPr="00314F62" w:rsidRDefault="00197103" w:rsidP="00A00F35">
            <w:pPr>
              <w:pStyle w:val="Table"/>
            </w:pPr>
            <w:r w:rsidRPr="00314F62">
              <w:t>Standard Test Method for Measuring Surface Frictional Properties Using the British Pendulum Tester</w:t>
            </w:r>
          </w:p>
        </w:tc>
      </w:tr>
      <w:tr w:rsidR="00197103" w:rsidRPr="00314F62" w14:paraId="3B20664B" w14:textId="77777777" w:rsidTr="00DE4BB4">
        <w:trPr>
          <w:trHeight w:val="340"/>
        </w:trPr>
        <w:tc>
          <w:tcPr>
            <w:tcW w:w="2269" w:type="dxa"/>
            <w:gridSpan w:val="2"/>
            <w:vAlign w:val="center"/>
          </w:tcPr>
          <w:p w14:paraId="198984B5" w14:textId="77777777" w:rsidR="00197103" w:rsidRPr="00314F62" w:rsidRDefault="00197103" w:rsidP="00A00F35">
            <w:pPr>
              <w:pStyle w:val="Table"/>
            </w:pPr>
            <w:r w:rsidRPr="00314F62">
              <w:t>Australian Standard</w:t>
            </w:r>
          </w:p>
        </w:tc>
        <w:tc>
          <w:tcPr>
            <w:tcW w:w="1818" w:type="dxa"/>
            <w:vAlign w:val="center"/>
          </w:tcPr>
          <w:p w14:paraId="4BB4C67B" w14:textId="77777777" w:rsidR="00197103" w:rsidRPr="00314F62" w:rsidRDefault="00197103" w:rsidP="00A00F35">
            <w:pPr>
              <w:pStyle w:val="TableCen"/>
            </w:pPr>
            <w:r w:rsidRPr="00314F62">
              <w:t>AS 1141.41</w:t>
            </w:r>
          </w:p>
        </w:tc>
        <w:tc>
          <w:tcPr>
            <w:tcW w:w="4560" w:type="dxa"/>
            <w:vAlign w:val="center"/>
          </w:tcPr>
          <w:p w14:paraId="712F3565" w14:textId="77777777" w:rsidR="00197103" w:rsidRPr="00314F62" w:rsidRDefault="00197103" w:rsidP="00A00F35">
            <w:pPr>
              <w:pStyle w:val="Table"/>
            </w:pPr>
            <w:r w:rsidRPr="00314F62">
              <w:t>Methods for sampling and testing aggregates - Polished aggregate friction value – Horizontal bed machine</w:t>
            </w:r>
          </w:p>
        </w:tc>
      </w:tr>
      <w:tr w:rsidR="00197103" w:rsidRPr="00314F62" w14:paraId="2C7E3BBE" w14:textId="77777777" w:rsidTr="00DE4BB4">
        <w:trPr>
          <w:trHeight w:val="340"/>
        </w:trPr>
        <w:tc>
          <w:tcPr>
            <w:tcW w:w="2269" w:type="dxa"/>
            <w:gridSpan w:val="2"/>
            <w:vAlign w:val="center"/>
          </w:tcPr>
          <w:p w14:paraId="650115CC" w14:textId="77777777" w:rsidR="00197103" w:rsidRPr="00314F62" w:rsidRDefault="00197103" w:rsidP="00A00F35">
            <w:pPr>
              <w:pStyle w:val="Table"/>
            </w:pPr>
            <w:r w:rsidRPr="00314F62">
              <w:t>Australian/New Zealand Standard</w:t>
            </w:r>
          </w:p>
        </w:tc>
        <w:tc>
          <w:tcPr>
            <w:tcW w:w="1818" w:type="dxa"/>
            <w:vAlign w:val="center"/>
          </w:tcPr>
          <w:p w14:paraId="75AE290B" w14:textId="77777777" w:rsidR="00197103" w:rsidRPr="00314F62" w:rsidRDefault="00197103" w:rsidP="00A00F35">
            <w:pPr>
              <w:pStyle w:val="TableCen"/>
            </w:pPr>
            <w:r w:rsidRPr="00314F62">
              <w:t>AS/NZS 1580.205.4</w:t>
            </w:r>
          </w:p>
        </w:tc>
        <w:tc>
          <w:tcPr>
            <w:tcW w:w="4560" w:type="dxa"/>
            <w:vAlign w:val="center"/>
          </w:tcPr>
          <w:p w14:paraId="35698774" w14:textId="77777777" w:rsidR="00197103" w:rsidRPr="00314F62" w:rsidRDefault="00197103" w:rsidP="00A00F35">
            <w:pPr>
              <w:pStyle w:val="Table"/>
            </w:pPr>
            <w:r w:rsidRPr="00314F62">
              <w:t>Paints and related materials - Methods of test - Application properties – Airless spraying</w:t>
            </w:r>
          </w:p>
        </w:tc>
      </w:tr>
      <w:tr w:rsidR="00197103" w:rsidRPr="00314F62" w14:paraId="449D2445" w14:textId="77777777" w:rsidTr="00DE4BB4">
        <w:trPr>
          <w:trHeight w:val="340"/>
        </w:trPr>
        <w:tc>
          <w:tcPr>
            <w:tcW w:w="2269" w:type="dxa"/>
            <w:gridSpan w:val="2"/>
            <w:vAlign w:val="center"/>
          </w:tcPr>
          <w:p w14:paraId="01C6B042" w14:textId="77777777" w:rsidR="00197103" w:rsidRPr="00314F62" w:rsidRDefault="00197103" w:rsidP="00A00F35">
            <w:pPr>
              <w:pStyle w:val="Table"/>
            </w:pPr>
            <w:r w:rsidRPr="00314F62">
              <w:t>Australian Standard</w:t>
            </w:r>
          </w:p>
        </w:tc>
        <w:tc>
          <w:tcPr>
            <w:tcW w:w="1818" w:type="dxa"/>
            <w:vAlign w:val="center"/>
          </w:tcPr>
          <w:p w14:paraId="3E648B59" w14:textId="77777777" w:rsidR="00197103" w:rsidRPr="00314F62" w:rsidRDefault="00197103" w:rsidP="00A00F35">
            <w:pPr>
              <w:pStyle w:val="TableCen"/>
            </w:pPr>
            <w:r w:rsidRPr="00314F62">
              <w:t>AS 1742</w:t>
            </w:r>
          </w:p>
        </w:tc>
        <w:tc>
          <w:tcPr>
            <w:tcW w:w="4560" w:type="dxa"/>
            <w:vAlign w:val="center"/>
          </w:tcPr>
          <w:p w14:paraId="3242B817" w14:textId="77777777" w:rsidR="00197103" w:rsidRPr="00314F62" w:rsidRDefault="00197103" w:rsidP="00A00F35">
            <w:pPr>
              <w:pStyle w:val="Table"/>
            </w:pPr>
            <w:r w:rsidRPr="00314F62">
              <w:t>Manual of uniform traffic control devices</w:t>
            </w:r>
          </w:p>
        </w:tc>
      </w:tr>
      <w:tr w:rsidR="00197103" w:rsidRPr="00314F62" w14:paraId="340FD0E3" w14:textId="77777777" w:rsidTr="00DE4BB4">
        <w:trPr>
          <w:trHeight w:val="340"/>
        </w:trPr>
        <w:tc>
          <w:tcPr>
            <w:tcW w:w="2269" w:type="dxa"/>
            <w:gridSpan w:val="2"/>
            <w:vAlign w:val="center"/>
          </w:tcPr>
          <w:p w14:paraId="5B8543B5" w14:textId="77777777" w:rsidR="00197103" w:rsidRPr="00314F62" w:rsidRDefault="00197103" w:rsidP="00A00F35">
            <w:pPr>
              <w:pStyle w:val="Table"/>
            </w:pPr>
            <w:r w:rsidRPr="00314F62">
              <w:t>Australian/New Zealand Standard</w:t>
            </w:r>
          </w:p>
        </w:tc>
        <w:tc>
          <w:tcPr>
            <w:tcW w:w="1818" w:type="dxa"/>
            <w:vAlign w:val="center"/>
          </w:tcPr>
          <w:p w14:paraId="22834C06" w14:textId="77777777" w:rsidR="00197103" w:rsidRPr="00314F62" w:rsidRDefault="00197103" w:rsidP="00A00F35">
            <w:pPr>
              <w:pStyle w:val="TableCen"/>
            </w:pPr>
            <w:r w:rsidRPr="00314F62">
              <w:t>AS/NZS 1906.1</w:t>
            </w:r>
          </w:p>
        </w:tc>
        <w:tc>
          <w:tcPr>
            <w:tcW w:w="4560" w:type="dxa"/>
            <w:vAlign w:val="center"/>
          </w:tcPr>
          <w:p w14:paraId="220850C8" w14:textId="77777777" w:rsidR="00197103" w:rsidRPr="00314F62" w:rsidRDefault="00197103" w:rsidP="00A00F35">
            <w:pPr>
              <w:pStyle w:val="Table"/>
            </w:pPr>
            <w:r w:rsidRPr="00314F62">
              <w:t>Retroreflective materials and devices for road traffic control purposes – Retroreflective sheeting</w:t>
            </w:r>
          </w:p>
        </w:tc>
      </w:tr>
      <w:tr w:rsidR="00197103" w:rsidRPr="00314F62" w14:paraId="67279DAA" w14:textId="77777777" w:rsidTr="00DE4BB4">
        <w:trPr>
          <w:trHeight w:val="340"/>
        </w:trPr>
        <w:tc>
          <w:tcPr>
            <w:tcW w:w="2269" w:type="dxa"/>
            <w:gridSpan w:val="2"/>
            <w:vAlign w:val="center"/>
          </w:tcPr>
          <w:p w14:paraId="5DCD7233" w14:textId="77777777" w:rsidR="00197103" w:rsidRPr="00314F62" w:rsidRDefault="00197103" w:rsidP="00A00F35">
            <w:pPr>
              <w:pStyle w:val="Table"/>
            </w:pPr>
            <w:r w:rsidRPr="00314F62">
              <w:t>Australian Standard</w:t>
            </w:r>
          </w:p>
        </w:tc>
        <w:tc>
          <w:tcPr>
            <w:tcW w:w="1818" w:type="dxa"/>
            <w:vAlign w:val="center"/>
          </w:tcPr>
          <w:p w14:paraId="2DA2F149" w14:textId="77777777" w:rsidR="00197103" w:rsidRPr="00314F62" w:rsidRDefault="00197103" w:rsidP="00A00F35">
            <w:pPr>
              <w:pStyle w:val="TableCen"/>
            </w:pPr>
            <w:r w:rsidRPr="00314F62">
              <w:t>AS 1906.3</w:t>
            </w:r>
          </w:p>
        </w:tc>
        <w:tc>
          <w:tcPr>
            <w:tcW w:w="4560" w:type="dxa"/>
            <w:vAlign w:val="center"/>
          </w:tcPr>
          <w:p w14:paraId="5F0F406E" w14:textId="77777777" w:rsidR="00197103" w:rsidRPr="00314F62" w:rsidRDefault="00197103" w:rsidP="00A00F35">
            <w:pPr>
              <w:pStyle w:val="Table"/>
            </w:pPr>
            <w:r w:rsidRPr="00314F62">
              <w:t>Retroreflective materials and devices for road traffic control purposes - Raised pavement markers (retroreflective and non-retroreflective)</w:t>
            </w:r>
          </w:p>
        </w:tc>
      </w:tr>
      <w:tr w:rsidR="00197103" w:rsidRPr="00314F62" w14:paraId="55092B8C" w14:textId="77777777" w:rsidTr="00DE4BB4">
        <w:trPr>
          <w:trHeight w:val="340"/>
        </w:trPr>
        <w:tc>
          <w:tcPr>
            <w:tcW w:w="2269" w:type="dxa"/>
            <w:gridSpan w:val="2"/>
            <w:vAlign w:val="center"/>
          </w:tcPr>
          <w:p w14:paraId="75D87D90" w14:textId="77777777" w:rsidR="00197103" w:rsidRPr="00314F62" w:rsidRDefault="00197103" w:rsidP="00A00F35">
            <w:pPr>
              <w:pStyle w:val="Table"/>
            </w:pPr>
            <w:r w:rsidRPr="00314F62">
              <w:t>Australian Standard</w:t>
            </w:r>
          </w:p>
        </w:tc>
        <w:tc>
          <w:tcPr>
            <w:tcW w:w="1818" w:type="dxa"/>
            <w:vAlign w:val="center"/>
          </w:tcPr>
          <w:p w14:paraId="0D55F25B" w14:textId="77777777" w:rsidR="00197103" w:rsidRPr="00314F62" w:rsidRDefault="00197103" w:rsidP="00A00F35">
            <w:pPr>
              <w:pStyle w:val="TableCen"/>
            </w:pPr>
            <w:r w:rsidRPr="00314F62">
              <w:rPr>
                <w:rStyle w:val="BodyTextIndentItalicChar"/>
                <w:i w:val="0"/>
                <w:lang w:eastAsia="en-US"/>
              </w:rPr>
              <w:t>AS 2009</w:t>
            </w:r>
          </w:p>
        </w:tc>
        <w:tc>
          <w:tcPr>
            <w:tcW w:w="4560" w:type="dxa"/>
            <w:vAlign w:val="center"/>
          </w:tcPr>
          <w:p w14:paraId="353F360C" w14:textId="77777777" w:rsidR="00197103" w:rsidRPr="00314F62" w:rsidRDefault="00197103" w:rsidP="00A00F35">
            <w:pPr>
              <w:pStyle w:val="Table"/>
            </w:pPr>
            <w:r w:rsidRPr="00314F62">
              <w:rPr>
                <w:rStyle w:val="BodyTextIndentItalicChar"/>
                <w:i w:val="0"/>
                <w:lang w:eastAsia="en-US"/>
              </w:rPr>
              <w:t>Glass beads for pavement-marking materials</w:t>
            </w:r>
          </w:p>
        </w:tc>
      </w:tr>
      <w:tr w:rsidR="00197103" w:rsidRPr="00314F62" w14:paraId="2A80B8F0" w14:textId="77777777" w:rsidTr="00DE4BB4">
        <w:trPr>
          <w:trHeight w:val="340"/>
        </w:trPr>
        <w:tc>
          <w:tcPr>
            <w:tcW w:w="2269" w:type="dxa"/>
            <w:gridSpan w:val="2"/>
            <w:vAlign w:val="center"/>
          </w:tcPr>
          <w:p w14:paraId="5BD874BF" w14:textId="77777777" w:rsidR="00197103" w:rsidRPr="00314F62" w:rsidRDefault="00197103" w:rsidP="00A00F35">
            <w:pPr>
              <w:pStyle w:val="Table"/>
            </w:pPr>
            <w:r w:rsidRPr="00314F62">
              <w:t>Australian Standard</w:t>
            </w:r>
          </w:p>
        </w:tc>
        <w:tc>
          <w:tcPr>
            <w:tcW w:w="1818" w:type="dxa"/>
            <w:vAlign w:val="center"/>
          </w:tcPr>
          <w:p w14:paraId="1A03A9E4" w14:textId="77777777" w:rsidR="00197103" w:rsidRPr="00314F62" w:rsidRDefault="00197103" w:rsidP="00A00F35">
            <w:pPr>
              <w:pStyle w:val="TableCen"/>
            </w:pPr>
            <w:r w:rsidRPr="00314F62">
              <w:rPr>
                <w:rStyle w:val="BodyTextIndentItalicChar"/>
                <w:i w:val="0"/>
                <w:lang w:eastAsia="en-US"/>
              </w:rPr>
              <w:t>AS 2700</w:t>
            </w:r>
          </w:p>
        </w:tc>
        <w:tc>
          <w:tcPr>
            <w:tcW w:w="4560" w:type="dxa"/>
            <w:vAlign w:val="center"/>
          </w:tcPr>
          <w:p w14:paraId="199955E4" w14:textId="77777777" w:rsidR="00197103" w:rsidRPr="00314F62" w:rsidRDefault="00197103" w:rsidP="00A00F35">
            <w:pPr>
              <w:pStyle w:val="Table"/>
            </w:pPr>
            <w:r w:rsidRPr="00314F62">
              <w:rPr>
                <w:rStyle w:val="BodyTextIndentItalicChar"/>
                <w:i w:val="0"/>
                <w:lang w:eastAsia="en-US"/>
              </w:rPr>
              <w:t>Colour standards for general purposes</w:t>
            </w:r>
          </w:p>
        </w:tc>
      </w:tr>
      <w:tr w:rsidR="00197103" w:rsidRPr="00314F62" w14:paraId="4DC15D03" w14:textId="77777777" w:rsidTr="00DE4BB4">
        <w:trPr>
          <w:trHeight w:val="340"/>
        </w:trPr>
        <w:tc>
          <w:tcPr>
            <w:tcW w:w="2269" w:type="dxa"/>
            <w:gridSpan w:val="2"/>
            <w:vAlign w:val="center"/>
          </w:tcPr>
          <w:p w14:paraId="27439001" w14:textId="77777777" w:rsidR="00197103" w:rsidRPr="00314F62" w:rsidRDefault="00197103" w:rsidP="00A00F35">
            <w:pPr>
              <w:pStyle w:val="Table"/>
            </w:pPr>
            <w:r w:rsidRPr="00314F62">
              <w:t>Australian Standard</w:t>
            </w:r>
          </w:p>
        </w:tc>
        <w:tc>
          <w:tcPr>
            <w:tcW w:w="1818" w:type="dxa"/>
            <w:vAlign w:val="center"/>
          </w:tcPr>
          <w:p w14:paraId="65F82E68" w14:textId="77777777" w:rsidR="00197103" w:rsidRPr="00314F62" w:rsidRDefault="00197103" w:rsidP="00A00F35">
            <w:pPr>
              <w:pStyle w:val="TableCen"/>
            </w:pPr>
            <w:r w:rsidRPr="00314F62">
              <w:rPr>
                <w:rStyle w:val="BodyTextIndentItalicChar"/>
                <w:i w:val="0"/>
                <w:lang w:eastAsia="en-US"/>
              </w:rPr>
              <w:t>AS 4049.2</w:t>
            </w:r>
          </w:p>
        </w:tc>
        <w:tc>
          <w:tcPr>
            <w:tcW w:w="4560" w:type="dxa"/>
            <w:vAlign w:val="center"/>
          </w:tcPr>
          <w:p w14:paraId="7D1946E3" w14:textId="77777777" w:rsidR="00197103" w:rsidRPr="00314F62" w:rsidRDefault="00197103" w:rsidP="00A00F35">
            <w:pPr>
              <w:pStyle w:val="Table"/>
            </w:pPr>
            <w:r w:rsidRPr="00314F62">
              <w:rPr>
                <w:rStyle w:val="BodyTextIndentItalicChar"/>
                <w:i w:val="0"/>
                <w:lang w:eastAsia="en-US"/>
              </w:rPr>
              <w:t>Paints and related materials – Pavement marking materials – Thermoplastic pavement marking materials – For use with surface applied glass bead</w:t>
            </w:r>
          </w:p>
        </w:tc>
      </w:tr>
      <w:tr w:rsidR="00197103" w:rsidRPr="00314F62" w14:paraId="2E4B3812" w14:textId="77777777" w:rsidTr="00DE4BB4">
        <w:trPr>
          <w:trHeight w:val="340"/>
        </w:trPr>
        <w:tc>
          <w:tcPr>
            <w:tcW w:w="2269" w:type="dxa"/>
            <w:gridSpan w:val="2"/>
            <w:vAlign w:val="center"/>
          </w:tcPr>
          <w:p w14:paraId="0E1A2152" w14:textId="77777777" w:rsidR="00197103" w:rsidRPr="00314F62" w:rsidRDefault="00197103" w:rsidP="00A00F35">
            <w:pPr>
              <w:pStyle w:val="Table"/>
            </w:pPr>
            <w:r w:rsidRPr="00314F62">
              <w:t>Australian Standard</w:t>
            </w:r>
          </w:p>
        </w:tc>
        <w:tc>
          <w:tcPr>
            <w:tcW w:w="1818" w:type="dxa"/>
            <w:vAlign w:val="center"/>
          </w:tcPr>
          <w:p w14:paraId="1B7D097A" w14:textId="77777777" w:rsidR="00197103" w:rsidRPr="00314F62" w:rsidRDefault="00197103" w:rsidP="00A00F35">
            <w:pPr>
              <w:pStyle w:val="TableCen"/>
            </w:pPr>
            <w:r w:rsidRPr="00314F62">
              <w:rPr>
                <w:rStyle w:val="BodyTextIndentItalicChar"/>
                <w:i w:val="0"/>
                <w:lang w:eastAsia="en-US"/>
              </w:rPr>
              <w:t>AS 4049.3</w:t>
            </w:r>
          </w:p>
        </w:tc>
        <w:tc>
          <w:tcPr>
            <w:tcW w:w="4560" w:type="dxa"/>
            <w:vAlign w:val="center"/>
          </w:tcPr>
          <w:p w14:paraId="26E15A20" w14:textId="77777777" w:rsidR="00197103" w:rsidRPr="00314F62" w:rsidRDefault="00197103" w:rsidP="00A00F35">
            <w:pPr>
              <w:pStyle w:val="Table"/>
            </w:pPr>
            <w:r w:rsidRPr="00314F62">
              <w:rPr>
                <w:rStyle w:val="BodyTextIndentItalicChar"/>
                <w:i w:val="0"/>
                <w:lang w:eastAsia="en-US"/>
              </w:rPr>
              <w:t>Paints and related materials – Pavement marking materials – Waterborne paint – For use with surface applied glass beads</w:t>
            </w:r>
          </w:p>
        </w:tc>
      </w:tr>
      <w:tr w:rsidR="00197103" w:rsidRPr="00314F62" w14:paraId="3527183E" w14:textId="77777777" w:rsidTr="00DE4BB4">
        <w:trPr>
          <w:trHeight w:val="340"/>
        </w:trPr>
        <w:tc>
          <w:tcPr>
            <w:tcW w:w="2269" w:type="dxa"/>
            <w:gridSpan w:val="2"/>
            <w:vAlign w:val="center"/>
          </w:tcPr>
          <w:p w14:paraId="16B2D818" w14:textId="77777777" w:rsidR="00197103" w:rsidRPr="00336E50" w:rsidRDefault="00197103" w:rsidP="00A00F35">
            <w:pPr>
              <w:pStyle w:val="Table"/>
            </w:pPr>
            <w:r w:rsidRPr="00336E50">
              <w:t>Australian/New Zealand Standard</w:t>
            </w:r>
          </w:p>
        </w:tc>
        <w:tc>
          <w:tcPr>
            <w:tcW w:w="1818" w:type="dxa"/>
            <w:vAlign w:val="center"/>
          </w:tcPr>
          <w:p w14:paraId="6618C41E" w14:textId="1708D1CA" w:rsidR="00197103" w:rsidRPr="00336E50" w:rsidRDefault="00197103" w:rsidP="004B3856">
            <w:pPr>
              <w:pStyle w:val="TableCen"/>
            </w:pPr>
            <w:r w:rsidRPr="00336E50">
              <w:t>AS</w:t>
            </w:r>
            <w:r w:rsidR="0073211F" w:rsidRPr="00336E50">
              <w:t>/NZS</w:t>
            </w:r>
            <w:r w:rsidRPr="00336E50">
              <w:t> 4586</w:t>
            </w:r>
          </w:p>
        </w:tc>
        <w:tc>
          <w:tcPr>
            <w:tcW w:w="4560" w:type="dxa"/>
            <w:vAlign w:val="center"/>
          </w:tcPr>
          <w:p w14:paraId="5F28A3F7" w14:textId="3FCDF63F" w:rsidR="00197103" w:rsidRPr="00336E50" w:rsidRDefault="004B3856" w:rsidP="00A00F35">
            <w:pPr>
              <w:pStyle w:val="Table"/>
            </w:pPr>
            <w:r w:rsidRPr="00336E50">
              <w:t xml:space="preserve">Slip </w:t>
            </w:r>
            <w:r w:rsidR="00197103" w:rsidRPr="00336E50">
              <w:t>resistance classification of new pedestrian surface materials</w:t>
            </w:r>
          </w:p>
        </w:tc>
      </w:tr>
      <w:tr w:rsidR="00197103" w:rsidRPr="00314F62" w14:paraId="0E8C10FA" w14:textId="77777777" w:rsidTr="00DE4BB4">
        <w:trPr>
          <w:trHeight w:val="340"/>
        </w:trPr>
        <w:tc>
          <w:tcPr>
            <w:tcW w:w="2269" w:type="dxa"/>
            <w:gridSpan w:val="2"/>
            <w:vAlign w:val="center"/>
          </w:tcPr>
          <w:p w14:paraId="37D9D060" w14:textId="77777777" w:rsidR="00197103" w:rsidRPr="00314F62" w:rsidRDefault="00197103" w:rsidP="00A00F35">
            <w:pPr>
              <w:pStyle w:val="Table"/>
            </w:pPr>
            <w:r w:rsidRPr="00314F62">
              <w:t>Australian Standard</w:t>
            </w:r>
          </w:p>
        </w:tc>
        <w:tc>
          <w:tcPr>
            <w:tcW w:w="1818" w:type="dxa"/>
            <w:vAlign w:val="center"/>
          </w:tcPr>
          <w:p w14:paraId="3A1BC226" w14:textId="77777777" w:rsidR="00197103" w:rsidRPr="00314F62" w:rsidRDefault="00197103" w:rsidP="00A00F35">
            <w:pPr>
              <w:pStyle w:val="TableCen"/>
            </w:pPr>
            <w:r w:rsidRPr="00314F62">
              <w:t>AS 4663</w:t>
            </w:r>
          </w:p>
        </w:tc>
        <w:tc>
          <w:tcPr>
            <w:tcW w:w="4560" w:type="dxa"/>
            <w:vAlign w:val="center"/>
          </w:tcPr>
          <w:p w14:paraId="55F40C63" w14:textId="77777777" w:rsidR="00197103" w:rsidRPr="00314F62" w:rsidRDefault="00197103" w:rsidP="00A00F35">
            <w:pPr>
              <w:pStyle w:val="Table"/>
            </w:pPr>
            <w:r w:rsidRPr="00314F62">
              <w:t>Slip resistance measurement of existing pedestrian surfaces</w:t>
            </w:r>
          </w:p>
        </w:tc>
      </w:tr>
      <w:tr w:rsidR="00197103" w:rsidRPr="00314F62" w14:paraId="5383E056" w14:textId="77777777" w:rsidTr="00DE4BB4">
        <w:trPr>
          <w:trHeight w:val="340"/>
        </w:trPr>
        <w:tc>
          <w:tcPr>
            <w:tcW w:w="2269" w:type="dxa"/>
            <w:gridSpan w:val="2"/>
            <w:vAlign w:val="center"/>
          </w:tcPr>
          <w:p w14:paraId="2E740696" w14:textId="77777777" w:rsidR="00197103" w:rsidRPr="00314F62" w:rsidRDefault="00197103" w:rsidP="00A00F35">
            <w:pPr>
              <w:pStyle w:val="Table"/>
            </w:pPr>
            <w:r w:rsidRPr="00314F62">
              <w:t>Australian Standards/CSIRO</w:t>
            </w:r>
          </w:p>
        </w:tc>
        <w:tc>
          <w:tcPr>
            <w:tcW w:w="1818" w:type="dxa"/>
            <w:vAlign w:val="center"/>
          </w:tcPr>
          <w:p w14:paraId="342D7213" w14:textId="77777777" w:rsidR="00197103" w:rsidRPr="00314F62" w:rsidRDefault="00197103" w:rsidP="00A00F35">
            <w:pPr>
              <w:pStyle w:val="TableCen"/>
            </w:pPr>
            <w:r w:rsidRPr="00314F62">
              <w:t>Handbook HB197</w:t>
            </w:r>
          </w:p>
        </w:tc>
        <w:tc>
          <w:tcPr>
            <w:tcW w:w="4560" w:type="dxa"/>
            <w:vAlign w:val="center"/>
          </w:tcPr>
          <w:p w14:paraId="4E7E049D" w14:textId="77777777" w:rsidR="00197103" w:rsidRPr="00314F62" w:rsidRDefault="00197103" w:rsidP="00A00F35">
            <w:pPr>
              <w:pStyle w:val="Table"/>
            </w:pPr>
            <w:r w:rsidRPr="00314F62">
              <w:t>An introductory guide to the slip resistance of pedest</w:t>
            </w:r>
            <w:permStart w:id="935795367" w:edGrp="everyone"/>
            <w:permEnd w:id="935795367"/>
            <w:r w:rsidRPr="00314F62">
              <w:t>rian surface materials</w:t>
            </w:r>
          </w:p>
        </w:tc>
      </w:tr>
      <w:tr w:rsidR="00197103" w:rsidRPr="00314F62" w14:paraId="5BBBF107" w14:textId="77777777" w:rsidTr="00DE4BB4">
        <w:trPr>
          <w:trHeight w:val="340"/>
        </w:trPr>
        <w:tc>
          <w:tcPr>
            <w:tcW w:w="2248" w:type="dxa"/>
            <w:vAlign w:val="center"/>
          </w:tcPr>
          <w:p w14:paraId="05423344" w14:textId="77777777" w:rsidR="00197103" w:rsidRPr="00314F62" w:rsidRDefault="00197103" w:rsidP="00A00F35">
            <w:pPr>
              <w:pStyle w:val="Table"/>
            </w:pPr>
            <w:r w:rsidRPr="00314F62">
              <w:t>Australian/New Zealand Standard, International Standards Organization</w:t>
            </w:r>
          </w:p>
        </w:tc>
        <w:tc>
          <w:tcPr>
            <w:tcW w:w="1839" w:type="dxa"/>
            <w:gridSpan w:val="2"/>
            <w:vAlign w:val="center"/>
          </w:tcPr>
          <w:p w14:paraId="57B55A05" w14:textId="77777777" w:rsidR="00197103" w:rsidRPr="00314F62" w:rsidRDefault="00197103" w:rsidP="00A00F35">
            <w:pPr>
              <w:pStyle w:val="TableCen"/>
            </w:pPr>
            <w:r w:rsidRPr="00314F62">
              <w:t>AS/NZS ISO 9001</w:t>
            </w:r>
          </w:p>
        </w:tc>
        <w:tc>
          <w:tcPr>
            <w:tcW w:w="4560" w:type="dxa"/>
            <w:vAlign w:val="center"/>
          </w:tcPr>
          <w:p w14:paraId="634B52FF" w14:textId="77777777" w:rsidR="00197103" w:rsidRPr="00314F62" w:rsidRDefault="00197103" w:rsidP="00A00F35">
            <w:pPr>
              <w:pStyle w:val="Table"/>
            </w:pPr>
            <w:r w:rsidRPr="00314F62">
              <w:t>Quality management systems – Requirements</w:t>
            </w:r>
          </w:p>
        </w:tc>
      </w:tr>
    </w:tbl>
    <w:p w14:paraId="541A8510" w14:textId="77777777" w:rsidR="006B2AC1" w:rsidRPr="00314F62" w:rsidRDefault="009B2788" w:rsidP="00B241DB">
      <w:pPr>
        <w:pStyle w:val="Heading3"/>
      </w:pPr>
      <w:bookmarkStart w:id="14" w:name="_Toc75951880"/>
      <w:r w:rsidRPr="00314F62">
        <w:t>References</w:t>
      </w:r>
      <w:bookmarkEnd w:id="14"/>
    </w:p>
    <w:p w14:paraId="186FA9C1" w14:textId="77777777" w:rsidR="00F5682B" w:rsidRPr="00314F62" w:rsidRDefault="00F5682B" w:rsidP="00F5682B">
      <w:pPr>
        <w:pStyle w:val="BodyTextIndent"/>
      </w:pPr>
      <w:r w:rsidRPr="00314F62">
        <w:t>Refer to the following documents:</w:t>
      </w:r>
    </w:p>
    <w:tbl>
      <w:tblPr>
        <w:tblW w:w="8647" w:type="dxa"/>
        <w:tblInd w:w="709" w:type="dxa"/>
        <w:tblLayout w:type="fixed"/>
        <w:tblLook w:val="0400" w:firstRow="0" w:lastRow="0" w:firstColumn="0" w:lastColumn="0" w:noHBand="0" w:noVBand="1"/>
      </w:tblPr>
      <w:tblGrid>
        <w:gridCol w:w="2410"/>
        <w:gridCol w:w="1417"/>
        <w:gridCol w:w="1276"/>
        <w:gridCol w:w="3544"/>
      </w:tblGrid>
      <w:tr w:rsidR="00A00F35" w:rsidRPr="00314F62" w14:paraId="61331144" w14:textId="77777777" w:rsidTr="00DE4BB4">
        <w:trPr>
          <w:trHeight w:val="340"/>
        </w:trPr>
        <w:tc>
          <w:tcPr>
            <w:tcW w:w="2410" w:type="dxa"/>
            <w:vAlign w:val="center"/>
          </w:tcPr>
          <w:p w14:paraId="0ED01D05" w14:textId="77777777" w:rsidR="00A00F35" w:rsidRPr="00314F62" w:rsidRDefault="00A00F35" w:rsidP="00A00F35">
            <w:pPr>
              <w:pStyle w:val="Table"/>
            </w:pPr>
            <w:r w:rsidRPr="00314F62">
              <w:t>Queensland Department of Transport and Main Roads</w:t>
            </w:r>
          </w:p>
        </w:tc>
        <w:tc>
          <w:tcPr>
            <w:tcW w:w="1417" w:type="dxa"/>
            <w:vAlign w:val="center"/>
          </w:tcPr>
          <w:p w14:paraId="60F5FC5E" w14:textId="77777777" w:rsidR="00A00F35" w:rsidRPr="00314F62" w:rsidRDefault="00A00F35" w:rsidP="00A00F35">
            <w:pPr>
              <w:pStyle w:val="TableCen"/>
            </w:pPr>
          </w:p>
        </w:tc>
        <w:tc>
          <w:tcPr>
            <w:tcW w:w="1276" w:type="dxa"/>
            <w:vAlign w:val="center"/>
          </w:tcPr>
          <w:p w14:paraId="57DF7ACA" w14:textId="77777777" w:rsidR="00A00F35" w:rsidRPr="00314F62" w:rsidRDefault="00A00F35" w:rsidP="00A00F35">
            <w:pPr>
              <w:pStyle w:val="TableCen"/>
            </w:pPr>
            <w:r w:rsidRPr="00314F62">
              <w:t>MUTCD</w:t>
            </w:r>
          </w:p>
        </w:tc>
        <w:tc>
          <w:tcPr>
            <w:tcW w:w="3544" w:type="dxa"/>
            <w:vAlign w:val="center"/>
          </w:tcPr>
          <w:p w14:paraId="33766CA7" w14:textId="77777777" w:rsidR="00A00F35" w:rsidRPr="00314F62" w:rsidRDefault="00A00F35" w:rsidP="00AB1619">
            <w:pPr>
              <w:pStyle w:val="Table"/>
            </w:pPr>
            <w:r w:rsidRPr="00314F62">
              <w:t xml:space="preserve">Queensland Manual </w:t>
            </w:r>
            <w:r w:rsidR="00AB1619" w:rsidRPr="00314F62">
              <w:t xml:space="preserve">of </w:t>
            </w:r>
            <w:r w:rsidRPr="00314F62">
              <w:t>Uniform Traffic Control Devices</w:t>
            </w:r>
          </w:p>
        </w:tc>
      </w:tr>
      <w:tr w:rsidR="00A00F35" w:rsidRPr="00314F62" w14:paraId="47540748" w14:textId="77777777" w:rsidTr="00DE4BB4">
        <w:trPr>
          <w:trHeight w:val="340"/>
        </w:trPr>
        <w:tc>
          <w:tcPr>
            <w:tcW w:w="2410" w:type="dxa"/>
            <w:vAlign w:val="center"/>
          </w:tcPr>
          <w:p w14:paraId="7F2A4C4B" w14:textId="77777777" w:rsidR="00A00F35" w:rsidRPr="00314F62" w:rsidRDefault="00A00F35" w:rsidP="00A00F35">
            <w:pPr>
              <w:pStyle w:val="Table"/>
            </w:pPr>
            <w:r w:rsidRPr="00314F62">
              <w:t>Queensland Department of Transport and Main Roads</w:t>
            </w:r>
          </w:p>
        </w:tc>
        <w:tc>
          <w:tcPr>
            <w:tcW w:w="1417" w:type="dxa"/>
            <w:vAlign w:val="center"/>
          </w:tcPr>
          <w:p w14:paraId="14BDDD59" w14:textId="77777777" w:rsidR="00A00F35" w:rsidRPr="00314F62" w:rsidRDefault="00A00F35" w:rsidP="00A00F35">
            <w:pPr>
              <w:pStyle w:val="TableCen"/>
            </w:pPr>
          </w:p>
        </w:tc>
        <w:tc>
          <w:tcPr>
            <w:tcW w:w="1276" w:type="dxa"/>
            <w:vAlign w:val="center"/>
          </w:tcPr>
          <w:p w14:paraId="52E15BCC" w14:textId="77777777" w:rsidR="00A00F35" w:rsidRPr="00314F62" w:rsidRDefault="005C6EB1" w:rsidP="005C6EB1">
            <w:pPr>
              <w:pStyle w:val="TableCen"/>
            </w:pPr>
            <w:r w:rsidRPr="00314F62">
              <w:t>TC Signs</w:t>
            </w:r>
          </w:p>
        </w:tc>
        <w:tc>
          <w:tcPr>
            <w:tcW w:w="3544" w:type="dxa"/>
            <w:vAlign w:val="center"/>
          </w:tcPr>
          <w:p w14:paraId="2A8B915B" w14:textId="77777777" w:rsidR="00A00F35" w:rsidRPr="00314F62" w:rsidRDefault="00A00F35" w:rsidP="00A00F35">
            <w:pPr>
              <w:pStyle w:val="Table"/>
            </w:pPr>
            <w:r w:rsidRPr="00314F62">
              <w:t>Queensland Traffic Control (TC) Signs</w:t>
            </w:r>
          </w:p>
        </w:tc>
      </w:tr>
      <w:tr w:rsidR="00A00F35" w:rsidRPr="00314F62" w14:paraId="5B19520C" w14:textId="77777777" w:rsidTr="00DE4BB4">
        <w:trPr>
          <w:trHeight w:val="340"/>
        </w:trPr>
        <w:tc>
          <w:tcPr>
            <w:tcW w:w="2410" w:type="dxa"/>
            <w:vAlign w:val="center"/>
          </w:tcPr>
          <w:p w14:paraId="7DA829F9" w14:textId="77777777" w:rsidR="00A00F35" w:rsidRPr="00314F62" w:rsidRDefault="00A00F35" w:rsidP="00A00F35">
            <w:pPr>
              <w:pStyle w:val="Table"/>
            </w:pPr>
            <w:r w:rsidRPr="00314F62">
              <w:t>Queensland Department of Transport and Main Roads</w:t>
            </w:r>
          </w:p>
        </w:tc>
        <w:tc>
          <w:tcPr>
            <w:tcW w:w="1417" w:type="dxa"/>
            <w:vAlign w:val="center"/>
          </w:tcPr>
          <w:p w14:paraId="375F26F9" w14:textId="77777777" w:rsidR="00A00F35" w:rsidRPr="00314F62" w:rsidRDefault="00A00F35" w:rsidP="00A00F35">
            <w:pPr>
              <w:pStyle w:val="TableCen"/>
            </w:pPr>
            <w:r w:rsidRPr="00314F62">
              <w:t>Technical Guide</w:t>
            </w:r>
          </w:p>
        </w:tc>
        <w:tc>
          <w:tcPr>
            <w:tcW w:w="1276" w:type="dxa"/>
            <w:vAlign w:val="center"/>
          </w:tcPr>
          <w:p w14:paraId="5866FF7D" w14:textId="77777777" w:rsidR="00A00F35" w:rsidRPr="00314F62" w:rsidRDefault="00A00F35" w:rsidP="00A00F35">
            <w:pPr>
              <w:pStyle w:val="TableCen"/>
            </w:pPr>
          </w:p>
        </w:tc>
        <w:tc>
          <w:tcPr>
            <w:tcW w:w="3544" w:type="dxa"/>
            <w:vAlign w:val="center"/>
          </w:tcPr>
          <w:p w14:paraId="026440DF" w14:textId="77777777" w:rsidR="00A00F35" w:rsidRPr="00314F62" w:rsidRDefault="00A00F35" w:rsidP="00A00F35">
            <w:pPr>
              <w:pStyle w:val="Table"/>
            </w:pPr>
            <w:r w:rsidRPr="00314F62">
              <w:t>A guide to signing cycle networks</w:t>
            </w:r>
          </w:p>
        </w:tc>
      </w:tr>
      <w:tr w:rsidR="00A537A1" w:rsidRPr="00314F62" w14:paraId="29F3DA4A" w14:textId="77777777" w:rsidTr="00DE4BB4">
        <w:trPr>
          <w:trHeight w:val="340"/>
        </w:trPr>
        <w:tc>
          <w:tcPr>
            <w:tcW w:w="2410" w:type="dxa"/>
            <w:vAlign w:val="center"/>
          </w:tcPr>
          <w:p w14:paraId="756D888D" w14:textId="77777777" w:rsidR="00A537A1" w:rsidRPr="00314F62" w:rsidRDefault="00A537A1" w:rsidP="00A00F35">
            <w:pPr>
              <w:pStyle w:val="Table"/>
            </w:pPr>
            <w:r w:rsidRPr="00314F62">
              <w:t>Brisbane City Council</w:t>
            </w:r>
          </w:p>
        </w:tc>
        <w:tc>
          <w:tcPr>
            <w:tcW w:w="1417" w:type="dxa"/>
            <w:vAlign w:val="center"/>
          </w:tcPr>
          <w:p w14:paraId="061C732D" w14:textId="77777777" w:rsidR="00A537A1" w:rsidRPr="00314F62" w:rsidRDefault="00A537A1" w:rsidP="00A00F35">
            <w:pPr>
              <w:pStyle w:val="TableCen"/>
            </w:pPr>
          </w:p>
        </w:tc>
        <w:tc>
          <w:tcPr>
            <w:tcW w:w="1276" w:type="dxa"/>
            <w:vAlign w:val="center"/>
          </w:tcPr>
          <w:p w14:paraId="0C7B32D5" w14:textId="77777777" w:rsidR="00A537A1" w:rsidRPr="00314F62" w:rsidRDefault="00A537A1" w:rsidP="00A00F35">
            <w:pPr>
              <w:pStyle w:val="TableCen"/>
            </w:pPr>
          </w:p>
        </w:tc>
        <w:tc>
          <w:tcPr>
            <w:tcW w:w="3544" w:type="dxa"/>
            <w:vAlign w:val="center"/>
          </w:tcPr>
          <w:p w14:paraId="6D59D2AB" w14:textId="77777777" w:rsidR="00A537A1" w:rsidRPr="00314F62" w:rsidRDefault="00A537A1" w:rsidP="00A00F35">
            <w:pPr>
              <w:pStyle w:val="Table"/>
            </w:pPr>
            <w:r w:rsidRPr="00314F62">
              <w:t>Standard Drawings</w:t>
            </w:r>
          </w:p>
        </w:tc>
      </w:tr>
      <w:tr w:rsidR="00A537A1" w:rsidRPr="00314F62" w14:paraId="2CCFC13D" w14:textId="77777777" w:rsidTr="00DE4BB4">
        <w:trPr>
          <w:trHeight w:val="340"/>
        </w:trPr>
        <w:tc>
          <w:tcPr>
            <w:tcW w:w="2410" w:type="dxa"/>
            <w:vAlign w:val="center"/>
          </w:tcPr>
          <w:p w14:paraId="0B0A1F94" w14:textId="77777777" w:rsidR="00A537A1" w:rsidRPr="00314F62" w:rsidRDefault="00A537A1" w:rsidP="00A00F35">
            <w:pPr>
              <w:pStyle w:val="Table"/>
            </w:pPr>
            <w:r w:rsidRPr="00314F62">
              <w:t>Brisbane City Council</w:t>
            </w:r>
          </w:p>
        </w:tc>
        <w:tc>
          <w:tcPr>
            <w:tcW w:w="1417" w:type="dxa"/>
            <w:vAlign w:val="center"/>
          </w:tcPr>
          <w:p w14:paraId="1E6A2A50" w14:textId="77777777" w:rsidR="00A537A1" w:rsidRPr="00314F62" w:rsidRDefault="00A537A1" w:rsidP="00A00F35">
            <w:pPr>
              <w:pStyle w:val="TableCen"/>
            </w:pPr>
            <w:r w:rsidRPr="00314F62">
              <w:t>Design Manual</w:t>
            </w:r>
          </w:p>
        </w:tc>
        <w:tc>
          <w:tcPr>
            <w:tcW w:w="1276" w:type="dxa"/>
            <w:vAlign w:val="center"/>
          </w:tcPr>
          <w:p w14:paraId="69E605B8" w14:textId="77777777" w:rsidR="00A537A1" w:rsidRPr="00314F62" w:rsidRDefault="00A537A1" w:rsidP="00A00F35">
            <w:pPr>
              <w:pStyle w:val="TableCen"/>
            </w:pPr>
          </w:p>
        </w:tc>
        <w:tc>
          <w:tcPr>
            <w:tcW w:w="3544" w:type="dxa"/>
            <w:vAlign w:val="center"/>
          </w:tcPr>
          <w:p w14:paraId="387648B3" w14:textId="77777777" w:rsidR="00A537A1" w:rsidRPr="00314F62" w:rsidRDefault="005C6EB1" w:rsidP="00A00F35">
            <w:pPr>
              <w:pStyle w:val="Table"/>
            </w:pPr>
            <w:r w:rsidRPr="005C6EB1">
              <w:t>Bicycle Signage Manual</w:t>
            </w:r>
          </w:p>
        </w:tc>
      </w:tr>
      <w:tr w:rsidR="00A763CE" w:rsidRPr="00314F62" w14:paraId="6E52950A" w14:textId="77777777" w:rsidTr="00DE4BB4">
        <w:trPr>
          <w:trHeight w:val="340"/>
        </w:trPr>
        <w:tc>
          <w:tcPr>
            <w:tcW w:w="2410" w:type="dxa"/>
            <w:vAlign w:val="center"/>
          </w:tcPr>
          <w:p w14:paraId="3934FC34" w14:textId="77777777" w:rsidR="00A763CE" w:rsidRPr="00314F62" w:rsidRDefault="00A763CE" w:rsidP="00A763CE">
            <w:pPr>
              <w:pStyle w:val="Table"/>
            </w:pPr>
          </w:p>
        </w:tc>
        <w:tc>
          <w:tcPr>
            <w:tcW w:w="1417" w:type="dxa"/>
            <w:vAlign w:val="center"/>
          </w:tcPr>
          <w:p w14:paraId="40BC35D3" w14:textId="77777777" w:rsidR="00A763CE" w:rsidRPr="00314F62" w:rsidRDefault="00A763CE" w:rsidP="00A763CE">
            <w:pPr>
              <w:pStyle w:val="TableCen"/>
            </w:pPr>
            <w:r w:rsidRPr="00314F62">
              <w:t>Design Manual</w:t>
            </w:r>
          </w:p>
        </w:tc>
        <w:tc>
          <w:tcPr>
            <w:tcW w:w="1276" w:type="dxa"/>
            <w:vAlign w:val="center"/>
          </w:tcPr>
          <w:p w14:paraId="0F69BED1" w14:textId="77777777" w:rsidR="00A763CE" w:rsidRPr="00314F62" w:rsidRDefault="00A763CE" w:rsidP="00A763CE">
            <w:pPr>
              <w:pStyle w:val="TableCen"/>
            </w:pPr>
          </w:p>
        </w:tc>
        <w:tc>
          <w:tcPr>
            <w:tcW w:w="3544" w:type="dxa"/>
            <w:vAlign w:val="center"/>
          </w:tcPr>
          <w:p w14:paraId="66C9FF43" w14:textId="77777777" w:rsidR="00A763CE" w:rsidRPr="00314F62" w:rsidRDefault="00A763CE" w:rsidP="00A763CE">
            <w:pPr>
              <w:pStyle w:val="Table"/>
            </w:pPr>
            <w:r w:rsidRPr="00314F62">
              <w:t>Moreton Bay Cycleway Signage Manual.</w:t>
            </w:r>
          </w:p>
        </w:tc>
      </w:tr>
      <w:tr w:rsidR="005C6EB1" w:rsidRPr="00314F62" w14:paraId="6DC5F686" w14:textId="77777777" w:rsidTr="00DE4BB4">
        <w:trPr>
          <w:trHeight w:val="340"/>
        </w:trPr>
        <w:tc>
          <w:tcPr>
            <w:tcW w:w="2410" w:type="dxa"/>
            <w:vAlign w:val="center"/>
          </w:tcPr>
          <w:p w14:paraId="712C8974" w14:textId="77777777" w:rsidR="005C6EB1" w:rsidRPr="00336E50" w:rsidRDefault="005C6EB1" w:rsidP="005C6EB1">
            <w:pPr>
              <w:pStyle w:val="Table"/>
            </w:pPr>
            <w:r w:rsidRPr="00336E50">
              <w:t>Austroads</w:t>
            </w:r>
          </w:p>
        </w:tc>
        <w:tc>
          <w:tcPr>
            <w:tcW w:w="1417" w:type="dxa"/>
            <w:vAlign w:val="center"/>
          </w:tcPr>
          <w:p w14:paraId="54A22BD6" w14:textId="77777777" w:rsidR="005C6EB1" w:rsidRPr="00336E50" w:rsidRDefault="005C6EB1" w:rsidP="005C6EB1">
            <w:pPr>
              <w:pStyle w:val="TableCen"/>
            </w:pPr>
            <w:r w:rsidRPr="00336E50">
              <w:t>Guide to Road Design</w:t>
            </w:r>
          </w:p>
        </w:tc>
        <w:tc>
          <w:tcPr>
            <w:tcW w:w="1276" w:type="dxa"/>
            <w:vAlign w:val="center"/>
          </w:tcPr>
          <w:p w14:paraId="6C78A4F4" w14:textId="77777777" w:rsidR="005C6EB1" w:rsidRPr="00336E50" w:rsidRDefault="005C6EB1" w:rsidP="005C6EB1">
            <w:pPr>
              <w:pStyle w:val="TableCen"/>
            </w:pPr>
            <w:r w:rsidRPr="00336E50">
              <w:t>Part 6A</w:t>
            </w:r>
          </w:p>
        </w:tc>
        <w:tc>
          <w:tcPr>
            <w:tcW w:w="3544" w:type="dxa"/>
            <w:vAlign w:val="center"/>
          </w:tcPr>
          <w:p w14:paraId="6B5D1A47" w14:textId="77777777" w:rsidR="005C6EB1" w:rsidRPr="00336E50" w:rsidRDefault="005C6EB1" w:rsidP="005C6EB1">
            <w:pPr>
              <w:pStyle w:val="Table"/>
            </w:pPr>
            <w:r w:rsidRPr="00336E50">
              <w:t>Paths for Walking and Cycling</w:t>
            </w:r>
          </w:p>
        </w:tc>
      </w:tr>
      <w:tr w:rsidR="005C6EB1" w:rsidRPr="00314F62" w14:paraId="6A5EF8F1" w14:textId="77777777" w:rsidTr="00DE4BB4">
        <w:trPr>
          <w:trHeight w:val="340"/>
        </w:trPr>
        <w:tc>
          <w:tcPr>
            <w:tcW w:w="2410" w:type="dxa"/>
            <w:vAlign w:val="center"/>
          </w:tcPr>
          <w:p w14:paraId="5E8F5FB3" w14:textId="77777777" w:rsidR="005C6EB1" w:rsidRPr="00314F62" w:rsidRDefault="005C6EB1" w:rsidP="005C6EB1">
            <w:pPr>
              <w:pStyle w:val="Table"/>
            </w:pPr>
            <w:r w:rsidRPr="00314F62">
              <w:t>SEQ Water Supply and Sewerage Design and Construction Code</w:t>
            </w:r>
          </w:p>
        </w:tc>
        <w:tc>
          <w:tcPr>
            <w:tcW w:w="1417" w:type="dxa"/>
            <w:vAlign w:val="center"/>
          </w:tcPr>
          <w:p w14:paraId="3D573AF5" w14:textId="77777777" w:rsidR="005C6EB1" w:rsidRPr="00314F62" w:rsidRDefault="005C6EB1" w:rsidP="005C6EB1">
            <w:pPr>
              <w:pStyle w:val="TableCen"/>
            </w:pPr>
          </w:p>
        </w:tc>
        <w:tc>
          <w:tcPr>
            <w:tcW w:w="1276" w:type="dxa"/>
            <w:vAlign w:val="center"/>
          </w:tcPr>
          <w:p w14:paraId="567D962E" w14:textId="77777777" w:rsidR="005C6EB1" w:rsidRPr="00314F62" w:rsidRDefault="005C6EB1" w:rsidP="005C6EB1">
            <w:pPr>
              <w:pStyle w:val="TableCen"/>
            </w:pPr>
          </w:p>
        </w:tc>
        <w:tc>
          <w:tcPr>
            <w:tcW w:w="3544" w:type="dxa"/>
            <w:vAlign w:val="center"/>
          </w:tcPr>
          <w:p w14:paraId="2AF74000" w14:textId="77777777" w:rsidR="005C6EB1" w:rsidRPr="00314F62" w:rsidRDefault="005C6EB1" w:rsidP="005C6EB1">
            <w:pPr>
              <w:pStyle w:val="Table"/>
            </w:pPr>
            <w:r w:rsidRPr="00314F62">
              <w:t>SEQ Drinking Water Supply Drawings</w:t>
            </w:r>
          </w:p>
        </w:tc>
      </w:tr>
    </w:tbl>
    <w:p w14:paraId="33F73F8F" w14:textId="77777777" w:rsidR="008055EF" w:rsidRDefault="008055EF" w:rsidP="008055EF">
      <w:pPr>
        <w:pStyle w:val="BlockText"/>
      </w:pPr>
      <w:r>
        <w:br w:type="page"/>
      </w:r>
    </w:p>
    <w:p w14:paraId="5881378D" w14:textId="672FE87F" w:rsidR="006B2AC1" w:rsidRPr="00314F62" w:rsidRDefault="006B2AC1" w:rsidP="006B2AC1">
      <w:pPr>
        <w:pStyle w:val="BodyTextIndent"/>
      </w:pPr>
      <w:r w:rsidRPr="00336E50">
        <w:lastRenderedPageBreak/>
        <w:t>Refer to the following other Reference Specifications</w:t>
      </w:r>
      <w:r w:rsidR="00FD72A9" w:rsidRPr="00336E50">
        <w:t xml:space="preserve"> for Engineering Works</w:t>
      </w:r>
      <w:r w:rsidRPr="00336E50">
        <w:t>:</w:t>
      </w:r>
    </w:p>
    <w:tbl>
      <w:tblPr>
        <w:tblW w:w="8647" w:type="dxa"/>
        <w:tblInd w:w="709" w:type="dxa"/>
        <w:tblLook w:val="0400" w:firstRow="0" w:lastRow="0" w:firstColumn="0" w:lastColumn="0" w:noHBand="0" w:noVBand="1"/>
      </w:tblPr>
      <w:tblGrid>
        <w:gridCol w:w="973"/>
        <w:gridCol w:w="7674"/>
      </w:tblGrid>
      <w:tr w:rsidR="00A537A1" w:rsidRPr="00314F62" w14:paraId="2BEC9550" w14:textId="77777777" w:rsidTr="00DE4BB4">
        <w:trPr>
          <w:trHeight w:val="340"/>
        </w:trPr>
        <w:tc>
          <w:tcPr>
            <w:tcW w:w="973" w:type="dxa"/>
            <w:vAlign w:val="center"/>
          </w:tcPr>
          <w:p w14:paraId="703CFBAE" w14:textId="77777777" w:rsidR="00A537A1" w:rsidRPr="00314F62" w:rsidRDefault="00A537A1" w:rsidP="00A537A1">
            <w:pPr>
              <w:pStyle w:val="TableCen"/>
            </w:pPr>
            <w:r w:rsidRPr="00314F62">
              <w:t>S110</w:t>
            </w:r>
          </w:p>
        </w:tc>
        <w:tc>
          <w:tcPr>
            <w:tcW w:w="7674" w:type="dxa"/>
            <w:vAlign w:val="center"/>
          </w:tcPr>
          <w:p w14:paraId="6E902BC8" w14:textId="77777777" w:rsidR="00A537A1" w:rsidRPr="00314F62" w:rsidRDefault="00A537A1" w:rsidP="00A537A1">
            <w:pPr>
              <w:pStyle w:val="Table"/>
            </w:pPr>
            <w:r w:rsidRPr="00314F62">
              <w:t>General Requirements</w:t>
            </w:r>
          </w:p>
        </w:tc>
      </w:tr>
      <w:tr w:rsidR="00A537A1" w:rsidRPr="00314F62" w14:paraId="00E7D5E6" w14:textId="77777777" w:rsidTr="00DE4BB4">
        <w:trPr>
          <w:trHeight w:val="340"/>
        </w:trPr>
        <w:tc>
          <w:tcPr>
            <w:tcW w:w="973" w:type="dxa"/>
            <w:vAlign w:val="center"/>
          </w:tcPr>
          <w:p w14:paraId="2E28E911" w14:textId="77777777" w:rsidR="00A537A1" w:rsidRPr="00314F62" w:rsidRDefault="00A537A1" w:rsidP="00A537A1">
            <w:pPr>
              <w:pStyle w:val="TableCen"/>
            </w:pPr>
            <w:r w:rsidRPr="00314F62">
              <w:t>S120</w:t>
            </w:r>
          </w:p>
        </w:tc>
        <w:tc>
          <w:tcPr>
            <w:tcW w:w="7674" w:type="dxa"/>
            <w:vAlign w:val="center"/>
          </w:tcPr>
          <w:p w14:paraId="72820432" w14:textId="77777777" w:rsidR="00A537A1" w:rsidRPr="00314F62" w:rsidRDefault="00A537A1" w:rsidP="00A537A1">
            <w:pPr>
              <w:pStyle w:val="Table"/>
            </w:pPr>
            <w:r w:rsidRPr="00314F62">
              <w:t>Quality</w:t>
            </w:r>
          </w:p>
        </w:tc>
      </w:tr>
      <w:tr w:rsidR="00A537A1" w:rsidRPr="00314F62" w14:paraId="4487CFBD" w14:textId="77777777" w:rsidTr="00DE4BB4">
        <w:trPr>
          <w:trHeight w:val="340"/>
        </w:trPr>
        <w:tc>
          <w:tcPr>
            <w:tcW w:w="973" w:type="dxa"/>
            <w:vAlign w:val="center"/>
          </w:tcPr>
          <w:p w14:paraId="5905830A" w14:textId="77777777" w:rsidR="00A537A1" w:rsidRPr="00314F62" w:rsidRDefault="00A537A1" w:rsidP="00A537A1">
            <w:pPr>
              <w:pStyle w:val="TableCen"/>
            </w:pPr>
            <w:r w:rsidRPr="00314F62">
              <w:t>S150</w:t>
            </w:r>
          </w:p>
        </w:tc>
        <w:tc>
          <w:tcPr>
            <w:tcW w:w="7674" w:type="dxa"/>
            <w:vAlign w:val="center"/>
          </w:tcPr>
          <w:p w14:paraId="4380F019" w14:textId="77777777" w:rsidR="00A537A1" w:rsidRPr="00314F62" w:rsidRDefault="00A537A1" w:rsidP="00A537A1">
            <w:pPr>
              <w:pStyle w:val="Table"/>
            </w:pPr>
            <w:r w:rsidRPr="00314F62">
              <w:t>Roadworks</w:t>
            </w:r>
          </w:p>
        </w:tc>
      </w:tr>
      <w:tr w:rsidR="00A537A1" w:rsidRPr="00314F62" w14:paraId="18710AAA" w14:textId="77777777" w:rsidTr="00DE4BB4">
        <w:trPr>
          <w:trHeight w:val="340"/>
        </w:trPr>
        <w:tc>
          <w:tcPr>
            <w:tcW w:w="973" w:type="dxa"/>
            <w:vAlign w:val="center"/>
          </w:tcPr>
          <w:p w14:paraId="29396BA4" w14:textId="77777777" w:rsidR="00A537A1" w:rsidRPr="00314F62" w:rsidRDefault="00A537A1" w:rsidP="00A537A1">
            <w:pPr>
              <w:pStyle w:val="TableCen"/>
            </w:pPr>
            <w:r w:rsidRPr="00314F62">
              <w:t>S154</w:t>
            </w:r>
          </w:p>
        </w:tc>
        <w:tc>
          <w:tcPr>
            <w:tcW w:w="7674" w:type="dxa"/>
            <w:vAlign w:val="center"/>
          </w:tcPr>
          <w:p w14:paraId="1AE32E39" w14:textId="77777777" w:rsidR="00A537A1" w:rsidRPr="00314F62" w:rsidRDefault="00A537A1" w:rsidP="00A537A1">
            <w:pPr>
              <w:pStyle w:val="Table"/>
            </w:pPr>
            <w:r w:rsidRPr="00314F62">
              <w:t>Traffic Signs and Associated Roadside Furniture</w:t>
            </w:r>
          </w:p>
        </w:tc>
      </w:tr>
    </w:tbl>
    <w:p w14:paraId="43B2D9F3" w14:textId="77777777" w:rsidR="006B2AC1" w:rsidRPr="00314F62" w:rsidRDefault="009D7751" w:rsidP="00B241DB">
      <w:pPr>
        <w:pStyle w:val="Heading3"/>
      </w:pPr>
      <w:bookmarkStart w:id="15" w:name="_Toc75951881"/>
      <w:r w:rsidRPr="00314F62">
        <w:t>Defintions</w:t>
      </w:r>
      <w:bookmarkEnd w:id="15"/>
    </w:p>
    <w:p w14:paraId="3F600FFA" w14:textId="77777777" w:rsidR="00F5682B" w:rsidRPr="00314F62" w:rsidRDefault="00F5682B" w:rsidP="006B2AC1">
      <w:pPr>
        <w:pStyle w:val="BodyTextIndent"/>
        <w:rPr>
          <w:u w:val="single"/>
        </w:rPr>
      </w:pPr>
      <w:r w:rsidRPr="00E0424F">
        <w:rPr>
          <w:rStyle w:val="BodyTextIndentBoldUnderlineChar"/>
          <w:b w:val="0"/>
          <w:bCs/>
        </w:rPr>
        <w:t>Traffic control device</w:t>
      </w:r>
      <w:r w:rsidRPr="00314F62">
        <w:t>: Any sign, signal, pavement marking or other installation placed or erected under authority of the Transport Operations (Road Use Management) Act, for the purpose of regulating, warning or guiding road users.</w:t>
      </w:r>
    </w:p>
    <w:p w14:paraId="6351B559" w14:textId="77777777" w:rsidR="006B2AC1" w:rsidRPr="00314F62" w:rsidRDefault="006B2AC1" w:rsidP="006B2AC1">
      <w:pPr>
        <w:pStyle w:val="BodyTextIndent"/>
      </w:pPr>
      <w:r w:rsidRPr="00E0424F">
        <w:rPr>
          <w:rStyle w:val="BodyTextIndentBoldUnderlineChar"/>
          <w:b w:val="0"/>
          <w:bCs/>
        </w:rPr>
        <w:t>Pavement markings</w:t>
      </w:r>
      <w:r w:rsidRPr="00314F62">
        <w:t>: Longitudinal lines and transverse markings.</w:t>
      </w:r>
    </w:p>
    <w:p w14:paraId="50A6F4C4" w14:textId="77777777" w:rsidR="006B2AC1" w:rsidRPr="00314F62" w:rsidRDefault="006B2AC1" w:rsidP="006B2AC1">
      <w:pPr>
        <w:pStyle w:val="BodyTextIndent"/>
      </w:pPr>
      <w:r w:rsidRPr="00E0424F">
        <w:rPr>
          <w:rStyle w:val="BodyTextIndentBoldUnderlineChar"/>
          <w:b w:val="0"/>
          <w:bCs/>
        </w:rPr>
        <w:t>Longitudinal lines</w:t>
      </w:r>
      <w:r w:rsidRPr="00314F62">
        <w:t>: Centre lines, lane lines, edge lines, tu</w:t>
      </w:r>
      <w:r w:rsidR="00495482" w:rsidRPr="00314F62">
        <w:t>rn lines and continuity lines.</w:t>
      </w:r>
    </w:p>
    <w:p w14:paraId="3008F073" w14:textId="77777777" w:rsidR="006B2AC1" w:rsidRPr="00314F62" w:rsidRDefault="006B2AC1" w:rsidP="006B2AC1">
      <w:pPr>
        <w:pStyle w:val="BodyTextIndent"/>
      </w:pPr>
      <w:r w:rsidRPr="00E0424F">
        <w:rPr>
          <w:rStyle w:val="BodyTextIndentBoldUnderlineChar"/>
          <w:b w:val="0"/>
          <w:bCs/>
        </w:rPr>
        <w:t>Transverse markings</w:t>
      </w:r>
      <w:r w:rsidRPr="00314F62">
        <w:t>: Transverse lines, shapes and symbols.</w:t>
      </w:r>
    </w:p>
    <w:p w14:paraId="61FD3F2C" w14:textId="77777777" w:rsidR="00495482" w:rsidRPr="00314F62" w:rsidRDefault="00D777FC" w:rsidP="006B2AC1">
      <w:pPr>
        <w:pStyle w:val="BodyTextIndent"/>
      </w:pPr>
      <w:r w:rsidRPr="00E0424F">
        <w:rPr>
          <w:rStyle w:val="BodyTextIndentBoldUnderlineChar"/>
          <w:b w:val="0"/>
          <w:bCs/>
        </w:rPr>
        <w:t>Coloured pavement treatment</w:t>
      </w:r>
      <w:r w:rsidRPr="00314F62">
        <w:t xml:space="preserve">: Coloured material applied asphalt or concrete pavement surface for decorative, traffic delineation or anti-skid </w:t>
      </w:r>
      <w:r w:rsidR="00F5682B" w:rsidRPr="00314F62">
        <w:t>requirements.</w:t>
      </w:r>
    </w:p>
    <w:p w14:paraId="4B6D5B31" w14:textId="77777777" w:rsidR="006B2AC1" w:rsidRPr="00314F62" w:rsidRDefault="006B2AC1" w:rsidP="00B241DB">
      <w:pPr>
        <w:pStyle w:val="Heading2"/>
      </w:pPr>
      <w:bookmarkStart w:id="16" w:name="_Toc493942090"/>
      <w:bookmarkStart w:id="17" w:name="_Toc493986929"/>
      <w:bookmarkStart w:id="18" w:name="_Toc197937199"/>
      <w:bookmarkStart w:id="19" w:name="_Toc75951882"/>
      <w:r w:rsidRPr="00314F62">
        <w:t>QUALITY</w:t>
      </w:r>
      <w:bookmarkEnd w:id="16"/>
      <w:bookmarkEnd w:id="17"/>
      <w:bookmarkEnd w:id="18"/>
      <w:bookmarkEnd w:id="19"/>
    </w:p>
    <w:p w14:paraId="3D504955" w14:textId="77777777" w:rsidR="00940A00" w:rsidRPr="00314F62" w:rsidRDefault="00940A00" w:rsidP="00B241DB">
      <w:pPr>
        <w:pStyle w:val="Heading3"/>
      </w:pPr>
      <w:bookmarkStart w:id="20" w:name="_Toc453073068"/>
      <w:bookmarkStart w:id="21" w:name="_Toc75951883"/>
      <w:r w:rsidRPr="00B241DB">
        <w:t>Generally</w:t>
      </w:r>
      <w:bookmarkEnd w:id="20"/>
      <w:bookmarkEnd w:id="21"/>
    </w:p>
    <w:p w14:paraId="4C1A163F" w14:textId="77777777" w:rsidR="00940A00" w:rsidRPr="00314F62" w:rsidRDefault="00940A00" w:rsidP="0060066B">
      <w:pPr>
        <w:pStyle w:val="BodyTextIndent"/>
      </w:pPr>
      <w:r w:rsidRPr="00314F62">
        <w:t xml:space="preserve">The Superintendent responsible for the management of the quality of work under the contract must maintain a Quality Assurance System with third party accreditation to </w:t>
      </w:r>
      <w:r w:rsidRPr="00314F62">
        <w:rPr>
          <w:i/>
        </w:rPr>
        <w:t>AS/NZS ISO 9001</w:t>
      </w:r>
      <w:r w:rsidRPr="00314F62">
        <w:t>.</w:t>
      </w:r>
    </w:p>
    <w:p w14:paraId="1FD45CF5" w14:textId="77777777" w:rsidR="00940A00" w:rsidRPr="00314F62" w:rsidRDefault="00940A00" w:rsidP="0060066B">
      <w:pPr>
        <w:pStyle w:val="BodyTextIndent"/>
      </w:pPr>
      <w:r w:rsidRPr="00314F62">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sidRPr="00314F62">
        <w:rPr>
          <w:i/>
        </w:rPr>
        <w:t>Refer annexure.</w:t>
      </w:r>
    </w:p>
    <w:p w14:paraId="30FEF653" w14:textId="77777777" w:rsidR="006B2AC1" w:rsidRPr="00314F62" w:rsidRDefault="009D7751" w:rsidP="00B241DB">
      <w:pPr>
        <w:pStyle w:val="Heading3"/>
      </w:pPr>
      <w:bookmarkStart w:id="22" w:name="_Toc75951884"/>
      <w:r w:rsidRPr="00314F62">
        <w:t>Inspections</w:t>
      </w:r>
      <w:bookmarkEnd w:id="22"/>
    </w:p>
    <w:p w14:paraId="403CA764" w14:textId="77777777" w:rsidR="006B2AC1" w:rsidRPr="00314F62" w:rsidRDefault="006B2AC1" w:rsidP="006B2AC1">
      <w:pPr>
        <w:pStyle w:val="MinorHead"/>
      </w:pPr>
      <w:r w:rsidRPr="00314F62">
        <w:t>Witness points</w:t>
      </w:r>
    </w:p>
    <w:p w14:paraId="71EE8DFA" w14:textId="77777777" w:rsidR="006B2AC1" w:rsidRPr="00314F62" w:rsidRDefault="006B2AC1" w:rsidP="006B2AC1">
      <w:pPr>
        <w:ind w:left="709"/>
        <w:jc w:val="both"/>
      </w:pPr>
      <w:r w:rsidRPr="00314F62">
        <w:rPr>
          <w:i/>
        </w:rPr>
        <w:t>Refer annexure</w:t>
      </w:r>
      <w:r w:rsidRPr="00314F62">
        <w:t>.  Give sufficient notice so that inspection may be made at the following stages:</w:t>
      </w:r>
    </w:p>
    <w:p w14:paraId="67C9AA2D" w14:textId="77777777" w:rsidR="00C249E8" w:rsidRPr="00314F62" w:rsidRDefault="00C249E8" w:rsidP="006B2AC1">
      <w:pPr>
        <w:pStyle w:val="BodyTextIndentDot"/>
      </w:pPr>
      <w:r w:rsidRPr="00314F62">
        <w:t>Traffic sign locations marked.</w:t>
      </w:r>
    </w:p>
    <w:p w14:paraId="3E927204" w14:textId="77777777" w:rsidR="006B2AC1" w:rsidRPr="00314F62" w:rsidRDefault="006B2AC1" w:rsidP="006B2AC1">
      <w:pPr>
        <w:pStyle w:val="BodyTextIndentDot"/>
      </w:pPr>
      <w:r w:rsidRPr="00314F62">
        <w:t>Pavement marking set out ready for marking.</w:t>
      </w:r>
    </w:p>
    <w:p w14:paraId="132CCBFD" w14:textId="77777777" w:rsidR="006B2AC1" w:rsidRPr="00314F62" w:rsidRDefault="006B2AC1" w:rsidP="006B2AC1">
      <w:pPr>
        <w:pStyle w:val="MinorHead"/>
        <w:rPr>
          <w:i/>
        </w:rPr>
      </w:pPr>
      <w:r w:rsidRPr="00314F62">
        <w:t>Hold points</w:t>
      </w:r>
    </w:p>
    <w:p w14:paraId="389A55CB" w14:textId="77777777" w:rsidR="006B2AC1" w:rsidRPr="00314F62" w:rsidRDefault="006B2AC1" w:rsidP="006B2AC1">
      <w:pPr>
        <w:pStyle w:val="BodyTextIndent"/>
      </w:pPr>
      <w:r w:rsidRPr="00314F62">
        <w:rPr>
          <w:i/>
        </w:rPr>
        <w:t>Refer annexure</w:t>
      </w:r>
      <w:r w:rsidRPr="00314F62">
        <w:t>.  Do not proceed without approval.  Give sufficient notice so that inspection may be made at the following stages:</w:t>
      </w:r>
    </w:p>
    <w:p w14:paraId="13DA1F05" w14:textId="77777777" w:rsidR="006B2AC1" w:rsidRPr="00314F62" w:rsidRDefault="00C249E8" w:rsidP="006B2AC1">
      <w:pPr>
        <w:pStyle w:val="BodyTextIndentDot"/>
      </w:pPr>
      <w:r w:rsidRPr="00314F62">
        <w:t>Material c</w:t>
      </w:r>
      <w:r w:rsidR="006B2AC1" w:rsidRPr="00314F62">
        <w:t>ompliance certificates.</w:t>
      </w:r>
    </w:p>
    <w:p w14:paraId="31E4C73A" w14:textId="77777777" w:rsidR="006B2AC1" w:rsidRPr="00314F62" w:rsidRDefault="009D7751" w:rsidP="00B241DB">
      <w:pPr>
        <w:pStyle w:val="Heading3"/>
      </w:pPr>
      <w:bookmarkStart w:id="23" w:name="_Toc75951885"/>
      <w:r w:rsidRPr="00314F62">
        <w:t>Samples</w:t>
      </w:r>
      <w:bookmarkEnd w:id="23"/>
    </w:p>
    <w:p w14:paraId="30BBCFB1" w14:textId="77777777" w:rsidR="006B2AC1" w:rsidRPr="00314F62" w:rsidRDefault="006B2AC1" w:rsidP="006B2AC1">
      <w:pPr>
        <w:pStyle w:val="MinorHead"/>
      </w:pPr>
      <w:r w:rsidRPr="00314F62">
        <w:t>General</w:t>
      </w:r>
    </w:p>
    <w:p w14:paraId="301B880D" w14:textId="77777777" w:rsidR="006B2AC1" w:rsidRPr="00314F62" w:rsidRDefault="006B2AC1" w:rsidP="006B2AC1">
      <w:pPr>
        <w:pStyle w:val="BodyTextIndent"/>
      </w:pPr>
      <w:r w:rsidRPr="00314F62">
        <w:rPr>
          <w:i/>
        </w:rPr>
        <w:t>Refer annexure</w:t>
      </w:r>
      <w:r w:rsidRPr="00314F62">
        <w:t>.  Submit to the testing authority samples of the following:</w:t>
      </w:r>
    </w:p>
    <w:p w14:paraId="2B3F30E4" w14:textId="77777777" w:rsidR="006B2AC1" w:rsidRPr="00314F62" w:rsidRDefault="006B2AC1" w:rsidP="006B2AC1">
      <w:pPr>
        <w:pStyle w:val="BodyTextIndentDot"/>
      </w:pPr>
      <w:r w:rsidRPr="00314F62">
        <w:t xml:space="preserve">Each type of </w:t>
      </w:r>
      <w:r w:rsidR="00C249E8" w:rsidRPr="00314F62">
        <w:t>pavement marking material.</w:t>
      </w:r>
    </w:p>
    <w:p w14:paraId="32437053" w14:textId="77777777" w:rsidR="006B2AC1" w:rsidRPr="00314F62" w:rsidRDefault="006B2AC1" w:rsidP="006B2AC1">
      <w:pPr>
        <w:pStyle w:val="BodyTextIndentDot"/>
      </w:pPr>
      <w:r w:rsidRPr="00314F62">
        <w:t xml:space="preserve">Each type of </w:t>
      </w:r>
      <w:r w:rsidR="00C249E8" w:rsidRPr="00314F62">
        <w:t>coloured pavement treatment material</w:t>
      </w:r>
      <w:r w:rsidRPr="00314F62">
        <w:t>.</w:t>
      </w:r>
    </w:p>
    <w:p w14:paraId="6038DD4B" w14:textId="77777777" w:rsidR="006B2AC1" w:rsidRPr="00314F62" w:rsidRDefault="001348B7" w:rsidP="00B241DB">
      <w:pPr>
        <w:pStyle w:val="Heading3"/>
      </w:pPr>
      <w:bookmarkStart w:id="24" w:name="_Toc511716791"/>
      <w:bookmarkStart w:id="25" w:name="_Toc197937202"/>
      <w:bookmarkStart w:id="26" w:name="_Toc75951886"/>
      <w:r w:rsidRPr="00314F62">
        <w:t>Contractor</w:t>
      </w:r>
      <w:r w:rsidRPr="00314F62">
        <w:rPr>
          <w:rFonts w:hint="eastAsia"/>
        </w:rPr>
        <w:t>’</w:t>
      </w:r>
      <w:r w:rsidRPr="00314F62">
        <w:t>s Submissions</w:t>
      </w:r>
      <w:bookmarkEnd w:id="24"/>
      <w:bookmarkEnd w:id="25"/>
      <w:bookmarkEnd w:id="26"/>
    </w:p>
    <w:p w14:paraId="008E687B" w14:textId="77777777" w:rsidR="007255F6" w:rsidRPr="00314F62" w:rsidRDefault="00495482" w:rsidP="002D2A9A">
      <w:pPr>
        <w:pStyle w:val="BodyTextIndentDot"/>
      </w:pPr>
      <w:r w:rsidRPr="00314F62">
        <w:t>Pavement marking material to be used</w:t>
      </w:r>
      <w:r w:rsidR="006B2AC1" w:rsidRPr="00314F62">
        <w:t>.</w:t>
      </w:r>
    </w:p>
    <w:p w14:paraId="724AEF2D" w14:textId="580F5B3D" w:rsidR="00DC0FFE" w:rsidRPr="00314F62" w:rsidRDefault="00D462DF" w:rsidP="00B241DB">
      <w:pPr>
        <w:pStyle w:val="Heading2"/>
      </w:pPr>
      <w:bookmarkStart w:id="27" w:name="_Toc75951887"/>
      <w:bookmarkEnd w:id="3"/>
      <w:r w:rsidRPr="00314F62">
        <w:rPr>
          <w:caps w:val="0"/>
        </w:rPr>
        <w:t>LONGITUDINAL AND TRANSVERSE PAVEMENT MARKINGS</w:t>
      </w:r>
      <w:bookmarkEnd w:id="27"/>
    </w:p>
    <w:p w14:paraId="3FC68FE7" w14:textId="77777777" w:rsidR="00DC0FFE" w:rsidRPr="00314F62" w:rsidRDefault="001348B7" w:rsidP="00B241DB">
      <w:pPr>
        <w:pStyle w:val="Heading3"/>
      </w:pPr>
      <w:bookmarkStart w:id="28" w:name="_Toc75951888"/>
      <w:r w:rsidRPr="00314F62">
        <w:t>Redundant Line Removal</w:t>
      </w:r>
      <w:bookmarkEnd w:id="28"/>
    </w:p>
    <w:p w14:paraId="3F8B6E5B" w14:textId="77777777" w:rsidR="00DC21D7" w:rsidRPr="00314F62" w:rsidRDefault="00DC0FFE" w:rsidP="00DC0FFE">
      <w:pPr>
        <w:pStyle w:val="BodyTextIndent"/>
      </w:pPr>
      <w:r w:rsidRPr="00314F62">
        <w:t xml:space="preserve">Unless approved otherwise, remove redundant lines only by abrasive blasting (including water blasting) or by cold </w:t>
      </w:r>
      <w:r w:rsidR="00B66A9D" w:rsidRPr="00314F62">
        <w:t xml:space="preserve">planing or </w:t>
      </w:r>
      <w:r w:rsidRPr="00314F62">
        <w:t>grinding.</w:t>
      </w:r>
    </w:p>
    <w:p w14:paraId="63155FF0" w14:textId="77777777" w:rsidR="00DC21D7" w:rsidRPr="00314F62" w:rsidRDefault="00DC0FFE" w:rsidP="00DC21D7">
      <w:pPr>
        <w:pStyle w:val="BodyTextIndent"/>
        <w:rPr>
          <w:b/>
          <w:bCs/>
        </w:rPr>
      </w:pPr>
      <w:r w:rsidRPr="00314F62">
        <w:rPr>
          <w:b/>
          <w:bCs/>
        </w:rPr>
        <w:t>‘Blacking out’ is not considered a removal method and is not to be used</w:t>
      </w:r>
      <w:r w:rsidR="00C13F3E" w:rsidRPr="00314F62">
        <w:rPr>
          <w:b/>
          <w:bCs/>
        </w:rPr>
        <w:t xml:space="preserve"> under </w:t>
      </w:r>
      <w:r w:rsidR="001348B7" w:rsidRPr="00314F62">
        <w:rPr>
          <w:b/>
          <w:bCs/>
        </w:rPr>
        <w:t xml:space="preserve">any </w:t>
      </w:r>
      <w:r w:rsidR="00C13F3E" w:rsidRPr="00314F62">
        <w:rPr>
          <w:b/>
          <w:bCs/>
        </w:rPr>
        <w:t>circumstances</w:t>
      </w:r>
      <w:r w:rsidRPr="00314F62">
        <w:rPr>
          <w:b/>
          <w:bCs/>
        </w:rPr>
        <w:t>.</w:t>
      </w:r>
    </w:p>
    <w:p w14:paraId="460E73F2" w14:textId="77777777" w:rsidR="00DC0FFE" w:rsidRPr="00314F62" w:rsidRDefault="00DC0FFE" w:rsidP="00DC0FFE">
      <w:pPr>
        <w:pStyle w:val="BodyTextIndent"/>
      </w:pPr>
      <w:r w:rsidRPr="00314F62">
        <w:t>Where the profiled depth exceeds 10 mm, overlay the affected area of road with a minimum thickness of bituminous surfacing appropriate to the road type prior to pavement marking.</w:t>
      </w:r>
    </w:p>
    <w:p w14:paraId="3382EB20" w14:textId="77777777" w:rsidR="00DC0FFE" w:rsidRPr="00314F62" w:rsidRDefault="00DC0FFE" w:rsidP="00B241DB">
      <w:pPr>
        <w:pStyle w:val="Heading3"/>
      </w:pPr>
      <w:bookmarkStart w:id="29" w:name="_Toc75951889"/>
      <w:r w:rsidRPr="00314F62">
        <w:lastRenderedPageBreak/>
        <w:t>Colour</w:t>
      </w:r>
      <w:bookmarkEnd w:id="29"/>
    </w:p>
    <w:p w14:paraId="4082E6CB" w14:textId="77777777" w:rsidR="00DC0FFE" w:rsidRPr="00314F62" w:rsidRDefault="00DC0FFE" w:rsidP="00DC0FFE">
      <w:pPr>
        <w:pStyle w:val="BodyTextIndent"/>
      </w:pPr>
      <w:r w:rsidRPr="00E0424F">
        <w:rPr>
          <w:rStyle w:val="BodyTextIndentBoldUnderlineChar"/>
          <w:b w:val="0"/>
          <w:bCs/>
        </w:rPr>
        <w:t>White</w:t>
      </w:r>
      <w:r w:rsidRPr="00314F62">
        <w:t>: Equivalent to or whiter than “Y35</w:t>
      </w:r>
      <w:r w:rsidR="005845DF" w:rsidRPr="00314F62">
        <w:t> </w:t>
      </w:r>
      <w:r w:rsidRPr="00314F62">
        <w:t xml:space="preserve">Off White” as defined in </w:t>
      </w:r>
      <w:r w:rsidRPr="00314F62">
        <w:rPr>
          <w:rStyle w:val="BodyTextIndentItalicChar"/>
        </w:rPr>
        <w:t>AS 2700</w:t>
      </w:r>
      <w:r w:rsidRPr="00314F62">
        <w:t>.</w:t>
      </w:r>
    </w:p>
    <w:p w14:paraId="78DCCE1D" w14:textId="77777777" w:rsidR="00DC0FFE" w:rsidRPr="00314F62" w:rsidRDefault="00DC0FFE" w:rsidP="00DC0FFE">
      <w:pPr>
        <w:pStyle w:val="BodyTextIndent"/>
      </w:pPr>
      <w:r w:rsidRPr="00E0424F">
        <w:rPr>
          <w:rStyle w:val="BodyTextIndentBoldUnderlineChar"/>
          <w:b w:val="0"/>
          <w:bCs/>
        </w:rPr>
        <w:t>Yellow</w:t>
      </w:r>
      <w:r w:rsidRPr="00314F62">
        <w:t>: Equivalent to “Y14</w:t>
      </w:r>
      <w:r w:rsidR="005845DF" w:rsidRPr="00314F62">
        <w:t> </w:t>
      </w:r>
      <w:r w:rsidRPr="00314F62">
        <w:t xml:space="preserve">Golden Yellow” as defined in </w:t>
      </w:r>
      <w:r w:rsidRPr="00314F62">
        <w:rPr>
          <w:rStyle w:val="BodyTextIndentItalicChar"/>
        </w:rPr>
        <w:t>AS 2700</w:t>
      </w:r>
      <w:r w:rsidRPr="00314F62">
        <w:t>.</w:t>
      </w:r>
    </w:p>
    <w:p w14:paraId="49DC1C9B" w14:textId="77777777" w:rsidR="00DC0FFE" w:rsidRPr="00314F62" w:rsidRDefault="00B05D2D" w:rsidP="00B241DB">
      <w:pPr>
        <w:pStyle w:val="Heading3"/>
      </w:pPr>
      <w:bookmarkStart w:id="30" w:name="_Toc75951890"/>
      <w:r w:rsidRPr="00314F62">
        <w:t>Materials</w:t>
      </w:r>
      <w:bookmarkEnd w:id="30"/>
    </w:p>
    <w:p w14:paraId="1C4239B5" w14:textId="77777777" w:rsidR="00DC0FFE" w:rsidRPr="00314F62" w:rsidRDefault="00DC0FFE" w:rsidP="00B241DB">
      <w:pPr>
        <w:pStyle w:val="Heading4"/>
      </w:pPr>
      <w:bookmarkStart w:id="31" w:name="_Toc75951891"/>
      <w:r w:rsidRPr="00B241DB">
        <w:t>Paint</w:t>
      </w:r>
      <w:bookmarkEnd w:id="31"/>
    </w:p>
    <w:p w14:paraId="33AC8E9A" w14:textId="77777777" w:rsidR="00DC0FFE" w:rsidRPr="00314F62" w:rsidRDefault="00DC0FFE" w:rsidP="00DC0FFE">
      <w:pPr>
        <w:pStyle w:val="BodyTextIndent"/>
      </w:pPr>
      <w:r w:rsidRPr="00E0424F">
        <w:rPr>
          <w:rStyle w:val="BodyTextIndentBoldUnderlineChar"/>
          <w:b w:val="0"/>
          <w:bCs/>
        </w:rPr>
        <w:t>General</w:t>
      </w:r>
      <w:r w:rsidRPr="00314F62">
        <w:t xml:space="preserve">: Use paint suitable for application by airless spray equipment tested in accordance with </w:t>
      </w:r>
      <w:r w:rsidRPr="00314F62">
        <w:rPr>
          <w:rStyle w:val="BodyTextIndentItalicChar"/>
        </w:rPr>
        <w:t>AS 1580.205.4</w:t>
      </w:r>
      <w:r w:rsidRPr="00314F62">
        <w:t>.</w:t>
      </w:r>
    </w:p>
    <w:p w14:paraId="7DE7661C" w14:textId="77777777" w:rsidR="00DC0FFE" w:rsidRPr="00314F62" w:rsidRDefault="00DC0FFE" w:rsidP="00DC0FFE">
      <w:pPr>
        <w:pStyle w:val="BodyTextIndent"/>
      </w:pPr>
      <w:r w:rsidRPr="00E0424F">
        <w:rPr>
          <w:rStyle w:val="BodyTextIndentBoldUnderlineChar"/>
          <w:b w:val="0"/>
          <w:bCs/>
        </w:rPr>
        <w:t>Water-borne road marking paint</w:t>
      </w:r>
      <w:r w:rsidRPr="00314F62">
        <w:t xml:space="preserve">: A paint that conforms to the requirements of </w:t>
      </w:r>
      <w:r w:rsidRPr="00314F62">
        <w:rPr>
          <w:rStyle w:val="BodyTextIndentItalicChar"/>
        </w:rPr>
        <w:t>AS 4049.3</w:t>
      </w:r>
      <w:r w:rsidRPr="00314F62">
        <w:t xml:space="preserve"> and has approval under </w:t>
      </w:r>
      <w:r w:rsidRPr="00314F62">
        <w:rPr>
          <w:rStyle w:val="BodyTextIndentItalicChar"/>
        </w:rPr>
        <w:t xml:space="preserve">Australian Paint Approval Scheme </w:t>
      </w:r>
      <w:r w:rsidR="00C63077" w:rsidRPr="00314F62">
        <w:rPr>
          <w:rStyle w:val="BodyTextIndentItalicChar"/>
        </w:rPr>
        <w:t xml:space="preserve">(APAS) </w:t>
      </w:r>
      <w:r w:rsidRPr="00314F62">
        <w:rPr>
          <w:rStyle w:val="BodyTextIndentItalicChar"/>
        </w:rPr>
        <w:t>Specification number 0041/5</w:t>
      </w:r>
      <w:r w:rsidRPr="00314F62">
        <w:t>.</w:t>
      </w:r>
      <w:r w:rsidR="00826E1B" w:rsidRPr="00314F62">
        <w:t xml:space="preserve">  Where applied at &gt;</w:t>
      </w:r>
      <w:r w:rsidR="00CE4C5D" w:rsidRPr="00314F62">
        <w:t>600 </w:t>
      </w:r>
      <w:r w:rsidR="00CE4C5D" w:rsidRPr="00314F62">
        <w:rPr>
          <w:rFonts w:cs="Arial"/>
        </w:rPr>
        <w:t>µ</w:t>
      </w:r>
      <w:r w:rsidR="00CE4C5D" w:rsidRPr="00314F62">
        <w:t>m wet film thickness,</w:t>
      </w:r>
      <w:r w:rsidR="00826E1B" w:rsidRPr="00314F62">
        <w:t xml:space="preserve"> </w:t>
      </w:r>
      <w:r w:rsidR="00CE4C5D" w:rsidRPr="00314F62">
        <w:t>c</w:t>
      </w:r>
      <w:r w:rsidR="00826E1B" w:rsidRPr="00314F62">
        <w:t>onsidered an appropriate longlife treatment</w:t>
      </w:r>
      <w:r w:rsidR="00CE4C5D" w:rsidRPr="00314F62">
        <w:t xml:space="preserve"> for longitudinal lines.</w:t>
      </w:r>
    </w:p>
    <w:p w14:paraId="31453AE8" w14:textId="77777777" w:rsidR="00DC0FFE" w:rsidRPr="00314F62" w:rsidRDefault="00DC0FFE" w:rsidP="00DC0FFE">
      <w:pPr>
        <w:pStyle w:val="BodyTextIndent"/>
      </w:pPr>
      <w:r w:rsidRPr="00E0424F">
        <w:rPr>
          <w:rStyle w:val="BodyTextIndentBoldUnderlineChar"/>
          <w:b w:val="0"/>
          <w:bCs/>
        </w:rPr>
        <w:t>Solvent-borne road marking paint</w:t>
      </w:r>
      <w:r w:rsidRPr="00314F62">
        <w:t>: This form of road marking paint is not acceptable for use within the Brisbane City Council area.</w:t>
      </w:r>
    </w:p>
    <w:p w14:paraId="47F19E23" w14:textId="77777777" w:rsidR="00DC0FFE" w:rsidRPr="00314F62" w:rsidRDefault="00DC0FFE" w:rsidP="00B241DB">
      <w:pPr>
        <w:pStyle w:val="Heading4"/>
      </w:pPr>
      <w:bookmarkStart w:id="32" w:name="_Toc75951892"/>
      <w:r w:rsidRPr="00314F62">
        <w:t>Thermoplastic materials</w:t>
      </w:r>
      <w:bookmarkEnd w:id="32"/>
    </w:p>
    <w:p w14:paraId="1B4C85F9" w14:textId="77777777" w:rsidR="00DC0FFE" w:rsidRPr="00314F62" w:rsidRDefault="00DC0FFE" w:rsidP="00DC0FFE">
      <w:pPr>
        <w:pStyle w:val="BodyTextIndent"/>
      </w:pPr>
      <w:r w:rsidRPr="00314F62">
        <w:t xml:space="preserve">A material that complies with the requirements of </w:t>
      </w:r>
      <w:r w:rsidRPr="00314F62">
        <w:rPr>
          <w:rStyle w:val="BodyTextIndentItalicChar"/>
        </w:rPr>
        <w:t>AS 4049.2</w:t>
      </w:r>
      <w:r w:rsidRPr="00314F62">
        <w:t xml:space="preserve"> and has approval under </w:t>
      </w:r>
      <w:r w:rsidRPr="00314F62">
        <w:rPr>
          <w:rStyle w:val="BodyTextIndentItalicChar"/>
        </w:rPr>
        <w:t xml:space="preserve">Australian Paint Approval Scheme </w:t>
      </w:r>
      <w:r w:rsidR="00C63077" w:rsidRPr="00314F62">
        <w:rPr>
          <w:rStyle w:val="BodyTextIndentItalicChar"/>
        </w:rPr>
        <w:t xml:space="preserve">(APAS) </w:t>
      </w:r>
      <w:r w:rsidRPr="00314F62">
        <w:rPr>
          <w:rStyle w:val="BodyTextIndentItalicChar"/>
        </w:rPr>
        <w:t>Specification number 0041/5</w:t>
      </w:r>
      <w:r w:rsidRPr="00314F62">
        <w:t>.  Considered an appropriate longlife treatment.</w:t>
      </w:r>
    </w:p>
    <w:p w14:paraId="61BC7274" w14:textId="77777777" w:rsidR="00DC0FFE" w:rsidRPr="00314F62" w:rsidRDefault="00DC0FFE" w:rsidP="00B241DB">
      <w:pPr>
        <w:pStyle w:val="Heading4"/>
      </w:pPr>
      <w:bookmarkStart w:id="33" w:name="_Toc75951893"/>
      <w:r w:rsidRPr="00314F62">
        <w:t>Two-part cold applied materials</w:t>
      </w:r>
      <w:bookmarkEnd w:id="33"/>
    </w:p>
    <w:p w14:paraId="157FB38B" w14:textId="7AA658CE" w:rsidR="00DC0FFE" w:rsidRPr="00314F62" w:rsidRDefault="00DC0FFE" w:rsidP="00DC0FFE">
      <w:pPr>
        <w:pStyle w:val="BodyTextIndent"/>
      </w:pPr>
      <w:r>
        <w:t xml:space="preserve">A Poly Methyl Methacrylate </w:t>
      </w:r>
      <w:r w:rsidR="77116D0C">
        <w:t>resin-based</w:t>
      </w:r>
      <w:r>
        <w:t xml:space="preserve"> pavement marking material that complies with the requirements for colour, luminance and bead content of </w:t>
      </w:r>
      <w:r w:rsidRPr="553A9E15">
        <w:rPr>
          <w:rStyle w:val="BodyTextIndentItalicChar"/>
        </w:rPr>
        <w:t>AS 4049.2</w:t>
      </w:r>
      <w:r>
        <w:t>.  Considered an appropriate longlife treatment.</w:t>
      </w:r>
    </w:p>
    <w:p w14:paraId="5F17A872" w14:textId="77777777" w:rsidR="00DC0FFE" w:rsidRPr="00314F62" w:rsidRDefault="00DC0FFE" w:rsidP="00B241DB">
      <w:pPr>
        <w:pStyle w:val="Heading4"/>
      </w:pPr>
      <w:bookmarkStart w:id="34" w:name="_Toc75951894"/>
      <w:r w:rsidRPr="00314F62">
        <w:t xml:space="preserve">Pavement </w:t>
      </w:r>
      <w:r w:rsidR="00B05D2D" w:rsidRPr="00314F62">
        <w:t>marking tape</w:t>
      </w:r>
      <w:bookmarkEnd w:id="34"/>
    </w:p>
    <w:p w14:paraId="29A60C29" w14:textId="4012D66F" w:rsidR="00DC0FFE" w:rsidRPr="00314F62" w:rsidRDefault="00DC0FFE" w:rsidP="00DC0FFE">
      <w:pPr>
        <w:pStyle w:val="BodyTextIndent"/>
      </w:pPr>
      <w:r w:rsidRPr="00314F62">
        <w:t xml:space="preserve">A pliant </w:t>
      </w:r>
      <w:r w:rsidR="002225D1" w:rsidRPr="00314F62">
        <w:t>self-adhesive</w:t>
      </w:r>
      <w:r w:rsidRPr="00314F62">
        <w:t xml:space="preserve"> polymer pavement marking tape (either temporary or permanent) suitable for application to bituminous coated, concrete or other surface as directed.  Tape must be durable (suitable for external application under traffic loading and weathering conditions) and retain colourfastness</w:t>
      </w:r>
      <w:r w:rsidR="005845DF">
        <w:t xml:space="preserve"> </w:t>
      </w:r>
      <w:r w:rsidR="005845DF" w:rsidRPr="00336E50">
        <w:t>and retroreflectivity</w:t>
      </w:r>
      <w:r w:rsidRPr="00314F62">
        <w:t>.</w:t>
      </w:r>
    </w:p>
    <w:p w14:paraId="622D4634" w14:textId="77777777" w:rsidR="00DC0FFE" w:rsidRPr="00314F62" w:rsidRDefault="00B05D2D" w:rsidP="00B241DB">
      <w:pPr>
        <w:pStyle w:val="Heading4"/>
      </w:pPr>
      <w:bookmarkStart w:id="35" w:name="_Toc75951895"/>
      <w:r w:rsidRPr="00314F62">
        <w:t>Reflective glass beads</w:t>
      </w:r>
      <w:bookmarkEnd w:id="35"/>
    </w:p>
    <w:p w14:paraId="7DEB1367" w14:textId="77777777" w:rsidR="00DC0FFE" w:rsidRPr="00314F62" w:rsidRDefault="00DC0FFE" w:rsidP="00DC0FFE">
      <w:pPr>
        <w:pStyle w:val="BodyTextIndent"/>
      </w:pPr>
      <w:r w:rsidRPr="00E0424F">
        <w:rPr>
          <w:rStyle w:val="BodyTextIndentBoldUnderlineChar"/>
          <w:b w:val="0"/>
          <w:bCs/>
        </w:rPr>
        <w:t>Requirement</w:t>
      </w:r>
      <w:r w:rsidRPr="00314F62">
        <w:t xml:space="preserve">: </w:t>
      </w:r>
      <w:r w:rsidR="00283B14" w:rsidRPr="00314F62">
        <w:t>G</w:t>
      </w:r>
      <w:r w:rsidRPr="00314F62">
        <w:t xml:space="preserve">lass marking beads </w:t>
      </w:r>
      <w:r w:rsidR="00283B14" w:rsidRPr="00314F62">
        <w:t>shall</w:t>
      </w:r>
      <w:r w:rsidRPr="00314F62">
        <w:t xml:space="preserve"> comply with the requirements of </w:t>
      </w:r>
      <w:r w:rsidRPr="00314F62">
        <w:rPr>
          <w:rStyle w:val="BodyTextIndentItalicChar"/>
        </w:rPr>
        <w:t>AS 2009</w:t>
      </w:r>
      <w:r w:rsidRPr="00314F62">
        <w:t>.</w:t>
      </w:r>
    </w:p>
    <w:p w14:paraId="3E544071" w14:textId="77777777" w:rsidR="00DC0FFE" w:rsidRPr="00314F62" w:rsidRDefault="00DC0FFE" w:rsidP="00DC0FFE">
      <w:pPr>
        <w:pStyle w:val="BodyTextIndent"/>
      </w:pPr>
      <w:r w:rsidRPr="00E0424F">
        <w:rPr>
          <w:rStyle w:val="BodyTextIndentBoldUnderlineChar"/>
          <w:b w:val="0"/>
          <w:bCs/>
        </w:rPr>
        <w:t>Drop-on beads</w:t>
      </w:r>
      <w:r w:rsidRPr="00314F62">
        <w:t>: Use Class</w:t>
      </w:r>
      <w:r w:rsidR="00FC6493" w:rsidRPr="00314F62">
        <w:t> ‘C’</w:t>
      </w:r>
      <w:r w:rsidRPr="00314F62">
        <w:t xml:space="preserve"> intermix glass beads for all transverse markings and painted traffic islands/kerbs. </w:t>
      </w:r>
      <w:r w:rsidR="003F22DA" w:rsidRPr="00314F62">
        <w:t xml:space="preserve"> </w:t>
      </w:r>
      <w:r w:rsidRPr="00314F62">
        <w:t xml:space="preserve">Class ‘D’ large uniform sized glass beads to be used in all the longitudinal marking applications.  Class ‘D’ beads to have adhesive coating to manufacturers requirements where used with longlife </w:t>
      </w:r>
      <w:r w:rsidR="00C814F4" w:rsidRPr="00314F62">
        <w:t>applications</w:t>
      </w:r>
      <w:r w:rsidRPr="00314F62">
        <w:t>.</w:t>
      </w:r>
    </w:p>
    <w:p w14:paraId="413909CA" w14:textId="77777777" w:rsidR="00DC0FFE" w:rsidRPr="00314F62" w:rsidRDefault="00DC0FFE" w:rsidP="00DC0FFE">
      <w:pPr>
        <w:pStyle w:val="BodyTextIndent"/>
      </w:pPr>
      <w:r w:rsidRPr="00E0424F">
        <w:rPr>
          <w:rStyle w:val="BodyTextIndentBoldUnderlineChar"/>
          <w:b w:val="0"/>
          <w:bCs/>
        </w:rPr>
        <w:t>Intermix beads</w:t>
      </w:r>
      <w:r w:rsidRPr="00314F62">
        <w:t>: Use Class</w:t>
      </w:r>
      <w:r w:rsidR="00FC6493" w:rsidRPr="00314F62">
        <w:t> </w:t>
      </w:r>
      <w:r w:rsidRPr="00314F62">
        <w:t>‘C’ glass beads for premixing with longlife materials.  Glass beads to form minimum 20% mass of total mixture for thermoplastic material.</w:t>
      </w:r>
    </w:p>
    <w:p w14:paraId="443962F3" w14:textId="77777777" w:rsidR="00DC0FFE" w:rsidRPr="00314F62" w:rsidRDefault="00DC0FFE" w:rsidP="00B241DB">
      <w:pPr>
        <w:pStyle w:val="Heading4"/>
      </w:pPr>
      <w:bookmarkStart w:id="36" w:name="_Toc75951896"/>
      <w:r w:rsidRPr="00314F62">
        <w:t>Anti</w:t>
      </w:r>
      <w:r w:rsidR="00B05D2D" w:rsidRPr="00314F62">
        <w:t>-skid material</w:t>
      </w:r>
      <w:bookmarkEnd w:id="36"/>
    </w:p>
    <w:p w14:paraId="6895D293" w14:textId="77777777" w:rsidR="00DC0FFE" w:rsidRPr="00314F62" w:rsidRDefault="00DC0FFE" w:rsidP="00DC0FFE">
      <w:pPr>
        <w:pStyle w:val="BodyTextIndent"/>
      </w:pPr>
      <w:r w:rsidRPr="00E0424F">
        <w:rPr>
          <w:rStyle w:val="BodyTextIndentBoldUnderlineChar"/>
          <w:b w:val="0"/>
          <w:bCs/>
        </w:rPr>
        <w:t>Scope of application</w:t>
      </w:r>
      <w:r w:rsidRPr="00314F62">
        <w:t>: Apply anti-skid treatment to all transverse markings, excluding chevron markings.  Apply anti-skid material to all longitudinal markings on bicycle facilities.</w:t>
      </w:r>
    </w:p>
    <w:p w14:paraId="56BC4A7C" w14:textId="77777777" w:rsidR="00DC0FFE" w:rsidRPr="00314F62" w:rsidRDefault="00DC0FFE" w:rsidP="00DC0FFE">
      <w:pPr>
        <w:pStyle w:val="BodyTextIndent"/>
      </w:pPr>
      <w:r w:rsidRPr="00E0424F">
        <w:rPr>
          <w:rStyle w:val="BodyTextIndentBoldUnderlineChar"/>
          <w:b w:val="0"/>
          <w:bCs/>
        </w:rPr>
        <w:t>Anti-skid material</w:t>
      </w:r>
      <w:r w:rsidRPr="00314F62">
        <w:t xml:space="preserve">: Crushed quartz, or other material matching or exceeding the properties of crushed quartz. </w:t>
      </w:r>
      <w:r w:rsidRPr="00314F62">
        <w:rPr>
          <w:spacing w:val="-3"/>
        </w:rPr>
        <w:t xml:space="preserve"> The quartz must be clean, durable, non-plastic and free from adherent coatings and any foreign matter.  It must be s</w:t>
      </w:r>
      <w:r w:rsidRPr="00314F62">
        <w:t>ound grained, very angular to semi angular, with particle size complying with Table </w:t>
      </w:r>
      <w:r w:rsidR="00FC6493" w:rsidRPr="00314F62">
        <w:t>3</w:t>
      </w:r>
      <w:r w:rsidRPr="00314F62">
        <w:t>.1.</w:t>
      </w:r>
    </w:p>
    <w:p w14:paraId="10826545" w14:textId="77777777" w:rsidR="00DC0FFE" w:rsidRPr="00314F62" w:rsidRDefault="00DC0FFE" w:rsidP="00DC0FFE">
      <w:pPr>
        <w:pStyle w:val="BodyTextIndent"/>
      </w:pPr>
      <w:r w:rsidRPr="00E0424F">
        <w:rPr>
          <w:rStyle w:val="BodyTextIndentBoldUnderlineChar"/>
          <w:b w:val="0"/>
          <w:bCs/>
        </w:rPr>
        <w:t>Application</w:t>
      </w:r>
      <w:r w:rsidRPr="00314F62">
        <w:t>: Apply anti-skid material either as a drop-on material to paint or sprayed, screeded or extruded longlife material or premixed in a preformed longlife material.</w:t>
      </w:r>
    </w:p>
    <w:p w14:paraId="7573C2F5" w14:textId="77777777" w:rsidR="00DC0FFE" w:rsidRPr="00314F62" w:rsidRDefault="00DC0FFE" w:rsidP="00DC0FFE">
      <w:pPr>
        <w:pStyle w:val="BodyTextIndent"/>
        <w:rPr>
          <w:spacing w:val="-3"/>
        </w:rPr>
      </w:pPr>
      <w:r w:rsidRPr="00E0424F">
        <w:rPr>
          <w:rStyle w:val="BodyTextIndentBoldUnderlineChar"/>
          <w:b w:val="0"/>
          <w:bCs/>
        </w:rPr>
        <w:t>For white pavement markings</w:t>
      </w:r>
      <w:r w:rsidRPr="00314F62">
        <w:rPr>
          <w:spacing w:val="-3"/>
        </w:rPr>
        <w:t xml:space="preserve">: Use white (whiter than </w:t>
      </w:r>
      <w:r w:rsidRPr="00314F62">
        <w:t>“Y35</w:t>
      </w:r>
      <w:r w:rsidR="005845DF" w:rsidRPr="00314F62">
        <w:t> </w:t>
      </w:r>
      <w:r w:rsidRPr="00314F62">
        <w:t xml:space="preserve">Off White” as defined in </w:t>
      </w:r>
      <w:r w:rsidRPr="00314F62">
        <w:rPr>
          <w:rStyle w:val="BodyTextIndentItalicChar"/>
        </w:rPr>
        <w:t>AS 2700</w:t>
      </w:r>
      <w:r w:rsidRPr="00314F62">
        <w:t xml:space="preserve">) </w:t>
      </w:r>
      <w:r w:rsidRPr="00314F62">
        <w:rPr>
          <w:spacing w:val="-3"/>
        </w:rPr>
        <w:t>crushed quartz.</w:t>
      </w:r>
    </w:p>
    <w:p w14:paraId="750B285D" w14:textId="77777777" w:rsidR="00FC7970" w:rsidRPr="00314F62" w:rsidRDefault="00DC0FFE" w:rsidP="008824D2">
      <w:pPr>
        <w:pStyle w:val="BodyTextIndent"/>
      </w:pPr>
      <w:r w:rsidRPr="00E0424F">
        <w:rPr>
          <w:rStyle w:val="BodyTextIndentBoldUnderlineChar"/>
          <w:b w:val="0"/>
          <w:bCs/>
        </w:rPr>
        <w:t>For coloured pavement markings</w:t>
      </w:r>
      <w:r w:rsidRPr="00314F62">
        <w:t>: Use a coloured anti-skid material that matches or exceeds the properties of crushed quartz, to match the finished colour of the marking.</w:t>
      </w:r>
    </w:p>
    <w:p w14:paraId="52B14E6A" w14:textId="77777777" w:rsidR="00F94CD1" w:rsidRDefault="00F94CD1" w:rsidP="00F94CD1">
      <w:pPr>
        <w:pStyle w:val="BodyText"/>
        <w:rPr>
          <w:sz w:val="18"/>
        </w:rPr>
      </w:pPr>
      <w:r>
        <w:br w:type="page"/>
      </w:r>
    </w:p>
    <w:p w14:paraId="48185F43" w14:textId="397B8530" w:rsidR="00BF5F40" w:rsidRPr="00314F62" w:rsidRDefault="00FC7970" w:rsidP="00FC7970">
      <w:pPr>
        <w:pStyle w:val="TableLegend"/>
      </w:pPr>
      <w:r w:rsidRPr="00314F62">
        <w:lastRenderedPageBreak/>
        <w:t>Table</w:t>
      </w:r>
      <w:r w:rsidR="00FE418A" w:rsidRPr="00314F62">
        <w:t> </w:t>
      </w:r>
      <w:r w:rsidRPr="00314F62">
        <w:t>3.1 – Glass bead class to Anti-skid material size</w:t>
      </w:r>
    </w:p>
    <w:tbl>
      <w:tblPr>
        <w:tblW w:w="8647" w:type="dxa"/>
        <w:tblInd w:w="709" w:type="dxa"/>
        <w:tblLayout w:type="fixed"/>
        <w:tblLook w:val="0000" w:firstRow="0" w:lastRow="0" w:firstColumn="0" w:lastColumn="0" w:noHBand="0" w:noVBand="0"/>
      </w:tblPr>
      <w:tblGrid>
        <w:gridCol w:w="4323"/>
        <w:gridCol w:w="4324"/>
      </w:tblGrid>
      <w:tr w:rsidR="00DC0FFE" w:rsidRPr="00314F62" w14:paraId="4BD34285" w14:textId="77777777" w:rsidTr="003F71B0">
        <w:trPr>
          <w:trHeight w:val="397"/>
        </w:trPr>
        <w:tc>
          <w:tcPr>
            <w:tcW w:w="4323" w:type="dxa"/>
            <w:tcBorders>
              <w:top w:val="single" w:sz="12" w:space="0" w:color="auto"/>
              <w:bottom w:val="single" w:sz="12" w:space="0" w:color="auto"/>
            </w:tcBorders>
            <w:shd w:val="pct10" w:color="auto" w:fill="auto"/>
            <w:vAlign w:val="center"/>
          </w:tcPr>
          <w:p w14:paraId="6A0B6155" w14:textId="77777777" w:rsidR="00DC0FFE" w:rsidRPr="00314F62" w:rsidRDefault="00DC0FFE" w:rsidP="008607D0">
            <w:pPr>
              <w:pStyle w:val="TableHeadCen"/>
            </w:pPr>
            <w:r w:rsidRPr="00314F62">
              <w:t>Glass Bead Class/Size</w:t>
            </w:r>
          </w:p>
        </w:tc>
        <w:tc>
          <w:tcPr>
            <w:tcW w:w="4324" w:type="dxa"/>
            <w:tcBorders>
              <w:top w:val="single" w:sz="12" w:space="0" w:color="auto"/>
              <w:bottom w:val="single" w:sz="12" w:space="0" w:color="auto"/>
            </w:tcBorders>
            <w:shd w:val="pct10" w:color="auto" w:fill="auto"/>
            <w:vAlign w:val="center"/>
          </w:tcPr>
          <w:p w14:paraId="51A1EB78" w14:textId="77777777" w:rsidR="00DC0FFE" w:rsidRPr="00314F62" w:rsidRDefault="00DC0FFE" w:rsidP="008607D0">
            <w:pPr>
              <w:pStyle w:val="TableHeadCen"/>
            </w:pPr>
            <w:r w:rsidRPr="00314F62">
              <w:t>Anti-skid Material Nominal Size</w:t>
            </w:r>
          </w:p>
        </w:tc>
      </w:tr>
      <w:tr w:rsidR="00DC0FFE" w:rsidRPr="00314F62" w14:paraId="29CBDFE4" w14:textId="77777777" w:rsidTr="003F71B0">
        <w:trPr>
          <w:trHeight w:val="340"/>
        </w:trPr>
        <w:tc>
          <w:tcPr>
            <w:tcW w:w="4323" w:type="dxa"/>
            <w:vAlign w:val="center"/>
          </w:tcPr>
          <w:p w14:paraId="02ABBFB0" w14:textId="77777777" w:rsidR="00DC0FFE" w:rsidRPr="00314F62" w:rsidRDefault="00DC0FFE" w:rsidP="00DC0FFE">
            <w:pPr>
              <w:pStyle w:val="TableCen"/>
            </w:pPr>
            <w:r w:rsidRPr="00314F62">
              <w:t>Class ‘B’</w:t>
            </w:r>
          </w:p>
        </w:tc>
        <w:tc>
          <w:tcPr>
            <w:tcW w:w="4324" w:type="dxa"/>
            <w:vAlign w:val="center"/>
          </w:tcPr>
          <w:p w14:paraId="11E56E79" w14:textId="77777777" w:rsidR="00DC0FFE" w:rsidRPr="00314F62" w:rsidRDefault="00DC0FFE" w:rsidP="00DC0FFE">
            <w:pPr>
              <w:pStyle w:val="TableCen"/>
            </w:pPr>
            <w:r w:rsidRPr="00314F62">
              <w:t>Not used</w:t>
            </w:r>
          </w:p>
        </w:tc>
      </w:tr>
      <w:tr w:rsidR="00DC0FFE" w:rsidRPr="00314F62" w14:paraId="01667090" w14:textId="77777777" w:rsidTr="003F71B0">
        <w:trPr>
          <w:trHeight w:val="340"/>
        </w:trPr>
        <w:tc>
          <w:tcPr>
            <w:tcW w:w="4323" w:type="dxa"/>
            <w:vAlign w:val="center"/>
          </w:tcPr>
          <w:p w14:paraId="0D5906B2" w14:textId="77777777" w:rsidR="00DC0FFE" w:rsidRPr="00314F62" w:rsidRDefault="00DC0FFE" w:rsidP="00DC0FFE">
            <w:pPr>
              <w:pStyle w:val="TableCen"/>
            </w:pPr>
            <w:r w:rsidRPr="00314F62">
              <w:t>Class ‘C’</w:t>
            </w:r>
          </w:p>
        </w:tc>
        <w:tc>
          <w:tcPr>
            <w:tcW w:w="4324" w:type="dxa"/>
            <w:vAlign w:val="center"/>
          </w:tcPr>
          <w:p w14:paraId="2B629E7A" w14:textId="77777777" w:rsidR="00DC0FFE" w:rsidRPr="00314F62" w:rsidRDefault="00DC0FFE" w:rsidP="00DC0FFE">
            <w:pPr>
              <w:pStyle w:val="TableCen"/>
            </w:pPr>
            <w:r w:rsidRPr="00314F62">
              <w:t>1-1.6 mm</w:t>
            </w:r>
          </w:p>
        </w:tc>
      </w:tr>
      <w:tr w:rsidR="00DC0FFE" w:rsidRPr="00314F62" w14:paraId="0E7247FF" w14:textId="77777777" w:rsidTr="003F71B0">
        <w:trPr>
          <w:trHeight w:val="340"/>
        </w:trPr>
        <w:tc>
          <w:tcPr>
            <w:tcW w:w="4323" w:type="dxa"/>
            <w:tcBorders>
              <w:bottom w:val="single" w:sz="12" w:space="0" w:color="auto"/>
            </w:tcBorders>
            <w:vAlign w:val="center"/>
          </w:tcPr>
          <w:p w14:paraId="51F8E74E" w14:textId="77777777" w:rsidR="00DC0FFE" w:rsidRPr="00314F62" w:rsidRDefault="00DC0FFE" w:rsidP="00DC0FFE">
            <w:pPr>
              <w:pStyle w:val="TableCen"/>
            </w:pPr>
            <w:r w:rsidRPr="00314F62">
              <w:t>Class ‘D’</w:t>
            </w:r>
          </w:p>
        </w:tc>
        <w:tc>
          <w:tcPr>
            <w:tcW w:w="4324" w:type="dxa"/>
            <w:tcBorders>
              <w:bottom w:val="single" w:sz="12" w:space="0" w:color="auto"/>
            </w:tcBorders>
            <w:vAlign w:val="center"/>
          </w:tcPr>
          <w:p w14:paraId="54CE6E82" w14:textId="77777777" w:rsidR="00DC0FFE" w:rsidRPr="00314F62" w:rsidRDefault="00DC0FFE" w:rsidP="00DC0FFE">
            <w:pPr>
              <w:pStyle w:val="TableCen"/>
            </w:pPr>
            <w:r w:rsidRPr="00314F62">
              <w:t>1-2 mm</w:t>
            </w:r>
          </w:p>
        </w:tc>
      </w:tr>
    </w:tbl>
    <w:p w14:paraId="5140C226" w14:textId="77777777" w:rsidR="00DC0FFE" w:rsidRPr="00314F62" w:rsidRDefault="00DC0FFE" w:rsidP="00B241DB">
      <w:pPr>
        <w:pStyle w:val="Heading4"/>
      </w:pPr>
      <w:bookmarkStart w:id="37" w:name="_Toc75951897"/>
      <w:r w:rsidRPr="00314F62">
        <w:t>Raised retroreflective pavement markers</w:t>
      </w:r>
      <w:bookmarkEnd w:id="37"/>
    </w:p>
    <w:p w14:paraId="3C6514B4" w14:textId="77777777" w:rsidR="00DC0FFE" w:rsidRPr="00314F62" w:rsidRDefault="00DC0FFE" w:rsidP="00DC0FFE">
      <w:pPr>
        <w:pStyle w:val="BodyTextIndent"/>
        <w:rPr>
          <w:lang w:val="en-GB"/>
        </w:rPr>
      </w:pPr>
      <w:r w:rsidRPr="00E0424F">
        <w:rPr>
          <w:rStyle w:val="BodyTextIndentBoldUnderlineChar"/>
          <w:b w:val="0"/>
          <w:bCs/>
        </w:rPr>
        <w:t>Requirement</w:t>
      </w:r>
      <w:r w:rsidRPr="00314F62">
        <w:rPr>
          <w:lang w:val="en-GB"/>
        </w:rPr>
        <w:t>: Provide reflective surfaces that are self-cleaning under normal traffic conditions.</w:t>
      </w:r>
    </w:p>
    <w:p w14:paraId="0CD8229F" w14:textId="77777777" w:rsidR="00DC0FFE" w:rsidRPr="00314F62" w:rsidRDefault="00DC0FFE" w:rsidP="00DC0FFE">
      <w:pPr>
        <w:pStyle w:val="BodyTextIndent"/>
      </w:pPr>
      <w:r w:rsidRPr="00E0424F">
        <w:rPr>
          <w:rStyle w:val="BodyTextIndentBoldUnderlineChar"/>
          <w:b w:val="0"/>
          <w:bCs/>
        </w:rPr>
        <w:t>Type</w:t>
      </w:r>
      <w:r w:rsidRPr="00314F62">
        <w:t>: Type A</w:t>
      </w:r>
      <w:r w:rsidR="00791B8A" w:rsidRPr="00314F62">
        <w:t>1</w:t>
      </w:r>
      <w:r w:rsidRPr="00314F62">
        <w:t xml:space="preserve"> either uni-directional or bi-directional raised retroreflective pavement markers, conforming to the requirements of </w:t>
      </w:r>
      <w:r w:rsidRPr="00314F62">
        <w:rPr>
          <w:rStyle w:val="BodyTextIndentItalicChar"/>
        </w:rPr>
        <w:t>AS 1906.3</w:t>
      </w:r>
      <w:r w:rsidRPr="00314F62">
        <w:t>.</w:t>
      </w:r>
    </w:p>
    <w:p w14:paraId="5AB4F072" w14:textId="77777777" w:rsidR="00DC0FFE" w:rsidRPr="00314F62" w:rsidRDefault="00DC0FFE" w:rsidP="00DC0FFE">
      <w:pPr>
        <w:pStyle w:val="BodyTextIndent"/>
      </w:pPr>
      <w:r w:rsidRPr="00E0424F">
        <w:rPr>
          <w:rStyle w:val="BodyTextIndentBoldUnderlineChar"/>
          <w:b w:val="0"/>
          <w:bCs/>
        </w:rPr>
        <w:t>Dimension and shape</w:t>
      </w:r>
      <w:r w:rsidRPr="00314F62">
        <w:t xml:space="preserve">: Dimensions of pavement markers to comply with </w:t>
      </w:r>
      <w:r w:rsidRPr="00314F62">
        <w:rPr>
          <w:rStyle w:val="BodyTextIndentItalicChar"/>
        </w:rPr>
        <w:t>AS 1906.3</w:t>
      </w:r>
      <w:r w:rsidRPr="00314F62">
        <w:t>.</w:t>
      </w:r>
    </w:p>
    <w:p w14:paraId="6A793894" w14:textId="77777777" w:rsidR="00DC0FFE" w:rsidRPr="00314F62" w:rsidRDefault="00DC0FFE" w:rsidP="00DC0FFE">
      <w:pPr>
        <w:pStyle w:val="BodyTextIndent"/>
        <w:rPr>
          <w:lang w:val="en-GB"/>
        </w:rPr>
      </w:pPr>
      <w:r w:rsidRPr="00E0424F">
        <w:rPr>
          <w:rStyle w:val="BodyTextIndentBoldUnderlineChar"/>
          <w:b w:val="0"/>
          <w:bCs/>
        </w:rPr>
        <w:t>Colour in traffic situations</w:t>
      </w:r>
      <w:r w:rsidRPr="00314F62">
        <w:rPr>
          <w:lang w:val="en-GB"/>
        </w:rPr>
        <w:t xml:space="preserve">: Uni-directional raised retroreflective pavement markers to be white, </w:t>
      </w:r>
      <w:r w:rsidR="00826BEC" w:rsidRPr="00314F62">
        <w:rPr>
          <w:lang w:val="en-GB"/>
        </w:rPr>
        <w:t xml:space="preserve">yellow, </w:t>
      </w:r>
      <w:r w:rsidRPr="00314F62">
        <w:rPr>
          <w:lang w:val="en-GB"/>
        </w:rPr>
        <w:t xml:space="preserve">red, or </w:t>
      </w:r>
      <w:r w:rsidR="00826BEC" w:rsidRPr="00314F62">
        <w:rPr>
          <w:lang w:val="en-GB"/>
        </w:rPr>
        <w:t xml:space="preserve">green </w:t>
      </w:r>
      <w:r w:rsidRPr="00314F62">
        <w:rPr>
          <w:lang w:val="en-GB"/>
        </w:rPr>
        <w:t>as specified on the drawings.  Bi-directional raised retroreflective pavement markers to be white</w:t>
      </w:r>
      <w:r w:rsidR="00826BEC" w:rsidRPr="00314F62">
        <w:rPr>
          <w:lang w:val="en-GB"/>
        </w:rPr>
        <w:t xml:space="preserve"> or</w:t>
      </w:r>
      <w:r w:rsidRPr="00314F62">
        <w:rPr>
          <w:lang w:val="en-GB"/>
        </w:rPr>
        <w:t xml:space="preserve"> yellow</w:t>
      </w:r>
      <w:r w:rsidR="00826BEC" w:rsidRPr="00314F62">
        <w:rPr>
          <w:lang w:val="en-GB"/>
        </w:rPr>
        <w:t xml:space="preserve"> </w:t>
      </w:r>
      <w:r w:rsidRPr="00314F62">
        <w:rPr>
          <w:lang w:val="en-GB"/>
        </w:rPr>
        <w:t>as specified on the drawings.</w:t>
      </w:r>
    </w:p>
    <w:p w14:paraId="477C6693" w14:textId="77777777" w:rsidR="00DC0FFE" w:rsidRPr="00314F62" w:rsidRDefault="00DC0FFE" w:rsidP="00DC0FFE">
      <w:pPr>
        <w:pStyle w:val="BodyTextIndent"/>
        <w:rPr>
          <w:lang w:val="en-GB"/>
        </w:rPr>
      </w:pPr>
      <w:r w:rsidRPr="00E0424F">
        <w:rPr>
          <w:rStyle w:val="BodyTextIndentBoldUnderlineChar"/>
          <w:b w:val="0"/>
          <w:bCs/>
        </w:rPr>
        <w:t>Colour to indicate fire hydrant location</w:t>
      </w:r>
      <w:r w:rsidRPr="00314F62">
        <w:rPr>
          <w:lang w:val="en-GB"/>
        </w:rPr>
        <w:t xml:space="preserve">: </w:t>
      </w:r>
      <w:r w:rsidR="00A75C31" w:rsidRPr="00314F62">
        <w:rPr>
          <w:lang w:val="en-GB"/>
        </w:rPr>
        <w:t>Bi</w:t>
      </w:r>
      <w:r w:rsidRPr="00314F62">
        <w:rPr>
          <w:lang w:val="en-GB"/>
        </w:rPr>
        <w:t xml:space="preserve">-directional raised retroreflective pavement markers to be blue in accordance with </w:t>
      </w:r>
      <w:r w:rsidR="002D2A9A" w:rsidRPr="00314F62">
        <w:rPr>
          <w:i/>
          <w:lang w:val="en-GB"/>
        </w:rPr>
        <w:t>SEQ Water Supply and Sewerage Design and Construction Code</w:t>
      </w:r>
      <w:r w:rsidR="006A41C8" w:rsidRPr="00314F62">
        <w:rPr>
          <w:i/>
          <w:lang w:val="en-GB"/>
        </w:rPr>
        <w:t xml:space="preserve"> – </w:t>
      </w:r>
      <w:r w:rsidR="002D2A9A" w:rsidRPr="00314F62">
        <w:rPr>
          <w:i/>
          <w:lang w:val="en-GB"/>
        </w:rPr>
        <w:t xml:space="preserve">Drinking Water Supply </w:t>
      </w:r>
      <w:r w:rsidR="00FC6493" w:rsidRPr="00314F62">
        <w:rPr>
          <w:rStyle w:val="BodyTextIndentItalicChar"/>
        </w:rPr>
        <w:t>Drawing SEQ-WAT-1300-1</w:t>
      </w:r>
      <w:r w:rsidRPr="00314F62">
        <w:rPr>
          <w:lang w:val="en-GB"/>
        </w:rPr>
        <w:t>.</w:t>
      </w:r>
    </w:p>
    <w:p w14:paraId="0A77E2F5" w14:textId="77777777" w:rsidR="00DC0FFE" w:rsidRPr="00314F62" w:rsidRDefault="00DC0FFE" w:rsidP="00B241DB">
      <w:pPr>
        <w:pStyle w:val="Heading4"/>
      </w:pPr>
      <w:bookmarkStart w:id="38" w:name="_Toc75951898"/>
      <w:r w:rsidRPr="00314F62">
        <w:t>Raised non-retroreflective pavement markers</w:t>
      </w:r>
      <w:bookmarkEnd w:id="38"/>
    </w:p>
    <w:p w14:paraId="344A8468" w14:textId="77777777" w:rsidR="00DC0FFE" w:rsidRPr="00314F62" w:rsidRDefault="00DC0FFE" w:rsidP="00DC0FFE">
      <w:pPr>
        <w:pStyle w:val="BodyTextIndent"/>
      </w:pPr>
      <w:r w:rsidRPr="00E0424F">
        <w:rPr>
          <w:rStyle w:val="BodyTextIndentBoldUnderlineChar"/>
          <w:b w:val="0"/>
          <w:bCs/>
        </w:rPr>
        <w:t>Type</w:t>
      </w:r>
      <w:r w:rsidRPr="00314F62">
        <w:t xml:space="preserve">: Type B raised pavement markers, conforming to the requirements of </w:t>
      </w:r>
      <w:r w:rsidRPr="00314F62">
        <w:rPr>
          <w:rStyle w:val="BodyTextIndentItalicChar"/>
        </w:rPr>
        <w:t>AS 1906.3</w:t>
      </w:r>
      <w:r w:rsidRPr="00314F62">
        <w:t>.</w:t>
      </w:r>
    </w:p>
    <w:p w14:paraId="29C6547D" w14:textId="77777777" w:rsidR="00DC0FFE" w:rsidRPr="00314F62" w:rsidRDefault="00DC0FFE" w:rsidP="00DC0FFE">
      <w:pPr>
        <w:pStyle w:val="BodyTextIndent"/>
      </w:pPr>
      <w:r w:rsidRPr="00E0424F">
        <w:rPr>
          <w:rStyle w:val="BodyTextIndentBoldUnderlineChar"/>
          <w:b w:val="0"/>
          <w:bCs/>
        </w:rPr>
        <w:t>Dimension and shape</w:t>
      </w:r>
      <w:r w:rsidRPr="00314F62">
        <w:t>: Circular approximately 100 mm in diameter and maximum 15 mm high, domed.</w:t>
      </w:r>
    </w:p>
    <w:p w14:paraId="38A3F68F" w14:textId="77777777" w:rsidR="00DC0FFE" w:rsidRPr="00314F62" w:rsidRDefault="00DC0FFE" w:rsidP="00DC0FFE">
      <w:pPr>
        <w:pStyle w:val="BodyTextIndent"/>
      </w:pPr>
      <w:r w:rsidRPr="00E0424F">
        <w:rPr>
          <w:rStyle w:val="BodyTextIndentBoldUnderlineChar"/>
          <w:b w:val="0"/>
          <w:bCs/>
        </w:rPr>
        <w:t>Colour</w:t>
      </w:r>
      <w:r w:rsidRPr="00314F62">
        <w:t>: White.</w:t>
      </w:r>
    </w:p>
    <w:p w14:paraId="053699CE" w14:textId="77777777" w:rsidR="00DC0FFE" w:rsidRPr="00314F62" w:rsidRDefault="00DC0FFE" w:rsidP="00B241DB">
      <w:pPr>
        <w:pStyle w:val="Heading4"/>
      </w:pPr>
      <w:bookmarkStart w:id="39" w:name="_Toc75951899"/>
      <w:r w:rsidRPr="00314F62">
        <w:t>Adhesives for raised pavement markers</w:t>
      </w:r>
      <w:bookmarkEnd w:id="39"/>
    </w:p>
    <w:p w14:paraId="1AB71CC0" w14:textId="77777777" w:rsidR="00DC0FFE" w:rsidRPr="00314F62" w:rsidRDefault="00DC0FFE" w:rsidP="00DC0FFE">
      <w:pPr>
        <w:pStyle w:val="BodyTextIndent"/>
        <w:rPr>
          <w:lang w:val="en-GB"/>
        </w:rPr>
      </w:pPr>
      <w:r w:rsidRPr="00E0424F">
        <w:rPr>
          <w:rStyle w:val="BodyTextIndentBoldUnderlineChar"/>
          <w:b w:val="0"/>
          <w:bCs/>
        </w:rPr>
        <w:t>Certification</w:t>
      </w:r>
      <w:r w:rsidRPr="00314F62">
        <w:rPr>
          <w:lang w:val="en-GB"/>
        </w:rPr>
        <w:t>: Provide certificate from the adhesive manufacturer stating that the adhesive is appropriate for the application.  Adhesives may be soft, hard or mid-range.</w:t>
      </w:r>
    </w:p>
    <w:p w14:paraId="7DD6ABF7" w14:textId="77777777" w:rsidR="00DC0FFE" w:rsidRPr="00314F62" w:rsidRDefault="00DC0FFE" w:rsidP="00DC0FFE">
      <w:pPr>
        <w:pStyle w:val="BodyTextIndent"/>
      </w:pPr>
      <w:r w:rsidRPr="00E0424F">
        <w:rPr>
          <w:rStyle w:val="BodyTextIndentBoldUnderlineChar"/>
          <w:b w:val="0"/>
          <w:bCs/>
        </w:rPr>
        <w:t>Soft adhesives</w:t>
      </w:r>
      <w:r w:rsidRPr="00314F62">
        <w:t>: Single part bituminous based materials, applied by heating to high temperatures.</w:t>
      </w:r>
      <w:r w:rsidR="001A69F5" w:rsidRPr="00314F62">
        <w:t xml:space="preserve">  </w:t>
      </w:r>
      <w:r w:rsidR="007A7D75" w:rsidRPr="00314F62">
        <w:t>This is the p</w:t>
      </w:r>
      <w:r w:rsidR="001A69F5" w:rsidRPr="00314F62">
        <w:t>referred adhesive type</w:t>
      </w:r>
      <w:r w:rsidR="00DC5CA7" w:rsidRPr="00314F62">
        <w:t xml:space="preserve"> for application to asphalt surfaces.</w:t>
      </w:r>
    </w:p>
    <w:p w14:paraId="2F90281B" w14:textId="77777777" w:rsidR="00DC0FFE" w:rsidRPr="00314F62" w:rsidRDefault="00DC0FFE" w:rsidP="00DC0FFE">
      <w:pPr>
        <w:pStyle w:val="BodyTextIndent"/>
      </w:pPr>
      <w:r w:rsidRPr="00E0424F">
        <w:rPr>
          <w:rStyle w:val="BodyTextIndentBoldUnderlineChar"/>
          <w:b w:val="0"/>
          <w:bCs/>
        </w:rPr>
        <w:t>Hard adhesives</w:t>
      </w:r>
      <w:r w:rsidRPr="00314F62">
        <w:t>: Hybrid cement or two-part epoxy materials mixed and applied at ambient temperatures to manufacturer requirements.</w:t>
      </w:r>
    </w:p>
    <w:p w14:paraId="485F5393" w14:textId="77777777" w:rsidR="00DC0FFE" w:rsidRPr="00314F62" w:rsidRDefault="00DC0FFE" w:rsidP="00DC0FFE">
      <w:pPr>
        <w:pStyle w:val="BodyTextIndent"/>
      </w:pPr>
      <w:r w:rsidRPr="00E0424F">
        <w:rPr>
          <w:rStyle w:val="BodyTextIndentBoldUnderlineChar"/>
          <w:b w:val="0"/>
          <w:bCs/>
        </w:rPr>
        <w:t>Mid-range adhesives</w:t>
      </w:r>
      <w:r w:rsidRPr="00314F62">
        <w:t>: Two-part urethane based materials, mixed and applied at ambient temperatures to manufacturer requirements.</w:t>
      </w:r>
    </w:p>
    <w:p w14:paraId="0C15F7FC" w14:textId="77777777" w:rsidR="00473D2A" w:rsidRPr="00314F62" w:rsidRDefault="00473D2A" w:rsidP="00B241DB">
      <w:pPr>
        <w:pStyle w:val="Heading4"/>
      </w:pPr>
      <w:bookmarkStart w:id="40" w:name="_Toc75951900"/>
      <w:r w:rsidRPr="00314F62">
        <w:t>Temporary pavement markers</w:t>
      </w:r>
      <w:bookmarkEnd w:id="40"/>
    </w:p>
    <w:p w14:paraId="41D74042" w14:textId="77777777" w:rsidR="00473D2A" w:rsidRPr="00314F62" w:rsidRDefault="00473D2A" w:rsidP="00473D2A">
      <w:pPr>
        <w:pStyle w:val="BodyTextIndent"/>
      </w:pPr>
      <w:r w:rsidRPr="00E0424F">
        <w:rPr>
          <w:rStyle w:val="BodyTextIndentBoldUnderlineChar"/>
          <w:b w:val="0"/>
          <w:bCs/>
        </w:rPr>
        <w:t>Type</w:t>
      </w:r>
      <w:r w:rsidRPr="00314F62">
        <w:t xml:space="preserve">: Temporary pavement markers shall conform to the requirements of </w:t>
      </w:r>
      <w:r w:rsidRPr="00314F62">
        <w:rPr>
          <w:rStyle w:val="BodyTextIndentItalicChar"/>
        </w:rPr>
        <w:t>AS 1906.3</w:t>
      </w:r>
      <w:r w:rsidRPr="00314F62">
        <w:t>.</w:t>
      </w:r>
    </w:p>
    <w:p w14:paraId="79C90947" w14:textId="77777777" w:rsidR="00473D2A" w:rsidRPr="00314F62" w:rsidRDefault="00473D2A" w:rsidP="00473D2A">
      <w:pPr>
        <w:pStyle w:val="BodyTextIndent"/>
      </w:pPr>
      <w:r w:rsidRPr="00E0424F">
        <w:rPr>
          <w:rStyle w:val="BodyTextIndentBoldUnderlineChar"/>
          <w:b w:val="0"/>
          <w:bCs/>
        </w:rPr>
        <w:t>Colour</w:t>
      </w:r>
      <w:r w:rsidRPr="00314F62">
        <w:t xml:space="preserve">: </w:t>
      </w:r>
      <w:r w:rsidR="002E3664" w:rsidRPr="00314F62">
        <w:t>Body to be w</w:t>
      </w:r>
      <w:r w:rsidRPr="00314F62">
        <w:t>hite or yellow</w:t>
      </w:r>
      <w:r w:rsidR="002E3664" w:rsidRPr="00314F62">
        <w:t>, reflector to be white, yellow or red</w:t>
      </w:r>
      <w:r w:rsidRPr="00314F62">
        <w:t>.</w:t>
      </w:r>
    </w:p>
    <w:p w14:paraId="3075D8D0" w14:textId="77777777" w:rsidR="00DC0FFE" w:rsidRPr="00314F62" w:rsidRDefault="00464920" w:rsidP="00B241DB">
      <w:pPr>
        <w:pStyle w:val="Heading3"/>
      </w:pPr>
      <w:bookmarkStart w:id="41" w:name="_Toc75951901"/>
      <w:r w:rsidRPr="00314F62">
        <w:t>Execution</w:t>
      </w:r>
      <w:r w:rsidR="00D10C23" w:rsidRPr="00314F62">
        <w:t xml:space="preserve"> and Installation</w:t>
      </w:r>
      <w:bookmarkEnd w:id="41"/>
    </w:p>
    <w:p w14:paraId="340B6C52" w14:textId="77777777" w:rsidR="00DC0FFE" w:rsidRPr="00314F62" w:rsidRDefault="00DC0FFE" w:rsidP="008B4500">
      <w:pPr>
        <w:pStyle w:val="Heading4"/>
      </w:pPr>
      <w:bookmarkStart w:id="42" w:name="_Toc75951902"/>
      <w:r w:rsidRPr="008B4500">
        <w:t>Weather</w:t>
      </w:r>
      <w:r w:rsidRPr="00314F62">
        <w:t xml:space="preserve"> conditions</w:t>
      </w:r>
      <w:bookmarkEnd w:id="42"/>
    </w:p>
    <w:p w14:paraId="35474794" w14:textId="77777777" w:rsidR="00DC0FFE" w:rsidRPr="00314F62" w:rsidRDefault="00DC0FFE" w:rsidP="00DC0FFE">
      <w:pPr>
        <w:pStyle w:val="BodyTextIndent"/>
      </w:pPr>
      <w:r w:rsidRPr="00E0424F">
        <w:rPr>
          <w:rStyle w:val="BodyTextIndentBoldUnderlineChar"/>
          <w:b w:val="0"/>
          <w:bCs/>
        </w:rPr>
        <w:t>Rain and condensation</w:t>
      </w:r>
      <w:r w:rsidRPr="00314F62">
        <w:t>: Do not carry out pavement markings when there is possibility of the freshly applied pavement markings becoming damaged by rain, fog, or condensation before they have dried or set.</w:t>
      </w:r>
    </w:p>
    <w:p w14:paraId="0A91BEAD" w14:textId="3F7DD5BE" w:rsidR="00DC0FFE" w:rsidRPr="00314F62" w:rsidRDefault="00DC0FFE" w:rsidP="00DC0FFE">
      <w:pPr>
        <w:pStyle w:val="BodyTextIndent"/>
      </w:pPr>
      <w:r w:rsidRPr="00E0424F">
        <w:rPr>
          <w:rStyle w:val="BodyTextIndentBoldUnderlineChar"/>
          <w:b w:val="0"/>
          <w:bCs/>
        </w:rPr>
        <w:t>Application temperatures</w:t>
      </w:r>
      <w:r w:rsidRPr="00314F62">
        <w:t>: Do not install pavement markings when the atmospheric temperatures are below or likely to drop below 10</w:t>
      </w:r>
      <w:r w:rsidR="00FE418A">
        <w:rPr>
          <w:rFonts w:cs="Arial"/>
        </w:rPr>
        <w:t>°</w:t>
      </w:r>
      <w:r w:rsidRPr="00314F62">
        <w:t>C for water-borne paint.  The surface temperature must not drop below 7</w:t>
      </w:r>
      <w:r w:rsidR="00FE418A">
        <w:rPr>
          <w:rFonts w:cs="Arial"/>
        </w:rPr>
        <w:t>°</w:t>
      </w:r>
      <w:r w:rsidRPr="00314F62">
        <w:t>C during the application of thermoplastic material.</w:t>
      </w:r>
    </w:p>
    <w:p w14:paraId="144CB862" w14:textId="77777777" w:rsidR="00DC0FFE" w:rsidRPr="00314F62" w:rsidRDefault="00DC0FFE" w:rsidP="008B4500">
      <w:pPr>
        <w:pStyle w:val="Heading4"/>
      </w:pPr>
      <w:bookmarkStart w:id="43" w:name="_Toc75951903"/>
      <w:r w:rsidRPr="00314F62">
        <w:t>Surface preparation</w:t>
      </w:r>
      <w:bookmarkEnd w:id="43"/>
    </w:p>
    <w:p w14:paraId="5E4A50A8" w14:textId="38259450" w:rsidR="00DC0FFE" w:rsidRPr="00314F62" w:rsidRDefault="00DC0FFE" w:rsidP="00DC0FFE">
      <w:pPr>
        <w:pStyle w:val="BodyTextIndent"/>
      </w:pPr>
      <w:r w:rsidRPr="00314F62">
        <w:t xml:space="preserve">Remove all dirt, loose material and other contaminants from surfaces that are to receive pavement markings.  Apply pavement markings to surfaces that are clean and dry.  </w:t>
      </w:r>
      <w:r w:rsidR="008055EF" w:rsidRPr="00314F62">
        <w:t>Additionally,</w:t>
      </w:r>
      <w:r w:rsidRPr="00314F62">
        <w:t xml:space="preserve"> remove all laitance and curing compound by mechanical wire brushing or abrasive blast cleaning, before the application of thermoplastic material to concrete surfaces.</w:t>
      </w:r>
    </w:p>
    <w:p w14:paraId="3F4CE5D9" w14:textId="77777777" w:rsidR="00F94CD1" w:rsidRDefault="00F94CD1" w:rsidP="00F94CD1">
      <w:pPr>
        <w:pStyle w:val="BodyText"/>
      </w:pPr>
      <w:r>
        <w:br w:type="page"/>
      </w:r>
    </w:p>
    <w:p w14:paraId="64051AB1" w14:textId="771A1963" w:rsidR="00DC0FFE" w:rsidRPr="00314F62" w:rsidRDefault="00DC0FFE" w:rsidP="008B4500">
      <w:pPr>
        <w:pStyle w:val="Heading4"/>
      </w:pPr>
      <w:bookmarkStart w:id="44" w:name="_Toc75951904"/>
      <w:r w:rsidRPr="00314F62">
        <w:lastRenderedPageBreak/>
        <w:t>Spotting</w:t>
      </w:r>
      <w:bookmarkEnd w:id="44"/>
    </w:p>
    <w:p w14:paraId="32DDD417" w14:textId="77777777" w:rsidR="00DC0FFE" w:rsidRPr="00314F62" w:rsidRDefault="00DC0FFE" w:rsidP="00DC0FFE">
      <w:pPr>
        <w:pStyle w:val="BodyTextIndent"/>
      </w:pPr>
      <w:r w:rsidRPr="00E0424F">
        <w:rPr>
          <w:rStyle w:val="BodyTextIndentBoldUnderlineChar"/>
          <w:b w:val="0"/>
          <w:bCs/>
        </w:rPr>
        <w:t>Spotting</w:t>
      </w:r>
      <w:r w:rsidRPr="00314F62">
        <w:t>: Paint 30 mm wide by 30 mm long spot.</w:t>
      </w:r>
    </w:p>
    <w:p w14:paraId="031E3D64" w14:textId="77777777" w:rsidR="00DC0FFE" w:rsidRPr="00314F62" w:rsidRDefault="00DC0FFE" w:rsidP="00DC0FFE">
      <w:pPr>
        <w:pStyle w:val="BodyTextIndent"/>
      </w:pPr>
      <w:r w:rsidRPr="00E0424F">
        <w:rPr>
          <w:rStyle w:val="BodyTextIndentBoldUnderlineChar"/>
          <w:b w:val="0"/>
          <w:bCs/>
        </w:rPr>
        <w:t>Longitudinal lines</w:t>
      </w:r>
      <w:r w:rsidRPr="00314F62">
        <w:t>: Carry out spotting at 5 m intervals on straight lines and a maximum of 2 m intervals on curved lines.</w:t>
      </w:r>
    </w:p>
    <w:p w14:paraId="3A25E04C" w14:textId="77777777" w:rsidR="00DC0FFE" w:rsidRPr="00314F62" w:rsidRDefault="00DC0FFE" w:rsidP="00DC0FFE">
      <w:pPr>
        <w:pStyle w:val="BodyTextIndent"/>
      </w:pPr>
      <w:r w:rsidRPr="00E0424F">
        <w:rPr>
          <w:rStyle w:val="BodyTextIndentBoldUnderlineChar"/>
          <w:b w:val="0"/>
          <w:bCs/>
        </w:rPr>
        <w:t>Transverse markings</w:t>
      </w:r>
      <w:r w:rsidRPr="00314F62">
        <w:t>: Carry out spotting as shown on the drawings.</w:t>
      </w:r>
    </w:p>
    <w:p w14:paraId="5A1A9B94" w14:textId="77777777" w:rsidR="00DC0FFE" w:rsidRPr="00314F62" w:rsidRDefault="00DC0FFE" w:rsidP="00BF5F40">
      <w:pPr>
        <w:pStyle w:val="BodyTextIndent"/>
      </w:pPr>
      <w:r w:rsidRPr="00E0424F">
        <w:rPr>
          <w:rStyle w:val="BodyTextIndentBoldUnderlineChar"/>
          <w:b w:val="0"/>
          <w:bCs/>
        </w:rPr>
        <w:t>Tolerances</w:t>
      </w:r>
      <w:r w:rsidRPr="00314F62">
        <w:t>: Comply with Table </w:t>
      </w:r>
      <w:r w:rsidR="00856CEA" w:rsidRPr="00314F62">
        <w:t>3</w:t>
      </w:r>
      <w:r w:rsidRPr="00314F62">
        <w:t>.2.</w:t>
      </w:r>
    </w:p>
    <w:p w14:paraId="49CF50AF" w14:textId="5FD9ADDA" w:rsidR="00FC7970" w:rsidRPr="00314F62" w:rsidRDefault="00FC7970" w:rsidP="00FC7970">
      <w:pPr>
        <w:pStyle w:val="TableLegend"/>
      </w:pPr>
      <w:r w:rsidRPr="00314F62">
        <w:t>Table</w:t>
      </w:r>
      <w:r w:rsidR="00790C1D" w:rsidRPr="00314F62">
        <w:t> </w:t>
      </w:r>
      <w:r w:rsidRPr="00314F62">
        <w:t>3.2 – Spotting tolerances</w:t>
      </w:r>
    </w:p>
    <w:tbl>
      <w:tblPr>
        <w:tblW w:w="8647" w:type="dxa"/>
        <w:tblInd w:w="709" w:type="dxa"/>
        <w:tblBorders>
          <w:insideH w:val="single" w:sz="4" w:space="0" w:color="auto"/>
        </w:tblBorders>
        <w:tblLayout w:type="fixed"/>
        <w:tblLook w:val="0000" w:firstRow="0" w:lastRow="0" w:firstColumn="0" w:lastColumn="0" w:noHBand="0" w:noVBand="0"/>
      </w:tblPr>
      <w:tblGrid>
        <w:gridCol w:w="4323"/>
        <w:gridCol w:w="4324"/>
      </w:tblGrid>
      <w:tr w:rsidR="00DC0FFE" w:rsidRPr="00314F62" w14:paraId="6417449B" w14:textId="77777777" w:rsidTr="003F71B0">
        <w:trPr>
          <w:trHeight w:val="397"/>
        </w:trPr>
        <w:tc>
          <w:tcPr>
            <w:tcW w:w="4323" w:type="dxa"/>
            <w:tcBorders>
              <w:top w:val="single" w:sz="12" w:space="0" w:color="auto"/>
              <w:bottom w:val="single" w:sz="12" w:space="0" w:color="auto"/>
            </w:tcBorders>
            <w:shd w:val="pct10" w:color="auto" w:fill="auto"/>
            <w:vAlign w:val="center"/>
          </w:tcPr>
          <w:p w14:paraId="31573433" w14:textId="77777777" w:rsidR="00DC0FFE" w:rsidRPr="00314F62" w:rsidRDefault="00DC0FFE" w:rsidP="00DC0FFE">
            <w:pPr>
              <w:pStyle w:val="TableHead"/>
            </w:pPr>
            <w:r w:rsidRPr="00314F62">
              <w:t>Dimension</w:t>
            </w:r>
          </w:p>
        </w:tc>
        <w:tc>
          <w:tcPr>
            <w:tcW w:w="4324" w:type="dxa"/>
            <w:tcBorders>
              <w:top w:val="single" w:sz="12" w:space="0" w:color="auto"/>
              <w:bottom w:val="single" w:sz="12" w:space="0" w:color="auto"/>
            </w:tcBorders>
            <w:shd w:val="pct10" w:color="auto" w:fill="auto"/>
            <w:vAlign w:val="center"/>
          </w:tcPr>
          <w:p w14:paraId="797A4E35" w14:textId="77777777" w:rsidR="00DC0FFE" w:rsidRPr="00314F62" w:rsidRDefault="00DC0FFE" w:rsidP="008607D0">
            <w:pPr>
              <w:pStyle w:val="TableHeadCen"/>
            </w:pPr>
            <w:r w:rsidRPr="00314F62">
              <w:t>Tolerance</w:t>
            </w:r>
          </w:p>
        </w:tc>
      </w:tr>
      <w:tr w:rsidR="00DC0FFE" w:rsidRPr="00314F62" w14:paraId="4CD68B12" w14:textId="77777777" w:rsidTr="003F71B0">
        <w:trPr>
          <w:trHeight w:val="340"/>
        </w:trPr>
        <w:tc>
          <w:tcPr>
            <w:tcW w:w="4323" w:type="dxa"/>
            <w:tcBorders>
              <w:bottom w:val="nil"/>
            </w:tcBorders>
            <w:vAlign w:val="center"/>
          </w:tcPr>
          <w:p w14:paraId="6BAFEA2A" w14:textId="77777777" w:rsidR="00DC0FFE" w:rsidRPr="00314F62" w:rsidRDefault="00DC0FFE" w:rsidP="00DC0FFE">
            <w:pPr>
              <w:pStyle w:val="Table"/>
            </w:pPr>
            <w:r w:rsidRPr="00314F62">
              <w:t>Distance between spots</w:t>
            </w:r>
          </w:p>
        </w:tc>
        <w:tc>
          <w:tcPr>
            <w:tcW w:w="4324" w:type="dxa"/>
            <w:tcBorders>
              <w:bottom w:val="nil"/>
            </w:tcBorders>
            <w:vAlign w:val="center"/>
          </w:tcPr>
          <w:p w14:paraId="56B730C3" w14:textId="32EDFB1C" w:rsidR="00DC0FFE" w:rsidRPr="00314F62" w:rsidRDefault="00E0424F" w:rsidP="00DC0FFE">
            <w:pPr>
              <w:pStyle w:val="TableCen"/>
            </w:pPr>
            <w:r>
              <w:rPr>
                <w:rFonts w:cs="Arial"/>
              </w:rPr>
              <w:t>±</w:t>
            </w:r>
            <w:r w:rsidR="00DC0FFE" w:rsidRPr="00314F62">
              <w:t>300 mm</w:t>
            </w:r>
          </w:p>
        </w:tc>
      </w:tr>
      <w:tr w:rsidR="00DC0FFE" w:rsidRPr="00314F62" w14:paraId="3B42CFB6" w14:textId="77777777" w:rsidTr="003F71B0">
        <w:trPr>
          <w:trHeight w:val="340"/>
        </w:trPr>
        <w:tc>
          <w:tcPr>
            <w:tcW w:w="4323" w:type="dxa"/>
            <w:tcBorders>
              <w:top w:val="single" w:sz="4" w:space="0" w:color="auto"/>
              <w:bottom w:val="nil"/>
            </w:tcBorders>
            <w:vAlign w:val="center"/>
          </w:tcPr>
          <w:p w14:paraId="5DA21066" w14:textId="77777777" w:rsidR="00DC0FFE" w:rsidRPr="00314F62" w:rsidRDefault="00DC0FFE" w:rsidP="00DC0FFE">
            <w:pPr>
              <w:pStyle w:val="Table"/>
            </w:pPr>
            <w:r w:rsidRPr="00314F62">
              <w:t>Lateral position of longitudinal lines:</w:t>
            </w:r>
          </w:p>
        </w:tc>
        <w:tc>
          <w:tcPr>
            <w:tcW w:w="4324" w:type="dxa"/>
            <w:tcBorders>
              <w:top w:val="single" w:sz="4" w:space="0" w:color="auto"/>
              <w:bottom w:val="nil"/>
            </w:tcBorders>
            <w:vAlign w:val="center"/>
          </w:tcPr>
          <w:p w14:paraId="2D5BF13F" w14:textId="77777777" w:rsidR="00DC0FFE" w:rsidRPr="00314F62" w:rsidRDefault="00DC0FFE" w:rsidP="00DC0FFE">
            <w:pPr>
              <w:pStyle w:val="TableCen"/>
            </w:pPr>
          </w:p>
        </w:tc>
      </w:tr>
      <w:tr w:rsidR="00DC0FFE" w:rsidRPr="00314F62" w14:paraId="5C6D3C89" w14:textId="77777777" w:rsidTr="003F71B0">
        <w:trPr>
          <w:trHeight w:val="340"/>
        </w:trPr>
        <w:tc>
          <w:tcPr>
            <w:tcW w:w="4323" w:type="dxa"/>
            <w:tcBorders>
              <w:top w:val="nil"/>
              <w:bottom w:val="nil"/>
            </w:tcBorders>
            <w:vAlign w:val="center"/>
          </w:tcPr>
          <w:p w14:paraId="0D273A15" w14:textId="77777777" w:rsidR="00DC0FFE" w:rsidRPr="00314F62" w:rsidRDefault="00DC0FFE" w:rsidP="00DC0FFE">
            <w:pPr>
              <w:pStyle w:val="TableDot1"/>
            </w:pPr>
            <w:r w:rsidRPr="00314F62">
              <w:t>New construction</w:t>
            </w:r>
          </w:p>
        </w:tc>
        <w:tc>
          <w:tcPr>
            <w:tcW w:w="4324" w:type="dxa"/>
            <w:tcBorders>
              <w:top w:val="nil"/>
              <w:bottom w:val="nil"/>
            </w:tcBorders>
            <w:vAlign w:val="center"/>
          </w:tcPr>
          <w:p w14:paraId="34EBFD9D" w14:textId="36CEF306" w:rsidR="00DC0FFE" w:rsidRPr="00314F62" w:rsidRDefault="00790C1D" w:rsidP="00DC0FFE">
            <w:pPr>
              <w:pStyle w:val="TableCen"/>
            </w:pPr>
            <w:r>
              <w:rPr>
                <w:rFonts w:cs="Arial"/>
              </w:rPr>
              <w:t>±</w:t>
            </w:r>
            <w:r w:rsidR="00DC0FFE" w:rsidRPr="00314F62">
              <w:t>40 mm</w:t>
            </w:r>
          </w:p>
        </w:tc>
      </w:tr>
      <w:tr w:rsidR="00DC0FFE" w:rsidRPr="00314F62" w14:paraId="1E96E8E3" w14:textId="77777777" w:rsidTr="003F71B0">
        <w:trPr>
          <w:trHeight w:val="340"/>
        </w:trPr>
        <w:tc>
          <w:tcPr>
            <w:tcW w:w="4323" w:type="dxa"/>
            <w:tcBorders>
              <w:top w:val="nil"/>
              <w:bottom w:val="single" w:sz="4" w:space="0" w:color="auto"/>
            </w:tcBorders>
            <w:vAlign w:val="center"/>
          </w:tcPr>
          <w:p w14:paraId="65B83F11" w14:textId="77777777" w:rsidR="00DC0FFE" w:rsidRPr="00314F62" w:rsidRDefault="00DC0FFE" w:rsidP="00DC0FFE">
            <w:pPr>
              <w:pStyle w:val="TableDot1"/>
            </w:pPr>
            <w:r w:rsidRPr="00314F62">
              <w:t>Reseals and asphalt overlays</w:t>
            </w:r>
          </w:p>
        </w:tc>
        <w:tc>
          <w:tcPr>
            <w:tcW w:w="4324" w:type="dxa"/>
            <w:tcBorders>
              <w:top w:val="nil"/>
              <w:bottom w:val="single" w:sz="4" w:space="0" w:color="auto"/>
            </w:tcBorders>
            <w:vAlign w:val="center"/>
          </w:tcPr>
          <w:p w14:paraId="68584D35" w14:textId="6C1B94AA" w:rsidR="00DC0FFE" w:rsidRPr="00314F62" w:rsidRDefault="00790C1D" w:rsidP="00DC0FFE">
            <w:pPr>
              <w:pStyle w:val="TableCen"/>
            </w:pPr>
            <w:r>
              <w:rPr>
                <w:rFonts w:cs="Arial"/>
              </w:rPr>
              <w:t>±</w:t>
            </w:r>
            <w:r w:rsidR="00DC0FFE" w:rsidRPr="00314F62">
              <w:t>40 mm</w:t>
            </w:r>
          </w:p>
        </w:tc>
      </w:tr>
      <w:tr w:rsidR="00DC0FFE" w:rsidRPr="00314F62" w14:paraId="4B77A3A0" w14:textId="77777777" w:rsidTr="003F71B0">
        <w:trPr>
          <w:trHeight w:val="340"/>
        </w:trPr>
        <w:tc>
          <w:tcPr>
            <w:tcW w:w="4323" w:type="dxa"/>
            <w:tcBorders>
              <w:top w:val="nil"/>
              <w:bottom w:val="nil"/>
            </w:tcBorders>
            <w:vAlign w:val="center"/>
          </w:tcPr>
          <w:p w14:paraId="1E70FEE5" w14:textId="77777777" w:rsidR="00DC0FFE" w:rsidRPr="00314F62" w:rsidRDefault="00DC0FFE" w:rsidP="00DC0FFE">
            <w:pPr>
              <w:pStyle w:val="Table"/>
            </w:pPr>
            <w:r w:rsidRPr="00314F62">
              <w:t>Placement of transverse markings</w:t>
            </w:r>
          </w:p>
        </w:tc>
        <w:tc>
          <w:tcPr>
            <w:tcW w:w="4324" w:type="dxa"/>
            <w:tcBorders>
              <w:top w:val="nil"/>
              <w:bottom w:val="nil"/>
            </w:tcBorders>
            <w:vAlign w:val="center"/>
          </w:tcPr>
          <w:p w14:paraId="6FEF5408" w14:textId="77777777" w:rsidR="00DC0FFE" w:rsidRPr="00314F62" w:rsidRDefault="00DC0FFE" w:rsidP="00DC0FFE">
            <w:pPr>
              <w:pStyle w:val="TableCen"/>
            </w:pPr>
          </w:p>
        </w:tc>
      </w:tr>
      <w:tr w:rsidR="00DC0FFE" w:rsidRPr="00314F62" w14:paraId="276AA452" w14:textId="77777777" w:rsidTr="003F71B0">
        <w:trPr>
          <w:trHeight w:val="340"/>
        </w:trPr>
        <w:tc>
          <w:tcPr>
            <w:tcW w:w="4323" w:type="dxa"/>
            <w:tcBorders>
              <w:top w:val="nil"/>
              <w:bottom w:val="nil"/>
            </w:tcBorders>
            <w:vAlign w:val="center"/>
          </w:tcPr>
          <w:p w14:paraId="47CD208B" w14:textId="77777777" w:rsidR="00DC0FFE" w:rsidRPr="00314F62" w:rsidRDefault="00DC0FFE" w:rsidP="00DC0FFE">
            <w:pPr>
              <w:pStyle w:val="TableDot1"/>
            </w:pPr>
            <w:r w:rsidRPr="00314F62">
              <w:t>New construction</w:t>
            </w:r>
          </w:p>
        </w:tc>
        <w:tc>
          <w:tcPr>
            <w:tcW w:w="4324" w:type="dxa"/>
            <w:tcBorders>
              <w:top w:val="nil"/>
              <w:bottom w:val="nil"/>
            </w:tcBorders>
            <w:vAlign w:val="center"/>
          </w:tcPr>
          <w:p w14:paraId="23665229" w14:textId="5691692F" w:rsidR="00DC0FFE" w:rsidRPr="00314F62" w:rsidRDefault="00790C1D" w:rsidP="00DC0FFE">
            <w:pPr>
              <w:pStyle w:val="TableCen"/>
            </w:pPr>
            <w:r>
              <w:rPr>
                <w:rFonts w:cs="Arial"/>
              </w:rPr>
              <w:t>±</w:t>
            </w:r>
            <w:r w:rsidR="00DC0FFE" w:rsidRPr="00314F62">
              <w:t>20 mm</w:t>
            </w:r>
          </w:p>
        </w:tc>
      </w:tr>
      <w:tr w:rsidR="00DC0FFE" w:rsidRPr="00314F62" w14:paraId="0829C4BB" w14:textId="77777777" w:rsidTr="003F71B0">
        <w:trPr>
          <w:trHeight w:val="340"/>
        </w:trPr>
        <w:tc>
          <w:tcPr>
            <w:tcW w:w="4323" w:type="dxa"/>
            <w:tcBorders>
              <w:top w:val="nil"/>
              <w:bottom w:val="single" w:sz="12" w:space="0" w:color="auto"/>
            </w:tcBorders>
            <w:vAlign w:val="center"/>
          </w:tcPr>
          <w:p w14:paraId="412EA4D2" w14:textId="77777777" w:rsidR="00DC0FFE" w:rsidRPr="00314F62" w:rsidRDefault="00DC0FFE" w:rsidP="00DC0FFE">
            <w:pPr>
              <w:pStyle w:val="TableDot1"/>
            </w:pPr>
            <w:r w:rsidRPr="00314F62">
              <w:t>Reseals and asphalt overlays</w:t>
            </w:r>
          </w:p>
        </w:tc>
        <w:tc>
          <w:tcPr>
            <w:tcW w:w="4324" w:type="dxa"/>
            <w:tcBorders>
              <w:top w:val="nil"/>
              <w:bottom w:val="single" w:sz="12" w:space="0" w:color="auto"/>
            </w:tcBorders>
            <w:vAlign w:val="center"/>
          </w:tcPr>
          <w:p w14:paraId="3575ED9F" w14:textId="10F79067" w:rsidR="00DC0FFE" w:rsidRPr="00314F62" w:rsidRDefault="00790C1D" w:rsidP="00DC0FFE">
            <w:pPr>
              <w:pStyle w:val="TableCen"/>
            </w:pPr>
            <w:r>
              <w:rPr>
                <w:rFonts w:cs="Arial"/>
              </w:rPr>
              <w:t>±</w:t>
            </w:r>
            <w:r w:rsidR="00DC0FFE" w:rsidRPr="00314F62">
              <w:t>20 mm</w:t>
            </w:r>
          </w:p>
        </w:tc>
      </w:tr>
    </w:tbl>
    <w:p w14:paraId="456CF6DA" w14:textId="2D53D33D" w:rsidR="00DC0FFE" w:rsidRPr="00314F62" w:rsidRDefault="00DC0FFE" w:rsidP="008B4500">
      <w:pPr>
        <w:pStyle w:val="Heading4"/>
      </w:pPr>
      <w:bookmarkStart w:id="45" w:name="_Toc75951905"/>
      <w:r w:rsidRPr="00314F62">
        <w:t>Applying paint</w:t>
      </w:r>
      <w:bookmarkEnd w:id="45"/>
    </w:p>
    <w:p w14:paraId="0046D687" w14:textId="046B8BEC" w:rsidR="00DC0FFE" w:rsidRPr="00314F62" w:rsidRDefault="00DC0FFE" w:rsidP="00DC0FFE">
      <w:pPr>
        <w:pStyle w:val="BodyTextIndent"/>
      </w:pPr>
      <w:r w:rsidRPr="00E0424F">
        <w:rPr>
          <w:rStyle w:val="BodyTextIndentBoldUnderlineChar"/>
          <w:b w:val="0"/>
          <w:bCs/>
        </w:rPr>
        <w:t>Paint temperature</w:t>
      </w:r>
      <w:r w:rsidRPr="00314F62">
        <w:t>: Do not heat above 65</w:t>
      </w:r>
      <w:r w:rsidR="00790C1D">
        <w:rPr>
          <w:rFonts w:cs="Arial"/>
        </w:rPr>
        <w:t>°</w:t>
      </w:r>
      <w:r w:rsidRPr="00314F62">
        <w:t>C for water-borne paint.</w:t>
      </w:r>
    </w:p>
    <w:p w14:paraId="38A0978A" w14:textId="77777777" w:rsidR="00DC0FFE" w:rsidRPr="00314F62" w:rsidRDefault="00DC0FFE" w:rsidP="00DC0FFE">
      <w:pPr>
        <w:pStyle w:val="BodyTextIndent"/>
      </w:pPr>
      <w:r w:rsidRPr="00E0424F">
        <w:rPr>
          <w:rStyle w:val="BodyTextIndentBoldUnderlineChar"/>
          <w:b w:val="0"/>
          <w:bCs/>
        </w:rPr>
        <w:t>Painting longitudinal line</w:t>
      </w:r>
      <w:r w:rsidRPr="00314F62">
        <w:t xml:space="preserve">: Apply paint in any longitudinal line group pattern, including glass beads and anti-skid material, in one pass of the longitudinal line application machine.  Apply one coat of paint to achieve wet film thickness of </w:t>
      </w:r>
      <w:r w:rsidR="005B326C" w:rsidRPr="00314F62">
        <w:t>600 </w:t>
      </w:r>
      <w:r w:rsidRPr="00314F62">
        <w:rPr>
          <w:rFonts w:cs="Arial"/>
        </w:rPr>
        <w:t>µ</w:t>
      </w:r>
      <w:r w:rsidRPr="00314F62">
        <w:t>m ± 25 </w:t>
      </w:r>
      <w:r w:rsidRPr="00314F62">
        <w:rPr>
          <w:rFonts w:cs="Arial"/>
        </w:rPr>
        <w:t>µ</w:t>
      </w:r>
      <w:r w:rsidRPr="00314F62">
        <w:t>m for painting work involving Class ‘D’ large uniform sized glass beads.</w:t>
      </w:r>
    </w:p>
    <w:p w14:paraId="03E26034" w14:textId="77777777" w:rsidR="00DC0FFE" w:rsidRPr="00314F62" w:rsidRDefault="00DC0FFE" w:rsidP="00DC0FFE">
      <w:pPr>
        <w:pStyle w:val="BodyTextIndent"/>
      </w:pPr>
      <w:r w:rsidRPr="00E0424F">
        <w:rPr>
          <w:rStyle w:val="BodyTextIndentBoldUnderlineChar"/>
          <w:b w:val="0"/>
          <w:bCs/>
        </w:rPr>
        <w:t>Transverse markings</w:t>
      </w:r>
      <w:r w:rsidRPr="00314F62">
        <w:t>: Paint using stencils, boards and hand spray equipment.  Apply one coat of paint to achieve wet film thickness of 375 </w:t>
      </w:r>
      <w:r w:rsidRPr="00314F62">
        <w:rPr>
          <w:rFonts w:cs="Arial"/>
        </w:rPr>
        <w:t>µ</w:t>
      </w:r>
      <w:r w:rsidRPr="00314F62">
        <w:t>m ± 25 </w:t>
      </w:r>
      <w:r w:rsidRPr="00314F62">
        <w:rPr>
          <w:rFonts w:cs="Arial"/>
        </w:rPr>
        <w:t>µ</w:t>
      </w:r>
      <w:r w:rsidRPr="00314F62">
        <w:t>m.</w:t>
      </w:r>
    </w:p>
    <w:p w14:paraId="1E916F4D" w14:textId="77777777" w:rsidR="00DC0FFE" w:rsidRPr="00314F62" w:rsidRDefault="00DC0FFE" w:rsidP="008B4500">
      <w:pPr>
        <w:pStyle w:val="Heading4"/>
      </w:pPr>
      <w:bookmarkStart w:id="46" w:name="_Toc75951906"/>
      <w:r w:rsidRPr="00314F62">
        <w:t>Applying thermoplastic material</w:t>
      </w:r>
      <w:bookmarkEnd w:id="46"/>
    </w:p>
    <w:p w14:paraId="4C67B098" w14:textId="77777777" w:rsidR="00DC0FFE" w:rsidRPr="00314F62" w:rsidRDefault="00DC0FFE" w:rsidP="00DC0FFE">
      <w:pPr>
        <w:pStyle w:val="BodyTextIndent"/>
      </w:pPr>
      <w:r w:rsidRPr="00E0424F">
        <w:rPr>
          <w:rStyle w:val="BodyTextIndentBoldUnderlineChar"/>
          <w:b w:val="0"/>
          <w:bCs/>
        </w:rPr>
        <w:t>Primer</w:t>
      </w:r>
      <w:r w:rsidRPr="00314F62">
        <w:t>: Use a resinous primer when thermoplastic material is applied to concrete, smooth or polished surfaces and to any surface after grinding or removal activities.  Where required by the manufacturer, apply primer to other surface types to ensure adhesion of the thermoplastic material.  Apply primer to the surface immediately in advance of, but concurrent with, the application of thermoplastic material.  Do not thin primer.  Apply at the application rate recommended by the manufacturer.</w:t>
      </w:r>
    </w:p>
    <w:p w14:paraId="40EE85F8" w14:textId="3D5F2206" w:rsidR="00DC0FFE" w:rsidRPr="00314F62" w:rsidRDefault="00DC0FFE" w:rsidP="00DC0FFE">
      <w:pPr>
        <w:pStyle w:val="BodyTextIndent"/>
      </w:pPr>
      <w:r w:rsidRPr="00E0424F">
        <w:rPr>
          <w:rStyle w:val="BodyTextIndentBoldUnderlineChar"/>
          <w:b w:val="0"/>
          <w:bCs/>
        </w:rPr>
        <w:t>Thermoplastic material</w:t>
      </w:r>
      <w:r w:rsidRPr="00314F62">
        <w:t>: Apply by screeding, spraying or extrusion methods, including glass beads and anti-skid material in a single uniform layer or as preformed material.  Apply to pavement at a temperature between 180</w:t>
      </w:r>
      <w:r w:rsidR="006711BF">
        <w:rPr>
          <w:rFonts w:cs="Arial"/>
        </w:rPr>
        <w:t>°</w:t>
      </w:r>
      <w:r w:rsidRPr="00314F62">
        <w:t>C and 200</w:t>
      </w:r>
      <w:r w:rsidR="006711BF">
        <w:rPr>
          <w:rFonts w:cs="Arial"/>
        </w:rPr>
        <w:t>°</w:t>
      </w:r>
      <w:r w:rsidRPr="00314F62">
        <w:t>C, unless the manufacturer recommends a different temperature.  Completely coat pavement surface with thermoplastic material and fill any surface voids.  Apply at a rate to achieve a thickness of 2.5 mm </w:t>
      </w:r>
      <w:r w:rsidR="009C07AF">
        <w:t>(</w:t>
      </w:r>
      <w:r w:rsidRPr="00314F62">
        <w:t>+ 0.5 mm - 0.0 mm</w:t>
      </w:r>
      <w:r w:rsidR="009C07AF">
        <w:t>)</w:t>
      </w:r>
      <w:r w:rsidRPr="00314F62">
        <w:t xml:space="preserve"> for longitudinal lines and transverse markings.</w:t>
      </w:r>
    </w:p>
    <w:p w14:paraId="19965144" w14:textId="77777777" w:rsidR="00DC0FFE" w:rsidRPr="00314F62" w:rsidRDefault="00DC0FFE" w:rsidP="00DE4BB4">
      <w:pPr>
        <w:pStyle w:val="Heading4"/>
      </w:pPr>
      <w:bookmarkStart w:id="47" w:name="_Toc75951907"/>
      <w:r w:rsidRPr="00314F62">
        <w:t>Applying two-part cold applied material</w:t>
      </w:r>
      <w:bookmarkEnd w:id="47"/>
    </w:p>
    <w:p w14:paraId="36B84CD5" w14:textId="400DC962" w:rsidR="00DC0FFE" w:rsidRPr="00314F62" w:rsidRDefault="00DC0FFE" w:rsidP="00DC0FFE">
      <w:pPr>
        <w:pStyle w:val="BodyTextIndent"/>
      </w:pPr>
      <w:r w:rsidRPr="00314F62">
        <w:t>Apply by spraying, screeding, trowelling or extrusion methods, including glass beads and anti-skid material in a single uniform layer or as preformed material.  For longitudinal lines and transverse markings, apply material at a rate to achieve a final thickness of 1.0 mm </w:t>
      </w:r>
      <w:r w:rsidR="009C07AF">
        <w:t>(</w:t>
      </w:r>
      <w:r w:rsidRPr="00314F62">
        <w:t>+ 0.5 mm - 0.0 mm</w:t>
      </w:r>
      <w:r w:rsidR="009C07AF">
        <w:t>)</w:t>
      </w:r>
      <w:r w:rsidRPr="00314F62">
        <w:t xml:space="preserve"> for spray applications and maximum 2.5 mm ± 0.5 mm for application by screeding, trowelling or extrusion methods.</w:t>
      </w:r>
    </w:p>
    <w:p w14:paraId="57686AE2" w14:textId="77777777" w:rsidR="00DC0FFE" w:rsidRPr="00314F62" w:rsidRDefault="00DC0FFE" w:rsidP="00DE4BB4">
      <w:pPr>
        <w:pStyle w:val="Heading4"/>
      </w:pPr>
      <w:bookmarkStart w:id="48" w:name="_Toc75951908"/>
      <w:r w:rsidRPr="00314F62">
        <w:t>Applying drop-on glass beads</w:t>
      </w:r>
      <w:bookmarkEnd w:id="48"/>
    </w:p>
    <w:p w14:paraId="5BD94255" w14:textId="77777777" w:rsidR="00FC7970" w:rsidRPr="00314F62" w:rsidRDefault="00DC0FFE" w:rsidP="008824D2">
      <w:pPr>
        <w:pStyle w:val="BodyTextIndent"/>
      </w:pPr>
      <w:r w:rsidRPr="00314F62">
        <w:rPr>
          <w:rStyle w:val="BodyTextIndentBoldUnderlineChar"/>
          <w:b w:val="0"/>
          <w:u w:val="none"/>
        </w:rPr>
        <w:t>Application Rate</w:t>
      </w:r>
      <w:r w:rsidRPr="00314F62">
        <w:t>: Achieve coverage of not less than the application rates shown in Table</w:t>
      </w:r>
      <w:r w:rsidR="007A7D75" w:rsidRPr="00314F62">
        <w:t> </w:t>
      </w:r>
      <w:r w:rsidR="00856CEA" w:rsidRPr="00314F62">
        <w:t>3</w:t>
      </w:r>
      <w:r w:rsidRPr="00314F62">
        <w:t>.3.  Application rate to be strictly adhered to unless specified otherwise.</w:t>
      </w:r>
      <w:r w:rsidR="00FC7970" w:rsidRPr="00314F62">
        <w:t xml:space="preserve"> </w:t>
      </w:r>
    </w:p>
    <w:p w14:paraId="09659267" w14:textId="77777777" w:rsidR="00F94CD1" w:rsidRDefault="00F94CD1" w:rsidP="00F94CD1">
      <w:pPr>
        <w:pStyle w:val="BodyText"/>
        <w:rPr>
          <w:sz w:val="18"/>
        </w:rPr>
      </w:pPr>
      <w:r>
        <w:br w:type="page"/>
      </w:r>
    </w:p>
    <w:p w14:paraId="38D295BD" w14:textId="041A8B7B" w:rsidR="00DC0FFE" w:rsidRPr="00314F62" w:rsidRDefault="00FC7970" w:rsidP="00FC7970">
      <w:pPr>
        <w:pStyle w:val="TableLegend"/>
      </w:pPr>
      <w:r w:rsidRPr="00314F62">
        <w:lastRenderedPageBreak/>
        <w:t>Table</w:t>
      </w:r>
      <w:r w:rsidR="006711BF" w:rsidRPr="00314F62">
        <w:t> </w:t>
      </w:r>
      <w:r w:rsidRPr="00314F62">
        <w:t>3.3 – Glass bead surface application rates</w:t>
      </w:r>
    </w:p>
    <w:tbl>
      <w:tblPr>
        <w:tblW w:w="8647" w:type="dxa"/>
        <w:tblInd w:w="709" w:type="dxa"/>
        <w:tblLayout w:type="fixed"/>
        <w:tblLook w:val="0000" w:firstRow="0" w:lastRow="0" w:firstColumn="0" w:lastColumn="0" w:noHBand="0" w:noVBand="0"/>
      </w:tblPr>
      <w:tblGrid>
        <w:gridCol w:w="2161"/>
        <w:gridCol w:w="2162"/>
        <w:gridCol w:w="2162"/>
        <w:gridCol w:w="2162"/>
      </w:tblGrid>
      <w:tr w:rsidR="00DC0FFE" w:rsidRPr="00314F62" w14:paraId="25D90A61" w14:textId="77777777" w:rsidTr="007A2382">
        <w:trPr>
          <w:trHeight w:val="397"/>
        </w:trPr>
        <w:tc>
          <w:tcPr>
            <w:tcW w:w="2161" w:type="dxa"/>
            <w:tcBorders>
              <w:top w:val="single" w:sz="12" w:space="0" w:color="auto"/>
              <w:bottom w:val="single" w:sz="12" w:space="0" w:color="auto"/>
            </w:tcBorders>
            <w:shd w:val="pct10" w:color="auto" w:fill="auto"/>
            <w:vAlign w:val="center"/>
          </w:tcPr>
          <w:p w14:paraId="01C74BDB" w14:textId="77777777" w:rsidR="00DC0FFE" w:rsidRPr="00314F62" w:rsidRDefault="00DC0FFE" w:rsidP="008607D0">
            <w:pPr>
              <w:pStyle w:val="TableHeadCen"/>
            </w:pPr>
            <w:r w:rsidRPr="00314F62">
              <w:t>Glass Bead Class/Size</w:t>
            </w:r>
          </w:p>
        </w:tc>
        <w:tc>
          <w:tcPr>
            <w:tcW w:w="2162" w:type="dxa"/>
            <w:tcBorders>
              <w:top w:val="single" w:sz="12" w:space="0" w:color="auto"/>
              <w:bottom w:val="single" w:sz="12" w:space="0" w:color="auto"/>
            </w:tcBorders>
            <w:shd w:val="pct10" w:color="auto" w:fill="auto"/>
            <w:vAlign w:val="center"/>
          </w:tcPr>
          <w:p w14:paraId="55B5BC04" w14:textId="77777777" w:rsidR="00DC0FFE" w:rsidRPr="00314F62" w:rsidRDefault="00856CEA" w:rsidP="008607D0">
            <w:pPr>
              <w:pStyle w:val="TableHeadCen"/>
            </w:pPr>
            <w:r w:rsidRPr="00314F62">
              <w:t>Drop-on Glass Bead</w:t>
            </w:r>
            <w:r w:rsidRPr="00314F62" w:rsidDel="00856CEA">
              <w:t xml:space="preserve"> </w:t>
            </w:r>
            <w:r w:rsidR="00DC0FFE" w:rsidRPr="00314F62">
              <w:t>Application Rate</w:t>
            </w:r>
          </w:p>
        </w:tc>
        <w:tc>
          <w:tcPr>
            <w:tcW w:w="2162" w:type="dxa"/>
            <w:tcBorders>
              <w:top w:val="single" w:sz="12" w:space="0" w:color="auto"/>
              <w:bottom w:val="single" w:sz="12" w:space="0" w:color="auto"/>
            </w:tcBorders>
            <w:shd w:val="pct10" w:color="auto" w:fill="auto"/>
            <w:vAlign w:val="center"/>
          </w:tcPr>
          <w:p w14:paraId="37FACCC8" w14:textId="77777777" w:rsidR="00DC0FFE" w:rsidRPr="00314F62" w:rsidRDefault="00DC0FFE" w:rsidP="008607D0">
            <w:pPr>
              <w:pStyle w:val="TableHeadCen"/>
            </w:pPr>
            <w:r w:rsidRPr="00314F62">
              <w:t>Line Application</w:t>
            </w:r>
          </w:p>
        </w:tc>
        <w:tc>
          <w:tcPr>
            <w:tcW w:w="2162" w:type="dxa"/>
            <w:tcBorders>
              <w:top w:val="single" w:sz="12" w:space="0" w:color="auto"/>
              <w:bottom w:val="single" w:sz="12" w:space="0" w:color="auto"/>
            </w:tcBorders>
            <w:shd w:val="pct10" w:color="auto" w:fill="auto"/>
            <w:vAlign w:val="center"/>
          </w:tcPr>
          <w:p w14:paraId="2B8EF1A5" w14:textId="77777777" w:rsidR="00DC0FFE" w:rsidRPr="00314F62" w:rsidRDefault="00962783" w:rsidP="008607D0">
            <w:pPr>
              <w:pStyle w:val="TableHeadCen"/>
            </w:pPr>
            <w:r w:rsidRPr="00314F62">
              <w:t xml:space="preserve">Marking </w:t>
            </w:r>
            <w:r w:rsidR="00DC0FFE" w:rsidRPr="00314F62">
              <w:t>Material</w:t>
            </w:r>
          </w:p>
        </w:tc>
      </w:tr>
      <w:tr w:rsidR="00CF4223" w:rsidRPr="00314F62" w14:paraId="3FBD72E1" w14:textId="77777777" w:rsidTr="007A2382">
        <w:trPr>
          <w:trHeight w:val="340"/>
        </w:trPr>
        <w:tc>
          <w:tcPr>
            <w:tcW w:w="4323" w:type="dxa"/>
            <w:gridSpan w:val="2"/>
            <w:vAlign w:val="center"/>
          </w:tcPr>
          <w:p w14:paraId="126FF100" w14:textId="64403BE6" w:rsidR="00CF4223" w:rsidRPr="00314F62" w:rsidRDefault="00CF4223" w:rsidP="00DC0FFE">
            <w:pPr>
              <w:pStyle w:val="TableCen"/>
            </w:pPr>
            <w:r w:rsidRPr="00314F62">
              <w:t>Class</w:t>
            </w:r>
            <w:r w:rsidR="001E14C1" w:rsidRPr="00314F62">
              <w:t> </w:t>
            </w:r>
            <w:r w:rsidRPr="00314F62">
              <w:t>‘B’</w:t>
            </w:r>
          </w:p>
        </w:tc>
        <w:tc>
          <w:tcPr>
            <w:tcW w:w="4324" w:type="dxa"/>
            <w:gridSpan w:val="2"/>
            <w:vAlign w:val="center"/>
          </w:tcPr>
          <w:p w14:paraId="6B7D4498" w14:textId="77777777" w:rsidR="00CF4223" w:rsidRPr="00314F62" w:rsidRDefault="00CF4223" w:rsidP="00DC0FFE">
            <w:pPr>
              <w:pStyle w:val="TableCen"/>
            </w:pPr>
            <w:r w:rsidRPr="00314F62">
              <w:t>Not used</w:t>
            </w:r>
          </w:p>
        </w:tc>
      </w:tr>
      <w:tr w:rsidR="00DC0FFE" w:rsidRPr="00314F62" w14:paraId="1EE99407" w14:textId="77777777" w:rsidTr="007A2382">
        <w:trPr>
          <w:trHeight w:val="340"/>
        </w:trPr>
        <w:tc>
          <w:tcPr>
            <w:tcW w:w="2161" w:type="dxa"/>
            <w:vAlign w:val="center"/>
          </w:tcPr>
          <w:p w14:paraId="61ECFEB9" w14:textId="0F46C9C3" w:rsidR="00DC0FFE" w:rsidRPr="00314F62" w:rsidRDefault="00DC0FFE" w:rsidP="001E14C1">
            <w:pPr>
              <w:pStyle w:val="TableCen"/>
            </w:pPr>
            <w:r w:rsidRPr="00314F62">
              <w:t>Class</w:t>
            </w:r>
            <w:r w:rsidR="001E14C1" w:rsidRPr="00314F62">
              <w:t> </w:t>
            </w:r>
            <w:r w:rsidRPr="00314F62">
              <w:t>‘C’</w:t>
            </w:r>
          </w:p>
        </w:tc>
        <w:tc>
          <w:tcPr>
            <w:tcW w:w="2162" w:type="dxa"/>
            <w:vAlign w:val="center"/>
          </w:tcPr>
          <w:p w14:paraId="5BF4E901" w14:textId="77777777" w:rsidR="00DC0FFE" w:rsidRPr="00314F62" w:rsidRDefault="00DC0FFE" w:rsidP="00DC0FFE">
            <w:pPr>
              <w:pStyle w:val="TableCen"/>
            </w:pPr>
            <w:r w:rsidRPr="00314F62">
              <w:t>325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62" w:type="dxa"/>
            <w:vAlign w:val="center"/>
          </w:tcPr>
          <w:p w14:paraId="5D9BB77C" w14:textId="77777777" w:rsidR="00DC0FFE" w:rsidRPr="00314F62" w:rsidRDefault="00DC0FFE" w:rsidP="00DC0FFE">
            <w:pPr>
              <w:pStyle w:val="TableCen"/>
            </w:pPr>
            <w:r w:rsidRPr="00314F62">
              <w:t>Transverse markings</w:t>
            </w:r>
          </w:p>
        </w:tc>
        <w:tc>
          <w:tcPr>
            <w:tcW w:w="2162" w:type="dxa"/>
            <w:vAlign w:val="center"/>
          </w:tcPr>
          <w:p w14:paraId="39DAEE02" w14:textId="77777777" w:rsidR="00DC0FFE" w:rsidRPr="00314F62" w:rsidRDefault="00DC0FFE" w:rsidP="00DC0FFE">
            <w:pPr>
              <w:pStyle w:val="TableCen"/>
            </w:pPr>
            <w:r w:rsidRPr="00314F62">
              <w:t>All</w:t>
            </w:r>
          </w:p>
        </w:tc>
      </w:tr>
      <w:tr w:rsidR="00DC0FFE" w:rsidRPr="00314F62" w14:paraId="0C131036" w14:textId="77777777" w:rsidTr="007A2382">
        <w:trPr>
          <w:trHeight w:val="340"/>
        </w:trPr>
        <w:tc>
          <w:tcPr>
            <w:tcW w:w="2161" w:type="dxa"/>
            <w:tcBorders>
              <w:bottom w:val="single" w:sz="12" w:space="0" w:color="auto"/>
            </w:tcBorders>
            <w:vAlign w:val="center"/>
          </w:tcPr>
          <w:p w14:paraId="01E08718" w14:textId="29B70433" w:rsidR="00DC0FFE" w:rsidRPr="00314F62" w:rsidRDefault="00DC0FFE" w:rsidP="001E14C1">
            <w:pPr>
              <w:pStyle w:val="TableCen"/>
            </w:pPr>
            <w:r w:rsidRPr="00314F62">
              <w:t>Class</w:t>
            </w:r>
            <w:r w:rsidR="001E14C1" w:rsidRPr="00314F62">
              <w:t> </w:t>
            </w:r>
            <w:r w:rsidRPr="00314F62">
              <w:t>‘D’</w:t>
            </w:r>
          </w:p>
        </w:tc>
        <w:tc>
          <w:tcPr>
            <w:tcW w:w="2162" w:type="dxa"/>
            <w:tcBorders>
              <w:bottom w:val="single" w:sz="12" w:space="0" w:color="auto"/>
            </w:tcBorders>
            <w:vAlign w:val="center"/>
          </w:tcPr>
          <w:p w14:paraId="1DAB6030" w14:textId="77777777" w:rsidR="00DC0FFE" w:rsidRPr="00314F62" w:rsidRDefault="00DC0FFE" w:rsidP="001E14C1">
            <w:pPr>
              <w:pStyle w:val="TableCen"/>
            </w:pPr>
            <w:r w:rsidRPr="00314F62">
              <w:t>450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62" w:type="dxa"/>
            <w:tcBorders>
              <w:bottom w:val="single" w:sz="12" w:space="0" w:color="auto"/>
            </w:tcBorders>
            <w:vAlign w:val="center"/>
          </w:tcPr>
          <w:p w14:paraId="5295DB51" w14:textId="77777777" w:rsidR="00DC0FFE" w:rsidRPr="00314F62" w:rsidRDefault="00DC0FFE" w:rsidP="00DC0FFE">
            <w:pPr>
              <w:pStyle w:val="TableCen"/>
            </w:pPr>
            <w:r w:rsidRPr="00314F62">
              <w:t>Longitudinal markings</w:t>
            </w:r>
          </w:p>
        </w:tc>
        <w:tc>
          <w:tcPr>
            <w:tcW w:w="2162" w:type="dxa"/>
            <w:tcBorders>
              <w:bottom w:val="single" w:sz="12" w:space="0" w:color="auto"/>
            </w:tcBorders>
            <w:vAlign w:val="center"/>
          </w:tcPr>
          <w:p w14:paraId="5A0BA703" w14:textId="77777777" w:rsidR="00DC0FFE" w:rsidRPr="00314F62" w:rsidRDefault="00DC0FFE" w:rsidP="00DC0FFE">
            <w:pPr>
              <w:pStyle w:val="TableCen"/>
            </w:pPr>
            <w:r w:rsidRPr="00314F62">
              <w:t>All</w:t>
            </w:r>
          </w:p>
        </w:tc>
      </w:tr>
    </w:tbl>
    <w:p w14:paraId="52618D3B" w14:textId="77777777" w:rsidR="00DC0FFE" w:rsidRPr="00314F62" w:rsidRDefault="00DC0FFE" w:rsidP="00DC0FFE">
      <w:pPr>
        <w:pStyle w:val="BodyTextIndent"/>
      </w:pPr>
      <w:r w:rsidRPr="00E0424F">
        <w:rPr>
          <w:rStyle w:val="BodyTextIndentBoldUnderlineChar"/>
          <w:b w:val="0"/>
          <w:bCs/>
        </w:rPr>
        <w:t>Longitudinal paint application</w:t>
      </w:r>
      <w:r w:rsidRPr="00314F62">
        <w:t>: Incorporate Class ‘D’ glass beads uniformly in all coats of paint concurrently with the application of the paint.</w:t>
      </w:r>
    </w:p>
    <w:p w14:paraId="0373F152" w14:textId="77777777" w:rsidR="00DC0FFE" w:rsidRPr="00314F62" w:rsidRDefault="00DC0FFE" w:rsidP="00DC0FFE">
      <w:pPr>
        <w:pStyle w:val="BodyTextIndent"/>
        <w:rPr>
          <w:rFonts w:cs="Arial"/>
        </w:rPr>
      </w:pPr>
      <w:r w:rsidRPr="00E0424F">
        <w:rPr>
          <w:rStyle w:val="BodyTextIndentBoldUnderlineChar"/>
          <w:b w:val="0"/>
          <w:bCs/>
        </w:rPr>
        <w:t>Transverse paint application</w:t>
      </w:r>
      <w:r w:rsidRPr="00314F62">
        <w:rPr>
          <w:rFonts w:cs="Arial"/>
        </w:rPr>
        <w:t>: Apply Class ‘C’ glass beads uniformly to all coats of paint concurrently with the application of the paint.  Do not use Class ‘D’ beads for this application.</w:t>
      </w:r>
    </w:p>
    <w:p w14:paraId="11FD84F3" w14:textId="77777777" w:rsidR="00DC0FFE" w:rsidRPr="00314F62" w:rsidRDefault="00DC0FFE" w:rsidP="00DC0FFE">
      <w:pPr>
        <w:pStyle w:val="BodyTextIndent"/>
      </w:pPr>
      <w:r w:rsidRPr="00E0424F">
        <w:rPr>
          <w:rStyle w:val="BodyTextIndentBoldUnderlineChar"/>
          <w:b w:val="0"/>
          <w:bCs/>
        </w:rPr>
        <w:t>Longitudinal Thermoplastic and Two-part cold applied plastic material</w:t>
      </w:r>
      <w:r w:rsidRPr="00314F62">
        <w:t>: Apply Class ‘D’ glass beads immediately to the surface of the fresh plastic material.  Incorporate Class ‘C’ intermix beads uniformly and evenly through the thermoplastic material.</w:t>
      </w:r>
    </w:p>
    <w:p w14:paraId="45E20D8F" w14:textId="77777777" w:rsidR="00DC0FFE" w:rsidRPr="00314F62" w:rsidRDefault="00DC0FFE" w:rsidP="00DC0FFE">
      <w:pPr>
        <w:pStyle w:val="BodyTextIndent"/>
      </w:pPr>
      <w:r w:rsidRPr="00E0424F">
        <w:rPr>
          <w:rStyle w:val="BodyTextIndentBoldUnderlineChar"/>
          <w:b w:val="0"/>
          <w:bCs/>
        </w:rPr>
        <w:t>Transverse Thermoplastic and Two-part cold applied plastic material</w:t>
      </w:r>
      <w:r w:rsidRPr="00314F62">
        <w:t>: Apply Class ‘C’ glass beads immediately to the surface of fresh plastic material.  Incorporate Class ‘C’ intermix beads uniformly and evenly through the thermoplastic material.</w:t>
      </w:r>
    </w:p>
    <w:p w14:paraId="0C2EF208" w14:textId="77777777" w:rsidR="00DC0FFE" w:rsidRPr="00314F62" w:rsidRDefault="00DC0FFE" w:rsidP="00DE4BB4">
      <w:pPr>
        <w:pStyle w:val="Heading4"/>
      </w:pPr>
      <w:bookmarkStart w:id="49" w:name="_Toc75951909"/>
      <w:r w:rsidRPr="00314F62">
        <w:t>Applying anti-skid material</w:t>
      </w:r>
      <w:bookmarkEnd w:id="49"/>
    </w:p>
    <w:p w14:paraId="0007D089" w14:textId="77777777" w:rsidR="00DC0FFE" w:rsidRPr="00314F62" w:rsidRDefault="00DC0FFE" w:rsidP="00BF5F40">
      <w:pPr>
        <w:pStyle w:val="BodyTextIndent"/>
      </w:pPr>
      <w:r w:rsidRPr="00E0424F">
        <w:rPr>
          <w:rStyle w:val="BodyTextIndentBoldUnderlineChar"/>
          <w:b w:val="0"/>
          <w:bCs/>
        </w:rPr>
        <w:t>Application rate</w:t>
      </w:r>
      <w:r w:rsidRPr="00314F62">
        <w:t>: Where an anti-skid treatment is required, achieve coverage of not less than the application rates shown in Table</w:t>
      </w:r>
      <w:r w:rsidR="008824D2" w:rsidRPr="00314F62">
        <w:rPr>
          <w:rStyle w:val="BodyTextIndentItalicChar"/>
        </w:rPr>
        <w:t> </w:t>
      </w:r>
      <w:r w:rsidR="00856CEA" w:rsidRPr="00314F62">
        <w:t>3</w:t>
      </w:r>
      <w:r w:rsidRPr="00314F62">
        <w:t>.4.</w:t>
      </w:r>
    </w:p>
    <w:p w14:paraId="46D7D104" w14:textId="26C26459" w:rsidR="00FC7970" w:rsidRPr="00314F62" w:rsidRDefault="00FC7970" w:rsidP="00FC7970">
      <w:pPr>
        <w:pStyle w:val="TableLegend"/>
      </w:pPr>
      <w:r w:rsidRPr="00314F62">
        <w:t>Table</w:t>
      </w:r>
      <w:r w:rsidR="001C42A2" w:rsidRPr="00314F62">
        <w:t> </w:t>
      </w:r>
      <w:r w:rsidRPr="00314F62">
        <w:t>3.4 – Anti-skid material surface application rates</w:t>
      </w:r>
    </w:p>
    <w:tbl>
      <w:tblPr>
        <w:tblW w:w="8789" w:type="dxa"/>
        <w:tblInd w:w="709" w:type="dxa"/>
        <w:tblLayout w:type="fixed"/>
        <w:tblLook w:val="0000" w:firstRow="0" w:lastRow="0" w:firstColumn="0" w:lastColumn="0" w:noHBand="0" w:noVBand="0"/>
      </w:tblPr>
      <w:tblGrid>
        <w:gridCol w:w="2197"/>
        <w:gridCol w:w="2197"/>
        <w:gridCol w:w="2197"/>
        <w:gridCol w:w="2198"/>
      </w:tblGrid>
      <w:tr w:rsidR="00962783" w:rsidRPr="00314F62" w14:paraId="2F3A8708" w14:textId="77777777" w:rsidTr="007A2382">
        <w:trPr>
          <w:trHeight w:val="397"/>
        </w:trPr>
        <w:tc>
          <w:tcPr>
            <w:tcW w:w="2197" w:type="dxa"/>
            <w:tcBorders>
              <w:top w:val="single" w:sz="12" w:space="0" w:color="auto"/>
              <w:bottom w:val="single" w:sz="12" w:space="0" w:color="auto"/>
            </w:tcBorders>
            <w:shd w:val="pct10" w:color="auto" w:fill="auto"/>
            <w:vAlign w:val="center"/>
          </w:tcPr>
          <w:p w14:paraId="607A579A" w14:textId="77777777" w:rsidR="00962783" w:rsidRPr="00314F62" w:rsidRDefault="00962783" w:rsidP="008607D0">
            <w:pPr>
              <w:pStyle w:val="TableHeadCen"/>
            </w:pPr>
            <w:r w:rsidRPr="00314F62">
              <w:t>Line Application</w:t>
            </w:r>
          </w:p>
        </w:tc>
        <w:tc>
          <w:tcPr>
            <w:tcW w:w="2197" w:type="dxa"/>
            <w:tcBorders>
              <w:top w:val="single" w:sz="12" w:space="0" w:color="auto"/>
              <w:bottom w:val="single" w:sz="12" w:space="0" w:color="auto"/>
            </w:tcBorders>
            <w:shd w:val="pct10" w:color="auto" w:fill="auto"/>
            <w:vAlign w:val="center"/>
          </w:tcPr>
          <w:p w14:paraId="507F8B8E" w14:textId="77777777" w:rsidR="00962783" w:rsidRPr="00314F62" w:rsidRDefault="00962783" w:rsidP="008607D0">
            <w:pPr>
              <w:pStyle w:val="TableHeadCen"/>
            </w:pPr>
            <w:r w:rsidRPr="00314F62">
              <w:t>Anti-skid Material Application Rate</w:t>
            </w:r>
          </w:p>
        </w:tc>
        <w:tc>
          <w:tcPr>
            <w:tcW w:w="2197" w:type="dxa"/>
            <w:tcBorders>
              <w:top w:val="single" w:sz="12" w:space="0" w:color="auto"/>
              <w:bottom w:val="single" w:sz="12" w:space="0" w:color="auto"/>
            </w:tcBorders>
            <w:shd w:val="pct10" w:color="auto" w:fill="auto"/>
            <w:vAlign w:val="center"/>
          </w:tcPr>
          <w:p w14:paraId="4819B3E8" w14:textId="77777777" w:rsidR="00962783" w:rsidRPr="00314F62" w:rsidRDefault="00962783" w:rsidP="008607D0">
            <w:pPr>
              <w:pStyle w:val="TableHeadCen"/>
            </w:pPr>
            <w:r w:rsidRPr="00314F62">
              <w:t>Marking Material</w:t>
            </w:r>
          </w:p>
        </w:tc>
        <w:tc>
          <w:tcPr>
            <w:tcW w:w="2198" w:type="dxa"/>
            <w:tcBorders>
              <w:top w:val="single" w:sz="12" w:space="0" w:color="auto"/>
              <w:bottom w:val="single" w:sz="12" w:space="0" w:color="auto"/>
            </w:tcBorders>
            <w:shd w:val="pct10" w:color="auto" w:fill="auto"/>
            <w:vAlign w:val="center"/>
          </w:tcPr>
          <w:p w14:paraId="1D17A5A6" w14:textId="77777777" w:rsidR="00962783" w:rsidRPr="00314F62" w:rsidRDefault="00962783" w:rsidP="008607D0">
            <w:pPr>
              <w:pStyle w:val="TableHeadCen"/>
            </w:pPr>
            <w:r w:rsidRPr="00314F62">
              <w:t>Glass Bead Class Used for Line Application</w:t>
            </w:r>
          </w:p>
        </w:tc>
      </w:tr>
      <w:tr w:rsidR="00962783" w:rsidRPr="00314F62" w14:paraId="023E0340" w14:textId="77777777" w:rsidTr="007A2382">
        <w:trPr>
          <w:trHeight w:val="340"/>
        </w:trPr>
        <w:tc>
          <w:tcPr>
            <w:tcW w:w="2197" w:type="dxa"/>
            <w:vAlign w:val="center"/>
          </w:tcPr>
          <w:p w14:paraId="735AFA72" w14:textId="77777777" w:rsidR="00962783" w:rsidRPr="00314F62" w:rsidRDefault="00962783" w:rsidP="00DC0FFE">
            <w:pPr>
              <w:pStyle w:val="TableCen"/>
            </w:pPr>
            <w:r w:rsidRPr="00314F62">
              <w:t>Transverse markings</w:t>
            </w:r>
          </w:p>
        </w:tc>
        <w:tc>
          <w:tcPr>
            <w:tcW w:w="2197" w:type="dxa"/>
            <w:vAlign w:val="center"/>
          </w:tcPr>
          <w:p w14:paraId="0446DEA1" w14:textId="77777777" w:rsidR="00962783" w:rsidRPr="00314F62" w:rsidRDefault="00962783" w:rsidP="00DC0FFE">
            <w:pPr>
              <w:pStyle w:val="TableCen"/>
            </w:pPr>
            <w:r w:rsidRPr="00314F62">
              <w:t>175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97" w:type="dxa"/>
            <w:vAlign w:val="center"/>
          </w:tcPr>
          <w:p w14:paraId="2DD779AA" w14:textId="77777777" w:rsidR="00962783" w:rsidRPr="00314F62" w:rsidRDefault="00962783" w:rsidP="00DC0FFE">
            <w:pPr>
              <w:pStyle w:val="TableCen"/>
            </w:pPr>
            <w:r w:rsidRPr="00314F62">
              <w:t>All</w:t>
            </w:r>
          </w:p>
        </w:tc>
        <w:tc>
          <w:tcPr>
            <w:tcW w:w="2198" w:type="dxa"/>
            <w:vAlign w:val="center"/>
          </w:tcPr>
          <w:p w14:paraId="3E634AEC" w14:textId="0A906800" w:rsidR="00962783" w:rsidRPr="00314F62" w:rsidRDefault="00962783" w:rsidP="00DC0FFE">
            <w:pPr>
              <w:pStyle w:val="TableCen"/>
            </w:pPr>
            <w:r w:rsidRPr="00314F62">
              <w:t>Class</w:t>
            </w:r>
            <w:r w:rsidR="001C42A2" w:rsidRPr="00314F62">
              <w:t> </w:t>
            </w:r>
            <w:r w:rsidRPr="00314F62">
              <w:t>‘C’</w:t>
            </w:r>
          </w:p>
        </w:tc>
      </w:tr>
      <w:tr w:rsidR="00962783" w:rsidRPr="00314F62" w14:paraId="37F2B069" w14:textId="77777777" w:rsidTr="007A2382">
        <w:trPr>
          <w:trHeight w:val="340"/>
        </w:trPr>
        <w:tc>
          <w:tcPr>
            <w:tcW w:w="2197" w:type="dxa"/>
            <w:tcBorders>
              <w:bottom w:val="single" w:sz="12" w:space="0" w:color="auto"/>
            </w:tcBorders>
            <w:vAlign w:val="center"/>
          </w:tcPr>
          <w:p w14:paraId="200F549E" w14:textId="77777777" w:rsidR="00962783" w:rsidRPr="00314F62" w:rsidRDefault="00962783" w:rsidP="00DC0FFE">
            <w:pPr>
              <w:pStyle w:val="TableCen"/>
            </w:pPr>
            <w:r w:rsidRPr="00314F62">
              <w:t>Longitudinal markings</w:t>
            </w:r>
          </w:p>
        </w:tc>
        <w:tc>
          <w:tcPr>
            <w:tcW w:w="2197" w:type="dxa"/>
            <w:tcBorders>
              <w:bottom w:val="single" w:sz="12" w:space="0" w:color="auto"/>
            </w:tcBorders>
            <w:vAlign w:val="center"/>
          </w:tcPr>
          <w:p w14:paraId="072DE4E1" w14:textId="77777777" w:rsidR="00962783" w:rsidRPr="00314F62" w:rsidRDefault="00962783" w:rsidP="00DC0FFE">
            <w:pPr>
              <w:pStyle w:val="TableCen"/>
            </w:pPr>
            <w:r w:rsidRPr="00314F62">
              <w:t>250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97" w:type="dxa"/>
            <w:tcBorders>
              <w:bottom w:val="single" w:sz="12" w:space="0" w:color="auto"/>
            </w:tcBorders>
            <w:vAlign w:val="center"/>
          </w:tcPr>
          <w:p w14:paraId="06B24E0E" w14:textId="77777777" w:rsidR="00962783" w:rsidRPr="00314F62" w:rsidRDefault="00962783" w:rsidP="00DC0FFE">
            <w:pPr>
              <w:pStyle w:val="TableCen"/>
            </w:pPr>
            <w:r w:rsidRPr="00314F62">
              <w:t>All</w:t>
            </w:r>
          </w:p>
        </w:tc>
        <w:tc>
          <w:tcPr>
            <w:tcW w:w="2198" w:type="dxa"/>
            <w:tcBorders>
              <w:bottom w:val="single" w:sz="12" w:space="0" w:color="auto"/>
            </w:tcBorders>
            <w:vAlign w:val="center"/>
          </w:tcPr>
          <w:p w14:paraId="0169190D" w14:textId="60F28E48" w:rsidR="00962783" w:rsidRPr="00314F62" w:rsidRDefault="00962783" w:rsidP="00DC0FFE">
            <w:pPr>
              <w:pStyle w:val="TableCen"/>
            </w:pPr>
            <w:r w:rsidRPr="00314F62">
              <w:t>Class</w:t>
            </w:r>
            <w:r w:rsidR="001C42A2" w:rsidRPr="00314F62">
              <w:t> </w:t>
            </w:r>
            <w:r w:rsidRPr="00314F62">
              <w:t>‘D’</w:t>
            </w:r>
          </w:p>
        </w:tc>
      </w:tr>
    </w:tbl>
    <w:p w14:paraId="746677D2" w14:textId="77777777" w:rsidR="00DC0FFE" w:rsidRPr="00314F62" w:rsidRDefault="00DC0FFE" w:rsidP="00DC0FFE">
      <w:pPr>
        <w:pStyle w:val="BodyTextIndent"/>
      </w:pPr>
      <w:r w:rsidRPr="00037FA8">
        <w:rPr>
          <w:rStyle w:val="BodyTextIndentBoldUnderlineChar"/>
          <w:b w:val="0"/>
          <w:bCs/>
        </w:rPr>
        <w:t>Waterborne paint</w:t>
      </w:r>
      <w:r w:rsidRPr="00314F62">
        <w:t>: Incorporate anti-skid material in all coats of paint concurrently with the application of the paint.</w:t>
      </w:r>
    </w:p>
    <w:p w14:paraId="1A0FAA21" w14:textId="77777777" w:rsidR="00DC0FFE" w:rsidRPr="00314F62" w:rsidRDefault="00DC0FFE" w:rsidP="00DC0FFE">
      <w:pPr>
        <w:pStyle w:val="BodyTextIndent"/>
      </w:pPr>
      <w:r w:rsidRPr="00037FA8">
        <w:rPr>
          <w:rStyle w:val="BodyTextIndentBoldUnderlineChar"/>
          <w:b w:val="0"/>
          <w:bCs/>
        </w:rPr>
        <w:t>Thermoplastic material</w:t>
      </w:r>
      <w:r w:rsidRPr="00314F62">
        <w:t>: Apply anti-skid material immediately to the molten thermoplastic material.</w:t>
      </w:r>
    </w:p>
    <w:p w14:paraId="65FE6AC2" w14:textId="77777777" w:rsidR="00DC0FFE" w:rsidRPr="00314F62" w:rsidRDefault="00DC0FFE" w:rsidP="00DC0FFE">
      <w:pPr>
        <w:pStyle w:val="BodyTextIndent"/>
      </w:pPr>
      <w:r w:rsidRPr="00037FA8">
        <w:rPr>
          <w:rStyle w:val="BodyTextIndentBoldUnderlineChar"/>
          <w:b w:val="0"/>
          <w:bCs/>
        </w:rPr>
        <w:t>Two-part cold applied material</w:t>
      </w:r>
      <w:r w:rsidRPr="00314F62">
        <w:t>: Apply the anti-skid material immediately to the fresh plastic material.</w:t>
      </w:r>
    </w:p>
    <w:p w14:paraId="6C528C36" w14:textId="77777777" w:rsidR="00DC0FFE" w:rsidRPr="00314F62" w:rsidRDefault="00DC0FFE" w:rsidP="00DE4BB4">
      <w:pPr>
        <w:pStyle w:val="Heading4"/>
      </w:pPr>
      <w:bookmarkStart w:id="50" w:name="_Toc75951910"/>
      <w:r w:rsidRPr="00314F62">
        <w:t>Applying pavement marking tape</w:t>
      </w:r>
      <w:bookmarkEnd w:id="50"/>
    </w:p>
    <w:p w14:paraId="35D9D77F" w14:textId="2F17E112" w:rsidR="00DC0FFE" w:rsidRPr="00314F62" w:rsidRDefault="00DC0FFE" w:rsidP="00DC0FFE">
      <w:pPr>
        <w:pStyle w:val="BodyTextIndent"/>
      </w:pPr>
      <w:r w:rsidRPr="00314F62">
        <w:t xml:space="preserve">Undertake surface preparation, tape installation and removal (where necessary) in accordance with the </w:t>
      </w:r>
      <w:r w:rsidR="001954BC" w:rsidRPr="00314F62">
        <w:t>manufacturers</w:t>
      </w:r>
      <w:r w:rsidR="001954BC">
        <w:t>’</w:t>
      </w:r>
      <w:r w:rsidRPr="00314F62">
        <w:t xml:space="preserve"> recommendations.</w:t>
      </w:r>
    </w:p>
    <w:p w14:paraId="012D01ED" w14:textId="77777777" w:rsidR="00DC0FFE" w:rsidRPr="00314F62" w:rsidRDefault="00DC0FFE" w:rsidP="00DE4BB4">
      <w:pPr>
        <w:pStyle w:val="Heading4"/>
      </w:pPr>
      <w:bookmarkStart w:id="51" w:name="_Toc75951911"/>
      <w:r w:rsidRPr="00314F62">
        <w:t>Applying raised pavement markers</w:t>
      </w:r>
      <w:bookmarkEnd w:id="51"/>
    </w:p>
    <w:p w14:paraId="36AF8BF5" w14:textId="77777777" w:rsidR="00DC0FFE" w:rsidRPr="00314F62" w:rsidRDefault="00DC0FFE" w:rsidP="00DC0FFE">
      <w:pPr>
        <w:pStyle w:val="BodyTextIndent"/>
      </w:pPr>
      <w:r w:rsidRPr="00037FA8">
        <w:rPr>
          <w:rStyle w:val="BodyTextIndentBoldUnderlineChar"/>
          <w:b w:val="0"/>
          <w:bCs/>
        </w:rPr>
        <w:t>Using soft adhesive</w:t>
      </w:r>
      <w:r w:rsidRPr="00314F62">
        <w:t>: Place adhesive pad on road surface and heat to manufacturer/supplier requirements.  Place raised pavement marker directly to heated pad.</w:t>
      </w:r>
    </w:p>
    <w:p w14:paraId="07990BF4" w14:textId="77777777" w:rsidR="00DC0FFE" w:rsidRPr="00314F62" w:rsidRDefault="00DC0FFE" w:rsidP="00DC0FFE">
      <w:pPr>
        <w:pStyle w:val="BodyTextIndent"/>
      </w:pPr>
      <w:r w:rsidRPr="00037FA8">
        <w:rPr>
          <w:rStyle w:val="BodyTextIndentBoldUnderlineChar"/>
          <w:b w:val="0"/>
          <w:bCs/>
        </w:rPr>
        <w:t>Using hard and mid-range adhesive</w:t>
      </w:r>
      <w:r w:rsidRPr="00314F62">
        <w:t>: Butter back of marker with prepared adhesive to manufacturer/supplier requirements.  Place raised pavement marker directly to road surface.</w:t>
      </w:r>
    </w:p>
    <w:p w14:paraId="156C3555" w14:textId="77777777" w:rsidR="00DC0FFE" w:rsidRPr="00314F62" w:rsidRDefault="00DC0FFE" w:rsidP="00DE4BB4">
      <w:pPr>
        <w:pStyle w:val="Heading4"/>
      </w:pPr>
      <w:bookmarkStart w:id="52" w:name="_Toc75951912"/>
      <w:r w:rsidRPr="00314F62">
        <w:t>Alignment and finish</w:t>
      </w:r>
      <w:bookmarkEnd w:id="52"/>
    </w:p>
    <w:p w14:paraId="7346BF5D" w14:textId="76585500" w:rsidR="00DC0FFE" w:rsidRPr="00314F62" w:rsidRDefault="00DC0FFE" w:rsidP="00DC0FFE">
      <w:pPr>
        <w:pStyle w:val="BodyTextIndent"/>
      </w:pPr>
      <w:r w:rsidRPr="00037FA8">
        <w:rPr>
          <w:rStyle w:val="BodyTextIndentBoldUnderlineChar"/>
          <w:b w:val="0"/>
          <w:bCs/>
        </w:rPr>
        <w:t>Protection</w:t>
      </w:r>
      <w:r w:rsidRPr="00314F62">
        <w:t xml:space="preserve">: Protect newly placed pavement markings from damage by traffic or other causes until the paint is dry (no </w:t>
      </w:r>
      <w:r w:rsidR="001954BC" w:rsidRPr="00314F62">
        <w:t>pickup</w:t>
      </w:r>
      <w:r w:rsidRPr="00314F62">
        <w:t xml:space="preserve"> condition) or thermoplastic material has hardened sufficiently.  Use approved traffic management procedures.</w:t>
      </w:r>
    </w:p>
    <w:p w14:paraId="7C28498B" w14:textId="77777777" w:rsidR="00DC0FFE" w:rsidRPr="00314F62" w:rsidRDefault="00DC0FFE" w:rsidP="00DC0FFE">
      <w:pPr>
        <w:pStyle w:val="BodyTextIndent"/>
      </w:pPr>
      <w:r w:rsidRPr="00037FA8">
        <w:rPr>
          <w:rStyle w:val="BodyTextIndentBoldUnderlineChar"/>
          <w:b w:val="0"/>
          <w:bCs/>
        </w:rPr>
        <w:t>Improper markings</w:t>
      </w:r>
      <w:r w:rsidRPr="00314F62">
        <w:t>: Remove immediately from the pavement surface any drip, overspray, improper marking, and paint and thermoplastic material tracked by traffic.  Use methods that minimise damage to the pavement surface (abrasive blasting is the preferred method).</w:t>
      </w:r>
    </w:p>
    <w:p w14:paraId="309A55F4" w14:textId="77777777" w:rsidR="00DC0FFE" w:rsidRPr="00314F62" w:rsidRDefault="00DC0FFE" w:rsidP="00DC0FFE">
      <w:pPr>
        <w:pStyle w:val="BodyTextIndent"/>
      </w:pPr>
      <w:r w:rsidRPr="00037FA8">
        <w:rPr>
          <w:rStyle w:val="BodyTextIndentBoldUnderlineChar"/>
          <w:b w:val="0"/>
          <w:bCs/>
        </w:rPr>
        <w:t>Appearance</w:t>
      </w:r>
      <w:r w:rsidRPr="00314F62">
        <w:t>: Completed pavement markings must be uniform, have clean and well defined edges without running or deformation, and conform to the dimensions shown on the drawings.</w:t>
      </w:r>
    </w:p>
    <w:p w14:paraId="2BE0403E" w14:textId="77777777" w:rsidR="00DC0FFE" w:rsidRPr="00314F62" w:rsidRDefault="00DC0FFE" w:rsidP="00DC0FFE">
      <w:pPr>
        <w:pStyle w:val="BodyTextIndent"/>
      </w:pPr>
      <w:r w:rsidRPr="00037FA8">
        <w:rPr>
          <w:rStyle w:val="BodyTextIndentBoldUnderlineChar"/>
          <w:b w:val="0"/>
          <w:bCs/>
        </w:rPr>
        <w:t>Longitudinal lines</w:t>
      </w:r>
      <w:r w:rsidRPr="00314F62">
        <w:t>: Lines must be straight on straight alignment and a true arc on curved alignment.</w:t>
      </w:r>
    </w:p>
    <w:p w14:paraId="550D52C1" w14:textId="77777777" w:rsidR="00DC0FFE" w:rsidRPr="00314F62" w:rsidRDefault="00DC0FFE" w:rsidP="00DC0FFE">
      <w:pPr>
        <w:pStyle w:val="BodyTextIndent"/>
      </w:pPr>
      <w:r w:rsidRPr="00037FA8">
        <w:rPr>
          <w:rStyle w:val="BodyTextIndentBoldUnderlineChar"/>
          <w:b w:val="0"/>
          <w:bCs/>
        </w:rPr>
        <w:t>Arrows and letters</w:t>
      </w:r>
      <w:r w:rsidRPr="00314F62">
        <w:t>: Place parallel to the centre alignment of the traffic lane.</w:t>
      </w:r>
    </w:p>
    <w:p w14:paraId="7B2C93D8" w14:textId="77777777" w:rsidR="00BF5F40" w:rsidRPr="00314F62" w:rsidRDefault="00DC0FFE" w:rsidP="00BF5F40">
      <w:pPr>
        <w:pStyle w:val="BodyTextIndent"/>
      </w:pPr>
      <w:r w:rsidRPr="00037FA8">
        <w:rPr>
          <w:rStyle w:val="BodyTextIndentBoldUnderlineChar"/>
          <w:b w:val="0"/>
          <w:bCs/>
        </w:rPr>
        <w:t>Tolerances</w:t>
      </w:r>
      <w:r w:rsidRPr="00314F62">
        <w:t>: Conform to the values specified in Table </w:t>
      </w:r>
      <w:r w:rsidR="00856CEA" w:rsidRPr="00314F62">
        <w:t>3</w:t>
      </w:r>
      <w:r w:rsidRPr="00314F62">
        <w:t>.5.</w:t>
      </w:r>
    </w:p>
    <w:p w14:paraId="7830CE96" w14:textId="1A706439" w:rsidR="003F63BA" w:rsidRPr="00314F62" w:rsidRDefault="003F63BA" w:rsidP="00FC7970">
      <w:pPr>
        <w:pStyle w:val="TableLegend"/>
      </w:pPr>
      <w:r w:rsidRPr="00314F62">
        <w:lastRenderedPageBreak/>
        <w:t>Table</w:t>
      </w:r>
      <w:r w:rsidR="001954BC" w:rsidRPr="00314F62">
        <w:t> </w:t>
      </w:r>
      <w:r w:rsidRPr="00314F62">
        <w:t>3.5 – Pavement marking tolerances</w:t>
      </w:r>
    </w:p>
    <w:tbl>
      <w:tblPr>
        <w:tblW w:w="8647" w:type="dxa"/>
        <w:tblInd w:w="709" w:type="dxa"/>
        <w:tblBorders>
          <w:insideH w:val="single" w:sz="4" w:space="0" w:color="auto"/>
        </w:tblBorders>
        <w:tblLayout w:type="fixed"/>
        <w:tblLook w:val="0000" w:firstRow="0" w:lastRow="0" w:firstColumn="0" w:lastColumn="0" w:noHBand="0" w:noVBand="0"/>
      </w:tblPr>
      <w:tblGrid>
        <w:gridCol w:w="4323"/>
        <w:gridCol w:w="4324"/>
      </w:tblGrid>
      <w:tr w:rsidR="00DC0FFE" w:rsidRPr="00314F62" w14:paraId="2B5C73BE" w14:textId="77777777" w:rsidTr="008A1CF6">
        <w:trPr>
          <w:trHeight w:val="397"/>
          <w:tblHeader/>
        </w:trPr>
        <w:tc>
          <w:tcPr>
            <w:tcW w:w="4323" w:type="dxa"/>
            <w:tcBorders>
              <w:top w:val="single" w:sz="12" w:space="0" w:color="auto"/>
              <w:bottom w:val="single" w:sz="12" w:space="0" w:color="auto"/>
            </w:tcBorders>
            <w:shd w:val="pct10" w:color="auto" w:fill="auto"/>
            <w:vAlign w:val="center"/>
          </w:tcPr>
          <w:p w14:paraId="037239EC" w14:textId="77777777" w:rsidR="00DC0FFE" w:rsidRPr="00314F62" w:rsidRDefault="00DC0FFE" w:rsidP="00540522">
            <w:pPr>
              <w:pStyle w:val="TableHead"/>
            </w:pPr>
            <w:r w:rsidRPr="00314F62">
              <w:t>Dimension</w:t>
            </w:r>
          </w:p>
        </w:tc>
        <w:tc>
          <w:tcPr>
            <w:tcW w:w="4324" w:type="dxa"/>
            <w:tcBorders>
              <w:top w:val="single" w:sz="12" w:space="0" w:color="auto"/>
              <w:bottom w:val="single" w:sz="12" w:space="0" w:color="auto"/>
            </w:tcBorders>
            <w:shd w:val="pct10" w:color="auto" w:fill="auto"/>
            <w:vAlign w:val="center"/>
          </w:tcPr>
          <w:p w14:paraId="5024B5BA" w14:textId="77777777" w:rsidR="00DC0FFE" w:rsidRPr="00314F62" w:rsidRDefault="00DC0FFE" w:rsidP="008607D0">
            <w:pPr>
              <w:pStyle w:val="TableHeadCen"/>
            </w:pPr>
            <w:r w:rsidRPr="00314F62">
              <w:t>Tolerance</w:t>
            </w:r>
          </w:p>
        </w:tc>
      </w:tr>
      <w:tr w:rsidR="00DC0FFE" w:rsidRPr="00314F62" w14:paraId="19A0C59B" w14:textId="77777777" w:rsidTr="00B05C40">
        <w:trPr>
          <w:trHeight w:val="397"/>
        </w:trPr>
        <w:tc>
          <w:tcPr>
            <w:tcW w:w="4323" w:type="dxa"/>
            <w:tcBorders>
              <w:bottom w:val="single" w:sz="8" w:space="0" w:color="auto"/>
            </w:tcBorders>
            <w:vAlign w:val="center"/>
          </w:tcPr>
          <w:p w14:paraId="14D10B54" w14:textId="77777777" w:rsidR="00DC0FFE" w:rsidRPr="00314F62" w:rsidRDefault="00DC0FFE" w:rsidP="00540522">
            <w:pPr>
              <w:pStyle w:val="TableBold"/>
            </w:pPr>
            <w:r w:rsidRPr="00314F62">
              <w:t>Longitudinal lines</w:t>
            </w:r>
          </w:p>
        </w:tc>
        <w:tc>
          <w:tcPr>
            <w:tcW w:w="4324" w:type="dxa"/>
            <w:tcBorders>
              <w:bottom w:val="single" w:sz="8" w:space="0" w:color="auto"/>
            </w:tcBorders>
            <w:vAlign w:val="center"/>
          </w:tcPr>
          <w:p w14:paraId="32AC5E0C" w14:textId="77777777" w:rsidR="00DC0FFE" w:rsidRPr="00314F62" w:rsidRDefault="00DC0FFE" w:rsidP="007F539C">
            <w:pPr>
              <w:pStyle w:val="BodyTextIndent2"/>
              <w:ind w:left="0"/>
              <w:jc w:val="center"/>
              <w:rPr>
                <w:sz w:val="18"/>
              </w:rPr>
            </w:pPr>
          </w:p>
        </w:tc>
      </w:tr>
      <w:tr w:rsidR="00DC0FFE" w:rsidRPr="00314F62" w14:paraId="05A67EC2" w14:textId="77777777" w:rsidTr="00B05C40">
        <w:trPr>
          <w:trHeight w:val="340"/>
        </w:trPr>
        <w:tc>
          <w:tcPr>
            <w:tcW w:w="4323" w:type="dxa"/>
            <w:tcBorders>
              <w:top w:val="single" w:sz="8" w:space="0" w:color="auto"/>
            </w:tcBorders>
            <w:vAlign w:val="center"/>
          </w:tcPr>
          <w:p w14:paraId="47C99D94" w14:textId="77777777" w:rsidR="00DC0FFE" w:rsidRPr="00314F62" w:rsidRDefault="00DC0FFE" w:rsidP="00540522">
            <w:pPr>
              <w:pStyle w:val="Table"/>
            </w:pPr>
            <w:r w:rsidRPr="00314F62">
              <w:t>Width of line</w:t>
            </w:r>
          </w:p>
        </w:tc>
        <w:tc>
          <w:tcPr>
            <w:tcW w:w="4324" w:type="dxa"/>
            <w:tcBorders>
              <w:top w:val="single" w:sz="8" w:space="0" w:color="auto"/>
            </w:tcBorders>
            <w:vAlign w:val="center"/>
          </w:tcPr>
          <w:p w14:paraId="1CAF218A" w14:textId="71EC5CEA" w:rsidR="00DC0FFE" w:rsidRPr="00314F62" w:rsidRDefault="00FB7A11" w:rsidP="007F539C">
            <w:pPr>
              <w:pStyle w:val="TableCen"/>
            </w:pPr>
            <w:r>
              <w:rPr>
                <w:rFonts w:cs="Arial"/>
              </w:rPr>
              <w:t>±</w:t>
            </w:r>
            <w:r w:rsidR="00DC0FFE" w:rsidRPr="00314F62">
              <w:t>10 mm</w:t>
            </w:r>
          </w:p>
        </w:tc>
      </w:tr>
      <w:tr w:rsidR="00DC0FFE" w:rsidRPr="00314F62" w14:paraId="3DCD5BA2" w14:textId="77777777" w:rsidTr="008A1CF6">
        <w:trPr>
          <w:trHeight w:val="340"/>
        </w:trPr>
        <w:tc>
          <w:tcPr>
            <w:tcW w:w="4323" w:type="dxa"/>
            <w:tcBorders>
              <w:bottom w:val="single" w:sz="4" w:space="0" w:color="auto"/>
            </w:tcBorders>
            <w:vAlign w:val="center"/>
          </w:tcPr>
          <w:p w14:paraId="5F5980DD" w14:textId="77777777" w:rsidR="00DC0FFE" w:rsidRPr="00314F62" w:rsidRDefault="00DC0FFE" w:rsidP="00540522">
            <w:pPr>
              <w:pStyle w:val="Table"/>
            </w:pPr>
            <w:r w:rsidRPr="00314F62">
              <w:t>Width of gap between adjacent lines</w:t>
            </w:r>
          </w:p>
        </w:tc>
        <w:tc>
          <w:tcPr>
            <w:tcW w:w="4324" w:type="dxa"/>
            <w:tcBorders>
              <w:bottom w:val="single" w:sz="4" w:space="0" w:color="auto"/>
            </w:tcBorders>
            <w:vAlign w:val="center"/>
          </w:tcPr>
          <w:p w14:paraId="07B17475" w14:textId="338E9E01" w:rsidR="00DC0FFE" w:rsidRPr="00314F62" w:rsidRDefault="00FB7A11" w:rsidP="007F539C">
            <w:pPr>
              <w:pStyle w:val="TableCen"/>
            </w:pPr>
            <w:r>
              <w:rPr>
                <w:rFonts w:cs="Arial"/>
              </w:rPr>
              <w:t>±</w:t>
            </w:r>
            <w:r w:rsidR="00DC0FFE" w:rsidRPr="00314F62">
              <w:t>10 mm</w:t>
            </w:r>
          </w:p>
        </w:tc>
      </w:tr>
      <w:tr w:rsidR="007F539C" w:rsidRPr="00314F62" w14:paraId="1EC307BF" w14:textId="77777777" w:rsidTr="008A1CF6">
        <w:trPr>
          <w:trHeight w:val="340"/>
        </w:trPr>
        <w:tc>
          <w:tcPr>
            <w:tcW w:w="4323" w:type="dxa"/>
            <w:tcBorders>
              <w:top w:val="single" w:sz="4" w:space="0" w:color="auto"/>
              <w:bottom w:val="nil"/>
            </w:tcBorders>
            <w:vAlign w:val="center"/>
          </w:tcPr>
          <w:p w14:paraId="0A41395C" w14:textId="77777777" w:rsidR="007F539C" w:rsidRPr="00314F62" w:rsidRDefault="007F539C" w:rsidP="00540522">
            <w:pPr>
              <w:pStyle w:val="Table"/>
            </w:pPr>
            <w:r w:rsidRPr="00314F62">
              <w:t>Length of line and/or gap</w:t>
            </w:r>
          </w:p>
        </w:tc>
        <w:tc>
          <w:tcPr>
            <w:tcW w:w="4324" w:type="dxa"/>
            <w:tcBorders>
              <w:top w:val="single" w:sz="4" w:space="0" w:color="auto"/>
              <w:bottom w:val="nil"/>
            </w:tcBorders>
            <w:vAlign w:val="center"/>
          </w:tcPr>
          <w:p w14:paraId="03423A4B" w14:textId="77777777" w:rsidR="007F539C" w:rsidRPr="00314F62" w:rsidRDefault="007F539C" w:rsidP="007F539C">
            <w:pPr>
              <w:pStyle w:val="TableCen"/>
            </w:pPr>
          </w:p>
        </w:tc>
      </w:tr>
      <w:tr w:rsidR="007F539C" w:rsidRPr="00314F62" w14:paraId="15034719" w14:textId="77777777" w:rsidTr="008A1CF6">
        <w:trPr>
          <w:trHeight w:val="340"/>
        </w:trPr>
        <w:tc>
          <w:tcPr>
            <w:tcW w:w="4323" w:type="dxa"/>
            <w:tcBorders>
              <w:top w:val="nil"/>
              <w:bottom w:val="nil"/>
            </w:tcBorders>
            <w:vAlign w:val="center"/>
          </w:tcPr>
          <w:p w14:paraId="3B0CDC38" w14:textId="77777777" w:rsidR="007F539C" w:rsidRPr="00314F62" w:rsidRDefault="007F539C" w:rsidP="00540522">
            <w:pPr>
              <w:pStyle w:val="TableDot1"/>
            </w:pPr>
            <w:r w:rsidRPr="00314F62">
              <w:t>New construction</w:t>
            </w:r>
          </w:p>
        </w:tc>
        <w:tc>
          <w:tcPr>
            <w:tcW w:w="4324" w:type="dxa"/>
            <w:tcBorders>
              <w:top w:val="nil"/>
              <w:bottom w:val="nil"/>
            </w:tcBorders>
            <w:vAlign w:val="center"/>
          </w:tcPr>
          <w:p w14:paraId="776912CD" w14:textId="037F154D" w:rsidR="007F539C" w:rsidRPr="00314F62" w:rsidRDefault="00FB7A11" w:rsidP="007F539C">
            <w:pPr>
              <w:pStyle w:val="TableCen"/>
            </w:pPr>
            <w:r>
              <w:rPr>
                <w:rFonts w:cs="Arial"/>
              </w:rPr>
              <w:t>±</w:t>
            </w:r>
            <w:r w:rsidR="007F539C" w:rsidRPr="00314F62">
              <w:t>100 mm</w:t>
            </w:r>
          </w:p>
        </w:tc>
      </w:tr>
      <w:tr w:rsidR="00DC0FFE" w:rsidRPr="00314F62" w14:paraId="7B0F00B8" w14:textId="77777777" w:rsidTr="008A1CF6">
        <w:trPr>
          <w:trHeight w:val="340"/>
        </w:trPr>
        <w:tc>
          <w:tcPr>
            <w:tcW w:w="4323" w:type="dxa"/>
            <w:tcBorders>
              <w:top w:val="nil"/>
              <w:bottom w:val="single" w:sz="4" w:space="0" w:color="auto"/>
            </w:tcBorders>
            <w:vAlign w:val="center"/>
          </w:tcPr>
          <w:p w14:paraId="39CB510A" w14:textId="77777777" w:rsidR="00DC0FFE" w:rsidRPr="00314F62" w:rsidRDefault="00DC0FFE" w:rsidP="00540522">
            <w:pPr>
              <w:pStyle w:val="TableDot1"/>
            </w:pPr>
            <w:r w:rsidRPr="00314F62">
              <w:t>Reseals and asphalt overlays</w:t>
            </w:r>
          </w:p>
        </w:tc>
        <w:tc>
          <w:tcPr>
            <w:tcW w:w="4324" w:type="dxa"/>
            <w:tcBorders>
              <w:top w:val="nil"/>
              <w:bottom w:val="single" w:sz="4" w:space="0" w:color="auto"/>
            </w:tcBorders>
            <w:vAlign w:val="center"/>
          </w:tcPr>
          <w:p w14:paraId="47F0C6FF" w14:textId="47B5E548" w:rsidR="00DC0FFE" w:rsidRPr="00314F62" w:rsidRDefault="00FB7A11" w:rsidP="007F539C">
            <w:pPr>
              <w:pStyle w:val="TableCen"/>
            </w:pPr>
            <w:r>
              <w:rPr>
                <w:rFonts w:cs="Arial"/>
              </w:rPr>
              <w:t>±</w:t>
            </w:r>
            <w:r w:rsidR="00DC0FFE" w:rsidRPr="00314F62">
              <w:t>300 mm</w:t>
            </w:r>
          </w:p>
        </w:tc>
      </w:tr>
      <w:tr w:rsidR="007F539C" w:rsidRPr="00314F62" w14:paraId="4DC6EA11" w14:textId="77777777" w:rsidTr="008A1CF6">
        <w:trPr>
          <w:trHeight w:val="340"/>
        </w:trPr>
        <w:tc>
          <w:tcPr>
            <w:tcW w:w="4323" w:type="dxa"/>
            <w:tcBorders>
              <w:top w:val="single" w:sz="4" w:space="0" w:color="auto"/>
              <w:bottom w:val="nil"/>
            </w:tcBorders>
            <w:vAlign w:val="center"/>
          </w:tcPr>
          <w:p w14:paraId="099B9C1E" w14:textId="77777777" w:rsidR="007F539C" w:rsidRPr="00314F62" w:rsidRDefault="007F539C" w:rsidP="00540522">
            <w:pPr>
              <w:pStyle w:val="Table"/>
            </w:pPr>
            <w:r w:rsidRPr="00314F62">
              <w:t>Lateral Placement from spotting</w:t>
            </w:r>
          </w:p>
        </w:tc>
        <w:tc>
          <w:tcPr>
            <w:tcW w:w="4324" w:type="dxa"/>
            <w:tcBorders>
              <w:top w:val="single" w:sz="4" w:space="0" w:color="auto"/>
              <w:bottom w:val="nil"/>
            </w:tcBorders>
            <w:vAlign w:val="center"/>
          </w:tcPr>
          <w:p w14:paraId="31C0D562" w14:textId="77777777" w:rsidR="007F539C" w:rsidRPr="00314F62" w:rsidRDefault="007F539C" w:rsidP="007F539C">
            <w:pPr>
              <w:pStyle w:val="TableCen"/>
            </w:pPr>
          </w:p>
        </w:tc>
      </w:tr>
      <w:tr w:rsidR="007F539C" w:rsidRPr="00314F62" w14:paraId="38DD86CB" w14:textId="77777777" w:rsidTr="008A1CF6">
        <w:trPr>
          <w:trHeight w:val="340"/>
        </w:trPr>
        <w:tc>
          <w:tcPr>
            <w:tcW w:w="4323" w:type="dxa"/>
            <w:tcBorders>
              <w:top w:val="nil"/>
              <w:bottom w:val="nil"/>
            </w:tcBorders>
            <w:vAlign w:val="center"/>
          </w:tcPr>
          <w:p w14:paraId="630E635E" w14:textId="77777777" w:rsidR="007F539C" w:rsidRPr="00314F62" w:rsidRDefault="007F539C" w:rsidP="00540522">
            <w:pPr>
              <w:pStyle w:val="TableDot1"/>
            </w:pPr>
            <w:r w:rsidRPr="00314F62">
              <w:t>New construction</w:t>
            </w:r>
          </w:p>
        </w:tc>
        <w:tc>
          <w:tcPr>
            <w:tcW w:w="4324" w:type="dxa"/>
            <w:tcBorders>
              <w:top w:val="nil"/>
              <w:bottom w:val="nil"/>
            </w:tcBorders>
            <w:vAlign w:val="center"/>
          </w:tcPr>
          <w:p w14:paraId="3A06FB25" w14:textId="6A5E0F77" w:rsidR="007F539C" w:rsidRPr="00314F62" w:rsidRDefault="00FB7A11" w:rsidP="007F539C">
            <w:pPr>
              <w:pStyle w:val="TableCen"/>
            </w:pPr>
            <w:r>
              <w:rPr>
                <w:rFonts w:cs="Arial"/>
              </w:rPr>
              <w:t>±</w:t>
            </w:r>
            <w:r w:rsidR="007F539C" w:rsidRPr="00314F62">
              <w:t>20 mm</w:t>
            </w:r>
          </w:p>
        </w:tc>
      </w:tr>
      <w:tr w:rsidR="00DC0FFE" w:rsidRPr="00314F62" w14:paraId="5408FC82" w14:textId="77777777" w:rsidTr="008A1CF6">
        <w:trPr>
          <w:trHeight w:val="340"/>
        </w:trPr>
        <w:tc>
          <w:tcPr>
            <w:tcW w:w="4323" w:type="dxa"/>
            <w:tcBorders>
              <w:top w:val="nil"/>
              <w:bottom w:val="single" w:sz="4" w:space="0" w:color="auto"/>
            </w:tcBorders>
            <w:vAlign w:val="center"/>
          </w:tcPr>
          <w:p w14:paraId="2588F71C" w14:textId="77777777" w:rsidR="00DC0FFE" w:rsidRPr="00314F62" w:rsidRDefault="00DC0FFE" w:rsidP="00540522">
            <w:pPr>
              <w:pStyle w:val="TableDot1"/>
            </w:pPr>
            <w:r w:rsidRPr="00314F62">
              <w:t>Reseals and asphalt overlays</w:t>
            </w:r>
          </w:p>
        </w:tc>
        <w:tc>
          <w:tcPr>
            <w:tcW w:w="4324" w:type="dxa"/>
            <w:tcBorders>
              <w:top w:val="nil"/>
              <w:bottom w:val="single" w:sz="4" w:space="0" w:color="auto"/>
            </w:tcBorders>
            <w:vAlign w:val="center"/>
          </w:tcPr>
          <w:p w14:paraId="127CAD17" w14:textId="2F0C79CD" w:rsidR="00DC0FFE" w:rsidRPr="00314F62" w:rsidRDefault="00FB7A11" w:rsidP="007F539C">
            <w:pPr>
              <w:pStyle w:val="TableCen"/>
            </w:pPr>
            <w:r>
              <w:rPr>
                <w:rFonts w:cs="Arial"/>
              </w:rPr>
              <w:t>±</w:t>
            </w:r>
            <w:r w:rsidR="00DC0FFE" w:rsidRPr="00314F62">
              <w:t>40 mm</w:t>
            </w:r>
          </w:p>
        </w:tc>
      </w:tr>
      <w:tr w:rsidR="00DC0FFE" w:rsidRPr="00314F62" w14:paraId="20C1E7A0" w14:textId="77777777" w:rsidTr="008A1CF6">
        <w:trPr>
          <w:trHeight w:val="340"/>
        </w:trPr>
        <w:tc>
          <w:tcPr>
            <w:tcW w:w="4323" w:type="dxa"/>
            <w:tcBorders>
              <w:top w:val="single" w:sz="4" w:space="0" w:color="auto"/>
            </w:tcBorders>
            <w:vAlign w:val="center"/>
          </w:tcPr>
          <w:p w14:paraId="77CBE70F" w14:textId="77777777" w:rsidR="00DC0FFE" w:rsidRPr="00314F62" w:rsidRDefault="00DC0FFE" w:rsidP="00540522">
            <w:pPr>
              <w:pStyle w:val="Table"/>
            </w:pPr>
            <w:r w:rsidRPr="00314F62">
              <w:t>Lateral Placement from existing line (repaints)</w:t>
            </w:r>
          </w:p>
        </w:tc>
        <w:tc>
          <w:tcPr>
            <w:tcW w:w="4324" w:type="dxa"/>
            <w:tcBorders>
              <w:top w:val="single" w:sz="4" w:space="0" w:color="auto"/>
            </w:tcBorders>
            <w:vAlign w:val="center"/>
          </w:tcPr>
          <w:p w14:paraId="646C1080" w14:textId="59E7B137" w:rsidR="00DC0FFE" w:rsidRPr="00314F62" w:rsidRDefault="00FB7A11" w:rsidP="007F539C">
            <w:pPr>
              <w:pStyle w:val="TableCen"/>
            </w:pPr>
            <w:r>
              <w:rPr>
                <w:rFonts w:cs="Arial"/>
              </w:rPr>
              <w:t>±</w:t>
            </w:r>
            <w:r w:rsidR="00DC0FFE" w:rsidRPr="00314F62">
              <w:t>25 mm</w:t>
            </w:r>
          </w:p>
        </w:tc>
      </w:tr>
      <w:tr w:rsidR="00DC0FFE" w:rsidRPr="00314F62" w14:paraId="6F7F56A9" w14:textId="77777777" w:rsidTr="00F82FC4">
        <w:trPr>
          <w:trHeight w:val="340"/>
        </w:trPr>
        <w:tc>
          <w:tcPr>
            <w:tcW w:w="4323" w:type="dxa"/>
            <w:tcBorders>
              <w:bottom w:val="single" w:sz="8" w:space="0" w:color="auto"/>
            </w:tcBorders>
            <w:vAlign w:val="center"/>
          </w:tcPr>
          <w:p w14:paraId="49DFB8E5" w14:textId="77777777" w:rsidR="00DC0FFE" w:rsidRPr="00314F62" w:rsidRDefault="00DC0FFE" w:rsidP="00540522">
            <w:pPr>
              <w:pStyle w:val="Table"/>
            </w:pPr>
            <w:r w:rsidRPr="00314F62">
              <w:t>Trueness of line</w:t>
            </w:r>
          </w:p>
        </w:tc>
        <w:tc>
          <w:tcPr>
            <w:tcW w:w="4324" w:type="dxa"/>
            <w:tcBorders>
              <w:bottom w:val="single" w:sz="8" w:space="0" w:color="auto"/>
            </w:tcBorders>
            <w:vAlign w:val="center"/>
          </w:tcPr>
          <w:p w14:paraId="26C505E1" w14:textId="5D48F793" w:rsidR="00DC0FFE" w:rsidRPr="00314F62" w:rsidRDefault="00DC0FFE" w:rsidP="007F539C">
            <w:pPr>
              <w:pStyle w:val="TableCen"/>
            </w:pPr>
            <w:r w:rsidRPr="00314F62">
              <w:t>&lt;15 mm</w:t>
            </w:r>
            <w:r w:rsidR="008055EF" w:rsidRPr="00314F62">
              <w:t> </w:t>
            </w:r>
            <w:r w:rsidRPr="00314F62">
              <w:t>in</w:t>
            </w:r>
            <w:r w:rsidR="008055EF" w:rsidRPr="00314F62">
              <w:t> </w:t>
            </w:r>
            <w:r w:rsidRPr="00314F62">
              <w:t>10 m</w:t>
            </w:r>
          </w:p>
        </w:tc>
      </w:tr>
      <w:tr w:rsidR="00DC0FFE" w:rsidRPr="00314F62" w14:paraId="2C46D820" w14:textId="77777777" w:rsidTr="00F82FC4">
        <w:trPr>
          <w:trHeight w:val="397"/>
        </w:trPr>
        <w:tc>
          <w:tcPr>
            <w:tcW w:w="4323" w:type="dxa"/>
            <w:tcBorders>
              <w:top w:val="single" w:sz="8" w:space="0" w:color="auto"/>
              <w:bottom w:val="single" w:sz="8" w:space="0" w:color="auto"/>
            </w:tcBorders>
            <w:vAlign w:val="center"/>
          </w:tcPr>
          <w:p w14:paraId="032C8E01" w14:textId="77777777" w:rsidR="00DC0FFE" w:rsidRPr="00314F62" w:rsidRDefault="00DC0FFE" w:rsidP="00540522">
            <w:pPr>
              <w:pStyle w:val="TableBold"/>
            </w:pPr>
            <w:r w:rsidRPr="00314F62">
              <w:t>Transverse markings</w:t>
            </w:r>
          </w:p>
        </w:tc>
        <w:tc>
          <w:tcPr>
            <w:tcW w:w="4324" w:type="dxa"/>
            <w:tcBorders>
              <w:top w:val="single" w:sz="8" w:space="0" w:color="auto"/>
              <w:bottom w:val="single" w:sz="8" w:space="0" w:color="auto"/>
            </w:tcBorders>
            <w:vAlign w:val="center"/>
          </w:tcPr>
          <w:p w14:paraId="5F507289" w14:textId="77777777" w:rsidR="00DC0FFE" w:rsidRPr="00314F62" w:rsidRDefault="00DC0FFE" w:rsidP="007F539C">
            <w:pPr>
              <w:pStyle w:val="TableCen"/>
            </w:pPr>
          </w:p>
        </w:tc>
      </w:tr>
      <w:tr w:rsidR="00DC0FFE" w:rsidRPr="00314F62" w14:paraId="096E63F2" w14:textId="77777777" w:rsidTr="00F82FC4">
        <w:trPr>
          <w:trHeight w:val="340"/>
        </w:trPr>
        <w:tc>
          <w:tcPr>
            <w:tcW w:w="4323" w:type="dxa"/>
            <w:tcBorders>
              <w:top w:val="single" w:sz="8" w:space="0" w:color="auto"/>
            </w:tcBorders>
            <w:vAlign w:val="center"/>
          </w:tcPr>
          <w:p w14:paraId="34DE12C0" w14:textId="77777777" w:rsidR="00DC0FFE" w:rsidRPr="00314F62" w:rsidRDefault="00DC0FFE" w:rsidP="00540522">
            <w:pPr>
              <w:pStyle w:val="Table"/>
            </w:pPr>
            <w:r w:rsidRPr="00314F62">
              <w:t>Dimension of transverse markings and shapes</w:t>
            </w:r>
          </w:p>
        </w:tc>
        <w:tc>
          <w:tcPr>
            <w:tcW w:w="4324" w:type="dxa"/>
            <w:tcBorders>
              <w:top w:val="single" w:sz="8" w:space="0" w:color="auto"/>
            </w:tcBorders>
            <w:vAlign w:val="center"/>
          </w:tcPr>
          <w:p w14:paraId="46822265" w14:textId="4376869E" w:rsidR="00DC0FFE" w:rsidRPr="00314F62" w:rsidRDefault="00FB7A11" w:rsidP="007F539C">
            <w:pPr>
              <w:pStyle w:val="TableCen"/>
            </w:pPr>
            <w:r>
              <w:rPr>
                <w:rFonts w:cs="Arial"/>
              </w:rPr>
              <w:t>±</w:t>
            </w:r>
            <w:r w:rsidR="00DC0FFE" w:rsidRPr="00314F62">
              <w:t>20 mm</w:t>
            </w:r>
          </w:p>
        </w:tc>
      </w:tr>
      <w:tr w:rsidR="00DC0FFE" w:rsidRPr="00314F62" w14:paraId="3963408D" w14:textId="77777777" w:rsidTr="008A1CF6">
        <w:trPr>
          <w:trHeight w:val="340"/>
        </w:trPr>
        <w:tc>
          <w:tcPr>
            <w:tcW w:w="4323" w:type="dxa"/>
            <w:vAlign w:val="center"/>
          </w:tcPr>
          <w:p w14:paraId="6AFCF9ED" w14:textId="77777777" w:rsidR="00DC0FFE" w:rsidRPr="00314F62" w:rsidRDefault="00DC0FFE" w:rsidP="00540522">
            <w:pPr>
              <w:pStyle w:val="Table"/>
            </w:pPr>
            <w:r w:rsidRPr="00314F62">
              <w:t>Placement from spotting</w:t>
            </w:r>
          </w:p>
        </w:tc>
        <w:tc>
          <w:tcPr>
            <w:tcW w:w="4324" w:type="dxa"/>
            <w:vAlign w:val="center"/>
          </w:tcPr>
          <w:p w14:paraId="060CF016" w14:textId="542BF04F" w:rsidR="00DC0FFE" w:rsidRPr="00314F62" w:rsidRDefault="00FB7A11" w:rsidP="007F539C">
            <w:pPr>
              <w:pStyle w:val="TableCen"/>
            </w:pPr>
            <w:r>
              <w:rPr>
                <w:rFonts w:cs="Arial"/>
              </w:rPr>
              <w:t>±</w:t>
            </w:r>
            <w:r w:rsidR="00DC0FFE" w:rsidRPr="00314F62">
              <w:t>20 mm</w:t>
            </w:r>
          </w:p>
        </w:tc>
      </w:tr>
      <w:tr w:rsidR="00DC0FFE" w:rsidRPr="00314F62" w14:paraId="2212572D" w14:textId="77777777" w:rsidTr="00B05C40">
        <w:trPr>
          <w:trHeight w:val="340"/>
        </w:trPr>
        <w:tc>
          <w:tcPr>
            <w:tcW w:w="4323" w:type="dxa"/>
            <w:tcBorders>
              <w:bottom w:val="single" w:sz="8" w:space="0" w:color="auto"/>
            </w:tcBorders>
            <w:vAlign w:val="center"/>
          </w:tcPr>
          <w:p w14:paraId="2FB042C8" w14:textId="77777777" w:rsidR="00DC0FFE" w:rsidRPr="00314F62" w:rsidRDefault="00DC0FFE" w:rsidP="00540522">
            <w:pPr>
              <w:pStyle w:val="Table"/>
            </w:pPr>
            <w:r w:rsidRPr="00314F62">
              <w:t>Placement from existing markings</w:t>
            </w:r>
          </w:p>
        </w:tc>
        <w:tc>
          <w:tcPr>
            <w:tcW w:w="4324" w:type="dxa"/>
            <w:tcBorders>
              <w:bottom w:val="single" w:sz="8" w:space="0" w:color="auto"/>
            </w:tcBorders>
            <w:vAlign w:val="center"/>
          </w:tcPr>
          <w:p w14:paraId="17FEB92B" w14:textId="34C635D9" w:rsidR="00DC0FFE" w:rsidRPr="00314F62" w:rsidRDefault="00FB7A11" w:rsidP="007F539C">
            <w:pPr>
              <w:pStyle w:val="TableCen"/>
            </w:pPr>
            <w:r>
              <w:rPr>
                <w:rFonts w:cs="Arial"/>
              </w:rPr>
              <w:t>±</w:t>
            </w:r>
            <w:r w:rsidR="00DC0FFE" w:rsidRPr="00314F62">
              <w:t>20 mm</w:t>
            </w:r>
          </w:p>
        </w:tc>
      </w:tr>
      <w:tr w:rsidR="00DC0FFE" w:rsidRPr="00314F62" w14:paraId="44E74E2E" w14:textId="77777777" w:rsidTr="00B05C40">
        <w:trPr>
          <w:trHeight w:val="397"/>
        </w:trPr>
        <w:tc>
          <w:tcPr>
            <w:tcW w:w="4323" w:type="dxa"/>
            <w:tcBorders>
              <w:top w:val="single" w:sz="8" w:space="0" w:color="auto"/>
              <w:bottom w:val="single" w:sz="8" w:space="0" w:color="auto"/>
            </w:tcBorders>
            <w:vAlign w:val="center"/>
          </w:tcPr>
          <w:p w14:paraId="34A727CC" w14:textId="77777777" w:rsidR="00DC0FFE" w:rsidRPr="00314F62" w:rsidRDefault="00DC0FFE" w:rsidP="00540522">
            <w:pPr>
              <w:pStyle w:val="TableBold"/>
            </w:pPr>
            <w:r w:rsidRPr="00314F62">
              <w:t>Raised pavement markers</w:t>
            </w:r>
          </w:p>
        </w:tc>
        <w:tc>
          <w:tcPr>
            <w:tcW w:w="4324" w:type="dxa"/>
            <w:tcBorders>
              <w:top w:val="single" w:sz="8" w:space="0" w:color="auto"/>
              <w:bottom w:val="single" w:sz="8" w:space="0" w:color="auto"/>
            </w:tcBorders>
            <w:vAlign w:val="center"/>
          </w:tcPr>
          <w:p w14:paraId="0BAE9DC5" w14:textId="77777777" w:rsidR="00DC0FFE" w:rsidRPr="00314F62" w:rsidRDefault="00DC0FFE" w:rsidP="007F539C">
            <w:pPr>
              <w:pStyle w:val="TableCen"/>
            </w:pPr>
          </w:p>
        </w:tc>
      </w:tr>
      <w:tr w:rsidR="007F539C" w:rsidRPr="00314F62" w14:paraId="63A5DEBC" w14:textId="77777777" w:rsidTr="00B05C40">
        <w:trPr>
          <w:trHeight w:val="340"/>
        </w:trPr>
        <w:tc>
          <w:tcPr>
            <w:tcW w:w="4323" w:type="dxa"/>
            <w:tcBorders>
              <w:top w:val="single" w:sz="8" w:space="0" w:color="auto"/>
              <w:bottom w:val="nil"/>
            </w:tcBorders>
            <w:vAlign w:val="center"/>
          </w:tcPr>
          <w:p w14:paraId="78AF1CB7" w14:textId="77777777" w:rsidR="007F539C" w:rsidRPr="00314F62" w:rsidRDefault="007F539C" w:rsidP="00540522">
            <w:pPr>
              <w:pStyle w:val="Table"/>
            </w:pPr>
            <w:r w:rsidRPr="00314F62">
              <w:t>Lateral position</w:t>
            </w:r>
          </w:p>
        </w:tc>
        <w:tc>
          <w:tcPr>
            <w:tcW w:w="4324" w:type="dxa"/>
            <w:tcBorders>
              <w:top w:val="single" w:sz="8" w:space="0" w:color="auto"/>
              <w:bottom w:val="nil"/>
            </w:tcBorders>
            <w:vAlign w:val="center"/>
          </w:tcPr>
          <w:p w14:paraId="70ED88CC" w14:textId="77777777" w:rsidR="007F539C" w:rsidRPr="00314F62" w:rsidRDefault="007F539C" w:rsidP="007F539C">
            <w:pPr>
              <w:pStyle w:val="TableCen"/>
            </w:pPr>
          </w:p>
        </w:tc>
      </w:tr>
      <w:tr w:rsidR="00540522" w:rsidRPr="00314F62" w14:paraId="347CBE96" w14:textId="77777777" w:rsidTr="008A1CF6">
        <w:trPr>
          <w:trHeight w:val="340"/>
        </w:trPr>
        <w:tc>
          <w:tcPr>
            <w:tcW w:w="4323" w:type="dxa"/>
            <w:tcBorders>
              <w:top w:val="nil"/>
              <w:bottom w:val="nil"/>
            </w:tcBorders>
            <w:vAlign w:val="center"/>
          </w:tcPr>
          <w:p w14:paraId="6D5ED066" w14:textId="77777777" w:rsidR="00540522" w:rsidRPr="00314F62" w:rsidRDefault="00540522" w:rsidP="00540522">
            <w:pPr>
              <w:pStyle w:val="TableDot1"/>
            </w:pPr>
            <w:r w:rsidRPr="00314F62">
              <w:t>Barrier and edge line</w:t>
            </w:r>
          </w:p>
        </w:tc>
        <w:tc>
          <w:tcPr>
            <w:tcW w:w="4324" w:type="dxa"/>
            <w:tcBorders>
              <w:top w:val="nil"/>
              <w:bottom w:val="nil"/>
            </w:tcBorders>
            <w:vAlign w:val="center"/>
          </w:tcPr>
          <w:p w14:paraId="696DCDCA" w14:textId="5CF082C7" w:rsidR="00540522" w:rsidRPr="00314F62" w:rsidRDefault="00540522" w:rsidP="007F539C">
            <w:pPr>
              <w:pStyle w:val="TableCen"/>
            </w:pPr>
            <w:r w:rsidRPr="00314F62">
              <w:t>+25 mm, -50 mm</w:t>
            </w:r>
            <w:r w:rsidR="008055EF" w:rsidRPr="00314F62">
              <w:t> </w:t>
            </w:r>
            <w:r w:rsidRPr="00314F62">
              <w:t>from</w:t>
            </w:r>
            <w:r w:rsidR="008055EF" w:rsidRPr="00314F62">
              <w:t> </w:t>
            </w:r>
            <w:r w:rsidRPr="00314F62">
              <w:t>longitudina</w:t>
            </w:r>
            <w:r w:rsidR="008055EF">
              <w:t>l</w:t>
            </w:r>
            <w:r w:rsidR="008055EF" w:rsidRPr="00314F62">
              <w:t> </w:t>
            </w:r>
            <w:r w:rsidRPr="00314F62">
              <w:t>line</w:t>
            </w:r>
          </w:p>
        </w:tc>
      </w:tr>
      <w:tr w:rsidR="00540522" w:rsidRPr="00314F62" w14:paraId="6F242487" w14:textId="77777777" w:rsidTr="008A1CF6">
        <w:trPr>
          <w:trHeight w:val="340"/>
        </w:trPr>
        <w:tc>
          <w:tcPr>
            <w:tcW w:w="4323" w:type="dxa"/>
            <w:tcBorders>
              <w:top w:val="nil"/>
              <w:bottom w:val="nil"/>
            </w:tcBorders>
            <w:vAlign w:val="center"/>
          </w:tcPr>
          <w:p w14:paraId="30A8522A" w14:textId="77777777" w:rsidR="00540522" w:rsidRPr="00314F62" w:rsidRDefault="00540522" w:rsidP="00540522">
            <w:pPr>
              <w:pStyle w:val="TableDot1"/>
            </w:pPr>
            <w:r w:rsidRPr="00314F62">
              <w:t>Broken line</w:t>
            </w:r>
          </w:p>
        </w:tc>
        <w:tc>
          <w:tcPr>
            <w:tcW w:w="4324" w:type="dxa"/>
            <w:tcBorders>
              <w:top w:val="nil"/>
              <w:bottom w:val="nil"/>
            </w:tcBorders>
            <w:vAlign w:val="center"/>
          </w:tcPr>
          <w:p w14:paraId="4464EEA6" w14:textId="7EB54C8E" w:rsidR="00540522" w:rsidRPr="00314F62" w:rsidRDefault="00FB7A11" w:rsidP="007F539C">
            <w:pPr>
              <w:pStyle w:val="TableCen"/>
            </w:pPr>
            <w:r>
              <w:rPr>
                <w:rFonts w:cs="Arial"/>
              </w:rPr>
              <w:t>±</w:t>
            </w:r>
            <w:r w:rsidR="00540522" w:rsidRPr="00314F62">
              <w:t>20 mm</w:t>
            </w:r>
          </w:p>
        </w:tc>
      </w:tr>
      <w:tr w:rsidR="00DC0FFE" w:rsidRPr="00314F62" w14:paraId="32CC64C4" w14:textId="77777777" w:rsidTr="008A1CF6">
        <w:trPr>
          <w:trHeight w:val="340"/>
        </w:trPr>
        <w:tc>
          <w:tcPr>
            <w:tcW w:w="4323" w:type="dxa"/>
            <w:tcBorders>
              <w:top w:val="nil"/>
              <w:bottom w:val="single" w:sz="4" w:space="0" w:color="auto"/>
            </w:tcBorders>
            <w:vAlign w:val="center"/>
          </w:tcPr>
          <w:p w14:paraId="589A4128" w14:textId="77777777" w:rsidR="00DC0FFE" w:rsidRPr="00314F62" w:rsidRDefault="00DC0FFE" w:rsidP="00540522">
            <w:pPr>
              <w:pStyle w:val="TableDot1"/>
            </w:pPr>
            <w:r w:rsidRPr="00314F62">
              <w:t>Flush medians</w:t>
            </w:r>
          </w:p>
        </w:tc>
        <w:tc>
          <w:tcPr>
            <w:tcW w:w="4324" w:type="dxa"/>
            <w:tcBorders>
              <w:top w:val="nil"/>
              <w:bottom w:val="single" w:sz="4" w:space="0" w:color="auto"/>
            </w:tcBorders>
            <w:vAlign w:val="center"/>
          </w:tcPr>
          <w:p w14:paraId="30C28DF3" w14:textId="164A31F5" w:rsidR="00DC0FFE" w:rsidRPr="00314F62" w:rsidRDefault="00FB7A11" w:rsidP="007F539C">
            <w:pPr>
              <w:pStyle w:val="TableCen"/>
            </w:pPr>
            <w:r>
              <w:rPr>
                <w:rFonts w:cs="Arial"/>
              </w:rPr>
              <w:t>±</w:t>
            </w:r>
            <w:r w:rsidR="00DC0FFE" w:rsidRPr="00314F62">
              <w:t>20 mm</w:t>
            </w:r>
          </w:p>
        </w:tc>
      </w:tr>
      <w:tr w:rsidR="007F539C" w:rsidRPr="00314F62" w14:paraId="6DC34B49" w14:textId="77777777" w:rsidTr="008A1CF6">
        <w:trPr>
          <w:trHeight w:val="340"/>
        </w:trPr>
        <w:tc>
          <w:tcPr>
            <w:tcW w:w="4323" w:type="dxa"/>
            <w:tcBorders>
              <w:top w:val="single" w:sz="4" w:space="0" w:color="auto"/>
              <w:bottom w:val="nil"/>
            </w:tcBorders>
            <w:vAlign w:val="center"/>
          </w:tcPr>
          <w:p w14:paraId="66428399" w14:textId="77777777" w:rsidR="007F539C" w:rsidRPr="00314F62" w:rsidRDefault="007F539C" w:rsidP="00540522">
            <w:pPr>
              <w:pStyle w:val="Table"/>
            </w:pPr>
            <w:r w:rsidRPr="00314F62">
              <w:t>Longitudinal position</w:t>
            </w:r>
          </w:p>
        </w:tc>
        <w:tc>
          <w:tcPr>
            <w:tcW w:w="4324" w:type="dxa"/>
            <w:tcBorders>
              <w:top w:val="single" w:sz="4" w:space="0" w:color="auto"/>
              <w:bottom w:val="nil"/>
            </w:tcBorders>
            <w:vAlign w:val="center"/>
          </w:tcPr>
          <w:p w14:paraId="20BF80F7" w14:textId="77777777" w:rsidR="007F539C" w:rsidRPr="00314F62" w:rsidRDefault="007F539C" w:rsidP="007F539C">
            <w:pPr>
              <w:pStyle w:val="TableCen"/>
            </w:pPr>
          </w:p>
        </w:tc>
      </w:tr>
      <w:tr w:rsidR="00540522" w:rsidRPr="00314F62" w14:paraId="6EB76DCA" w14:textId="77777777" w:rsidTr="008A1CF6">
        <w:trPr>
          <w:trHeight w:val="340"/>
        </w:trPr>
        <w:tc>
          <w:tcPr>
            <w:tcW w:w="4323" w:type="dxa"/>
            <w:tcBorders>
              <w:top w:val="nil"/>
              <w:bottom w:val="nil"/>
            </w:tcBorders>
            <w:vAlign w:val="center"/>
          </w:tcPr>
          <w:p w14:paraId="782C1B43" w14:textId="77777777" w:rsidR="00540522" w:rsidRPr="00314F62" w:rsidRDefault="00540522" w:rsidP="00540522">
            <w:pPr>
              <w:pStyle w:val="TableDot1"/>
            </w:pPr>
            <w:r w:rsidRPr="00314F62">
              <w:t>New construction</w:t>
            </w:r>
          </w:p>
        </w:tc>
        <w:tc>
          <w:tcPr>
            <w:tcW w:w="4324" w:type="dxa"/>
            <w:tcBorders>
              <w:top w:val="nil"/>
              <w:bottom w:val="nil"/>
            </w:tcBorders>
            <w:vAlign w:val="center"/>
          </w:tcPr>
          <w:p w14:paraId="4F1EE156" w14:textId="29EB3C73" w:rsidR="00540522" w:rsidRPr="00314F62" w:rsidRDefault="00FB7A11" w:rsidP="007F539C">
            <w:pPr>
              <w:pStyle w:val="TableCen"/>
            </w:pPr>
            <w:r>
              <w:rPr>
                <w:rFonts w:cs="Arial"/>
              </w:rPr>
              <w:t>±</w:t>
            </w:r>
            <w:r w:rsidR="00540522" w:rsidRPr="00314F62">
              <w:t>100 mm</w:t>
            </w:r>
          </w:p>
        </w:tc>
      </w:tr>
      <w:tr w:rsidR="00DC0FFE" w:rsidRPr="00314F62" w14:paraId="5594647F" w14:textId="77777777" w:rsidTr="008A1CF6">
        <w:trPr>
          <w:trHeight w:val="340"/>
        </w:trPr>
        <w:tc>
          <w:tcPr>
            <w:tcW w:w="4323" w:type="dxa"/>
            <w:tcBorders>
              <w:top w:val="nil"/>
              <w:bottom w:val="single" w:sz="12" w:space="0" w:color="auto"/>
            </w:tcBorders>
            <w:vAlign w:val="center"/>
          </w:tcPr>
          <w:p w14:paraId="0DFBDE83" w14:textId="77777777" w:rsidR="00DC0FFE" w:rsidRPr="00314F62" w:rsidRDefault="00DC0FFE" w:rsidP="00540522">
            <w:pPr>
              <w:pStyle w:val="TableDot1"/>
            </w:pPr>
            <w:r w:rsidRPr="00314F62">
              <w:t>Replacement</w:t>
            </w:r>
          </w:p>
        </w:tc>
        <w:tc>
          <w:tcPr>
            <w:tcW w:w="4324" w:type="dxa"/>
            <w:tcBorders>
              <w:top w:val="nil"/>
              <w:bottom w:val="single" w:sz="12" w:space="0" w:color="auto"/>
            </w:tcBorders>
            <w:vAlign w:val="center"/>
          </w:tcPr>
          <w:p w14:paraId="12941272" w14:textId="413D4977" w:rsidR="00DC0FFE" w:rsidRPr="00314F62" w:rsidRDefault="00FB7A11" w:rsidP="007F539C">
            <w:pPr>
              <w:pStyle w:val="TableCen"/>
            </w:pPr>
            <w:r>
              <w:rPr>
                <w:rFonts w:cs="Arial"/>
              </w:rPr>
              <w:t>±</w:t>
            </w:r>
            <w:r w:rsidR="00DC0FFE" w:rsidRPr="00314F62">
              <w:t>300 mm</w:t>
            </w:r>
          </w:p>
        </w:tc>
      </w:tr>
    </w:tbl>
    <w:p w14:paraId="38E0481C" w14:textId="77777777" w:rsidR="00DC0FFE" w:rsidRPr="00314F62" w:rsidRDefault="00464920" w:rsidP="00DE4BB4">
      <w:pPr>
        <w:pStyle w:val="Heading3"/>
      </w:pPr>
      <w:bookmarkStart w:id="53" w:name="_Toc75951913"/>
      <w:r w:rsidRPr="00314F62">
        <w:t>Installation Requirements</w:t>
      </w:r>
      <w:bookmarkEnd w:id="53"/>
    </w:p>
    <w:p w14:paraId="0F3B2A33" w14:textId="77777777" w:rsidR="00DC0FFE" w:rsidRPr="00314F62" w:rsidRDefault="00DC0FFE" w:rsidP="00DE4BB4">
      <w:pPr>
        <w:pStyle w:val="Heading4"/>
      </w:pPr>
      <w:bookmarkStart w:id="54" w:name="_Toc75951914"/>
      <w:r w:rsidRPr="00314F62">
        <w:t>Marking dimensions and layout</w:t>
      </w:r>
      <w:bookmarkEnd w:id="54"/>
    </w:p>
    <w:p w14:paraId="6BCE99B3" w14:textId="07E4EEC7" w:rsidR="00DC0FFE" w:rsidRPr="00314F62" w:rsidRDefault="00DC0FFE" w:rsidP="00DC0FFE">
      <w:pPr>
        <w:pStyle w:val="BodyTextIndent"/>
      </w:pPr>
      <w:r w:rsidRPr="00314F62">
        <w:t xml:space="preserve">Pavement markings (longitudinal lines, transverse lines, symbology, lettering, raised pavement markers and the like) should be installed as per </w:t>
      </w:r>
      <w:r w:rsidR="00C63077" w:rsidRPr="00314F62">
        <w:rPr>
          <w:rStyle w:val="BodyTextIndentItalicChar"/>
        </w:rPr>
        <w:t xml:space="preserve">Standard </w:t>
      </w:r>
      <w:r w:rsidRPr="00314F62">
        <w:rPr>
          <w:rStyle w:val="BodyTextIndentItalicChar"/>
        </w:rPr>
        <w:t xml:space="preserve">Drawings </w:t>
      </w:r>
      <w:r w:rsidR="00B66A9D" w:rsidRPr="00314F62">
        <w:rPr>
          <w:rStyle w:val="BodyTextIndentItalicChar"/>
        </w:rPr>
        <w:t xml:space="preserve">BSD-3151 </w:t>
      </w:r>
      <w:r w:rsidRPr="00444730">
        <w:rPr>
          <w:rStyle w:val="BodyTextIndentItalicChar"/>
          <w:i w:val="0"/>
          <w:iCs/>
        </w:rPr>
        <w:t>to</w:t>
      </w:r>
      <w:r w:rsidRPr="00314F62">
        <w:rPr>
          <w:rStyle w:val="BodyTextIndentItalicChar"/>
        </w:rPr>
        <w:t xml:space="preserve"> </w:t>
      </w:r>
      <w:r w:rsidR="00B66A9D" w:rsidRPr="00314F62">
        <w:rPr>
          <w:rStyle w:val="BodyTextIndentItalicChar"/>
        </w:rPr>
        <w:t>BSD-3165</w:t>
      </w:r>
      <w:r w:rsidRPr="00314F62">
        <w:t>.  Where no B</w:t>
      </w:r>
      <w:r w:rsidR="00C63077" w:rsidRPr="00314F62">
        <w:t xml:space="preserve">risbane </w:t>
      </w:r>
      <w:r w:rsidRPr="00314F62">
        <w:t>C</w:t>
      </w:r>
      <w:r w:rsidR="00C63077" w:rsidRPr="00314F62">
        <w:t xml:space="preserve">ity </w:t>
      </w:r>
      <w:r w:rsidRPr="00314F62">
        <w:t>C</w:t>
      </w:r>
      <w:r w:rsidR="00C63077" w:rsidRPr="00314F62">
        <w:t>ouncil</w:t>
      </w:r>
      <w:r w:rsidRPr="00314F62">
        <w:t xml:space="preserve"> standard exists, refer to the </w:t>
      </w:r>
      <w:r w:rsidR="005B326C" w:rsidRPr="00314F62">
        <w:rPr>
          <w:i/>
        </w:rPr>
        <w:t>AS</w:t>
      </w:r>
      <w:r w:rsidR="005B326C" w:rsidRPr="00314F62">
        <w:rPr>
          <w:rStyle w:val="BodyTextIndentItalicChar"/>
          <w:i w:val="0"/>
        </w:rPr>
        <w:t> </w:t>
      </w:r>
      <w:r w:rsidR="005B326C" w:rsidRPr="00314F62">
        <w:rPr>
          <w:i/>
        </w:rPr>
        <w:t>1742</w:t>
      </w:r>
      <w:r w:rsidR="005B326C" w:rsidRPr="00314F62">
        <w:t xml:space="preserve"> and/or the </w:t>
      </w:r>
      <w:r w:rsidRPr="00314F62">
        <w:rPr>
          <w:rStyle w:val="BodyTextIndentItalicChar"/>
        </w:rPr>
        <w:t>Queensland MUTCD</w:t>
      </w:r>
      <w:r w:rsidRPr="00314F62">
        <w:t>.</w:t>
      </w:r>
    </w:p>
    <w:p w14:paraId="6D02DE9A" w14:textId="51599CB3" w:rsidR="00F94CD1" w:rsidRDefault="00F94CD1" w:rsidP="009C07AF">
      <w:pPr>
        <w:pStyle w:val="BodyText"/>
      </w:pPr>
      <w:r>
        <w:br w:type="page"/>
      </w:r>
    </w:p>
    <w:p w14:paraId="6FEB6A8D" w14:textId="18AE2D0C" w:rsidR="00DC0FFE" w:rsidRPr="00314F62" w:rsidRDefault="00DC0FFE" w:rsidP="00DE4BB4">
      <w:pPr>
        <w:pStyle w:val="Heading4"/>
      </w:pPr>
      <w:bookmarkStart w:id="55" w:name="_Toc75951915"/>
      <w:r w:rsidRPr="00314F62">
        <w:lastRenderedPageBreak/>
        <w:t>Road hierarchy</w:t>
      </w:r>
      <w:bookmarkEnd w:id="55"/>
    </w:p>
    <w:p w14:paraId="35638D3F" w14:textId="6738284E" w:rsidR="00FC7970" w:rsidRPr="00314F62" w:rsidRDefault="00FC7970" w:rsidP="00FC7970">
      <w:pPr>
        <w:pStyle w:val="TableLegend"/>
      </w:pPr>
      <w:r w:rsidRPr="00314F62">
        <w:t>Table</w:t>
      </w:r>
      <w:r w:rsidR="00B05AF9" w:rsidRPr="00314F62">
        <w:t> </w:t>
      </w:r>
      <w:r w:rsidRPr="00314F62">
        <w:t>3.6 – Road Hierarchy Types and Descriptions</w:t>
      </w:r>
    </w:p>
    <w:tbl>
      <w:tblPr>
        <w:tblW w:w="8647" w:type="dxa"/>
        <w:tblInd w:w="709" w:type="dxa"/>
        <w:tblLayout w:type="fixed"/>
        <w:tblCellMar>
          <w:left w:w="100" w:type="dxa"/>
          <w:right w:w="100" w:type="dxa"/>
        </w:tblCellMar>
        <w:tblLook w:val="0000" w:firstRow="0" w:lastRow="0" w:firstColumn="0" w:lastColumn="0" w:noHBand="0" w:noVBand="0"/>
      </w:tblPr>
      <w:tblGrid>
        <w:gridCol w:w="4323"/>
        <w:gridCol w:w="4324"/>
      </w:tblGrid>
      <w:tr w:rsidR="00C63077" w:rsidRPr="00314F62" w14:paraId="25AD429A" w14:textId="77777777" w:rsidTr="00AC110D">
        <w:trPr>
          <w:trHeight w:val="403"/>
          <w:tblHeader/>
        </w:trPr>
        <w:tc>
          <w:tcPr>
            <w:tcW w:w="4323" w:type="dxa"/>
            <w:tcBorders>
              <w:top w:val="single" w:sz="12" w:space="0" w:color="auto"/>
              <w:bottom w:val="single" w:sz="12" w:space="0" w:color="auto"/>
            </w:tcBorders>
            <w:shd w:val="pct10" w:color="auto" w:fill="auto"/>
            <w:vAlign w:val="center"/>
          </w:tcPr>
          <w:p w14:paraId="472E84A0" w14:textId="77777777" w:rsidR="00C63077" w:rsidRPr="00314F62" w:rsidRDefault="00C63077" w:rsidP="008607D0">
            <w:pPr>
              <w:pStyle w:val="TableHeadCen"/>
            </w:pPr>
            <w:r w:rsidRPr="00314F62">
              <w:t>Hierarchy Plan Road Type</w:t>
            </w:r>
          </w:p>
        </w:tc>
        <w:tc>
          <w:tcPr>
            <w:tcW w:w="4324" w:type="dxa"/>
            <w:tcBorders>
              <w:top w:val="single" w:sz="12" w:space="0" w:color="auto"/>
              <w:bottom w:val="single" w:sz="12" w:space="0" w:color="auto"/>
            </w:tcBorders>
            <w:shd w:val="pct10" w:color="auto" w:fill="auto"/>
            <w:vAlign w:val="center"/>
          </w:tcPr>
          <w:p w14:paraId="5EA2C6B0" w14:textId="77777777" w:rsidR="00C63077" w:rsidRPr="00314F62" w:rsidRDefault="00C63077" w:rsidP="008607D0">
            <w:pPr>
              <w:pStyle w:val="TableHeadCen"/>
            </w:pPr>
            <w:r w:rsidRPr="00314F62">
              <w:t>Description</w:t>
            </w:r>
          </w:p>
        </w:tc>
      </w:tr>
      <w:tr w:rsidR="00AC110D" w:rsidRPr="00314F62" w14:paraId="0817C7FB" w14:textId="77777777" w:rsidTr="00F82FC4">
        <w:trPr>
          <w:trHeight w:val="340"/>
        </w:trPr>
        <w:tc>
          <w:tcPr>
            <w:tcW w:w="8647" w:type="dxa"/>
            <w:gridSpan w:val="2"/>
            <w:tcBorders>
              <w:top w:val="single" w:sz="12" w:space="0" w:color="auto"/>
              <w:bottom w:val="single" w:sz="8" w:space="0" w:color="auto"/>
            </w:tcBorders>
            <w:vAlign w:val="center"/>
          </w:tcPr>
          <w:p w14:paraId="02E0E0AC" w14:textId="77777777" w:rsidR="00AC110D" w:rsidRPr="00314F62" w:rsidRDefault="00AC110D" w:rsidP="00AC110D">
            <w:pPr>
              <w:pStyle w:val="TableCen"/>
            </w:pPr>
            <w:r w:rsidRPr="00314F62">
              <w:t>Minor Roads</w:t>
            </w:r>
          </w:p>
        </w:tc>
      </w:tr>
      <w:tr w:rsidR="00AC110D" w:rsidRPr="00314F62" w14:paraId="181DDD1F" w14:textId="77777777" w:rsidTr="00F82FC4">
        <w:trPr>
          <w:trHeight w:val="340"/>
        </w:trPr>
        <w:tc>
          <w:tcPr>
            <w:tcW w:w="4323" w:type="dxa"/>
            <w:tcBorders>
              <w:top w:val="single" w:sz="8" w:space="0" w:color="auto"/>
              <w:bottom w:val="single" w:sz="2" w:space="0" w:color="auto"/>
            </w:tcBorders>
            <w:vAlign w:val="center"/>
          </w:tcPr>
          <w:p w14:paraId="135FA315" w14:textId="77777777" w:rsidR="00AC110D" w:rsidRPr="00314F62" w:rsidRDefault="00AC110D" w:rsidP="00AC110D">
            <w:pPr>
              <w:pStyle w:val="TableCen"/>
            </w:pPr>
            <w:r w:rsidRPr="00314F62">
              <w:t>Local road</w:t>
            </w:r>
          </w:p>
        </w:tc>
        <w:tc>
          <w:tcPr>
            <w:tcW w:w="4324" w:type="dxa"/>
            <w:tcBorders>
              <w:top w:val="single" w:sz="8" w:space="0" w:color="auto"/>
              <w:bottom w:val="single" w:sz="2" w:space="0" w:color="auto"/>
            </w:tcBorders>
            <w:vAlign w:val="center"/>
          </w:tcPr>
          <w:p w14:paraId="57001E41" w14:textId="77777777" w:rsidR="00AC110D" w:rsidRPr="00314F62" w:rsidRDefault="00CE4C5D" w:rsidP="00CE4C5D">
            <w:pPr>
              <w:pStyle w:val="Table"/>
            </w:pPr>
            <w:r w:rsidRPr="00314F62">
              <w:t xml:space="preserve">Has a minor road function and </w:t>
            </w:r>
            <w:r w:rsidR="00AC110D" w:rsidRPr="00314F62">
              <w:t>provides low-speed local tr</w:t>
            </w:r>
            <w:r w:rsidRPr="00314F62">
              <w:t>avel and direct property access.</w:t>
            </w:r>
          </w:p>
          <w:p w14:paraId="3A959910" w14:textId="77777777" w:rsidR="00AC110D" w:rsidRPr="00314F62" w:rsidRDefault="00CE4C5D" w:rsidP="00CE4C5D">
            <w:pPr>
              <w:pStyle w:val="Table"/>
            </w:pPr>
            <w:r w:rsidRPr="00314F62">
              <w:t>I</w:t>
            </w:r>
            <w:r w:rsidR="00AC110D" w:rsidRPr="00314F62">
              <w:t>ncludes laneways as a type of local road.</w:t>
            </w:r>
          </w:p>
        </w:tc>
      </w:tr>
      <w:tr w:rsidR="00AC110D" w:rsidRPr="00314F62" w14:paraId="2B3941C7" w14:textId="77777777" w:rsidTr="00F82FC4">
        <w:trPr>
          <w:trHeight w:val="340"/>
        </w:trPr>
        <w:tc>
          <w:tcPr>
            <w:tcW w:w="4323" w:type="dxa"/>
            <w:tcBorders>
              <w:top w:val="single" w:sz="2" w:space="0" w:color="auto"/>
              <w:bottom w:val="single" w:sz="8" w:space="0" w:color="auto"/>
            </w:tcBorders>
            <w:vAlign w:val="center"/>
          </w:tcPr>
          <w:p w14:paraId="4CB8ADBA" w14:textId="77777777" w:rsidR="00AC110D" w:rsidRPr="00314F62" w:rsidRDefault="00AC110D" w:rsidP="00AC110D">
            <w:pPr>
              <w:pStyle w:val="TableCen"/>
            </w:pPr>
            <w:r w:rsidRPr="00314F62">
              <w:t>Neighbourhood Road</w:t>
            </w:r>
          </w:p>
        </w:tc>
        <w:tc>
          <w:tcPr>
            <w:tcW w:w="4324" w:type="dxa"/>
            <w:tcBorders>
              <w:top w:val="single" w:sz="2" w:space="0" w:color="auto"/>
              <w:bottom w:val="single" w:sz="8" w:space="0" w:color="auto"/>
            </w:tcBorders>
            <w:vAlign w:val="center"/>
          </w:tcPr>
          <w:p w14:paraId="63ED8CA3" w14:textId="77777777" w:rsidR="00AC110D" w:rsidRPr="00314F62" w:rsidRDefault="00CE4C5D" w:rsidP="00CE4C5D">
            <w:pPr>
              <w:pStyle w:val="Table"/>
            </w:pPr>
            <w:r w:rsidRPr="00314F62">
              <w:t xml:space="preserve">Has a minor road function and </w:t>
            </w:r>
            <w:r w:rsidR="00AC110D" w:rsidRPr="00314F62">
              <w:t>carries low volumes of local traffic b</w:t>
            </w:r>
            <w:r w:rsidRPr="00314F62">
              <w:t>etween local and district roads.</w:t>
            </w:r>
          </w:p>
        </w:tc>
      </w:tr>
      <w:tr w:rsidR="00AC110D" w:rsidRPr="00314F62" w14:paraId="7ECA0009" w14:textId="77777777" w:rsidTr="00F82FC4">
        <w:trPr>
          <w:trHeight w:val="340"/>
        </w:trPr>
        <w:tc>
          <w:tcPr>
            <w:tcW w:w="8647" w:type="dxa"/>
            <w:gridSpan w:val="2"/>
            <w:tcBorders>
              <w:top w:val="single" w:sz="8" w:space="0" w:color="auto"/>
              <w:bottom w:val="single" w:sz="8" w:space="0" w:color="auto"/>
            </w:tcBorders>
            <w:vAlign w:val="center"/>
          </w:tcPr>
          <w:p w14:paraId="4E9D2CBC" w14:textId="77777777" w:rsidR="00AC110D" w:rsidRPr="00314F62" w:rsidRDefault="00AC110D" w:rsidP="00AC110D">
            <w:pPr>
              <w:pStyle w:val="TableCen"/>
            </w:pPr>
            <w:r w:rsidRPr="00314F62">
              <w:t>Major Roads</w:t>
            </w:r>
          </w:p>
        </w:tc>
      </w:tr>
      <w:tr w:rsidR="00AC110D" w:rsidRPr="00314F62" w14:paraId="2AF167B9" w14:textId="77777777" w:rsidTr="00B05C40">
        <w:trPr>
          <w:trHeight w:val="340"/>
        </w:trPr>
        <w:tc>
          <w:tcPr>
            <w:tcW w:w="4323" w:type="dxa"/>
            <w:tcBorders>
              <w:top w:val="single" w:sz="8" w:space="0" w:color="auto"/>
              <w:bottom w:val="single" w:sz="2" w:space="0" w:color="auto"/>
            </w:tcBorders>
            <w:vAlign w:val="center"/>
          </w:tcPr>
          <w:p w14:paraId="26704E02" w14:textId="77777777" w:rsidR="00AC110D" w:rsidRPr="00314F62" w:rsidRDefault="00AC110D" w:rsidP="00AC110D">
            <w:pPr>
              <w:pStyle w:val="TableCen"/>
            </w:pPr>
            <w:r w:rsidRPr="00314F62">
              <w:t>District Road</w:t>
            </w:r>
          </w:p>
        </w:tc>
        <w:tc>
          <w:tcPr>
            <w:tcW w:w="4324" w:type="dxa"/>
            <w:tcBorders>
              <w:top w:val="single" w:sz="8" w:space="0" w:color="auto"/>
              <w:bottom w:val="single" w:sz="2" w:space="0" w:color="auto"/>
            </w:tcBorders>
            <w:vAlign w:val="center"/>
          </w:tcPr>
          <w:p w14:paraId="3D6D7C91" w14:textId="77777777" w:rsidR="00AC110D" w:rsidRPr="00314F62" w:rsidRDefault="00CE4C5D" w:rsidP="00CE4C5D">
            <w:pPr>
              <w:pStyle w:val="Table"/>
            </w:pPr>
            <w:r w:rsidRPr="00314F62">
              <w:t>F</w:t>
            </w:r>
            <w:r w:rsidR="00AC110D" w:rsidRPr="00314F62">
              <w:t>or through-traffic including loc</w:t>
            </w:r>
            <w:r w:rsidRPr="00314F62">
              <w:t>al freight and public transport.</w:t>
            </w:r>
          </w:p>
          <w:p w14:paraId="2C509859" w14:textId="77777777" w:rsidR="00AC110D" w:rsidRPr="00314F62" w:rsidRDefault="00CE4C5D" w:rsidP="00CE4C5D">
            <w:pPr>
              <w:pStyle w:val="Table"/>
            </w:pPr>
            <w:r w:rsidRPr="00314F62">
              <w:t>L</w:t>
            </w:r>
            <w:r w:rsidR="00AC110D" w:rsidRPr="00314F62">
              <w:t>inks for minor roads and local centres to suburban and arterial roads.</w:t>
            </w:r>
          </w:p>
        </w:tc>
      </w:tr>
      <w:tr w:rsidR="00AC110D" w:rsidRPr="00314F62" w14:paraId="2EDC244D" w14:textId="77777777" w:rsidTr="008327AC">
        <w:trPr>
          <w:trHeight w:val="340"/>
        </w:trPr>
        <w:tc>
          <w:tcPr>
            <w:tcW w:w="4323" w:type="dxa"/>
            <w:tcBorders>
              <w:top w:val="single" w:sz="2" w:space="0" w:color="auto"/>
              <w:bottom w:val="single" w:sz="2" w:space="0" w:color="auto"/>
            </w:tcBorders>
            <w:vAlign w:val="center"/>
          </w:tcPr>
          <w:p w14:paraId="0A24F270" w14:textId="77777777" w:rsidR="00AC110D" w:rsidRPr="00314F62" w:rsidRDefault="00AC110D" w:rsidP="00AC110D">
            <w:pPr>
              <w:pStyle w:val="TableCen"/>
            </w:pPr>
            <w:r w:rsidRPr="00314F62">
              <w:t>Suburban Road</w:t>
            </w:r>
          </w:p>
        </w:tc>
        <w:tc>
          <w:tcPr>
            <w:tcW w:w="4324" w:type="dxa"/>
            <w:tcBorders>
              <w:top w:val="single" w:sz="2" w:space="0" w:color="auto"/>
              <w:bottom w:val="single" w:sz="2" w:space="0" w:color="auto"/>
            </w:tcBorders>
            <w:vAlign w:val="center"/>
          </w:tcPr>
          <w:p w14:paraId="46755814" w14:textId="77777777" w:rsidR="00AC110D" w:rsidRPr="00314F62" w:rsidRDefault="0032291D" w:rsidP="00CE4C5D">
            <w:pPr>
              <w:pStyle w:val="Table"/>
            </w:pPr>
            <w:r w:rsidRPr="00314F62">
              <w:t>Has a major road function.</w:t>
            </w:r>
          </w:p>
          <w:p w14:paraId="1EC0C33F" w14:textId="77777777" w:rsidR="00AC110D" w:rsidRPr="00314F62" w:rsidRDefault="0032291D" w:rsidP="00CE4C5D">
            <w:pPr>
              <w:pStyle w:val="Table"/>
            </w:pPr>
            <w:r w:rsidRPr="00314F62">
              <w:t>C</w:t>
            </w:r>
            <w:r w:rsidR="00AC110D" w:rsidRPr="00314F62">
              <w:t>onnects suburbs t</w:t>
            </w:r>
            <w:r w:rsidRPr="00314F62">
              <w:t xml:space="preserve">o arterial roads (sub-arterial) and </w:t>
            </w:r>
            <w:r w:rsidR="00AC110D" w:rsidRPr="00314F62">
              <w:t>provides safe and efficient movement of moderate to high volumes of traffic of motor vehicles, including public transpo</w:t>
            </w:r>
            <w:r w:rsidRPr="00314F62">
              <w:t>rt and pedestrians and cyclists.</w:t>
            </w:r>
          </w:p>
          <w:p w14:paraId="640F0267" w14:textId="77777777" w:rsidR="00AC110D" w:rsidRPr="00314F62" w:rsidRDefault="0032291D" w:rsidP="0032291D">
            <w:pPr>
              <w:pStyle w:val="Table"/>
            </w:pPr>
            <w:r w:rsidRPr="00314F62">
              <w:t>A</w:t>
            </w:r>
            <w:r w:rsidR="00AC110D" w:rsidRPr="00314F62">
              <w:t>voids conflicts between pedestrian, bicycle and motorised traffic by physically segregating different modes.</w:t>
            </w:r>
          </w:p>
        </w:tc>
      </w:tr>
      <w:tr w:rsidR="00AC110D" w:rsidRPr="00314F62" w14:paraId="18E10550" w14:textId="77777777" w:rsidTr="008327AC">
        <w:trPr>
          <w:trHeight w:val="340"/>
        </w:trPr>
        <w:tc>
          <w:tcPr>
            <w:tcW w:w="4323" w:type="dxa"/>
            <w:tcBorders>
              <w:top w:val="single" w:sz="2" w:space="0" w:color="auto"/>
              <w:bottom w:val="single" w:sz="2" w:space="0" w:color="auto"/>
            </w:tcBorders>
            <w:vAlign w:val="center"/>
          </w:tcPr>
          <w:p w14:paraId="4E69739D" w14:textId="77777777" w:rsidR="00AC110D" w:rsidRPr="00314F62" w:rsidRDefault="00AC110D" w:rsidP="00AC110D">
            <w:pPr>
              <w:pStyle w:val="TableCen"/>
            </w:pPr>
            <w:r w:rsidRPr="00314F62">
              <w:t>CBD</w:t>
            </w:r>
          </w:p>
        </w:tc>
        <w:tc>
          <w:tcPr>
            <w:tcW w:w="4324" w:type="dxa"/>
            <w:tcBorders>
              <w:top w:val="single" w:sz="2" w:space="0" w:color="auto"/>
              <w:bottom w:val="single" w:sz="2" w:space="0" w:color="auto"/>
            </w:tcBorders>
            <w:vAlign w:val="center"/>
          </w:tcPr>
          <w:p w14:paraId="3E853F7A" w14:textId="71A5C82B" w:rsidR="00B23672" w:rsidRPr="00314F62" w:rsidRDefault="0032291D" w:rsidP="00CE4C5D">
            <w:pPr>
              <w:pStyle w:val="Table"/>
            </w:pPr>
            <w:r w:rsidRPr="00314F62">
              <w:t>S</w:t>
            </w:r>
            <w:r w:rsidR="00AC110D" w:rsidRPr="00314F62">
              <w:t xml:space="preserve">treet within the </w:t>
            </w:r>
            <w:r w:rsidR="00C62EA5" w:rsidRPr="00314F62">
              <w:t xml:space="preserve">City </w:t>
            </w:r>
            <w:r w:rsidR="00B23672" w:rsidRPr="00314F62">
              <w:t xml:space="preserve">Centre Neighbourhood Area </w:t>
            </w:r>
            <w:r w:rsidR="005902BB" w:rsidRPr="00314F62">
              <w:t xml:space="preserve">and Fortitude Valley Neighbourhood Area </w:t>
            </w:r>
            <w:r w:rsidR="00B23672" w:rsidRPr="00314F62">
              <w:t>(as defined in the Infrastructure Design Panning Scheme Policy, Chapter 5)</w:t>
            </w:r>
            <w:r w:rsidR="005902BB" w:rsidRPr="00314F62">
              <w:t xml:space="preserve"> (Figure</w:t>
            </w:r>
            <w:r w:rsidR="00D6545A" w:rsidRPr="00314F62">
              <w:t> </w:t>
            </w:r>
            <w:r w:rsidR="005902BB" w:rsidRPr="00314F62">
              <w:t>3.1 and</w:t>
            </w:r>
            <w:r w:rsidR="00D6545A" w:rsidRPr="00314F62">
              <w:t> </w:t>
            </w:r>
            <w:r w:rsidR="005902BB" w:rsidRPr="00314F62">
              <w:t>3.2</w:t>
            </w:r>
            <w:r w:rsidR="00B23672" w:rsidRPr="00314F62">
              <w:t>)</w:t>
            </w:r>
            <w:r w:rsidR="005902BB" w:rsidRPr="00314F62">
              <w:t>.</w:t>
            </w:r>
          </w:p>
        </w:tc>
      </w:tr>
      <w:tr w:rsidR="00AC110D" w:rsidRPr="00314F62" w14:paraId="41E6D1DB" w14:textId="77777777" w:rsidTr="008327AC">
        <w:trPr>
          <w:trHeight w:val="340"/>
        </w:trPr>
        <w:tc>
          <w:tcPr>
            <w:tcW w:w="4323" w:type="dxa"/>
            <w:tcBorders>
              <w:top w:val="single" w:sz="2" w:space="0" w:color="auto"/>
              <w:bottom w:val="single" w:sz="2" w:space="0" w:color="auto"/>
            </w:tcBorders>
            <w:vAlign w:val="center"/>
          </w:tcPr>
          <w:p w14:paraId="0B958750" w14:textId="77777777" w:rsidR="00AC110D" w:rsidRPr="00314F62" w:rsidRDefault="00AC110D" w:rsidP="00AC110D">
            <w:pPr>
              <w:pStyle w:val="TableCen"/>
            </w:pPr>
            <w:r w:rsidRPr="00314F62">
              <w:t>Arterial Road</w:t>
            </w:r>
          </w:p>
        </w:tc>
        <w:tc>
          <w:tcPr>
            <w:tcW w:w="4324" w:type="dxa"/>
            <w:tcBorders>
              <w:top w:val="single" w:sz="2" w:space="0" w:color="auto"/>
              <w:bottom w:val="single" w:sz="2" w:space="0" w:color="auto"/>
            </w:tcBorders>
            <w:vAlign w:val="center"/>
          </w:tcPr>
          <w:p w14:paraId="0274B2DA" w14:textId="77777777" w:rsidR="00AC110D" w:rsidRPr="00314F62" w:rsidRDefault="0032291D" w:rsidP="00CE4C5D">
            <w:pPr>
              <w:pStyle w:val="Table"/>
            </w:pPr>
            <w:r w:rsidRPr="00314F62">
              <w:t>H</w:t>
            </w:r>
            <w:r w:rsidR="00AC110D" w:rsidRPr="00314F62">
              <w:t>as a major road function;</w:t>
            </w:r>
          </w:p>
          <w:p w14:paraId="51FDFDCE" w14:textId="77777777" w:rsidR="00AC110D" w:rsidRPr="00314F62" w:rsidRDefault="0032291D" w:rsidP="00CE4C5D">
            <w:pPr>
              <w:pStyle w:val="Table"/>
            </w:pPr>
            <w:r w:rsidRPr="00314F62">
              <w:t>P</w:t>
            </w:r>
            <w:r w:rsidR="00AC110D" w:rsidRPr="00314F62">
              <w:t>rovides intra-city connections between principal and major regional activity centres and major employment areas both within Brisba</w:t>
            </w:r>
            <w:r w:rsidRPr="00314F62">
              <w:t>ne and in the surrounding areas.</w:t>
            </w:r>
          </w:p>
          <w:p w14:paraId="17FEB2EA" w14:textId="77777777" w:rsidR="00AC110D" w:rsidRPr="00314F62" w:rsidRDefault="0032291D" w:rsidP="00CE4C5D">
            <w:pPr>
              <w:pStyle w:val="Table"/>
            </w:pPr>
            <w:r w:rsidRPr="00314F62">
              <w:t>C</w:t>
            </w:r>
            <w:r w:rsidR="00AC110D" w:rsidRPr="00314F62">
              <w:t>at</w:t>
            </w:r>
            <w:r w:rsidRPr="00314F62">
              <w:t xml:space="preserve">ers for high volumes of traffic and </w:t>
            </w:r>
            <w:r w:rsidR="00AC110D" w:rsidRPr="00314F62">
              <w:t>provides bus priority on the road and at intersections</w:t>
            </w:r>
            <w:r w:rsidRPr="00314F62">
              <w:t>.</w:t>
            </w:r>
          </w:p>
          <w:p w14:paraId="212274C8" w14:textId="77777777" w:rsidR="00AC110D" w:rsidRPr="00314F62" w:rsidRDefault="0032291D" w:rsidP="00CE4C5D">
            <w:pPr>
              <w:pStyle w:val="Table"/>
            </w:pPr>
            <w:r w:rsidRPr="00314F62">
              <w:t>A</w:t>
            </w:r>
            <w:r w:rsidR="00AC110D" w:rsidRPr="00314F62">
              <w:t>voids conflicts between pedestrian, bicycle and motorised traffic by physically separating pedestrian, non-motorised and motorised modes</w:t>
            </w:r>
            <w:r w:rsidRPr="00314F62">
              <w:t>.</w:t>
            </w:r>
          </w:p>
        </w:tc>
      </w:tr>
      <w:tr w:rsidR="00AC110D" w:rsidRPr="00314F62" w14:paraId="6D003F1E" w14:textId="77777777" w:rsidTr="008327AC">
        <w:trPr>
          <w:trHeight w:val="340"/>
        </w:trPr>
        <w:tc>
          <w:tcPr>
            <w:tcW w:w="4323" w:type="dxa"/>
            <w:tcBorders>
              <w:top w:val="single" w:sz="2" w:space="0" w:color="auto"/>
              <w:bottom w:val="single" w:sz="12" w:space="0" w:color="auto"/>
            </w:tcBorders>
            <w:vAlign w:val="center"/>
          </w:tcPr>
          <w:p w14:paraId="4F0D970C" w14:textId="77777777" w:rsidR="00AC110D" w:rsidRPr="00314F62" w:rsidRDefault="00AC110D" w:rsidP="00AC110D">
            <w:pPr>
              <w:pStyle w:val="TableCen"/>
            </w:pPr>
            <w:r w:rsidRPr="00314F62">
              <w:t>Motorways</w:t>
            </w:r>
          </w:p>
        </w:tc>
        <w:tc>
          <w:tcPr>
            <w:tcW w:w="4324" w:type="dxa"/>
            <w:tcBorders>
              <w:top w:val="single" w:sz="2" w:space="0" w:color="auto"/>
              <w:bottom w:val="single" w:sz="12" w:space="0" w:color="auto"/>
            </w:tcBorders>
            <w:vAlign w:val="center"/>
          </w:tcPr>
          <w:p w14:paraId="5768950E" w14:textId="77777777" w:rsidR="00AC110D" w:rsidRPr="00314F62" w:rsidRDefault="0032291D" w:rsidP="0032291D">
            <w:pPr>
              <w:pStyle w:val="Table"/>
            </w:pPr>
            <w:r w:rsidRPr="00314F62">
              <w:t>H</w:t>
            </w:r>
            <w:r w:rsidR="00AC110D" w:rsidRPr="00314F62">
              <w:t>as a major road function;</w:t>
            </w:r>
          </w:p>
          <w:p w14:paraId="622B10ED" w14:textId="77777777" w:rsidR="00AC110D" w:rsidRPr="00314F62" w:rsidRDefault="0032291D" w:rsidP="0032291D">
            <w:pPr>
              <w:pStyle w:val="Table"/>
            </w:pPr>
            <w:r w:rsidRPr="00314F62">
              <w:t>P</w:t>
            </w:r>
            <w:r w:rsidR="00AC110D" w:rsidRPr="00314F62">
              <w:t>rovides for inter and intra-regional connections and directs longer distance traffic</w:t>
            </w:r>
            <w:r w:rsidRPr="00314F62">
              <w:t xml:space="preserve"> around heavily developed areas.</w:t>
            </w:r>
          </w:p>
          <w:p w14:paraId="293541F2" w14:textId="77777777" w:rsidR="00AC110D" w:rsidRPr="00314F62" w:rsidRDefault="0032291D" w:rsidP="0032291D">
            <w:pPr>
              <w:pStyle w:val="Table"/>
            </w:pPr>
            <w:r w:rsidRPr="00314F62">
              <w:t>I</w:t>
            </w:r>
            <w:r w:rsidR="00AC110D" w:rsidRPr="00314F62">
              <w:t>s a high-speed restricted access environment that is designed for the efficient and safe movement of h</w:t>
            </w:r>
            <w:r w:rsidRPr="00314F62">
              <w:t>igh volumes of people and goods.</w:t>
            </w:r>
          </w:p>
          <w:p w14:paraId="7B2F9F53" w14:textId="77777777" w:rsidR="00AC110D" w:rsidRPr="00314F62" w:rsidRDefault="0032291D" w:rsidP="0032291D">
            <w:pPr>
              <w:pStyle w:val="Table"/>
            </w:pPr>
            <w:r w:rsidRPr="00314F62">
              <w:t>A</w:t>
            </w:r>
            <w:r w:rsidR="00AC110D" w:rsidRPr="00314F62">
              <w:t>ccommodates pedestrians, cyclists and motor vehicles and in some instances public transport on separated carriageways.</w:t>
            </w:r>
          </w:p>
        </w:tc>
      </w:tr>
    </w:tbl>
    <w:p w14:paraId="3D82476D" w14:textId="6EFBA743" w:rsidR="00F94CD1" w:rsidRDefault="00F94CD1" w:rsidP="00A42B59">
      <w:pPr>
        <w:pStyle w:val="BodyTextIndent"/>
      </w:pPr>
    </w:p>
    <w:p w14:paraId="474CA0B6" w14:textId="77777777" w:rsidR="00F94CD1" w:rsidRDefault="00F94CD1" w:rsidP="00F94CD1">
      <w:pPr>
        <w:pStyle w:val="BodyText"/>
      </w:pPr>
      <w:r>
        <w:br w:type="page"/>
      </w:r>
    </w:p>
    <w:p w14:paraId="27FEA48E" w14:textId="77777777" w:rsidR="00A42B59" w:rsidRPr="00314F62" w:rsidRDefault="00A42B59" w:rsidP="00A42B59">
      <w:pPr>
        <w:pStyle w:val="BodyTextIndent"/>
      </w:pPr>
    </w:p>
    <w:tbl>
      <w:tblPr>
        <w:tblStyle w:val="TableGrid"/>
        <w:tblW w:w="8642" w:type="dxa"/>
        <w:tblInd w:w="709" w:type="dxa"/>
        <w:tblLook w:val="04A0" w:firstRow="1" w:lastRow="0" w:firstColumn="1" w:lastColumn="0" w:noHBand="0" w:noVBand="1"/>
      </w:tblPr>
      <w:tblGrid>
        <w:gridCol w:w="8642"/>
      </w:tblGrid>
      <w:tr w:rsidR="00B23672" w:rsidRPr="00314F62" w14:paraId="3D1E6415" w14:textId="77777777" w:rsidTr="553A9E15">
        <w:trPr>
          <w:trHeight w:val="5669"/>
        </w:trPr>
        <w:tc>
          <w:tcPr>
            <w:tcW w:w="8642" w:type="dxa"/>
            <w:vAlign w:val="center"/>
          </w:tcPr>
          <w:p w14:paraId="49FAFF3B" w14:textId="77777777" w:rsidR="00B23672" w:rsidRPr="00314F62" w:rsidRDefault="00B23672" w:rsidP="00C62EA5">
            <w:pPr>
              <w:pStyle w:val="TableCen"/>
            </w:pPr>
            <w:r w:rsidRPr="00314F62">
              <w:rPr>
                <w:noProof/>
                <w:lang w:eastAsia="en-AU"/>
              </w:rPr>
              <w:drawing>
                <wp:inline distT="0" distB="0" distL="0" distR="0" wp14:anchorId="4959193D" wp14:editId="22A0E3B5">
                  <wp:extent cx="3475630" cy="3420000"/>
                  <wp:effectExtent l="19050" t="19050" r="10795" b="28575"/>
                  <wp:docPr id="7" name="Picture 7" descr="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5630" cy="3420000"/>
                          </a:xfrm>
                          <a:prstGeom prst="rect">
                            <a:avLst/>
                          </a:prstGeom>
                          <a:noFill/>
                          <a:ln w="12700">
                            <a:solidFill>
                              <a:schemeClr val="tx1"/>
                            </a:solidFill>
                          </a:ln>
                        </pic:spPr>
                      </pic:pic>
                    </a:graphicData>
                  </a:graphic>
                </wp:inline>
              </w:drawing>
            </w:r>
          </w:p>
        </w:tc>
      </w:tr>
    </w:tbl>
    <w:p w14:paraId="51F257D0" w14:textId="3D224822" w:rsidR="005902BB" w:rsidRPr="00314F62" w:rsidRDefault="005902BB" w:rsidP="0060066B">
      <w:pPr>
        <w:pStyle w:val="Figure"/>
      </w:pPr>
      <w:r w:rsidRPr="00314F62">
        <w:t>Figure</w:t>
      </w:r>
      <w:r w:rsidR="00B05AF9" w:rsidRPr="00314F62">
        <w:t> </w:t>
      </w:r>
      <w:r w:rsidRPr="00314F62">
        <w:t>3.1 – City Centre Neighbourhood area (IDPSP Chapter</w:t>
      </w:r>
      <w:r w:rsidR="009C07AF" w:rsidRPr="00314F62">
        <w:t> </w:t>
      </w:r>
      <w:r w:rsidRPr="00314F62">
        <w:t>5.3)</w:t>
      </w:r>
    </w:p>
    <w:tbl>
      <w:tblPr>
        <w:tblStyle w:val="TableGrid"/>
        <w:tblW w:w="8642" w:type="dxa"/>
        <w:tblInd w:w="709" w:type="dxa"/>
        <w:tblLook w:val="04A0" w:firstRow="1" w:lastRow="0" w:firstColumn="1" w:lastColumn="0" w:noHBand="0" w:noVBand="1"/>
      </w:tblPr>
      <w:tblGrid>
        <w:gridCol w:w="8642"/>
      </w:tblGrid>
      <w:tr w:rsidR="005902BB" w:rsidRPr="00314F62" w14:paraId="2F33ABC1" w14:textId="77777777" w:rsidTr="553A9E15">
        <w:trPr>
          <w:trHeight w:val="5669"/>
        </w:trPr>
        <w:tc>
          <w:tcPr>
            <w:tcW w:w="8642" w:type="dxa"/>
            <w:vAlign w:val="center"/>
          </w:tcPr>
          <w:p w14:paraId="591FACC3" w14:textId="77777777" w:rsidR="005902BB" w:rsidRPr="00314F62" w:rsidRDefault="005902BB" w:rsidP="003F71B0">
            <w:pPr>
              <w:pStyle w:val="TableCen"/>
            </w:pPr>
            <w:r w:rsidRPr="00314F62">
              <w:rPr>
                <w:noProof/>
                <w:lang w:eastAsia="en-AU"/>
              </w:rPr>
              <w:drawing>
                <wp:inline distT="0" distB="0" distL="0" distR="0" wp14:anchorId="7B7DDE52" wp14:editId="37A8C105">
                  <wp:extent cx="3456640" cy="3420000"/>
                  <wp:effectExtent l="19050" t="19050" r="10795" b="28575"/>
                  <wp:docPr id="9" name="Picture 9" descr="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6640" cy="3420000"/>
                          </a:xfrm>
                          <a:prstGeom prst="rect">
                            <a:avLst/>
                          </a:prstGeom>
                          <a:noFill/>
                          <a:ln w="12700">
                            <a:solidFill>
                              <a:schemeClr val="tx1"/>
                            </a:solidFill>
                          </a:ln>
                        </pic:spPr>
                      </pic:pic>
                    </a:graphicData>
                  </a:graphic>
                </wp:inline>
              </w:drawing>
            </w:r>
          </w:p>
        </w:tc>
      </w:tr>
    </w:tbl>
    <w:p w14:paraId="6C50C8B4" w14:textId="4A760CBF" w:rsidR="005902BB" w:rsidRPr="00314F62" w:rsidRDefault="005902BB" w:rsidP="005902BB">
      <w:pPr>
        <w:pStyle w:val="Figure"/>
      </w:pPr>
      <w:r w:rsidRPr="00314F62">
        <w:t>Figure</w:t>
      </w:r>
      <w:r w:rsidR="00B05AF9" w:rsidRPr="00314F62">
        <w:t> </w:t>
      </w:r>
      <w:r w:rsidRPr="00314F62">
        <w:t>3.2 – Fortitude Valley Neighbourhood area (IDPSP Chapter</w:t>
      </w:r>
      <w:r w:rsidR="009C07AF" w:rsidRPr="00314F62">
        <w:t> </w:t>
      </w:r>
      <w:r w:rsidRPr="00314F62">
        <w:t>5.3)</w:t>
      </w:r>
    </w:p>
    <w:p w14:paraId="5C579847" w14:textId="77777777" w:rsidR="00F94CD1" w:rsidRDefault="00F94CD1" w:rsidP="00F94CD1">
      <w:pPr>
        <w:pStyle w:val="BodyText"/>
      </w:pPr>
      <w:r>
        <w:br w:type="page"/>
      </w:r>
    </w:p>
    <w:p w14:paraId="72308711" w14:textId="4D971563" w:rsidR="00F21533" w:rsidRPr="00314F62" w:rsidRDefault="00D72C66" w:rsidP="00F21533">
      <w:pPr>
        <w:pStyle w:val="BodyTextIndent"/>
      </w:pPr>
      <w:r w:rsidRPr="00314F62">
        <w:rPr>
          <w:noProof/>
        </w:rPr>
        <w:lastRenderedPageBreak/>
        <w:drawing>
          <wp:anchor distT="0" distB="0" distL="114300" distR="114300" simplePos="0" relativeHeight="251658240" behindDoc="0" locked="0" layoutInCell="1" allowOverlap="1" wp14:anchorId="36DDED05" wp14:editId="2F5237A9">
            <wp:simplePos x="0" y="0"/>
            <wp:positionH relativeFrom="column">
              <wp:posOffset>464185</wp:posOffset>
            </wp:positionH>
            <wp:positionV relativeFrom="paragraph">
              <wp:posOffset>186055</wp:posOffset>
            </wp:positionV>
            <wp:extent cx="5721985" cy="3613785"/>
            <wp:effectExtent l="0" t="0" r="0" b="0"/>
            <wp:wrapTopAndBottom/>
            <wp:docPr id="5" name="Picture 3" descr="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9">
                      <a:extLst>
                        <a:ext uri="{28A0092B-C50C-407E-A947-70E740481C1C}">
                          <a14:useLocalDpi xmlns:a14="http://schemas.microsoft.com/office/drawing/2010/main" val="0"/>
                        </a:ext>
                      </a:extLst>
                    </a:blip>
                    <a:srcRect b="5794"/>
                    <a:stretch>
                      <a:fillRect/>
                    </a:stretch>
                  </pic:blipFill>
                  <pic:spPr bwMode="auto">
                    <a:xfrm>
                      <a:off x="0" y="0"/>
                      <a:ext cx="5721985" cy="3613785"/>
                    </a:xfrm>
                    <a:prstGeom prst="rect">
                      <a:avLst/>
                    </a:prstGeom>
                    <a:noFill/>
                  </pic:spPr>
                </pic:pic>
              </a:graphicData>
            </a:graphic>
            <wp14:sizeRelH relativeFrom="page">
              <wp14:pctWidth>0</wp14:pctWidth>
            </wp14:sizeRelH>
            <wp14:sizeRelV relativeFrom="page">
              <wp14:pctHeight>0</wp14:pctHeight>
            </wp14:sizeRelV>
          </wp:anchor>
        </w:drawing>
      </w:r>
      <w:r w:rsidR="00F21533" w:rsidRPr="00314F62">
        <w:t>A diagram of the road hierarchy concept plan is shown in Figure</w:t>
      </w:r>
      <w:r w:rsidR="00B05AF9" w:rsidRPr="00314F62">
        <w:t> </w:t>
      </w:r>
      <w:r w:rsidR="00F21533" w:rsidRPr="00314F62">
        <w:t>3.3.</w:t>
      </w:r>
    </w:p>
    <w:p w14:paraId="4ABA83BF" w14:textId="5046F7A3" w:rsidR="0060066B" w:rsidRPr="00314F62" w:rsidRDefault="0060066B" w:rsidP="005902BB">
      <w:pPr>
        <w:pStyle w:val="Figure"/>
      </w:pPr>
      <w:r w:rsidRPr="00314F62">
        <w:t>Figure</w:t>
      </w:r>
      <w:r w:rsidR="00211A0B" w:rsidRPr="00314F62">
        <w:t> </w:t>
      </w:r>
      <w:r w:rsidRPr="00314F62">
        <w:t>3.</w:t>
      </w:r>
      <w:r w:rsidR="005902BB" w:rsidRPr="00314F62">
        <w:t xml:space="preserve">3 </w:t>
      </w:r>
      <w:r w:rsidRPr="00314F62">
        <w:t>– Road hierarchy concept plan</w:t>
      </w:r>
    </w:p>
    <w:p w14:paraId="705D17DE" w14:textId="77777777" w:rsidR="00DC0FFE" w:rsidRPr="00314F62" w:rsidRDefault="0059411D" w:rsidP="00DE4BB4">
      <w:pPr>
        <w:pStyle w:val="Heading4"/>
      </w:pPr>
      <w:bookmarkStart w:id="56" w:name="_Toc75951916"/>
      <w:r w:rsidRPr="00314F62">
        <w:t>Colour application</w:t>
      </w:r>
      <w:bookmarkEnd w:id="56"/>
    </w:p>
    <w:p w14:paraId="3E69858D" w14:textId="77777777" w:rsidR="00DC0FFE" w:rsidRPr="00314F62" w:rsidRDefault="00DC0FFE" w:rsidP="00DC0FFE">
      <w:pPr>
        <w:pStyle w:val="BodyTextIndent"/>
      </w:pPr>
      <w:r w:rsidRPr="00F82FC4">
        <w:rPr>
          <w:rStyle w:val="BodyTextIndentBoldUnderlineChar"/>
          <w:b w:val="0"/>
          <w:bCs/>
        </w:rPr>
        <w:t>White markings</w:t>
      </w:r>
      <w:r w:rsidRPr="00314F62">
        <w:t>: The installation of standard pavement markings (longitudinal, transverse lines and symbology) shall be white for all markings, with the following exceptions;</w:t>
      </w:r>
    </w:p>
    <w:p w14:paraId="71354D42" w14:textId="77777777" w:rsidR="00DC0FFE" w:rsidRPr="00314F62" w:rsidRDefault="00DC0FFE" w:rsidP="00DC0FFE">
      <w:pPr>
        <w:pStyle w:val="BodyTextIndent"/>
      </w:pPr>
      <w:r w:rsidRPr="00F82FC4">
        <w:rPr>
          <w:rStyle w:val="BodyTextIndentBoldUnderlineChar"/>
          <w:b w:val="0"/>
          <w:bCs/>
        </w:rPr>
        <w:t>Yellow markings</w:t>
      </w:r>
      <w:r w:rsidRPr="00314F62">
        <w:t>: The following pavement marking types are to be completed in yellow material:</w:t>
      </w:r>
    </w:p>
    <w:p w14:paraId="24E1D16B" w14:textId="77777777" w:rsidR="00DC0FFE" w:rsidRPr="00314F62" w:rsidRDefault="00DC0FFE" w:rsidP="00DC0FFE">
      <w:pPr>
        <w:pStyle w:val="BodyTextIndentDot"/>
      </w:pPr>
      <w:r w:rsidRPr="00314F62">
        <w:t>“No Stopping” zones (longitudinal edge lines);</w:t>
      </w:r>
    </w:p>
    <w:p w14:paraId="062BB3D7" w14:textId="77777777" w:rsidR="00DC0FFE" w:rsidRPr="00314F62" w:rsidRDefault="00D46274" w:rsidP="00DC0FFE">
      <w:pPr>
        <w:pStyle w:val="BodyTextIndentDot"/>
      </w:pPr>
      <w:r w:rsidRPr="00314F62">
        <w:t xml:space="preserve">Loading, Taxi and </w:t>
      </w:r>
      <w:r w:rsidR="00DC0FFE" w:rsidRPr="00314F62">
        <w:t xml:space="preserve">Bus </w:t>
      </w:r>
      <w:r w:rsidR="00B10AD1" w:rsidRPr="00314F62">
        <w:t>S</w:t>
      </w:r>
      <w:r w:rsidR="00DC0FFE" w:rsidRPr="00314F62">
        <w:t>topping zones;</w:t>
      </w:r>
    </w:p>
    <w:p w14:paraId="559EFAE6" w14:textId="5A5B0CE2" w:rsidR="00DC0FFE" w:rsidRPr="00314F62" w:rsidRDefault="00DC0FFE" w:rsidP="00DC0FFE">
      <w:pPr>
        <w:pStyle w:val="BodyTextIndentDot"/>
      </w:pPr>
      <w:r w:rsidRPr="00314F62">
        <w:t xml:space="preserve">Crosshatch markings at railway crossings to </w:t>
      </w:r>
      <w:r w:rsidRPr="00314F62">
        <w:rPr>
          <w:rStyle w:val="BodyTextIndentItalicChar"/>
        </w:rPr>
        <w:t xml:space="preserve">Queensland Department of </w:t>
      </w:r>
      <w:r w:rsidR="003F31FB" w:rsidRPr="00314F62">
        <w:rPr>
          <w:rStyle w:val="BodyTextIndentItalicChar"/>
        </w:rPr>
        <w:t xml:space="preserve">Transport and </w:t>
      </w:r>
      <w:r w:rsidRPr="00314F62">
        <w:rPr>
          <w:rStyle w:val="BodyTextIndentItalicChar"/>
        </w:rPr>
        <w:t xml:space="preserve">Main Roads </w:t>
      </w:r>
      <w:r w:rsidR="001C3C5A">
        <w:rPr>
          <w:rStyle w:val="BodyTextIndentItalicChar"/>
        </w:rPr>
        <w:t xml:space="preserve">sign </w:t>
      </w:r>
      <w:r w:rsidRPr="00314F62">
        <w:rPr>
          <w:rStyle w:val="BodyTextIndentItalicChar"/>
        </w:rPr>
        <w:t>TC1428</w:t>
      </w:r>
      <w:r w:rsidRPr="00314F62">
        <w:t>.</w:t>
      </w:r>
    </w:p>
    <w:p w14:paraId="4F0C2172" w14:textId="77777777" w:rsidR="00FC7970" w:rsidRPr="00314F62" w:rsidRDefault="00DC0FFE" w:rsidP="00FC7970">
      <w:pPr>
        <w:pStyle w:val="BodyTextIndent"/>
      </w:pPr>
      <w:r w:rsidRPr="00F82FC4">
        <w:rPr>
          <w:rStyle w:val="BodyTextIndentBoldUnderlineChar"/>
          <w:b w:val="0"/>
          <w:bCs/>
        </w:rPr>
        <w:t>Specialist pavement markings</w:t>
      </w:r>
      <w:r w:rsidRPr="00314F62">
        <w:t>: There are special colour requirements for the installation of bus, transit and dedicated bicycle lanes, which require a coloured pavement treatment.  Coloured pavement surface treatments for a local area traffic management (LATM) schemes fulfil a critical traffic function and they are to be installed or re-instated with an appropriate system.  For acceptable material and colour details, refer Section</w:t>
      </w:r>
      <w:r w:rsidR="008824D2" w:rsidRPr="00314F62">
        <w:rPr>
          <w:rStyle w:val="BodyTextIndentItalicChar"/>
        </w:rPr>
        <w:t> </w:t>
      </w:r>
      <w:r w:rsidR="00793EBB" w:rsidRPr="00314F62">
        <w:t>3</w:t>
      </w:r>
      <w:r w:rsidR="00620F37" w:rsidRPr="00314F62">
        <w:t>.2</w:t>
      </w:r>
      <w:r w:rsidRPr="00314F62">
        <w:t xml:space="preserve"> of this Specification.</w:t>
      </w:r>
    </w:p>
    <w:p w14:paraId="1F6BEEBA" w14:textId="7D93AE0C" w:rsidR="00643BEE" w:rsidRPr="00314F62" w:rsidRDefault="00FC7970" w:rsidP="00FC7970">
      <w:pPr>
        <w:pStyle w:val="TableLegend"/>
      </w:pPr>
      <w:r w:rsidRPr="00314F62">
        <w:t>Table</w:t>
      </w:r>
      <w:r w:rsidR="00211A0B" w:rsidRPr="00314F62">
        <w:t> </w:t>
      </w:r>
      <w:r w:rsidRPr="00314F62">
        <w:t>3.7 – Longitudinal lines material: material application requirements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2930"/>
        <w:gridCol w:w="2930"/>
      </w:tblGrid>
      <w:tr w:rsidR="00DC0FFE" w:rsidRPr="00314F62" w14:paraId="4EDA1A04" w14:textId="77777777" w:rsidTr="0032291D">
        <w:trPr>
          <w:trHeight w:val="397"/>
          <w:tblHeader/>
        </w:trPr>
        <w:tc>
          <w:tcPr>
            <w:tcW w:w="2787" w:type="dxa"/>
            <w:tcBorders>
              <w:top w:val="single" w:sz="12" w:space="0" w:color="auto"/>
              <w:left w:val="nil"/>
              <w:bottom w:val="single" w:sz="12" w:space="0" w:color="auto"/>
              <w:right w:val="nil"/>
            </w:tcBorders>
            <w:shd w:val="pct10" w:color="auto" w:fill="auto"/>
            <w:vAlign w:val="center"/>
          </w:tcPr>
          <w:p w14:paraId="0AB22705" w14:textId="77777777" w:rsidR="00DC0FFE" w:rsidRPr="00314F62" w:rsidRDefault="00DC0FFE" w:rsidP="008607D0">
            <w:pPr>
              <w:pStyle w:val="TableHeadCen"/>
            </w:pPr>
            <w:r w:rsidRPr="00314F62">
              <w:t>Hierarchy Plan Road Type</w:t>
            </w:r>
          </w:p>
        </w:tc>
        <w:tc>
          <w:tcPr>
            <w:tcW w:w="2930" w:type="dxa"/>
            <w:tcBorders>
              <w:top w:val="single" w:sz="12" w:space="0" w:color="auto"/>
              <w:left w:val="nil"/>
              <w:bottom w:val="single" w:sz="12" w:space="0" w:color="auto"/>
              <w:right w:val="nil"/>
            </w:tcBorders>
            <w:shd w:val="pct10" w:color="auto" w:fill="auto"/>
            <w:vAlign w:val="center"/>
          </w:tcPr>
          <w:p w14:paraId="6F8FAF4C" w14:textId="77777777" w:rsidR="00DC0FFE" w:rsidRPr="00314F62" w:rsidRDefault="00DC0FFE" w:rsidP="008607D0">
            <w:pPr>
              <w:pStyle w:val="TableHeadCen"/>
            </w:pPr>
            <w:r w:rsidRPr="00314F62">
              <w:t>Line Type</w:t>
            </w:r>
          </w:p>
        </w:tc>
        <w:tc>
          <w:tcPr>
            <w:tcW w:w="2930" w:type="dxa"/>
            <w:tcBorders>
              <w:top w:val="single" w:sz="12" w:space="0" w:color="auto"/>
              <w:left w:val="nil"/>
              <w:bottom w:val="single" w:sz="12" w:space="0" w:color="auto"/>
              <w:right w:val="nil"/>
            </w:tcBorders>
            <w:shd w:val="pct10" w:color="auto" w:fill="auto"/>
            <w:vAlign w:val="center"/>
          </w:tcPr>
          <w:p w14:paraId="7644F78F" w14:textId="77777777" w:rsidR="00DC0FFE" w:rsidRPr="00314F62" w:rsidRDefault="00DC0FFE" w:rsidP="008607D0">
            <w:pPr>
              <w:pStyle w:val="TableHeadCen"/>
            </w:pPr>
            <w:r w:rsidRPr="00314F62">
              <w:t>Material</w:t>
            </w:r>
          </w:p>
        </w:tc>
      </w:tr>
      <w:tr w:rsidR="007A2382" w:rsidRPr="00314F62" w14:paraId="6FC0F833" w14:textId="77777777" w:rsidTr="00B05C40">
        <w:trPr>
          <w:trHeight w:val="340"/>
        </w:trPr>
        <w:tc>
          <w:tcPr>
            <w:tcW w:w="2787" w:type="dxa"/>
            <w:tcBorders>
              <w:top w:val="single" w:sz="12" w:space="0" w:color="auto"/>
              <w:left w:val="nil"/>
              <w:bottom w:val="single" w:sz="6" w:space="0" w:color="auto"/>
              <w:right w:val="nil"/>
            </w:tcBorders>
            <w:vAlign w:val="center"/>
          </w:tcPr>
          <w:p w14:paraId="2024E90A" w14:textId="77777777" w:rsidR="007A2382" w:rsidRPr="00314F62" w:rsidRDefault="007A2382" w:rsidP="007A2382">
            <w:pPr>
              <w:pStyle w:val="TableCen"/>
            </w:pPr>
            <w:r w:rsidRPr="00314F62">
              <w:t>Bikeways</w:t>
            </w:r>
          </w:p>
        </w:tc>
        <w:tc>
          <w:tcPr>
            <w:tcW w:w="2930" w:type="dxa"/>
            <w:tcBorders>
              <w:top w:val="single" w:sz="12" w:space="0" w:color="auto"/>
              <w:left w:val="nil"/>
              <w:bottom w:val="single" w:sz="6" w:space="0" w:color="auto"/>
              <w:right w:val="nil"/>
            </w:tcBorders>
            <w:vAlign w:val="center"/>
          </w:tcPr>
          <w:p w14:paraId="430CF974" w14:textId="77777777" w:rsidR="007A2382" w:rsidRPr="00314F62" w:rsidRDefault="007A2382" w:rsidP="007A2382">
            <w:pPr>
              <w:pStyle w:val="TableCen"/>
            </w:pPr>
            <w:r w:rsidRPr="00314F62">
              <w:t>All Markings</w:t>
            </w:r>
          </w:p>
        </w:tc>
        <w:tc>
          <w:tcPr>
            <w:tcW w:w="2930" w:type="dxa"/>
            <w:tcBorders>
              <w:top w:val="single" w:sz="12" w:space="0" w:color="auto"/>
              <w:left w:val="nil"/>
              <w:bottom w:val="single" w:sz="6" w:space="0" w:color="auto"/>
              <w:right w:val="nil"/>
            </w:tcBorders>
            <w:vAlign w:val="center"/>
          </w:tcPr>
          <w:p w14:paraId="63CAA24B" w14:textId="77777777" w:rsidR="007A2382" w:rsidRPr="00314F62" w:rsidRDefault="009E0998" w:rsidP="007A2382">
            <w:pPr>
              <w:pStyle w:val="TableCen"/>
            </w:pPr>
            <w:r w:rsidRPr="00314F62">
              <w:t xml:space="preserve">Waterborne paint or </w:t>
            </w:r>
            <w:r w:rsidR="007A2382" w:rsidRPr="00314F62">
              <w:t xml:space="preserve">Cold Applied Plastic </w:t>
            </w:r>
            <w:r w:rsidRPr="00314F62">
              <w:t xml:space="preserve">(Spray) </w:t>
            </w:r>
            <w:r w:rsidR="007A2382" w:rsidRPr="00314F62">
              <w:t>(Section 3.5.6)</w:t>
            </w:r>
          </w:p>
        </w:tc>
      </w:tr>
      <w:tr w:rsidR="007A2382" w:rsidRPr="00314F62" w14:paraId="583A72AF" w14:textId="77777777" w:rsidTr="00B05C40">
        <w:trPr>
          <w:trHeight w:val="340"/>
        </w:trPr>
        <w:tc>
          <w:tcPr>
            <w:tcW w:w="2787" w:type="dxa"/>
            <w:tcBorders>
              <w:top w:val="single" w:sz="6" w:space="0" w:color="auto"/>
              <w:left w:val="nil"/>
              <w:bottom w:val="single" w:sz="6" w:space="0" w:color="auto"/>
              <w:right w:val="nil"/>
            </w:tcBorders>
            <w:vAlign w:val="center"/>
          </w:tcPr>
          <w:p w14:paraId="58FEBE60" w14:textId="77777777" w:rsidR="007A2382" w:rsidRPr="00314F62" w:rsidRDefault="007A2382" w:rsidP="007A2382">
            <w:pPr>
              <w:pStyle w:val="TableCen"/>
            </w:pPr>
            <w:r w:rsidRPr="00314F62">
              <w:t>Local and Neighbourhood Roads</w:t>
            </w:r>
          </w:p>
          <w:p w14:paraId="3FDA60D6" w14:textId="77777777" w:rsidR="007A2382" w:rsidRPr="00314F62" w:rsidRDefault="007A2382" w:rsidP="007A2382">
            <w:pPr>
              <w:pStyle w:val="TableCen"/>
            </w:pPr>
            <w:r w:rsidRPr="00314F62">
              <w:t>(Other than LATM schemes)</w:t>
            </w:r>
          </w:p>
        </w:tc>
        <w:tc>
          <w:tcPr>
            <w:tcW w:w="2930" w:type="dxa"/>
            <w:tcBorders>
              <w:top w:val="single" w:sz="6" w:space="0" w:color="auto"/>
              <w:left w:val="nil"/>
              <w:bottom w:val="single" w:sz="6" w:space="0" w:color="auto"/>
              <w:right w:val="nil"/>
            </w:tcBorders>
            <w:vAlign w:val="center"/>
          </w:tcPr>
          <w:p w14:paraId="37C1C42A" w14:textId="77777777" w:rsidR="007A2382" w:rsidRPr="00314F62" w:rsidRDefault="007A2382" w:rsidP="007A2382">
            <w:pPr>
              <w:pStyle w:val="TableCen"/>
            </w:pPr>
            <w:r w:rsidRPr="00314F62">
              <w:t>All Longitudinal Lines and Bikeway Markings</w:t>
            </w:r>
          </w:p>
        </w:tc>
        <w:tc>
          <w:tcPr>
            <w:tcW w:w="2930" w:type="dxa"/>
            <w:tcBorders>
              <w:top w:val="single" w:sz="6" w:space="0" w:color="auto"/>
              <w:left w:val="nil"/>
              <w:bottom w:val="single" w:sz="6" w:space="0" w:color="auto"/>
              <w:right w:val="nil"/>
            </w:tcBorders>
            <w:vAlign w:val="center"/>
          </w:tcPr>
          <w:p w14:paraId="1F8F519B" w14:textId="77777777" w:rsidR="007A2382" w:rsidRPr="00314F62" w:rsidRDefault="007A2382" w:rsidP="007A2382">
            <w:pPr>
              <w:pStyle w:val="TableCen"/>
            </w:pPr>
            <w:r w:rsidRPr="00314F62">
              <w:t>Waterborne paint</w:t>
            </w:r>
          </w:p>
        </w:tc>
      </w:tr>
      <w:tr w:rsidR="007A2382" w:rsidRPr="00314F62" w14:paraId="7A8BAA80" w14:textId="77777777" w:rsidTr="008055EF">
        <w:trPr>
          <w:trHeight w:val="340"/>
        </w:trPr>
        <w:tc>
          <w:tcPr>
            <w:tcW w:w="2787" w:type="dxa"/>
            <w:tcBorders>
              <w:top w:val="single" w:sz="6" w:space="0" w:color="auto"/>
              <w:left w:val="nil"/>
              <w:bottom w:val="single" w:sz="6" w:space="0" w:color="auto"/>
              <w:right w:val="nil"/>
            </w:tcBorders>
            <w:vAlign w:val="center"/>
          </w:tcPr>
          <w:p w14:paraId="554E996F" w14:textId="77777777" w:rsidR="007A2382" w:rsidRPr="00314F62" w:rsidRDefault="007A2382" w:rsidP="007A2382">
            <w:pPr>
              <w:pStyle w:val="TableCen"/>
            </w:pPr>
            <w:r w:rsidRPr="00314F62">
              <w:t>LATM Schemes</w:t>
            </w:r>
          </w:p>
        </w:tc>
        <w:tc>
          <w:tcPr>
            <w:tcW w:w="2930" w:type="dxa"/>
            <w:tcBorders>
              <w:top w:val="single" w:sz="6" w:space="0" w:color="auto"/>
              <w:left w:val="nil"/>
              <w:bottom w:val="single" w:sz="6" w:space="0" w:color="auto"/>
              <w:right w:val="nil"/>
            </w:tcBorders>
            <w:vAlign w:val="center"/>
          </w:tcPr>
          <w:p w14:paraId="43612CD0" w14:textId="77777777" w:rsidR="007A2382" w:rsidRPr="00314F62" w:rsidRDefault="007A2382" w:rsidP="007A2382">
            <w:pPr>
              <w:pStyle w:val="TableCen"/>
              <w:rPr>
                <w:i/>
              </w:rPr>
            </w:pPr>
            <w:r w:rsidRPr="00314F62">
              <w:t>All Longitudinal Lines</w:t>
            </w:r>
          </w:p>
        </w:tc>
        <w:tc>
          <w:tcPr>
            <w:tcW w:w="2930" w:type="dxa"/>
            <w:tcBorders>
              <w:top w:val="single" w:sz="6" w:space="0" w:color="auto"/>
              <w:left w:val="nil"/>
              <w:bottom w:val="single" w:sz="6" w:space="0" w:color="auto"/>
              <w:right w:val="nil"/>
            </w:tcBorders>
            <w:vAlign w:val="center"/>
          </w:tcPr>
          <w:p w14:paraId="0200FA36" w14:textId="77777777" w:rsidR="007A2382" w:rsidRPr="00314F62" w:rsidRDefault="007A2382" w:rsidP="007A2382">
            <w:pPr>
              <w:pStyle w:val="TableCen"/>
            </w:pPr>
            <w:r w:rsidRPr="00314F62">
              <w:t>Longlife material</w:t>
            </w:r>
          </w:p>
        </w:tc>
      </w:tr>
      <w:tr w:rsidR="007A2382" w:rsidRPr="00314F62" w14:paraId="286BCAC7" w14:textId="77777777" w:rsidTr="00F82FC4">
        <w:trPr>
          <w:trHeight w:val="340"/>
        </w:trPr>
        <w:tc>
          <w:tcPr>
            <w:tcW w:w="2787" w:type="dxa"/>
            <w:vMerge w:val="restart"/>
            <w:tcBorders>
              <w:top w:val="single" w:sz="6" w:space="0" w:color="auto"/>
              <w:left w:val="nil"/>
              <w:bottom w:val="single" w:sz="6" w:space="0" w:color="auto"/>
              <w:right w:val="nil"/>
            </w:tcBorders>
            <w:vAlign w:val="center"/>
          </w:tcPr>
          <w:p w14:paraId="5B18FC3E" w14:textId="77777777" w:rsidR="007A2382" w:rsidRPr="00314F62" w:rsidRDefault="007A2382" w:rsidP="007A2382">
            <w:pPr>
              <w:pStyle w:val="TableCen"/>
            </w:pPr>
            <w:r w:rsidRPr="00314F62">
              <w:t>District Access, Suburban and Arterial Roads</w:t>
            </w:r>
          </w:p>
        </w:tc>
        <w:tc>
          <w:tcPr>
            <w:tcW w:w="2930" w:type="dxa"/>
            <w:tcBorders>
              <w:top w:val="single" w:sz="6" w:space="0" w:color="auto"/>
              <w:left w:val="nil"/>
              <w:bottom w:val="single" w:sz="2" w:space="0" w:color="auto"/>
              <w:right w:val="nil"/>
            </w:tcBorders>
            <w:vAlign w:val="center"/>
          </w:tcPr>
          <w:p w14:paraId="6891BE26" w14:textId="77777777" w:rsidR="007A2382" w:rsidRPr="00314F62" w:rsidRDefault="007A2382" w:rsidP="007A2382">
            <w:pPr>
              <w:pStyle w:val="TableCen"/>
            </w:pPr>
            <w:r w:rsidRPr="00314F62">
              <w:t>Centrelines on all roads</w:t>
            </w:r>
          </w:p>
        </w:tc>
        <w:tc>
          <w:tcPr>
            <w:tcW w:w="2930" w:type="dxa"/>
            <w:tcBorders>
              <w:top w:val="single" w:sz="6" w:space="0" w:color="auto"/>
              <w:left w:val="nil"/>
              <w:bottom w:val="single" w:sz="2" w:space="0" w:color="auto"/>
              <w:right w:val="nil"/>
            </w:tcBorders>
            <w:vAlign w:val="center"/>
          </w:tcPr>
          <w:p w14:paraId="3A3899A9" w14:textId="77777777" w:rsidR="007A2382" w:rsidRPr="00314F62" w:rsidRDefault="009E0998" w:rsidP="009E0998">
            <w:pPr>
              <w:pStyle w:val="TableCen"/>
            </w:pPr>
            <w:r w:rsidRPr="00314F62">
              <w:t xml:space="preserve">Waterborne paint or </w:t>
            </w:r>
            <w:r w:rsidR="007A2382" w:rsidRPr="00314F62">
              <w:t xml:space="preserve">Longlife material </w:t>
            </w:r>
          </w:p>
        </w:tc>
      </w:tr>
      <w:tr w:rsidR="007A2382" w:rsidRPr="00314F62" w14:paraId="7493EDBF" w14:textId="77777777" w:rsidTr="00F82FC4">
        <w:trPr>
          <w:trHeight w:val="340"/>
        </w:trPr>
        <w:tc>
          <w:tcPr>
            <w:tcW w:w="2787" w:type="dxa"/>
            <w:vMerge/>
            <w:tcBorders>
              <w:top w:val="single" w:sz="6" w:space="0" w:color="auto"/>
              <w:left w:val="nil"/>
              <w:bottom w:val="single" w:sz="6" w:space="0" w:color="auto"/>
              <w:right w:val="nil"/>
            </w:tcBorders>
            <w:vAlign w:val="center"/>
          </w:tcPr>
          <w:p w14:paraId="4A4EFABA" w14:textId="77777777" w:rsidR="007A2382" w:rsidRPr="00314F62" w:rsidRDefault="007A2382" w:rsidP="007A2382">
            <w:pPr>
              <w:pStyle w:val="TableCen"/>
            </w:pPr>
          </w:p>
        </w:tc>
        <w:tc>
          <w:tcPr>
            <w:tcW w:w="2930" w:type="dxa"/>
            <w:tcBorders>
              <w:top w:val="single" w:sz="2" w:space="0" w:color="auto"/>
              <w:left w:val="nil"/>
              <w:bottom w:val="single" w:sz="2" w:space="0" w:color="auto"/>
              <w:right w:val="nil"/>
            </w:tcBorders>
            <w:vAlign w:val="center"/>
          </w:tcPr>
          <w:p w14:paraId="52F58185" w14:textId="77777777" w:rsidR="007A2382" w:rsidRPr="00314F62" w:rsidRDefault="007A2382" w:rsidP="007A2382">
            <w:pPr>
              <w:pStyle w:val="TableCen"/>
            </w:pPr>
            <w:r w:rsidRPr="00314F62">
              <w:t>Lane lines on Multi-Lane roads</w:t>
            </w:r>
          </w:p>
        </w:tc>
        <w:tc>
          <w:tcPr>
            <w:tcW w:w="2930" w:type="dxa"/>
            <w:tcBorders>
              <w:top w:val="single" w:sz="2" w:space="0" w:color="auto"/>
              <w:left w:val="nil"/>
              <w:bottom w:val="single" w:sz="2" w:space="0" w:color="auto"/>
              <w:right w:val="nil"/>
            </w:tcBorders>
            <w:vAlign w:val="center"/>
          </w:tcPr>
          <w:p w14:paraId="2F769DE4" w14:textId="75D78672" w:rsidR="007A2382" w:rsidRPr="00314F62" w:rsidRDefault="007A2382" w:rsidP="007A2382">
            <w:pPr>
              <w:pStyle w:val="TableCen"/>
            </w:pPr>
            <w:r w:rsidRPr="00314F62">
              <w:t>Longlife material</w:t>
            </w:r>
          </w:p>
        </w:tc>
      </w:tr>
      <w:tr w:rsidR="007A2382" w:rsidRPr="00314F62" w14:paraId="3F84DA2B" w14:textId="77777777" w:rsidTr="008055EF">
        <w:trPr>
          <w:trHeight w:val="340"/>
        </w:trPr>
        <w:tc>
          <w:tcPr>
            <w:tcW w:w="2787" w:type="dxa"/>
            <w:vMerge/>
            <w:tcBorders>
              <w:top w:val="single" w:sz="6" w:space="0" w:color="auto"/>
              <w:left w:val="nil"/>
              <w:bottom w:val="nil"/>
              <w:right w:val="nil"/>
            </w:tcBorders>
            <w:vAlign w:val="center"/>
          </w:tcPr>
          <w:p w14:paraId="6A14A1E2" w14:textId="77777777" w:rsidR="007A2382" w:rsidRPr="00314F62" w:rsidRDefault="007A2382" w:rsidP="007A2382">
            <w:pPr>
              <w:pStyle w:val="TableCen"/>
            </w:pPr>
          </w:p>
        </w:tc>
        <w:tc>
          <w:tcPr>
            <w:tcW w:w="2930" w:type="dxa"/>
            <w:tcBorders>
              <w:top w:val="single" w:sz="2" w:space="0" w:color="auto"/>
              <w:left w:val="nil"/>
              <w:bottom w:val="single" w:sz="2" w:space="0" w:color="auto"/>
              <w:right w:val="nil"/>
            </w:tcBorders>
            <w:vAlign w:val="center"/>
          </w:tcPr>
          <w:p w14:paraId="349351B7" w14:textId="77777777" w:rsidR="007A2382" w:rsidRPr="00314F62" w:rsidRDefault="007A2382" w:rsidP="007A2382">
            <w:pPr>
              <w:pStyle w:val="TableCen"/>
            </w:pPr>
            <w:r w:rsidRPr="00314F62">
              <w:t>Island outlines</w:t>
            </w:r>
          </w:p>
          <w:p w14:paraId="12B2A191" w14:textId="77777777" w:rsidR="007A2382" w:rsidRPr="00314F62" w:rsidRDefault="007A2382" w:rsidP="007A2382">
            <w:pPr>
              <w:pStyle w:val="TableCen"/>
            </w:pPr>
            <w:r w:rsidRPr="00314F62">
              <w:t>(Centre islands and medians)</w:t>
            </w:r>
          </w:p>
        </w:tc>
        <w:tc>
          <w:tcPr>
            <w:tcW w:w="2930" w:type="dxa"/>
            <w:tcBorders>
              <w:top w:val="single" w:sz="2" w:space="0" w:color="auto"/>
              <w:left w:val="nil"/>
              <w:bottom w:val="single" w:sz="2" w:space="0" w:color="auto"/>
              <w:right w:val="nil"/>
            </w:tcBorders>
            <w:vAlign w:val="center"/>
          </w:tcPr>
          <w:p w14:paraId="69ECE11C" w14:textId="684DC244" w:rsidR="007A2382" w:rsidRPr="00314F62" w:rsidRDefault="007A2382" w:rsidP="007A2382">
            <w:pPr>
              <w:pStyle w:val="TableCen"/>
            </w:pPr>
            <w:r w:rsidRPr="00314F62">
              <w:t>Longlife material</w:t>
            </w:r>
          </w:p>
        </w:tc>
      </w:tr>
      <w:tr w:rsidR="007A2382" w:rsidRPr="00314F62" w14:paraId="556C1A5B" w14:textId="77777777" w:rsidTr="008055EF">
        <w:trPr>
          <w:trHeight w:val="340"/>
        </w:trPr>
        <w:tc>
          <w:tcPr>
            <w:tcW w:w="2787" w:type="dxa"/>
            <w:vMerge/>
            <w:tcBorders>
              <w:top w:val="single" w:sz="6" w:space="0" w:color="auto"/>
              <w:left w:val="nil"/>
              <w:bottom w:val="nil"/>
              <w:right w:val="nil"/>
            </w:tcBorders>
            <w:vAlign w:val="center"/>
          </w:tcPr>
          <w:p w14:paraId="66B28C25" w14:textId="77777777" w:rsidR="007A2382" w:rsidRPr="00314F62" w:rsidRDefault="007A2382" w:rsidP="007A2382">
            <w:pPr>
              <w:pStyle w:val="TableCen"/>
            </w:pPr>
          </w:p>
        </w:tc>
        <w:tc>
          <w:tcPr>
            <w:tcW w:w="2930" w:type="dxa"/>
            <w:tcBorders>
              <w:top w:val="single" w:sz="2" w:space="0" w:color="auto"/>
              <w:left w:val="nil"/>
              <w:bottom w:val="single" w:sz="2" w:space="0" w:color="auto"/>
              <w:right w:val="nil"/>
            </w:tcBorders>
            <w:vAlign w:val="center"/>
          </w:tcPr>
          <w:p w14:paraId="6AB75030" w14:textId="77777777" w:rsidR="007A2382" w:rsidRPr="00314F62" w:rsidRDefault="007A2382" w:rsidP="007A2382">
            <w:pPr>
              <w:pStyle w:val="TableCen"/>
            </w:pPr>
            <w:r w:rsidRPr="00314F62">
              <w:t>Island outlines</w:t>
            </w:r>
          </w:p>
          <w:p w14:paraId="158C3F18" w14:textId="77777777" w:rsidR="007A2382" w:rsidRPr="00314F62" w:rsidRDefault="007A2382" w:rsidP="007A2382">
            <w:pPr>
              <w:pStyle w:val="TableCen"/>
            </w:pPr>
            <w:r w:rsidRPr="00314F62">
              <w:t>(Left hand splitter islands etc.)</w:t>
            </w:r>
          </w:p>
        </w:tc>
        <w:tc>
          <w:tcPr>
            <w:tcW w:w="2930" w:type="dxa"/>
            <w:tcBorders>
              <w:top w:val="single" w:sz="2" w:space="0" w:color="auto"/>
              <w:left w:val="nil"/>
              <w:bottom w:val="single" w:sz="2" w:space="0" w:color="auto"/>
              <w:right w:val="nil"/>
            </w:tcBorders>
            <w:vAlign w:val="center"/>
          </w:tcPr>
          <w:p w14:paraId="405D46A6" w14:textId="77777777" w:rsidR="007A2382" w:rsidRPr="00314F62" w:rsidRDefault="007A2382" w:rsidP="007A2382">
            <w:pPr>
              <w:pStyle w:val="TableCen"/>
            </w:pPr>
            <w:r w:rsidRPr="00314F62">
              <w:t>Waterborne paint</w:t>
            </w:r>
          </w:p>
        </w:tc>
      </w:tr>
      <w:tr w:rsidR="009E0998" w:rsidRPr="00314F62" w14:paraId="049E348D" w14:textId="77777777" w:rsidTr="00F82FC4">
        <w:trPr>
          <w:trHeight w:val="340"/>
        </w:trPr>
        <w:tc>
          <w:tcPr>
            <w:tcW w:w="2787" w:type="dxa"/>
            <w:vMerge/>
            <w:tcBorders>
              <w:top w:val="single" w:sz="6" w:space="0" w:color="auto"/>
              <w:left w:val="nil"/>
              <w:bottom w:val="nil"/>
              <w:right w:val="nil"/>
            </w:tcBorders>
            <w:vAlign w:val="center"/>
          </w:tcPr>
          <w:p w14:paraId="2F3BFCE9" w14:textId="77777777" w:rsidR="009E0998" w:rsidRPr="00314F62" w:rsidRDefault="009E0998" w:rsidP="009E0998">
            <w:pPr>
              <w:pStyle w:val="TableCen"/>
            </w:pPr>
          </w:p>
        </w:tc>
        <w:tc>
          <w:tcPr>
            <w:tcW w:w="2930" w:type="dxa"/>
            <w:tcBorders>
              <w:top w:val="single" w:sz="2" w:space="0" w:color="auto"/>
              <w:left w:val="nil"/>
              <w:bottom w:val="single" w:sz="2" w:space="0" w:color="auto"/>
              <w:right w:val="nil"/>
            </w:tcBorders>
            <w:vAlign w:val="center"/>
          </w:tcPr>
          <w:p w14:paraId="2B62470B" w14:textId="77777777" w:rsidR="009E0998" w:rsidRPr="00314F62" w:rsidRDefault="009E0998" w:rsidP="009E0998">
            <w:pPr>
              <w:pStyle w:val="TableCen"/>
            </w:pPr>
            <w:r w:rsidRPr="00314F62">
              <w:t>Edge lines</w:t>
            </w:r>
          </w:p>
          <w:p w14:paraId="744C4703" w14:textId="77777777" w:rsidR="009E0998" w:rsidRPr="00314F62" w:rsidRDefault="009E0998" w:rsidP="009E0998">
            <w:pPr>
              <w:pStyle w:val="TableCen"/>
            </w:pPr>
            <w:r w:rsidRPr="00314F62">
              <w:t>(Non-bicycle facilities)</w:t>
            </w:r>
          </w:p>
        </w:tc>
        <w:tc>
          <w:tcPr>
            <w:tcW w:w="2930" w:type="dxa"/>
            <w:tcBorders>
              <w:top w:val="single" w:sz="2" w:space="0" w:color="auto"/>
              <w:left w:val="nil"/>
              <w:bottom w:val="single" w:sz="2" w:space="0" w:color="auto"/>
              <w:right w:val="nil"/>
            </w:tcBorders>
            <w:vAlign w:val="center"/>
          </w:tcPr>
          <w:p w14:paraId="2D4D2C03" w14:textId="77777777" w:rsidR="009E0998" w:rsidRPr="00314F62" w:rsidRDefault="009E0998" w:rsidP="009E0998">
            <w:pPr>
              <w:pStyle w:val="TableCen"/>
            </w:pPr>
            <w:r w:rsidRPr="00314F62">
              <w:t xml:space="preserve">Waterborne paint or Longlife material </w:t>
            </w:r>
          </w:p>
        </w:tc>
      </w:tr>
      <w:tr w:rsidR="009E0998" w:rsidRPr="00314F62" w14:paraId="74912AC9" w14:textId="77777777" w:rsidTr="00F82FC4">
        <w:trPr>
          <w:trHeight w:val="340"/>
        </w:trPr>
        <w:tc>
          <w:tcPr>
            <w:tcW w:w="2787" w:type="dxa"/>
            <w:vMerge/>
            <w:tcBorders>
              <w:top w:val="single" w:sz="6" w:space="0" w:color="auto"/>
              <w:left w:val="nil"/>
              <w:bottom w:val="nil"/>
              <w:right w:val="nil"/>
            </w:tcBorders>
            <w:vAlign w:val="center"/>
          </w:tcPr>
          <w:p w14:paraId="4452C74F" w14:textId="77777777" w:rsidR="009E0998" w:rsidRPr="00314F62" w:rsidRDefault="009E0998" w:rsidP="009E0998">
            <w:pPr>
              <w:pStyle w:val="TableCen"/>
            </w:pPr>
          </w:p>
        </w:tc>
        <w:tc>
          <w:tcPr>
            <w:tcW w:w="2930" w:type="dxa"/>
            <w:tcBorders>
              <w:top w:val="single" w:sz="2" w:space="0" w:color="auto"/>
              <w:left w:val="nil"/>
              <w:bottom w:val="single" w:sz="2" w:space="0" w:color="auto"/>
              <w:right w:val="nil"/>
            </w:tcBorders>
            <w:vAlign w:val="center"/>
          </w:tcPr>
          <w:p w14:paraId="36B5037B" w14:textId="77777777" w:rsidR="009E0998" w:rsidRPr="00314F62" w:rsidRDefault="009E0998" w:rsidP="009E0998">
            <w:pPr>
              <w:pStyle w:val="TableCen"/>
            </w:pPr>
            <w:r w:rsidRPr="00314F62">
              <w:t>Edge lines</w:t>
            </w:r>
          </w:p>
          <w:p w14:paraId="59536118" w14:textId="77777777" w:rsidR="009E0998" w:rsidRPr="00314F62" w:rsidRDefault="009E0998" w:rsidP="009E0998">
            <w:pPr>
              <w:pStyle w:val="TableCen"/>
            </w:pPr>
            <w:r w:rsidRPr="00314F62">
              <w:t>(Bicycle facilities)</w:t>
            </w:r>
          </w:p>
        </w:tc>
        <w:tc>
          <w:tcPr>
            <w:tcW w:w="2930" w:type="dxa"/>
            <w:tcBorders>
              <w:top w:val="single" w:sz="2" w:space="0" w:color="auto"/>
              <w:left w:val="nil"/>
              <w:bottom w:val="single" w:sz="2" w:space="0" w:color="auto"/>
              <w:right w:val="nil"/>
            </w:tcBorders>
            <w:vAlign w:val="center"/>
          </w:tcPr>
          <w:p w14:paraId="6EC0C6A2" w14:textId="77777777" w:rsidR="009E0998" w:rsidRPr="00314F62" w:rsidRDefault="009E0998" w:rsidP="009E0998">
            <w:pPr>
              <w:pStyle w:val="TableCen"/>
            </w:pPr>
            <w:r w:rsidRPr="00314F62">
              <w:t>Waterborne paint or Cold Applied Plastic</w:t>
            </w:r>
          </w:p>
        </w:tc>
      </w:tr>
      <w:tr w:rsidR="009E0998" w:rsidRPr="00314F62" w14:paraId="18C51843" w14:textId="77777777" w:rsidTr="00F82FC4">
        <w:trPr>
          <w:trHeight w:val="340"/>
        </w:trPr>
        <w:tc>
          <w:tcPr>
            <w:tcW w:w="2787" w:type="dxa"/>
            <w:vMerge/>
            <w:tcBorders>
              <w:top w:val="single" w:sz="6" w:space="0" w:color="auto"/>
              <w:left w:val="nil"/>
              <w:bottom w:val="nil"/>
              <w:right w:val="nil"/>
            </w:tcBorders>
            <w:vAlign w:val="center"/>
          </w:tcPr>
          <w:p w14:paraId="00235DA1" w14:textId="77777777" w:rsidR="009E0998" w:rsidRPr="00314F62" w:rsidRDefault="009E0998" w:rsidP="009E0998">
            <w:pPr>
              <w:pStyle w:val="TableCen"/>
            </w:pPr>
          </w:p>
        </w:tc>
        <w:tc>
          <w:tcPr>
            <w:tcW w:w="2930" w:type="dxa"/>
            <w:tcBorders>
              <w:top w:val="single" w:sz="2" w:space="0" w:color="auto"/>
              <w:left w:val="nil"/>
              <w:bottom w:val="single" w:sz="6" w:space="0" w:color="auto"/>
              <w:right w:val="nil"/>
            </w:tcBorders>
            <w:vAlign w:val="center"/>
          </w:tcPr>
          <w:p w14:paraId="67CB9FA9" w14:textId="77777777" w:rsidR="009E0998" w:rsidRPr="00314F62" w:rsidRDefault="009E0998" w:rsidP="009E0998">
            <w:pPr>
              <w:pStyle w:val="TableCen"/>
            </w:pPr>
            <w:r w:rsidRPr="00314F62">
              <w:t>Continuity lines</w:t>
            </w:r>
          </w:p>
        </w:tc>
        <w:tc>
          <w:tcPr>
            <w:tcW w:w="2930" w:type="dxa"/>
            <w:tcBorders>
              <w:top w:val="single" w:sz="2" w:space="0" w:color="auto"/>
              <w:left w:val="nil"/>
              <w:bottom w:val="single" w:sz="6" w:space="0" w:color="auto"/>
              <w:right w:val="nil"/>
            </w:tcBorders>
            <w:vAlign w:val="center"/>
          </w:tcPr>
          <w:p w14:paraId="09B8FCC0" w14:textId="2588ED0F" w:rsidR="009E0998" w:rsidRPr="00314F62" w:rsidRDefault="009E0998" w:rsidP="009E0998">
            <w:pPr>
              <w:pStyle w:val="TableCen"/>
            </w:pPr>
            <w:r w:rsidRPr="00314F62">
              <w:t>Longlife material</w:t>
            </w:r>
          </w:p>
        </w:tc>
      </w:tr>
      <w:tr w:rsidR="009E0998" w:rsidRPr="00314F62" w14:paraId="661D98C6" w14:textId="77777777" w:rsidTr="00F82FC4">
        <w:trPr>
          <w:trHeight w:val="340"/>
        </w:trPr>
        <w:tc>
          <w:tcPr>
            <w:tcW w:w="2787" w:type="dxa"/>
            <w:tcBorders>
              <w:top w:val="single" w:sz="6" w:space="0" w:color="auto"/>
              <w:left w:val="nil"/>
              <w:bottom w:val="single" w:sz="6" w:space="0" w:color="auto"/>
              <w:right w:val="nil"/>
            </w:tcBorders>
            <w:vAlign w:val="center"/>
          </w:tcPr>
          <w:p w14:paraId="5C4072E4" w14:textId="77777777" w:rsidR="009E0998" w:rsidRPr="00314F62" w:rsidRDefault="009E0998" w:rsidP="009E0998">
            <w:pPr>
              <w:pStyle w:val="TableCen"/>
            </w:pPr>
            <w:r w:rsidRPr="00314F62">
              <w:t>Primary Freight Access Routes/CBD</w:t>
            </w:r>
          </w:p>
        </w:tc>
        <w:tc>
          <w:tcPr>
            <w:tcW w:w="2930" w:type="dxa"/>
            <w:tcBorders>
              <w:top w:val="single" w:sz="6" w:space="0" w:color="auto"/>
              <w:left w:val="nil"/>
              <w:bottom w:val="single" w:sz="6" w:space="0" w:color="auto"/>
              <w:right w:val="nil"/>
            </w:tcBorders>
            <w:vAlign w:val="center"/>
          </w:tcPr>
          <w:p w14:paraId="2F8489A5" w14:textId="77777777" w:rsidR="009E0998" w:rsidRPr="00314F62" w:rsidRDefault="009E0998" w:rsidP="009E0998">
            <w:pPr>
              <w:pStyle w:val="TableCen"/>
            </w:pPr>
            <w:r w:rsidRPr="00314F62">
              <w:t>All Longitudinal Lines</w:t>
            </w:r>
          </w:p>
        </w:tc>
        <w:tc>
          <w:tcPr>
            <w:tcW w:w="2930" w:type="dxa"/>
            <w:tcBorders>
              <w:top w:val="single" w:sz="6" w:space="0" w:color="auto"/>
              <w:left w:val="nil"/>
              <w:bottom w:val="single" w:sz="6" w:space="0" w:color="auto"/>
              <w:right w:val="nil"/>
            </w:tcBorders>
            <w:vAlign w:val="center"/>
          </w:tcPr>
          <w:p w14:paraId="0AA1393D" w14:textId="77777777" w:rsidR="009E0998" w:rsidRPr="00314F62" w:rsidRDefault="009E0998" w:rsidP="009E0998">
            <w:pPr>
              <w:pStyle w:val="TableCen"/>
            </w:pPr>
            <w:r w:rsidRPr="00314F62">
              <w:t>Waterborne paint or Cold Applied Plastic</w:t>
            </w:r>
          </w:p>
        </w:tc>
      </w:tr>
      <w:tr w:rsidR="009E0998" w:rsidRPr="00314F62" w14:paraId="41B1FE8D" w14:textId="77777777" w:rsidTr="00F82FC4">
        <w:trPr>
          <w:trHeight w:val="340"/>
        </w:trPr>
        <w:tc>
          <w:tcPr>
            <w:tcW w:w="2787" w:type="dxa"/>
            <w:vMerge w:val="restart"/>
            <w:tcBorders>
              <w:top w:val="single" w:sz="6" w:space="0" w:color="auto"/>
              <w:left w:val="nil"/>
              <w:bottom w:val="single" w:sz="4" w:space="0" w:color="auto"/>
              <w:right w:val="nil"/>
            </w:tcBorders>
            <w:vAlign w:val="center"/>
          </w:tcPr>
          <w:p w14:paraId="187AC5F0" w14:textId="77777777" w:rsidR="009E0998" w:rsidRPr="00314F62" w:rsidRDefault="009E0998" w:rsidP="009E0998">
            <w:pPr>
              <w:pStyle w:val="TableCen"/>
            </w:pPr>
            <w:r w:rsidRPr="00314F62">
              <w:t>Primary Freight Routes</w:t>
            </w:r>
          </w:p>
        </w:tc>
        <w:tc>
          <w:tcPr>
            <w:tcW w:w="2930" w:type="dxa"/>
            <w:tcBorders>
              <w:top w:val="single" w:sz="6" w:space="0" w:color="auto"/>
              <w:left w:val="nil"/>
              <w:bottom w:val="single" w:sz="2" w:space="0" w:color="auto"/>
              <w:right w:val="nil"/>
            </w:tcBorders>
            <w:vAlign w:val="center"/>
          </w:tcPr>
          <w:p w14:paraId="39085224" w14:textId="77777777" w:rsidR="009E0998" w:rsidRPr="00314F62" w:rsidRDefault="009E0998" w:rsidP="009E0998">
            <w:pPr>
              <w:pStyle w:val="TableCen"/>
            </w:pPr>
            <w:r w:rsidRPr="00314F62">
              <w:t>All Longitudinal Lines except Island outlines</w:t>
            </w:r>
          </w:p>
        </w:tc>
        <w:tc>
          <w:tcPr>
            <w:tcW w:w="2930" w:type="dxa"/>
            <w:tcBorders>
              <w:top w:val="single" w:sz="6" w:space="0" w:color="auto"/>
              <w:left w:val="nil"/>
              <w:bottom w:val="single" w:sz="2" w:space="0" w:color="auto"/>
              <w:right w:val="nil"/>
            </w:tcBorders>
            <w:vAlign w:val="center"/>
          </w:tcPr>
          <w:p w14:paraId="0F4413A3" w14:textId="0A22987A" w:rsidR="009E0998" w:rsidRPr="00314F62" w:rsidRDefault="009E0998" w:rsidP="009E0998">
            <w:pPr>
              <w:pStyle w:val="TableCen"/>
            </w:pPr>
            <w:r w:rsidRPr="00314F62">
              <w:t>Longlife material</w:t>
            </w:r>
          </w:p>
        </w:tc>
      </w:tr>
      <w:tr w:rsidR="009E0998" w:rsidRPr="00314F62" w14:paraId="21BE2A56" w14:textId="77777777" w:rsidTr="00F82FC4">
        <w:trPr>
          <w:trHeight w:val="340"/>
        </w:trPr>
        <w:tc>
          <w:tcPr>
            <w:tcW w:w="2787" w:type="dxa"/>
            <w:vMerge/>
            <w:tcBorders>
              <w:top w:val="single" w:sz="4" w:space="0" w:color="auto"/>
              <w:left w:val="nil"/>
              <w:bottom w:val="single" w:sz="6" w:space="0" w:color="auto"/>
              <w:right w:val="nil"/>
            </w:tcBorders>
            <w:vAlign w:val="center"/>
          </w:tcPr>
          <w:p w14:paraId="647F32C0" w14:textId="77777777" w:rsidR="009E0998" w:rsidRPr="00314F62" w:rsidRDefault="009E0998" w:rsidP="009E0998">
            <w:pPr>
              <w:pStyle w:val="TableCen"/>
            </w:pPr>
          </w:p>
        </w:tc>
        <w:tc>
          <w:tcPr>
            <w:tcW w:w="2930" w:type="dxa"/>
            <w:tcBorders>
              <w:top w:val="single" w:sz="2" w:space="0" w:color="auto"/>
              <w:left w:val="nil"/>
              <w:bottom w:val="single" w:sz="6" w:space="0" w:color="auto"/>
              <w:right w:val="nil"/>
            </w:tcBorders>
            <w:vAlign w:val="center"/>
          </w:tcPr>
          <w:p w14:paraId="7ECACD2F" w14:textId="77777777" w:rsidR="009E0998" w:rsidRPr="00314F62" w:rsidRDefault="009E0998" w:rsidP="009E0998">
            <w:pPr>
              <w:pStyle w:val="TableCen"/>
            </w:pPr>
            <w:r w:rsidRPr="00314F62">
              <w:t>Island outlines</w:t>
            </w:r>
          </w:p>
        </w:tc>
        <w:tc>
          <w:tcPr>
            <w:tcW w:w="2930" w:type="dxa"/>
            <w:tcBorders>
              <w:top w:val="single" w:sz="2" w:space="0" w:color="auto"/>
              <w:left w:val="nil"/>
              <w:bottom w:val="single" w:sz="6" w:space="0" w:color="auto"/>
              <w:right w:val="nil"/>
            </w:tcBorders>
            <w:vAlign w:val="center"/>
          </w:tcPr>
          <w:p w14:paraId="452E7152" w14:textId="77777777" w:rsidR="009E0998" w:rsidRPr="00314F62" w:rsidRDefault="009E0998" w:rsidP="009E0998">
            <w:pPr>
              <w:pStyle w:val="TableCen"/>
            </w:pPr>
            <w:r w:rsidRPr="00314F62">
              <w:t>Waterborne paint</w:t>
            </w:r>
          </w:p>
        </w:tc>
      </w:tr>
      <w:tr w:rsidR="009E0998" w:rsidRPr="00314F62" w14:paraId="02041E26" w14:textId="77777777" w:rsidTr="00B05C40">
        <w:trPr>
          <w:trHeight w:val="340"/>
        </w:trPr>
        <w:tc>
          <w:tcPr>
            <w:tcW w:w="2787" w:type="dxa"/>
            <w:tcBorders>
              <w:top w:val="single" w:sz="6" w:space="0" w:color="auto"/>
              <w:left w:val="nil"/>
              <w:bottom w:val="single" w:sz="12" w:space="0" w:color="auto"/>
              <w:right w:val="nil"/>
            </w:tcBorders>
            <w:vAlign w:val="center"/>
          </w:tcPr>
          <w:p w14:paraId="176AED07" w14:textId="77777777" w:rsidR="009E0998" w:rsidRPr="00314F62" w:rsidRDefault="009E0998" w:rsidP="009E0998">
            <w:pPr>
              <w:pStyle w:val="TableCen"/>
            </w:pPr>
            <w:r w:rsidRPr="00314F62">
              <w:t>Motorways</w:t>
            </w:r>
          </w:p>
        </w:tc>
        <w:tc>
          <w:tcPr>
            <w:tcW w:w="2930" w:type="dxa"/>
            <w:tcBorders>
              <w:top w:val="single" w:sz="6" w:space="0" w:color="auto"/>
              <w:left w:val="nil"/>
              <w:bottom w:val="single" w:sz="12" w:space="0" w:color="auto"/>
              <w:right w:val="nil"/>
            </w:tcBorders>
            <w:vAlign w:val="center"/>
          </w:tcPr>
          <w:p w14:paraId="7C13D977" w14:textId="77777777" w:rsidR="009E0998" w:rsidRPr="00314F62" w:rsidRDefault="009E0998" w:rsidP="009E0998">
            <w:pPr>
              <w:pStyle w:val="TableCen"/>
            </w:pPr>
            <w:r w:rsidRPr="00314F62">
              <w:t>All Longitudinal Lines</w:t>
            </w:r>
          </w:p>
        </w:tc>
        <w:tc>
          <w:tcPr>
            <w:tcW w:w="2930" w:type="dxa"/>
            <w:tcBorders>
              <w:top w:val="single" w:sz="6" w:space="0" w:color="auto"/>
              <w:left w:val="nil"/>
              <w:bottom w:val="single" w:sz="12" w:space="0" w:color="auto"/>
              <w:right w:val="nil"/>
            </w:tcBorders>
            <w:vAlign w:val="center"/>
          </w:tcPr>
          <w:p w14:paraId="208AA5B7" w14:textId="77777777" w:rsidR="009E0998" w:rsidRPr="00314F62" w:rsidRDefault="009E0998" w:rsidP="009E0998">
            <w:pPr>
              <w:pStyle w:val="TableCen"/>
            </w:pPr>
            <w:r w:rsidRPr="00314F62">
              <w:t xml:space="preserve">Longlife material </w:t>
            </w:r>
          </w:p>
        </w:tc>
      </w:tr>
    </w:tbl>
    <w:p w14:paraId="730541E9" w14:textId="77777777" w:rsidR="00DC0FFE" w:rsidRPr="00314F62" w:rsidRDefault="00DC0FFE" w:rsidP="00DC0FFE">
      <w:pPr>
        <w:pStyle w:val="BodyTextIndentMinor"/>
        <w:rPr>
          <w:sz w:val="16"/>
          <w:szCs w:val="16"/>
        </w:rPr>
      </w:pPr>
      <w:r w:rsidRPr="00314F62">
        <w:rPr>
          <w:sz w:val="16"/>
          <w:szCs w:val="16"/>
        </w:rPr>
        <w:t>*</w:t>
      </w:r>
      <w:r w:rsidRPr="00314F62">
        <w:rPr>
          <w:sz w:val="16"/>
          <w:szCs w:val="16"/>
        </w:rPr>
        <w:tab/>
        <w:t>Continuity lines across intersections (where required) are to be completed in a longlife material.</w:t>
      </w:r>
    </w:p>
    <w:p w14:paraId="2BBE8AFF" w14:textId="10FB251B" w:rsidR="00DC0FFE" w:rsidRPr="00314F62" w:rsidRDefault="0052773A" w:rsidP="00643BEE">
      <w:pPr>
        <w:pStyle w:val="TableLegend"/>
      </w:pPr>
      <w:r w:rsidRPr="00314F62">
        <w:t>Table</w:t>
      </w:r>
      <w:r w:rsidR="001D2B17" w:rsidRPr="00314F62">
        <w:t> </w:t>
      </w:r>
      <w:r w:rsidRPr="00314F62">
        <w:t>3.8 – Transverse markings (including symbology): material application requirements</w:t>
      </w:r>
    </w:p>
    <w:tbl>
      <w:tblPr>
        <w:tblW w:w="8647" w:type="dxa"/>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7"/>
        <w:gridCol w:w="2930"/>
        <w:gridCol w:w="71"/>
        <w:gridCol w:w="2859"/>
      </w:tblGrid>
      <w:tr w:rsidR="00DC0FFE" w:rsidRPr="00314F62" w14:paraId="4A11099B" w14:textId="77777777" w:rsidTr="00F82FC4">
        <w:trPr>
          <w:trHeight w:val="397"/>
          <w:tblHeader/>
        </w:trPr>
        <w:tc>
          <w:tcPr>
            <w:tcW w:w="2787" w:type="dxa"/>
            <w:tcBorders>
              <w:top w:val="single" w:sz="12" w:space="0" w:color="auto"/>
              <w:left w:val="nil"/>
              <w:bottom w:val="single" w:sz="12" w:space="0" w:color="auto"/>
              <w:right w:val="nil"/>
            </w:tcBorders>
            <w:shd w:val="pct10" w:color="auto" w:fill="auto"/>
            <w:vAlign w:val="center"/>
          </w:tcPr>
          <w:p w14:paraId="47E73313" w14:textId="77777777" w:rsidR="00DC0FFE" w:rsidRPr="00314F62" w:rsidRDefault="00DC0FFE" w:rsidP="008607D0">
            <w:pPr>
              <w:pStyle w:val="TableHeadCen"/>
            </w:pPr>
            <w:r w:rsidRPr="00314F62">
              <w:t>Hierarchy Plan Road Type</w:t>
            </w:r>
          </w:p>
        </w:tc>
        <w:tc>
          <w:tcPr>
            <w:tcW w:w="3001" w:type="dxa"/>
            <w:gridSpan w:val="2"/>
            <w:tcBorders>
              <w:top w:val="single" w:sz="12" w:space="0" w:color="auto"/>
              <w:left w:val="nil"/>
              <w:bottom w:val="single" w:sz="12" w:space="0" w:color="auto"/>
              <w:right w:val="nil"/>
            </w:tcBorders>
            <w:shd w:val="pct10" w:color="auto" w:fill="auto"/>
            <w:vAlign w:val="center"/>
          </w:tcPr>
          <w:p w14:paraId="0B9F42F6" w14:textId="77777777" w:rsidR="00DC0FFE" w:rsidRPr="00314F62" w:rsidRDefault="00DC0FFE" w:rsidP="008607D0">
            <w:pPr>
              <w:pStyle w:val="TableHeadCen"/>
            </w:pPr>
            <w:r w:rsidRPr="00314F62">
              <w:t>Line Type</w:t>
            </w:r>
          </w:p>
        </w:tc>
        <w:tc>
          <w:tcPr>
            <w:tcW w:w="2859" w:type="dxa"/>
            <w:tcBorders>
              <w:top w:val="single" w:sz="12" w:space="0" w:color="auto"/>
              <w:left w:val="nil"/>
              <w:bottom w:val="single" w:sz="12" w:space="0" w:color="auto"/>
              <w:right w:val="nil"/>
            </w:tcBorders>
            <w:shd w:val="pct10" w:color="auto" w:fill="auto"/>
            <w:vAlign w:val="center"/>
          </w:tcPr>
          <w:p w14:paraId="77D88FC9" w14:textId="77777777" w:rsidR="00DC0FFE" w:rsidRPr="00314F62" w:rsidRDefault="00DC0FFE" w:rsidP="008607D0">
            <w:pPr>
              <w:pStyle w:val="TableHeadCen"/>
            </w:pPr>
            <w:r w:rsidRPr="00314F62">
              <w:t>Material</w:t>
            </w:r>
          </w:p>
        </w:tc>
      </w:tr>
      <w:tr w:rsidR="009E0998" w:rsidRPr="00314F62" w14:paraId="4E59A188" w14:textId="77777777" w:rsidTr="00972D62">
        <w:trPr>
          <w:cantSplit/>
          <w:trHeight w:val="340"/>
        </w:trPr>
        <w:tc>
          <w:tcPr>
            <w:tcW w:w="2787" w:type="dxa"/>
            <w:tcBorders>
              <w:top w:val="single" w:sz="12" w:space="0" w:color="auto"/>
              <w:left w:val="nil"/>
              <w:bottom w:val="single" w:sz="8" w:space="0" w:color="auto"/>
              <w:right w:val="nil"/>
            </w:tcBorders>
            <w:vAlign w:val="center"/>
          </w:tcPr>
          <w:p w14:paraId="0AAA5541" w14:textId="77777777" w:rsidR="009E0998" w:rsidRPr="00314F62" w:rsidRDefault="009E0998" w:rsidP="009E0998">
            <w:pPr>
              <w:pStyle w:val="TableCen"/>
            </w:pPr>
            <w:r w:rsidRPr="00314F62">
              <w:t>Bikeways</w:t>
            </w:r>
          </w:p>
        </w:tc>
        <w:tc>
          <w:tcPr>
            <w:tcW w:w="2930" w:type="dxa"/>
            <w:tcBorders>
              <w:top w:val="single" w:sz="12" w:space="0" w:color="auto"/>
              <w:left w:val="nil"/>
              <w:bottom w:val="single" w:sz="8" w:space="0" w:color="auto"/>
              <w:right w:val="nil"/>
            </w:tcBorders>
            <w:vAlign w:val="center"/>
          </w:tcPr>
          <w:p w14:paraId="43955F34" w14:textId="77777777" w:rsidR="009E0998" w:rsidRPr="00314F62" w:rsidRDefault="009E0998" w:rsidP="009E0998">
            <w:pPr>
              <w:pStyle w:val="TableCen"/>
            </w:pPr>
            <w:r w:rsidRPr="00314F62">
              <w:t>All Markings</w:t>
            </w:r>
          </w:p>
        </w:tc>
        <w:tc>
          <w:tcPr>
            <w:tcW w:w="2930" w:type="dxa"/>
            <w:gridSpan w:val="2"/>
            <w:tcBorders>
              <w:top w:val="single" w:sz="12" w:space="0" w:color="auto"/>
              <w:left w:val="nil"/>
              <w:bottom w:val="single" w:sz="8" w:space="0" w:color="auto"/>
              <w:right w:val="nil"/>
            </w:tcBorders>
            <w:vAlign w:val="center"/>
          </w:tcPr>
          <w:p w14:paraId="54721765" w14:textId="77777777" w:rsidR="00F21533" w:rsidRPr="00314F62" w:rsidRDefault="009E0998" w:rsidP="009E0998">
            <w:pPr>
              <w:pStyle w:val="TableCen"/>
            </w:pPr>
            <w:r w:rsidRPr="00314F62">
              <w:t xml:space="preserve">Waterborne paint </w:t>
            </w:r>
            <w:r w:rsidR="00F21533" w:rsidRPr="00314F62">
              <w:t>or Cold Applied Plastic (Spray)</w:t>
            </w:r>
          </w:p>
          <w:p w14:paraId="37F85ECD" w14:textId="77777777" w:rsidR="009E0998" w:rsidRPr="00314F62" w:rsidRDefault="009E0998" w:rsidP="009E0998">
            <w:pPr>
              <w:pStyle w:val="TableCen"/>
            </w:pPr>
            <w:r w:rsidRPr="00314F62">
              <w:t>(Section 3.5.6)</w:t>
            </w:r>
          </w:p>
        </w:tc>
      </w:tr>
      <w:tr w:rsidR="009E0998" w:rsidRPr="00314F62" w14:paraId="66B6E382" w14:textId="77777777" w:rsidTr="00972D62">
        <w:trPr>
          <w:cantSplit/>
          <w:trHeight w:val="340"/>
        </w:trPr>
        <w:tc>
          <w:tcPr>
            <w:tcW w:w="2787" w:type="dxa"/>
            <w:tcBorders>
              <w:top w:val="single" w:sz="8" w:space="0" w:color="auto"/>
              <w:left w:val="nil"/>
              <w:bottom w:val="single" w:sz="8" w:space="0" w:color="auto"/>
              <w:right w:val="nil"/>
            </w:tcBorders>
            <w:vAlign w:val="center"/>
          </w:tcPr>
          <w:p w14:paraId="5F96CE0C" w14:textId="77777777" w:rsidR="009E0998" w:rsidRPr="00314F62" w:rsidRDefault="009E0998" w:rsidP="009E0998">
            <w:pPr>
              <w:pStyle w:val="TableCen"/>
            </w:pPr>
            <w:r w:rsidRPr="00314F62">
              <w:t>Local and Neighbourhood Roads</w:t>
            </w:r>
          </w:p>
          <w:p w14:paraId="376B94ED" w14:textId="77777777" w:rsidR="009E0998" w:rsidRPr="00314F62" w:rsidRDefault="009E0998" w:rsidP="009E0998">
            <w:pPr>
              <w:pStyle w:val="TableCen"/>
            </w:pPr>
            <w:r w:rsidRPr="00314F62">
              <w:t>(Including LATM schemes)</w:t>
            </w:r>
          </w:p>
        </w:tc>
        <w:tc>
          <w:tcPr>
            <w:tcW w:w="2930" w:type="dxa"/>
            <w:tcBorders>
              <w:top w:val="single" w:sz="8" w:space="0" w:color="auto"/>
              <w:left w:val="nil"/>
              <w:bottom w:val="single" w:sz="8" w:space="0" w:color="auto"/>
              <w:right w:val="nil"/>
            </w:tcBorders>
            <w:vAlign w:val="center"/>
          </w:tcPr>
          <w:p w14:paraId="353D1786"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03BC37D7" w14:textId="77777777" w:rsidR="009E0998" w:rsidRPr="00314F62" w:rsidRDefault="009E0998" w:rsidP="009E0998">
            <w:pPr>
              <w:pStyle w:val="TableCen"/>
            </w:pPr>
            <w:r w:rsidRPr="00314F62">
              <w:t>Longlife material</w:t>
            </w:r>
          </w:p>
        </w:tc>
      </w:tr>
      <w:tr w:rsidR="009E0998" w:rsidRPr="00314F62" w14:paraId="17CA0337" w14:textId="77777777" w:rsidTr="00F82FC4">
        <w:trPr>
          <w:cantSplit/>
          <w:trHeight w:val="340"/>
        </w:trPr>
        <w:tc>
          <w:tcPr>
            <w:tcW w:w="2787" w:type="dxa"/>
            <w:tcBorders>
              <w:top w:val="single" w:sz="8" w:space="0" w:color="auto"/>
              <w:left w:val="nil"/>
              <w:bottom w:val="single" w:sz="8" w:space="0" w:color="auto"/>
              <w:right w:val="nil"/>
            </w:tcBorders>
            <w:vAlign w:val="center"/>
          </w:tcPr>
          <w:p w14:paraId="1142D91B" w14:textId="77777777" w:rsidR="009E0998" w:rsidRPr="00314F62" w:rsidRDefault="009E0998" w:rsidP="009E0998">
            <w:pPr>
              <w:pStyle w:val="TableCen"/>
            </w:pPr>
            <w:r w:rsidRPr="00314F62">
              <w:t>District Access, Suburban and Arterial Roads</w:t>
            </w:r>
          </w:p>
        </w:tc>
        <w:tc>
          <w:tcPr>
            <w:tcW w:w="2930" w:type="dxa"/>
            <w:tcBorders>
              <w:top w:val="single" w:sz="8" w:space="0" w:color="auto"/>
              <w:left w:val="nil"/>
              <w:bottom w:val="single" w:sz="8" w:space="0" w:color="auto"/>
              <w:right w:val="nil"/>
            </w:tcBorders>
            <w:vAlign w:val="center"/>
          </w:tcPr>
          <w:p w14:paraId="4C8FA358"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3D7A4C33" w14:textId="77777777" w:rsidR="009E0998" w:rsidRPr="00314F62" w:rsidRDefault="009E0998" w:rsidP="009E0998">
            <w:pPr>
              <w:pStyle w:val="TableCen"/>
            </w:pPr>
            <w:r w:rsidRPr="00314F62">
              <w:t>Longlife material</w:t>
            </w:r>
          </w:p>
        </w:tc>
      </w:tr>
      <w:tr w:rsidR="009E0998" w:rsidRPr="00314F62" w14:paraId="278BB26C" w14:textId="77777777" w:rsidTr="00F82FC4">
        <w:trPr>
          <w:cantSplit/>
          <w:trHeight w:val="340"/>
        </w:trPr>
        <w:tc>
          <w:tcPr>
            <w:tcW w:w="2787" w:type="dxa"/>
            <w:tcBorders>
              <w:top w:val="single" w:sz="8" w:space="0" w:color="auto"/>
              <w:left w:val="nil"/>
              <w:bottom w:val="single" w:sz="8" w:space="0" w:color="auto"/>
              <w:right w:val="nil"/>
            </w:tcBorders>
            <w:vAlign w:val="center"/>
          </w:tcPr>
          <w:p w14:paraId="3BEA21C8" w14:textId="77777777" w:rsidR="009E0998" w:rsidRPr="00314F62" w:rsidRDefault="009E0998" w:rsidP="009E0998">
            <w:pPr>
              <w:pStyle w:val="TableCen"/>
            </w:pPr>
            <w:r w:rsidRPr="00314F62">
              <w:t>Primary Freight Access Routes/CBD</w:t>
            </w:r>
          </w:p>
        </w:tc>
        <w:tc>
          <w:tcPr>
            <w:tcW w:w="2930" w:type="dxa"/>
            <w:tcBorders>
              <w:top w:val="single" w:sz="8" w:space="0" w:color="auto"/>
              <w:left w:val="nil"/>
              <w:bottom w:val="single" w:sz="8" w:space="0" w:color="auto"/>
              <w:right w:val="nil"/>
            </w:tcBorders>
            <w:vAlign w:val="center"/>
          </w:tcPr>
          <w:p w14:paraId="201ED677"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5A1660C8" w14:textId="77777777" w:rsidR="009E0998" w:rsidRPr="00314F62" w:rsidRDefault="009E0998" w:rsidP="009E0998">
            <w:pPr>
              <w:pStyle w:val="TableCen"/>
            </w:pPr>
            <w:r w:rsidRPr="00314F62">
              <w:t xml:space="preserve">Longlife material </w:t>
            </w:r>
          </w:p>
        </w:tc>
      </w:tr>
      <w:tr w:rsidR="009E0998" w:rsidRPr="00314F62" w14:paraId="0EF14A04" w14:textId="77777777" w:rsidTr="00F82FC4">
        <w:trPr>
          <w:cantSplit/>
          <w:trHeight w:val="340"/>
        </w:trPr>
        <w:tc>
          <w:tcPr>
            <w:tcW w:w="2787" w:type="dxa"/>
            <w:tcBorders>
              <w:top w:val="single" w:sz="8" w:space="0" w:color="auto"/>
              <w:left w:val="nil"/>
              <w:bottom w:val="single" w:sz="8" w:space="0" w:color="auto"/>
              <w:right w:val="nil"/>
            </w:tcBorders>
            <w:vAlign w:val="center"/>
          </w:tcPr>
          <w:p w14:paraId="3548A3F0" w14:textId="77777777" w:rsidR="009E0998" w:rsidRPr="00314F62" w:rsidDel="000C1351" w:rsidRDefault="009E0998" w:rsidP="009E0998">
            <w:pPr>
              <w:pStyle w:val="TableCen"/>
            </w:pPr>
            <w:r w:rsidRPr="00314F62">
              <w:t>Primary Freight Routes</w:t>
            </w:r>
          </w:p>
        </w:tc>
        <w:tc>
          <w:tcPr>
            <w:tcW w:w="2930" w:type="dxa"/>
            <w:tcBorders>
              <w:top w:val="single" w:sz="8" w:space="0" w:color="auto"/>
              <w:left w:val="nil"/>
              <w:bottom w:val="single" w:sz="8" w:space="0" w:color="auto"/>
              <w:right w:val="nil"/>
            </w:tcBorders>
            <w:vAlign w:val="center"/>
          </w:tcPr>
          <w:p w14:paraId="3EC60BB3"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4EBB9FE1" w14:textId="77777777" w:rsidR="009E0998" w:rsidRPr="00314F62" w:rsidRDefault="009E0998" w:rsidP="009E0998">
            <w:pPr>
              <w:pStyle w:val="TableCen"/>
            </w:pPr>
            <w:r w:rsidRPr="00314F62">
              <w:t>Longlife material</w:t>
            </w:r>
          </w:p>
        </w:tc>
      </w:tr>
      <w:tr w:rsidR="009E0998" w:rsidRPr="00314F62" w14:paraId="024B4894" w14:textId="77777777" w:rsidTr="00F82FC4">
        <w:trPr>
          <w:cantSplit/>
          <w:trHeight w:val="340"/>
        </w:trPr>
        <w:tc>
          <w:tcPr>
            <w:tcW w:w="2787" w:type="dxa"/>
            <w:tcBorders>
              <w:top w:val="single" w:sz="8" w:space="0" w:color="auto"/>
              <w:left w:val="nil"/>
              <w:bottom w:val="single" w:sz="8" w:space="0" w:color="auto"/>
              <w:right w:val="nil"/>
            </w:tcBorders>
            <w:vAlign w:val="center"/>
          </w:tcPr>
          <w:p w14:paraId="59B135AC" w14:textId="77777777" w:rsidR="009E0998" w:rsidRPr="00314F62" w:rsidDel="000C1351" w:rsidRDefault="009E0998" w:rsidP="009E0998">
            <w:pPr>
              <w:pStyle w:val="TableCen"/>
            </w:pPr>
            <w:r w:rsidRPr="00314F62">
              <w:t>Motorways</w:t>
            </w:r>
          </w:p>
        </w:tc>
        <w:tc>
          <w:tcPr>
            <w:tcW w:w="2930" w:type="dxa"/>
            <w:tcBorders>
              <w:top w:val="single" w:sz="8" w:space="0" w:color="auto"/>
              <w:left w:val="nil"/>
              <w:bottom w:val="single" w:sz="8" w:space="0" w:color="auto"/>
              <w:right w:val="nil"/>
            </w:tcBorders>
            <w:vAlign w:val="center"/>
          </w:tcPr>
          <w:p w14:paraId="7E64E67D"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7FEB55E6" w14:textId="77777777" w:rsidR="009E0998" w:rsidRPr="00314F62" w:rsidRDefault="009E0998" w:rsidP="009E0998">
            <w:pPr>
              <w:pStyle w:val="TableCen"/>
            </w:pPr>
            <w:r w:rsidRPr="00314F62">
              <w:t xml:space="preserve">Longlife material </w:t>
            </w:r>
          </w:p>
        </w:tc>
      </w:tr>
      <w:tr w:rsidR="009E0998" w:rsidRPr="00314F62" w14:paraId="68D6E3E0" w14:textId="77777777" w:rsidTr="00F82FC4">
        <w:trPr>
          <w:cantSplit/>
          <w:trHeight w:val="340"/>
        </w:trPr>
        <w:tc>
          <w:tcPr>
            <w:tcW w:w="2787" w:type="dxa"/>
            <w:tcBorders>
              <w:top w:val="single" w:sz="8" w:space="0" w:color="auto"/>
              <w:left w:val="nil"/>
              <w:bottom w:val="single" w:sz="8" w:space="0" w:color="auto"/>
              <w:right w:val="nil"/>
            </w:tcBorders>
            <w:vAlign w:val="center"/>
          </w:tcPr>
          <w:p w14:paraId="1D2BF829" w14:textId="77777777" w:rsidR="009E0998" w:rsidRPr="00314F62" w:rsidRDefault="009E0998" w:rsidP="009E0998">
            <w:pPr>
              <w:pStyle w:val="TableCen"/>
            </w:pPr>
            <w:r w:rsidRPr="00314F62">
              <w:t>All Roads except LATM Schemes</w:t>
            </w:r>
          </w:p>
        </w:tc>
        <w:tc>
          <w:tcPr>
            <w:tcW w:w="2930" w:type="dxa"/>
            <w:tcBorders>
              <w:top w:val="single" w:sz="8" w:space="0" w:color="auto"/>
              <w:left w:val="nil"/>
              <w:bottom w:val="single" w:sz="8" w:space="0" w:color="auto"/>
              <w:right w:val="nil"/>
            </w:tcBorders>
            <w:vAlign w:val="center"/>
          </w:tcPr>
          <w:p w14:paraId="3ADBFEAF" w14:textId="77777777" w:rsidR="009E0998" w:rsidRPr="00314F62" w:rsidRDefault="009E0998" w:rsidP="009E0998">
            <w:pPr>
              <w:pStyle w:val="TableCen"/>
            </w:pPr>
            <w:r w:rsidRPr="00314F62">
              <w:t>Chevron markings</w:t>
            </w:r>
          </w:p>
        </w:tc>
        <w:tc>
          <w:tcPr>
            <w:tcW w:w="2930" w:type="dxa"/>
            <w:gridSpan w:val="2"/>
            <w:tcBorders>
              <w:top w:val="single" w:sz="8" w:space="0" w:color="auto"/>
              <w:left w:val="nil"/>
              <w:bottom w:val="single" w:sz="8" w:space="0" w:color="auto"/>
              <w:right w:val="nil"/>
            </w:tcBorders>
            <w:vAlign w:val="center"/>
          </w:tcPr>
          <w:p w14:paraId="24C65C7D" w14:textId="77777777" w:rsidR="009E0998" w:rsidRPr="00314F62" w:rsidRDefault="009E0998" w:rsidP="009E0998">
            <w:pPr>
              <w:pStyle w:val="TableCen"/>
            </w:pPr>
            <w:r w:rsidRPr="00314F62">
              <w:t xml:space="preserve">Waterborne paint </w:t>
            </w:r>
          </w:p>
        </w:tc>
      </w:tr>
      <w:tr w:rsidR="009E0998" w:rsidRPr="00314F62" w14:paraId="5B134B4D" w14:textId="77777777" w:rsidTr="00F82FC4">
        <w:trPr>
          <w:cantSplit/>
          <w:trHeight w:val="340"/>
        </w:trPr>
        <w:tc>
          <w:tcPr>
            <w:tcW w:w="2787" w:type="dxa"/>
            <w:tcBorders>
              <w:top w:val="single" w:sz="8" w:space="0" w:color="auto"/>
              <w:left w:val="nil"/>
              <w:bottom w:val="single" w:sz="12" w:space="0" w:color="auto"/>
              <w:right w:val="nil"/>
            </w:tcBorders>
            <w:vAlign w:val="center"/>
          </w:tcPr>
          <w:p w14:paraId="16F0F89F" w14:textId="77777777" w:rsidR="009E0998" w:rsidRPr="00314F62" w:rsidRDefault="009E0998" w:rsidP="009E0998">
            <w:pPr>
              <w:pStyle w:val="TableCen"/>
            </w:pPr>
            <w:r w:rsidRPr="00314F62">
              <w:t>LATM Schemes</w:t>
            </w:r>
          </w:p>
        </w:tc>
        <w:tc>
          <w:tcPr>
            <w:tcW w:w="2930" w:type="dxa"/>
            <w:tcBorders>
              <w:top w:val="single" w:sz="8" w:space="0" w:color="auto"/>
              <w:left w:val="nil"/>
              <w:bottom w:val="single" w:sz="12" w:space="0" w:color="auto"/>
              <w:right w:val="nil"/>
            </w:tcBorders>
            <w:vAlign w:val="center"/>
          </w:tcPr>
          <w:p w14:paraId="357EA2FC" w14:textId="77777777" w:rsidR="009E0998" w:rsidRPr="00314F62" w:rsidRDefault="009E0998" w:rsidP="009E0998">
            <w:pPr>
              <w:pStyle w:val="TableCen"/>
            </w:pPr>
            <w:r w:rsidRPr="00314F62">
              <w:t>Chevron markings</w:t>
            </w:r>
          </w:p>
        </w:tc>
        <w:tc>
          <w:tcPr>
            <w:tcW w:w="2930" w:type="dxa"/>
            <w:gridSpan w:val="2"/>
            <w:tcBorders>
              <w:top w:val="single" w:sz="8" w:space="0" w:color="auto"/>
              <w:left w:val="nil"/>
              <w:bottom w:val="single" w:sz="12" w:space="0" w:color="auto"/>
              <w:right w:val="nil"/>
            </w:tcBorders>
            <w:vAlign w:val="center"/>
          </w:tcPr>
          <w:p w14:paraId="563F725D" w14:textId="77777777" w:rsidR="009E0998" w:rsidRPr="00314F62" w:rsidRDefault="009E0998" w:rsidP="009E0998">
            <w:pPr>
              <w:pStyle w:val="TableCen"/>
            </w:pPr>
            <w:r w:rsidRPr="00314F62">
              <w:t xml:space="preserve">Longlife material </w:t>
            </w:r>
          </w:p>
        </w:tc>
      </w:tr>
    </w:tbl>
    <w:p w14:paraId="0E3CA9EF" w14:textId="77777777" w:rsidR="00DC0FFE" w:rsidRPr="00314F62" w:rsidRDefault="00DC0FFE" w:rsidP="00DC0FFE">
      <w:pPr>
        <w:pStyle w:val="BodyTextIndentMinor"/>
        <w:rPr>
          <w:sz w:val="16"/>
          <w:szCs w:val="16"/>
        </w:rPr>
      </w:pPr>
      <w:r w:rsidRPr="00314F62">
        <w:rPr>
          <w:sz w:val="16"/>
          <w:szCs w:val="16"/>
        </w:rPr>
        <w:t>*</w:t>
      </w:r>
      <w:r w:rsidRPr="00314F62">
        <w:rPr>
          <w:sz w:val="16"/>
          <w:szCs w:val="16"/>
        </w:rPr>
        <w:tab/>
        <w:t>All transverse markings (with the exception of chevron markings) are to be treated with an anti-skid material at application.</w:t>
      </w:r>
    </w:p>
    <w:p w14:paraId="484FEAF3" w14:textId="77777777" w:rsidR="00DC0FFE" w:rsidRPr="00314F62" w:rsidRDefault="00DC0FFE" w:rsidP="00DE4BB4">
      <w:pPr>
        <w:pStyle w:val="Heading4"/>
      </w:pPr>
      <w:bookmarkStart w:id="57" w:name="_Toc75951917"/>
      <w:r w:rsidRPr="00314F62">
        <w:t>Symbology and markings</w:t>
      </w:r>
      <w:bookmarkEnd w:id="57"/>
    </w:p>
    <w:p w14:paraId="3CF53DCD" w14:textId="77777777" w:rsidR="00DC0FFE" w:rsidRPr="00314F62" w:rsidRDefault="00DC0FFE" w:rsidP="00DC0FFE">
      <w:pPr>
        <w:pStyle w:val="BodyTextIndent"/>
      </w:pPr>
      <w:r w:rsidRPr="00314F62">
        <w:t>Any symbology (other than bicycle facilities) not covered by the sections above shall be completed in waterborne paint</w:t>
      </w:r>
      <w:r w:rsidR="008541D0" w:rsidRPr="00314F62">
        <w:t xml:space="preserve"> or cold applied plastic</w:t>
      </w:r>
      <w:r w:rsidRPr="00314F62">
        <w:t>.</w:t>
      </w:r>
    </w:p>
    <w:p w14:paraId="2750ACED" w14:textId="77777777" w:rsidR="00DC0FFE" w:rsidRPr="00314F62" w:rsidRDefault="00DC0FFE" w:rsidP="00DE4BB4">
      <w:pPr>
        <w:pStyle w:val="Heading4"/>
      </w:pPr>
      <w:bookmarkStart w:id="58" w:name="_Toc75951918"/>
      <w:r w:rsidRPr="00314F62">
        <w:t>Pedestrian crossings</w:t>
      </w:r>
      <w:bookmarkEnd w:id="58"/>
    </w:p>
    <w:p w14:paraId="5D06D690" w14:textId="6957B82B" w:rsidR="00DC0FFE" w:rsidRPr="00314F62" w:rsidRDefault="00DC0FFE" w:rsidP="00DC0FFE">
      <w:pPr>
        <w:pStyle w:val="BodyTextIndent"/>
      </w:pPr>
      <w:r w:rsidRPr="00314F62">
        <w:t xml:space="preserve">Pedestrian (“Zebra”) crossings are to be completed to </w:t>
      </w:r>
      <w:r w:rsidR="003F31FB" w:rsidRPr="00314F62">
        <w:rPr>
          <w:rStyle w:val="BodyTextIndentItalicChar"/>
        </w:rPr>
        <w:t xml:space="preserve">Standard </w:t>
      </w:r>
      <w:r w:rsidRPr="00314F62">
        <w:rPr>
          <w:rStyle w:val="BodyTextIndentItalicChar"/>
        </w:rPr>
        <w:t xml:space="preserve">Drawing </w:t>
      </w:r>
      <w:r w:rsidR="00933CE2" w:rsidRPr="00314F62">
        <w:rPr>
          <w:rStyle w:val="BodyTextIndentItalicChar"/>
        </w:rPr>
        <w:t xml:space="preserve">BSD-3152 </w:t>
      </w:r>
      <w:r w:rsidRPr="00314F62">
        <w:t>in a longlife material with anti-skid additives or a Type</w:t>
      </w:r>
      <w:r w:rsidR="00193C2C" w:rsidRPr="00314F62">
        <w:t> </w:t>
      </w:r>
      <w:r w:rsidRPr="00314F62">
        <w:t xml:space="preserve">2 Skid Resistant material as outlined in Section </w:t>
      </w:r>
      <w:r w:rsidR="00FC54CE" w:rsidRPr="00314F62">
        <w:t>4</w:t>
      </w:r>
      <w:r w:rsidRPr="00314F62">
        <w:t>.</w:t>
      </w:r>
    </w:p>
    <w:p w14:paraId="6A6243AD" w14:textId="77777777" w:rsidR="00DC0FFE" w:rsidRPr="00314F62" w:rsidRDefault="00DC0FFE" w:rsidP="00DE4BB4">
      <w:pPr>
        <w:pStyle w:val="Heading4"/>
      </w:pPr>
      <w:bookmarkStart w:id="59" w:name="_Toc75951919"/>
      <w:r w:rsidRPr="00314F62">
        <w:t>Bicycle facilities</w:t>
      </w:r>
      <w:bookmarkEnd w:id="59"/>
    </w:p>
    <w:p w14:paraId="56CB3D3B" w14:textId="67DF3042" w:rsidR="00DC0FFE" w:rsidRPr="00314F62" w:rsidRDefault="00DC0FFE" w:rsidP="00DC0FFE">
      <w:pPr>
        <w:pStyle w:val="BodyTextIndent"/>
      </w:pPr>
      <w:r w:rsidRPr="00314F62">
        <w:t>Any markings in or along bicycle facilities are to be completed in waterborne paint or sprayed cold applied plastic material ensuring that the finished thickness of the material does not exceed 1.0 mm </w:t>
      </w:r>
      <w:r w:rsidR="008055EF">
        <w:t>(</w:t>
      </w:r>
      <w:r w:rsidRPr="00314F62">
        <w:t>+ 0.5 mm -0.0mm</w:t>
      </w:r>
      <w:r w:rsidR="008055EF">
        <w:t>)</w:t>
      </w:r>
      <w:r w:rsidRPr="00314F62">
        <w:t xml:space="preserve">. </w:t>
      </w:r>
      <w:r w:rsidR="006058D0">
        <w:t xml:space="preserve"> </w:t>
      </w:r>
      <w:r w:rsidRPr="00314F62">
        <w:t>Hot applied thermoplastic is not to be used for these installations.</w:t>
      </w:r>
    </w:p>
    <w:p w14:paraId="4DF8E42A" w14:textId="77777777" w:rsidR="00DC0FFE" w:rsidRPr="00314F62" w:rsidRDefault="00DC0FFE" w:rsidP="00DC0FFE">
      <w:pPr>
        <w:pStyle w:val="BodyTextIndent"/>
      </w:pPr>
      <w:r w:rsidRPr="00314F62">
        <w:t>The installation of raised retroreflective pavement markers is to be avoided in bicycle areas.  Where they must be used (island tails, hydrant markers and longitudinal lines on major roads), the raised retroreflective pavement markers is to be placed out of the direct bicycle wheel path.</w:t>
      </w:r>
    </w:p>
    <w:p w14:paraId="6055F007" w14:textId="77777777" w:rsidR="00DC0FFE" w:rsidRPr="00314F62" w:rsidRDefault="00DC0FFE" w:rsidP="00DE4BB4">
      <w:pPr>
        <w:pStyle w:val="Heading4"/>
      </w:pPr>
      <w:bookmarkStart w:id="60" w:name="_Toc75951920"/>
      <w:r w:rsidRPr="00314F62">
        <w:t>Raised retroreflective pavement markers – longitudinal markings</w:t>
      </w:r>
      <w:bookmarkEnd w:id="60"/>
    </w:p>
    <w:p w14:paraId="5BE63567" w14:textId="2EB61BBB" w:rsidR="00DC0FFE" w:rsidRPr="00314F62" w:rsidRDefault="00DC0FFE" w:rsidP="00DC0FFE">
      <w:pPr>
        <w:pStyle w:val="BodyTextIndent"/>
      </w:pPr>
      <w:r w:rsidRPr="00314F62">
        <w:t xml:space="preserve">For longitudinal markings, raised retroreflective pavement markers are only to be used for the </w:t>
      </w:r>
      <w:r w:rsidR="00D46274" w:rsidRPr="00314F62">
        <w:t xml:space="preserve">separation, </w:t>
      </w:r>
      <w:r w:rsidRPr="00314F62">
        <w:t>centreline, lane and edge line marking</w:t>
      </w:r>
      <w:r w:rsidR="00B10AD1" w:rsidRPr="00314F62">
        <w:t>s and island tails</w:t>
      </w:r>
      <w:r w:rsidRPr="00314F62">
        <w:t xml:space="preserve"> of District Access, Suburban and Arterial Routes. </w:t>
      </w:r>
      <w:r w:rsidR="00D46274" w:rsidRPr="00314F62">
        <w:t xml:space="preserve"> </w:t>
      </w:r>
      <w:r w:rsidRPr="00314F62">
        <w:t xml:space="preserve">Raised retroreflective pavement markers are not to be used on any other </w:t>
      </w:r>
      <w:r w:rsidRPr="00314F62">
        <w:lastRenderedPageBreak/>
        <w:t xml:space="preserve">longitudinal line marking.  Raised retroreflective pavement markers to be installed on longitudinal markings as shown in </w:t>
      </w:r>
      <w:r w:rsidR="003F31FB" w:rsidRPr="00314F62">
        <w:rPr>
          <w:rStyle w:val="BodyTextIndentItalicChar"/>
        </w:rPr>
        <w:t>Standard</w:t>
      </w:r>
      <w:r w:rsidRPr="00314F62">
        <w:rPr>
          <w:rStyle w:val="BodyTextIndentItalicChar"/>
        </w:rPr>
        <w:t xml:space="preserve"> Drawing </w:t>
      </w:r>
      <w:r w:rsidR="00933CE2" w:rsidRPr="00314F62">
        <w:rPr>
          <w:rStyle w:val="BodyTextIndentItalicChar"/>
        </w:rPr>
        <w:t>BSD-3154</w:t>
      </w:r>
      <w:r w:rsidRPr="00314F62">
        <w:t>.</w:t>
      </w:r>
    </w:p>
    <w:p w14:paraId="299B89BC" w14:textId="77777777" w:rsidR="00DC0FFE" w:rsidRPr="00314F62" w:rsidRDefault="00DC0FFE" w:rsidP="00DE4BB4">
      <w:pPr>
        <w:pStyle w:val="Heading4"/>
      </w:pPr>
      <w:bookmarkStart w:id="61" w:name="_Toc75951921"/>
      <w:r w:rsidRPr="00314F62">
        <w:t>Raised retroreflective pavement markers – island tails and medians</w:t>
      </w:r>
      <w:bookmarkEnd w:id="61"/>
    </w:p>
    <w:p w14:paraId="4EFFB88E" w14:textId="1B52B1FF" w:rsidR="00DC0FFE" w:rsidRPr="00314F62" w:rsidRDefault="00DC0FFE" w:rsidP="00DC0FFE">
      <w:pPr>
        <w:pStyle w:val="BodyTextIndent"/>
      </w:pPr>
      <w:r w:rsidRPr="00314F62">
        <w:t xml:space="preserve">Raised retroreflective pavement markers to be used in painted island tails and medians as shown in </w:t>
      </w:r>
      <w:r w:rsidR="003F31FB" w:rsidRPr="00314F62">
        <w:rPr>
          <w:rStyle w:val="BodyTextIndentItalicChar"/>
        </w:rPr>
        <w:t xml:space="preserve">Standard </w:t>
      </w:r>
      <w:r w:rsidRPr="00314F62">
        <w:rPr>
          <w:rStyle w:val="BodyTextIndentItalicChar"/>
        </w:rPr>
        <w:t>Drawing</w:t>
      </w:r>
      <w:r w:rsidR="003F31FB" w:rsidRPr="00314F62">
        <w:rPr>
          <w:rStyle w:val="BodyTextIndentItalicChar"/>
        </w:rPr>
        <w:t>s</w:t>
      </w:r>
      <w:r w:rsidRPr="00314F62">
        <w:rPr>
          <w:rStyle w:val="BodyTextIndentItalicChar"/>
        </w:rPr>
        <w:t xml:space="preserve"> </w:t>
      </w:r>
      <w:r w:rsidR="00933CE2" w:rsidRPr="00314F62">
        <w:rPr>
          <w:rStyle w:val="BodyTextIndentItalicChar"/>
        </w:rPr>
        <w:t>BSD-3155</w:t>
      </w:r>
      <w:r w:rsidR="00D46274" w:rsidRPr="00314F62">
        <w:rPr>
          <w:rStyle w:val="BodyTextIndentItalicChar"/>
        </w:rPr>
        <w:t xml:space="preserve"> </w:t>
      </w:r>
      <w:r w:rsidR="00D46274" w:rsidRPr="00922575">
        <w:rPr>
          <w:rStyle w:val="BodyTextIndentItalicChar"/>
          <w:i w:val="0"/>
          <w:iCs/>
        </w:rPr>
        <w:t>and</w:t>
      </w:r>
      <w:r w:rsidR="00D46274" w:rsidRPr="00314F62">
        <w:rPr>
          <w:rStyle w:val="BodyTextIndentItalicChar"/>
        </w:rPr>
        <w:t xml:space="preserve"> </w:t>
      </w:r>
      <w:r w:rsidR="00933CE2" w:rsidRPr="00314F62">
        <w:rPr>
          <w:rStyle w:val="BodyTextIndentItalicChar"/>
        </w:rPr>
        <w:t>BSD-3156</w:t>
      </w:r>
      <w:r w:rsidRPr="00314F62">
        <w:t>.</w:t>
      </w:r>
    </w:p>
    <w:p w14:paraId="4357EF76" w14:textId="77777777" w:rsidR="00DC0FFE" w:rsidRPr="00314F62" w:rsidRDefault="00DC0FFE" w:rsidP="00DE4BB4">
      <w:pPr>
        <w:pStyle w:val="Heading4"/>
      </w:pPr>
      <w:bookmarkStart w:id="62" w:name="_Toc75951922"/>
      <w:r w:rsidRPr="00314F62">
        <w:t>Fire hydrant markers</w:t>
      </w:r>
      <w:bookmarkEnd w:id="62"/>
    </w:p>
    <w:p w14:paraId="1F8A4D79" w14:textId="686362C2" w:rsidR="00DC0FFE" w:rsidRPr="00314F62" w:rsidRDefault="00DC0FFE" w:rsidP="00933CE2">
      <w:pPr>
        <w:pStyle w:val="BodyTextIndent"/>
      </w:pPr>
      <w:r w:rsidRPr="00314F62">
        <w:t xml:space="preserve">Blue </w:t>
      </w:r>
      <w:r w:rsidR="00B10AD1" w:rsidRPr="00314F62">
        <w:t xml:space="preserve">raised </w:t>
      </w:r>
      <w:r w:rsidRPr="00314F62">
        <w:t xml:space="preserve">retroreflective pavement markers are to be installed to mark fire hydrants </w:t>
      </w:r>
      <w:r w:rsidR="00145AA6">
        <w:t>as per</w:t>
      </w:r>
      <w:r w:rsidR="00145AA6" w:rsidRPr="00314F62">
        <w:t xml:space="preserve"> </w:t>
      </w:r>
      <w:r w:rsidR="00FC54CE" w:rsidRPr="00314F62">
        <w:t xml:space="preserve">the requirements of </w:t>
      </w:r>
      <w:r w:rsidR="00933CE2" w:rsidRPr="00314F62">
        <w:rPr>
          <w:rStyle w:val="BodyTextIndentItalicChar"/>
        </w:rPr>
        <w:t xml:space="preserve">SEQ Water Service Providers Water Supply </w:t>
      </w:r>
      <w:r w:rsidRPr="00314F62">
        <w:rPr>
          <w:rStyle w:val="BodyTextIndentItalicChar"/>
        </w:rPr>
        <w:t xml:space="preserve">Standard Drawing </w:t>
      </w:r>
      <w:r w:rsidR="00933CE2" w:rsidRPr="00314F62">
        <w:rPr>
          <w:rStyle w:val="BodyTextIndentItalicChar"/>
        </w:rPr>
        <w:t>SEQ-WAT-1300-1</w:t>
      </w:r>
      <w:r w:rsidRPr="00314F62">
        <w:t>.</w:t>
      </w:r>
    </w:p>
    <w:p w14:paraId="17CAD900" w14:textId="77777777" w:rsidR="00DC0FFE" w:rsidRPr="00314F62" w:rsidRDefault="00DC0FFE" w:rsidP="00DE4BB4">
      <w:pPr>
        <w:pStyle w:val="Heading4"/>
      </w:pPr>
      <w:bookmarkStart w:id="63" w:name="_Toc75951923"/>
      <w:r w:rsidRPr="00314F62">
        <w:t>Raised retroreflective pavement markers – other locations</w:t>
      </w:r>
      <w:bookmarkEnd w:id="63"/>
    </w:p>
    <w:p w14:paraId="5BF397C2" w14:textId="77777777" w:rsidR="00DC0FFE" w:rsidRPr="00314F62" w:rsidRDefault="00DC0FFE" w:rsidP="00A43B27">
      <w:pPr>
        <w:pStyle w:val="BodyTextIndent"/>
      </w:pPr>
      <w:r w:rsidRPr="00314F62">
        <w:t>Raised pavement markers are not to be used on transverse markings or symbology.  See bicycle requirements above.</w:t>
      </w:r>
    </w:p>
    <w:p w14:paraId="2B11E79C" w14:textId="77777777" w:rsidR="00A43B27" w:rsidRPr="00314F62" w:rsidRDefault="00A43B27" w:rsidP="00DE4BB4">
      <w:pPr>
        <w:pStyle w:val="Heading2"/>
      </w:pPr>
      <w:bookmarkStart w:id="64" w:name="_Toc75951924"/>
      <w:bookmarkStart w:id="65" w:name="_Toc185318049"/>
      <w:r w:rsidRPr="00314F62">
        <w:t xml:space="preserve">COLOURED PAVEMENT </w:t>
      </w:r>
      <w:r w:rsidR="00C56468" w:rsidRPr="00314F62">
        <w:t>TREATMENTS</w:t>
      </w:r>
      <w:bookmarkEnd w:id="64"/>
    </w:p>
    <w:p w14:paraId="68EF285B" w14:textId="77777777" w:rsidR="00A96313" w:rsidRPr="00314F62" w:rsidRDefault="0059411D" w:rsidP="00DE4BB4">
      <w:pPr>
        <w:pStyle w:val="Heading3"/>
      </w:pPr>
      <w:bookmarkStart w:id="66" w:name="_Toc75951925"/>
      <w:r w:rsidRPr="00314F62">
        <w:t>General</w:t>
      </w:r>
      <w:bookmarkEnd w:id="65"/>
      <w:bookmarkEnd w:id="66"/>
    </w:p>
    <w:p w14:paraId="39EC1F59" w14:textId="77777777" w:rsidR="00A96313" w:rsidRPr="00314F62" w:rsidRDefault="00A96313" w:rsidP="00A96313">
      <w:pPr>
        <w:pStyle w:val="BodyTextIndent"/>
      </w:pPr>
      <w:r w:rsidRPr="00314F62">
        <w:t>This clause applies to coloured treatments, texturing, decorative, and high friction surfacing systems on asphalt and concrete surfaces.</w:t>
      </w:r>
    </w:p>
    <w:p w14:paraId="327B6F93" w14:textId="77777777" w:rsidR="00A96313" w:rsidRPr="00314F62" w:rsidRDefault="0059411D" w:rsidP="00DE4BB4">
      <w:pPr>
        <w:pStyle w:val="Heading3"/>
      </w:pPr>
      <w:bookmarkStart w:id="67" w:name="_Toc185318050"/>
      <w:bookmarkStart w:id="68" w:name="_Toc75951926"/>
      <w:r w:rsidRPr="00314F62">
        <w:t>Slip Resistance</w:t>
      </w:r>
      <w:bookmarkEnd w:id="67"/>
      <w:bookmarkEnd w:id="68"/>
    </w:p>
    <w:p w14:paraId="447436DD" w14:textId="77777777" w:rsidR="00A96313" w:rsidRPr="00314F62" w:rsidRDefault="00A96313" w:rsidP="00A96313">
      <w:pPr>
        <w:pStyle w:val="BodyTextIndent"/>
      </w:pPr>
      <w:r w:rsidRPr="00F82FC4">
        <w:rPr>
          <w:rStyle w:val="BodyTextIndentBoldUnderlineChar"/>
          <w:b w:val="0"/>
          <w:bCs/>
        </w:rPr>
        <w:t>Scope</w:t>
      </w:r>
      <w:r w:rsidRPr="00314F62">
        <w:t>: Applies to pedestrian surfaces.</w:t>
      </w:r>
    </w:p>
    <w:p w14:paraId="39699BAB" w14:textId="02DC84E2" w:rsidR="00A96313" w:rsidRPr="00314F62" w:rsidRDefault="00A96313" w:rsidP="00A96313">
      <w:pPr>
        <w:pStyle w:val="BodyTextIndent"/>
      </w:pPr>
      <w:r w:rsidRPr="00F82FC4">
        <w:rPr>
          <w:rStyle w:val="BodyTextIndentBoldUnderlineChar"/>
          <w:b w:val="0"/>
          <w:bCs/>
        </w:rPr>
        <w:t>Standard</w:t>
      </w:r>
      <w:r w:rsidRPr="00314F62">
        <w:t xml:space="preserve">: Generally to </w:t>
      </w:r>
      <w:r w:rsidRPr="00314F62">
        <w:rPr>
          <w:rStyle w:val="BodyTextIndentItalicChar"/>
        </w:rPr>
        <w:t>AS</w:t>
      </w:r>
      <w:r w:rsidR="00A24BF9">
        <w:rPr>
          <w:rStyle w:val="BodyTextIndentItalicChar"/>
        </w:rPr>
        <w:t>/NZS</w:t>
      </w:r>
      <w:r w:rsidRPr="00314F62">
        <w:rPr>
          <w:rStyle w:val="BodyTextIndentItalicChar"/>
        </w:rPr>
        <w:t> 4586</w:t>
      </w:r>
      <w:r w:rsidRPr="00314F62">
        <w:t xml:space="preserve"> for new surface and </w:t>
      </w:r>
      <w:r w:rsidRPr="00314F62">
        <w:rPr>
          <w:rStyle w:val="BodyTextIndentItalicChar"/>
        </w:rPr>
        <w:t>AS 4663</w:t>
      </w:r>
      <w:r w:rsidRPr="00314F62">
        <w:t xml:space="preserve"> for existing surface.</w:t>
      </w:r>
    </w:p>
    <w:p w14:paraId="2385D1BB" w14:textId="77777777" w:rsidR="00A96313" w:rsidRDefault="00A96313" w:rsidP="00643BEE">
      <w:pPr>
        <w:pStyle w:val="BodyTextIndent"/>
      </w:pPr>
      <w:r w:rsidRPr="00314F62">
        <w:rPr>
          <w:rStyle w:val="BodyTextIndentBoldUnderlineChar"/>
        </w:rPr>
        <w:t>Slip resistance requirement</w:t>
      </w:r>
      <w:r w:rsidR="00D401E0">
        <w:rPr>
          <w:rStyle w:val="BodyTextIndentBoldUnderlineChar"/>
        </w:rPr>
        <w:t>s</w:t>
      </w:r>
      <w:r w:rsidRPr="00314F62">
        <w:t>:</w:t>
      </w:r>
    </w:p>
    <w:p w14:paraId="5FCBA7E8" w14:textId="49E2A10C" w:rsidR="00C03E11" w:rsidRDefault="00C03E11" w:rsidP="00C03E11">
      <w:pPr>
        <w:pStyle w:val="BodyTextIndent"/>
      </w:pPr>
      <w:r w:rsidRPr="00D401E0">
        <w:rPr>
          <w:rStyle w:val="BodyTextIndentBoldUnderlineChar"/>
          <w:b w:val="0"/>
        </w:rPr>
        <w:t>New/untrafficked external surfaces (&lt;</w:t>
      </w:r>
      <w:r w:rsidRPr="008A5A21">
        <w:rPr>
          <w:rStyle w:val="BodyTextIndentBoldUnderlineChar"/>
          <w:b w:val="0"/>
        </w:rPr>
        <w:t>1</w:t>
      </w:r>
      <w:r w:rsidR="008A5A21" w:rsidRPr="008A5A21">
        <w:rPr>
          <w:rStyle w:val="BodyTextIndentItalicChar"/>
          <w:i w:val="0"/>
          <w:u w:val="single"/>
        </w:rPr>
        <w:t> </w:t>
      </w:r>
      <w:r w:rsidRPr="008A5A21">
        <w:rPr>
          <w:rStyle w:val="BodyTextIndentBoldUnderlineChar"/>
          <w:b w:val="0"/>
        </w:rPr>
        <w:t>in</w:t>
      </w:r>
      <w:r w:rsidR="008A5A21" w:rsidRPr="00314F62">
        <w:rPr>
          <w:rStyle w:val="BodyTextIndentItalicChar"/>
        </w:rPr>
        <w:t> </w:t>
      </w:r>
      <w:r w:rsidRPr="00D401E0">
        <w:rPr>
          <w:rStyle w:val="BodyTextIndentBoldUnderlineChar"/>
          <w:b w:val="0"/>
        </w:rPr>
        <w:t>20)</w:t>
      </w:r>
      <w:r w:rsidRPr="00D401E0">
        <w:rPr>
          <w:rStyle w:val="BodyTextIndentBoldUnderlineChar"/>
          <w:b w:val="0"/>
          <w:u w:val="none"/>
        </w:rPr>
        <w:t>:</w:t>
      </w:r>
      <w:r>
        <w:t xml:space="preserve">  classified as Class ‘P5’ (&gt;44 Mean BPN using a Slider</w:t>
      </w:r>
      <w:r w:rsidR="008A5A21" w:rsidRPr="00800D62">
        <w:rPr>
          <w:rStyle w:val="BodyTextIndentItalicChar"/>
          <w:i w:val="0"/>
        </w:rPr>
        <w:t> </w:t>
      </w:r>
      <w:r>
        <w:t xml:space="preserve">55 (TRL) rubber pad) to </w:t>
      </w:r>
      <w:r w:rsidRPr="008D1A73">
        <w:rPr>
          <w:i/>
        </w:rPr>
        <w:t>AS</w:t>
      </w:r>
      <w:r w:rsidR="000630DC">
        <w:rPr>
          <w:i/>
        </w:rPr>
        <w:t>/NZS</w:t>
      </w:r>
      <w:r w:rsidRPr="008D1A73">
        <w:rPr>
          <w:i/>
        </w:rPr>
        <w:t> 4586</w:t>
      </w:r>
      <w:r>
        <w:t>.</w:t>
      </w:r>
    </w:p>
    <w:p w14:paraId="22F5593B" w14:textId="77777777" w:rsidR="00C03E11" w:rsidRDefault="00C03E11" w:rsidP="00C03E11">
      <w:pPr>
        <w:pStyle w:val="BodyTextIndent"/>
      </w:pPr>
      <w:r w:rsidRPr="00D401E0">
        <w:rPr>
          <w:rStyle w:val="BodyTextIndentBoldUnderlineChar"/>
          <w:b w:val="0"/>
        </w:rPr>
        <w:t>New/untrafficked external surfaces (&gt;1</w:t>
      </w:r>
      <w:r w:rsidR="008A5A21" w:rsidRPr="003953D6">
        <w:rPr>
          <w:rStyle w:val="BodyTextIndentItalicChar"/>
          <w:i w:val="0"/>
          <w:u w:val="single"/>
        </w:rPr>
        <w:t> </w:t>
      </w:r>
      <w:r w:rsidRPr="00D401E0">
        <w:rPr>
          <w:rStyle w:val="BodyTextIndentBoldUnderlineChar"/>
          <w:b w:val="0"/>
        </w:rPr>
        <w:t>in</w:t>
      </w:r>
      <w:r w:rsidR="008A5A21" w:rsidRPr="003953D6">
        <w:rPr>
          <w:rStyle w:val="BodyTextIndentItalicChar"/>
          <w:i w:val="0"/>
          <w:u w:val="single"/>
        </w:rPr>
        <w:t> </w:t>
      </w:r>
      <w:r w:rsidRPr="00D401E0">
        <w:rPr>
          <w:rStyle w:val="BodyTextIndentBoldUnderlineChar"/>
          <w:b w:val="0"/>
        </w:rPr>
        <w:t>20)</w:t>
      </w:r>
      <w:r w:rsidRPr="00D401E0">
        <w:rPr>
          <w:rStyle w:val="BodyTextIndentBoldUnderlineChar"/>
          <w:b w:val="0"/>
          <w:u w:val="none"/>
        </w:rPr>
        <w:t>:</w:t>
      </w:r>
      <w:r>
        <w:t xml:space="preserve">  mean BPN must be increased in accordance with </w:t>
      </w:r>
      <w:r w:rsidRPr="00CC1A49">
        <w:rPr>
          <w:rStyle w:val="BodyTextIndentItalicChar"/>
        </w:rPr>
        <w:t>Appendix A</w:t>
      </w:r>
      <w:r>
        <w:t xml:space="preserve"> of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14:paraId="396D0021" w14:textId="77777777" w:rsidR="00C03E11" w:rsidRPr="001344BF" w:rsidRDefault="00C03E11" w:rsidP="00C03E11">
      <w:pPr>
        <w:pStyle w:val="BodyTextIndent"/>
      </w:pPr>
      <w:r w:rsidRPr="00D401E0">
        <w:rPr>
          <w:rStyle w:val="BodyTextIndentBoldUnderlineChar"/>
          <w:b w:val="0"/>
        </w:rPr>
        <w:t>Existing/trafficked external surfaces</w:t>
      </w:r>
      <w:r w:rsidRPr="00D401E0">
        <w:rPr>
          <w:rStyle w:val="BodyTextIndentBoldUnderlineChar"/>
          <w:b w:val="0"/>
          <w:u w:val="none"/>
        </w:rPr>
        <w:t>:</w:t>
      </w:r>
      <w:r w:rsidRPr="001344BF">
        <w:t xml:space="preserve"> </w:t>
      </w:r>
      <w:r>
        <w:t>tested to</w:t>
      </w:r>
      <w:r w:rsidRPr="00FE35BF">
        <w:t xml:space="preserve"> the methods </w:t>
      </w:r>
      <w:r>
        <w:t xml:space="preserve">in </w:t>
      </w:r>
      <w:r w:rsidRPr="008D1A73">
        <w:rPr>
          <w:i/>
        </w:rPr>
        <w:t>AS 4</w:t>
      </w:r>
      <w:r>
        <w:rPr>
          <w:i/>
        </w:rPr>
        <w:t>663</w:t>
      </w:r>
      <w:r>
        <w:t xml:space="preserve"> and classified in accordance with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14:paraId="25AAC7B5" w14:textId="726D25E1" w:rsidR="00C03E11" w:rsidRDefault="00C03E11" w:rsidP="00C03E11">
      <w:pPr>
        <w:pStyle w:val="BodyTextIndent"/>
      </w:pPr>
      <w:r>
        <w:t xml:space="preserve">The pavement must demonstrate characteristics in accordance with the relevant Australian Standards of a Very Low Contribution of the surface to slips when wet.  The likely contamination of the surface must be </w:t>
      </w:r>
      <w:r w:rsidR="001F5944">
        <w:t>considered,</w:t>
      </w:r>
      <w:r>
        <w:t xml:space="preserve"> and the surface must maintain its slip resistance with minimal maintenance for the estimated life of 10</w:t>
      </w:r>
      <w:r w:rsidR="008A5A21" w:rsidRPr="008A5A21">
        <w:rPr>
          <w:rStyle w:val="BodyTextIndentItalicChar"/>
          <w:i w:val="0"/>
        </w:rPr>
        <w:t> </w:t>
      </w:r>
      <w:r>
        <w:t>years.</w:t>
      </w:r>
    </w:p>
    <w:p w14:paraId="23BC3CCD" w14:textId="77777777" w:rsidR="00C03E11" w:rsidRPr="00314F62" w:rsidRDefault="00C03E11" w:rsidP="00643BEE">
      <w:pPr>
        <w:pStyle w:val="BodyTextIndent"/>
      </w:pPr>
      <w:r>
        <w:t xml:space="preserve">Where the slope of the footpath is such that the minimum slip resistance for the coloured pavement treatment cannot be achieved, </w:t>
      </w:r>
      <w:r w:rsidRPr="00D91AB6">
        <w:t xml:space="preserve">then an alternative </w:t>
      </w:r>
      <w:r>
        <w:t>treatment</w:t>
      </w:r>
      <w:r w:rsidRPr="00D91AB6">
        <w:t xml:space="preserve"> </w:t>
      </w:r>
      <w:r>
        <w:t>is to</w:t>
      </w:r>
      <w:r w:rsidRPr="00D91AB6">
        <w:t xml:space="preserve"> be considered.</w:t>
      </w:r>
      <w:r>
        <w:t xml:space="preserve">  This will be determined on a site-by-site basis.</w:t>
      </w:r>
    </w:p>
    <w:p w14:paraId="07755A58" w14:textId="45FCDE38" w:rsidR="0052773A" w:rsidRPr="00314F62" w:rsidRDefault="0052773A" w:rsidP="0052773A">
      <w:pPr>
        <w:pStyle w:val="TableLegend"/>
      </w:pPr>
      <w:r w:rsidRPr="00314F62">
        <w:t>Table</w:t>
      </w:r>
      <w:r w:rsidR="00130D00" w:rsidRPr="00314F62">
        <w:t> </w:t>
      </w:r>
      <w:r w:rsidRPr="00314F62">
        <w:t xml:space="preserve">4.1 – </w:t>
      </w:r>
      <w:r w:rsidR="00C03E11">
        <w:t>Table removed from document</w:t>
      </w:r>
    </w:p>
    <w:p w14:paraId="70B8BD7B" w14:textId="77777777" w:rsidR="00A96313" w:rsidRPr="00314F62" w:rsidRDefault="0059411D" w:rsidP="00DE4BB4">
      <w:pPr>
        <w:pStyle w:val="Heading3"/>
      </w:pPr>
      <w:bookmarkStart w:id="69" w:name="_Toc185318051"/>
      <w:bookmarkStart w:id="70" w:name="_Toc75951927"/>
      <w:r w:rsidRPr="00314F62">
        <w:t>Skid Resistance</w:t>
      </w:r>
      <w:bookmarkEnd w:id="69"/>
      <w:bookmarkEnd w:id="70"/>
    </w:p>
    <w:p w14:paraId="7A49F86A" w14:textId="77777777" w:rsidR="00A96313" w:rsidRPr="00314F62" w:rsidRDefault="00A96313" w:rsidP="00A96313">
      <w:pPr>
        <w:pStyle w:val="BodyTextIndent"/>
      </w:pPr>
      <w:r w:rsidRPr="00F82FC4">
        <w:rPr>
          <w:rStyle w:val="BodyTextIndentBoldUnderlineChar"/>
          <w:b w:val="0"/>
          <w:bCs/>
        </w:rPr>
        <w:t>Scope</w:t>
      </w:r>
      <w:r w:rsidRPr="00314F62">
        <w:t>: Applies to vehicular trafficked surfaces.</w:t>
      </w:r>
    </w:p>
    <w:p w14:paraId="02CBE788" w14:textId="77777777" w:rsidR="00A96313" w:rsidRPr="00314F62" w:rsidRDefault="00A96313" w:rsidP="00A96313">
      <w:pPr>
        <w:pStyle w:val="BodyTextIndent"/>
      </w:pPr>
      <w:r w:rsidRPr="00F82FC4">
        <w:rPr>
          <w:rStyle w:val="BodyTextIndentBoldUnderlineChar"/>
          <w:b w:val="0"/>
          <w:bCs/>
        </w:rPr>
        <w:t>Definition</w:t>
      </w:r>
      <w:r w:rsidRPr="00314F62">
        <w:t>: Skid resistance is a measure of the friction between the vehicle tyre and the paved surface.  The skid resistance depends on both the micro texture of the aggregate in the surfacing, the macro texture (surface texture) of the surfacing, as well as the presence of moisture and film thickness.</w:t>
      </w:r>
    </w:p>
    <w:p w14:paraId="637E0AF8" w14:textId="77777777" w:rsidR="00A96313" w:rsidRPr="00314F62" w:rsidRDefault="00A96313" w:rsidP="00A96313">
      <w:pPr>
        <w:pStyle w:val="BodyTextIndent"/>
      </w:pPr>
      <w:r w:rsidRPr="00F82FC4">
        <w:rPr>
          <w:rStyle w:val="BodyTextIndentBoldUnderlineChar"/>
          <w:b w:val="0"/>
          <w:bCs/>
        </w:rPr>
        <w:t>Bituminous surfaces</w:t>
      </w:r>
      <w:r w:rsidRPr="00314F62">
        <w:t>: Micro texture relates primarily to the surface texture of the individual aggregate particles, which is in turn influenced by the degree of polishing of the aggregate.  The shape of and the space between the aggregate particles provides the macro texture.</w:t>
      </w:r>
    </w:p>
    <w:p w14:paraId="7577BFA2" w14:textId="77777777" w:rsidR="00A96313" w:rsidRPr="00314F62" w:rsidRDefault="00A96313" w:rsidP="00A96313">
      <w:pPr>
        <w:pStyle w:val="BodyTextIndent"/>
      </w:pPr>
      <w:r w:rsidRPr="00F82FC4">
        <w:rPr>
          <w:rStyle w:val="BodyTextIndentBoldUnderlineChar"/>
          <w:b w:val="0"/>
          <w:bCs/>
        </w:rPr>
        <w:t>Concrete surfaces</w:t>
      </w:r>
      <w:r w:rsidRPr="00314F62">
        <w:t xml:space="preserve">: The fine aggregate particles in the mix provide the micro texture.  Texturing in accordance with </w:t>
      </w:r>
      <w:r w:rsidR="003F31FB" w:rsidRPr="00314F62">
        <w:rPr>
          <w:rStyle w:val="BodyTextIndentItalicChar"/>
        </w:rPr>
        <w:t xml:space="preserve">Reference </w:t>
      </w:r>
      <w:r w:rsidR="00015B2B" w:rsidRPr="00314F62">
        <w:rPr>
          <w:rStyle w:val="BodyTextIndentItalicChar"/>
        </w:rPr>
        <w:t>Specification</w:t>
      </w:r>
      <w:r w:rsidR="003F31FB" w:rsidRPr="00314F62">
        <w:rPr>
          <w:rStyle w:val="BodyTextIndentItalicChar"/>
        </w:rPr>
        <w:t xml:space="preserve"> for Engineering Work </w:t>
      </w:r>
      <w:r w:rsidRPr="00314F62">
        <w:rPr>
          <w:rStyle w:val="BodyTextIndentItalicChar"/>
        </w:rPr>
        <w:t>S200</w:t>
      </w:r>
      <w:r w:rsidR="008A5A21">
        <w:rPr>
          <w:rStyle w:val="BodyTextIndentItalicChar"/>
        </w:rPr>
        <w:t xml:space="preserve"> </w:t>
      </w:r>
      <w:r w:rsidRPr="00314F62">
        <w:rPr>
          <w:rStyle w:val="BodyTextIndentItalicChar"/>
        </w:rPr>
        <w:t>Concrete Clause 10.1</w:t>
      </w:r>
      <w:r w:rsidRPr="00314F62">
        <w:t xml:space="preserve"> provides the macro texture.</w:t>
      </w:r>
    </w:p>
    <w:p w14:paraId="0DFF9E25" w14:textId="77777777" w:rsidR="00A96313" w:rsidRPr="00314F62" w:rsidRDefault="00A96313" w:rsidP="00A96313">
      <w:pPr>
        <w:pStyle w:val="BodyTextIndent"/>
      </w:pPr>
      <w:r w:rsidRPr="00F82FC4">
        <w:rPr>
          <w:rStyle w:val="BodyTextIndentBoldUnderlineChar"/>
          <w:b w:val="0"/>
          <w:bCs/>
        </w:rPr>
        <w:t>Portable pendulum skid resistance tests (British Pendulum)</w:t>
      </w:r>
      <w:r w:rsidRPr="00314F62">
        <w:t xml:space="preserve">: Carry out tests on wet surfaces in accordance with </w:t>
      </w:r>
      <w:r w:rsidRPr="00314F62">
        <w:rPr>
          <w:rStyle w:val="BodyTextIndentItalicChar"/>
        </w:rPr>
        <w:t>Q</w:t>
      </w:r>
      <w:r w:rsidR="003F31FB" w:rsidRPr="00314F62">
        <w:rPr>
          <w:rStyle w:val="BodyTextIndentItalicChar"/>
        </w:rPr>
        <w:t xml:space="preserve">ueensland </w:t>
      </w:r>
      <w:r w:rsidRPr="00314F62">
        <w:rPr>
          <w:rStyle w:val="BodyTextIndentItalicChar"/>
        </w:rPr>
        <w:t>D</w:t>
      </w:r>
      <w:r w:rsidR="003F31FB" w:rsidRPr="00314F62">
        <w:rPr>
          <w:rStyle w:val="BodyTextIndentItalicChar"/>
        </w:rPr>
        <w:t xml:space="preserve">epartment of Transport and </w:t>
      </w:r>
      <w:r w:rsidRPr="00314F62">
        <w:rPr>
          <w:rStyle w:val="BodyTextIndentItalicChar"/>
        </w:rPr>
        <w:t>M</w:t>
      </w:r>
      <w:r w:rsidR="003F31FB" w:rsidRPr="00314F62">
        <w:rPr>
          <w:rStyle w:val="BodyTextIndentItalicChar"/>
        </w:rPr>
        <w:t xml:space="preserve">ain </w:t>
      </w:r>
      <w:r w:rsidRPr="00314F62">
        <w:rPr>
          <w:rStyle w:val="BodyTextIndentItalicChar"/>
        </w:rPr>
        <w:t>R</w:t>
      </w:r>
      <w:r w:rsidR="003F31FB" w:rsidRPr="00314F62">
        <w:rPr>
          <w:rStyle w:val="BodyTextIndentItalicChar"/>
        </w:rPr>
        <w:t>oads Test</w:t>
      </w:r>
      <w:r w:rsidRPr="00314F62">
        <w:rPr>
          <w:rStyle w:val="BodyTextIndentItalicChar"/>
        </w:rPr>
        <w:t xml:space="preserve"> </w:t>
      </w:r>
      <w:r w:rsidR="003F31FB" w:rsidRPr="00314F62">
        <w:rPr>
          <w:rStyle w:val="BodyTextIndentItalicChar"/>
        </w:rPr>
        <w:t>M</w:t>
      </w:r>
      <w:r w:rsidRPr="00314F62">
        <w:rPr>
          <w:rStyle w:val="BodyTextIndentItalicChar"/>
        </w:rPr>
        <w:t>ethod Q704</w:t>
      </w:r>
      <w:r w:rsidRPr="00314F62">
        <w:t xml:space="preserve"> or </w:t>
      </w:r>
      <w:r w:rsidRPr="00314F62">
        <w:rPr>
          <w:rStyle w:val="BodyTextIndentItalicChar"/>
        </w:rPr>
        <w:t>ASTME 303</w:t>
      </w:r>
      <w:r w:rsidRPr="00314F62">
        <w:t>.  The testing device measures the coefficient of friction between the road surface and a rubber slider, mounted on a pendulum.  The skid resistance measurements are recorded as the BPN.</w:t>
      </w:r>
    </w:p>
    <w:p w14:paraId="2262A153" w14:textId="77777777" w:rsidR="00A96313" w:rsidRPr="00314F62" w:rsidRDefault="00A96313" w:rsidP="00643BEE">
      <w:pPr>
        <w:pStyle w:val="BodyTextIndent"/>
      </w:pPr>
      <w:r w:rsidRPr="00F82FC4">
        <w:rPr>
          <w:rStyle w:val="BodyTextIndentBoldUnderlineChar"/>
          <w:b w:val="0"/>
          <w:bCs/>
        </w:rPr>
        <w:lastRenderedPageBreak/>
        <w:t>Requirement</w:t>
      </w:r>
      <w:r w:rsidRPr="00314F62">
        <w:t>: The skid resistance requirement of an applied surface treatment is specified in Table </w:t>
      </w:r>
      <w:r w:rsidR="00793EBB" w:rsidRPr="00314F62">
        <w:t>4</w:t>
      </w:r>
      <w:r w:rsidR="00C56468" w:rsidRPr="00314F62">
        <w:t>.2</w:t>
      </w:r>
      <w:r w:rsidRPr="00314F62">
        <w:t>. Maintain the minimum skid resistance values for the duration of the product guarantee period.</w:t>
      </w:r>
    </w:p>
    <w:p w14:paraId="3CD3A340" w14:textId="10E5E35D" w:rsidR="0052773A" w:rsidRPr="00314F62" w:rsidRDefault="0052773A" w:rsidP="0052773A">
      <w:pPr>
        <w:pStyle w:val="TableLegend"/>
      </w:pPr>
      <w:r w:rsidRPr="00314F62">
        <w:t>Table</w:t>
      </w:r>
      <w:r w:rsidR="00130D00" w:rsidRPr="00314F62">
        <w:t> </w:t>
      </w:r>
      <w:r w:rsidRPr="00314F62">
        <w:t>4.2 – Minimum enduring skid resistance values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4324"/>
      </w:tblGrid>
      <w:tr w:rsidR="00A96313" w:rsidRPr="00314F62" w14:paraId="3FEF1DD8" w14:textId="77777777" w:rsidTr="008521D7">
        <w:trPr>
          <w:trHeight w:val="397"/>
        </w:trPr>
        <w:tc>
          <w:tcPr>
            <w:tcW w:w="4323" w:type="dxa"/>
            <w:tcBorders>
              <w:top w:val="single" w:sz="12" w:space="0" w:color="auto"/>
              <w:left w:val="nil"/>
              <w:bottom w:val="single" w:sz="12" w:space="0" w:color="auto"/>
              <w:right w:val="nil"/>
            </w:tcBorders>
            <w:shd w:val="pct10" w:color="auto" w:fill="auto"/>
            <w:vAlign w:val="center"/>
          </w:tcPr>
          <w:p w14:paraId="1E2AADA3" w14:textId="77777777" w:rsidR="00A96313" w:rsidRPr="00314F62" w:rsidRDefault="00A96313" w:rsidP="0042703A">
            <w:pPr>
              <w:pStyle w:val="TableHead"/>
            </w:pPr>
            <w:r w:rsidRPr="00314F62">
              <w:t>Surface Treatment Type</w:t>
            </w:r>
          </w:p>
        </w:tc>
        <w:tc>
          <w:tcPr>
            <w:tcW w:w="4324" w:type="dxa"/>
            <w:tcBorders>
              <w:top w:val="single" w:sz="12" w:space="0" w:color="auto"/>
              <w:left w:val="nil"/>
              <w:bottom w:val="single" w:sz="12" w:space="0" w:color="auto"/>
              <w:right w:val="nil"/>
            </w:tcBorders>
            <w:shd w:val="pct10" w:color="auto" w:fill="auto"/>
            <w:vAlign w:val="center"/>
          </w:tcPr>
          <w:p w14:paraId="66540275" w14:textId="5E50122B" w:rsidR="00A96313" w:rsidRPr="00314F62" w:rsidRDefault="00A96313" w:rsidP="008607D0">
            <w:pPr>
              <w:pStyle w:val="TableHeadCen"/>
            </w:pPr>
            <w:r w:rsidRPr="00314F62">
              <w:t>Minimum skid resistance value</w:t>
            </w:r>
            <w:r w:rsidR="00130D00" w:rsidRPr="00793DBF">
              <w:rPr>
                <w:b w:val="0"/>
                <w:bCs/>
                <w:i/>
                <w:iCs/>
                <w:vertAlign w:val="superscript"/>
              </w:rPr>
              <w:t>(1)</w:t>
            </w:r>
            <w:r w:rsidRPr="00314F62">
              <w:t xml:space="preserve"> (BPN)</w:t>
            </w:r>
          </w:p>
        </w:tc>
      </w:tr>
      <w:tr w:rsidR="00A96313" w:rsidRPr="00314F62" w14:paraId="227BCD60" w14:textId="77777777" w:rsidTr="008521D7">
        <w:trPr>
          <w:trHeight w:val="340"/>
        </w:trPr>
        <w:tc>
          <w:tcPr>
            <w:tcW w:w="4323" w:type="dxa"/>
            <w:tcBorders>
              <w:top w:val="single" w:sz="12" w:space="0" w:color="auto"/>
              <w:left w:val="nil"/>
              <w:bottom w:val="single" w:sz="4" w:space="0" w:color="auto"/>
              <w:right w:val="nil"/>
            </w:tcBorders>
            <w:vAlign w:val="center"/>
          </w:tcPr>
          <w:p w14:paraId="5358AB0E" w14:textId="77777777" w:rsidR="00A96313" w:rsidRPr="002969C7" w:rsidRDefault="00A96313" w:rsidP="002969C7">
            <w:pPr>
              <w:pStyle w:val="Table"/>
            </w:pPr>
            <w:r w:rsidRPr="002969C7">
              <w:t>Type</w:t>
            </w:r>
            <w:r w:rsidR="002969C7" w:rsidRPr="002969C7">
              <w:t> </w:t>
            </w:r>
            <w:r w:rsidRPr="002969C7">
              <w:t>1 Treatment</w:t>
            </w:r>
            <w:r w:rsidR="009052BB" w:rsidRPr="002969C7">
              <w:t xml:space="preserve"> (See 4.5)</w:t>
            </w:r>
          </w:p>
        </w:tc>
        <w:tc>
          <w:tcPr>
            <w:tcW w:w="4324" w:type="dxa"/>
            <w:tcBorders>
              <w:top w:val="single" w:sz="12" w:space="0" w:color="auto"/>
              <w:left w:val="nil"/>
              <w:bottom w:val="single" w:sz="4" w:space="0" w:color="auto"/>
              <w:right w:val="nil"/>
            </w:tcBorders>
            <w:vAlign w:val="center"/>
          </w:tcPr>
          <w:p w14:paraId="0BA70BC9" w14:textId="77777777" w:rsidR="00A96313" w:rsidRPr="00314F62" w:rsidRDefault="00A96313" w:rsidP="00A96313">
            <w:pPr>
              <w:pStyle w:val="TableCen"/>
            </w:pPr>
            <w:r w:rsidRPr="00314F62">
              <w:t>55</w:t>
            </w:r>
          </w:p>
        </w:tc>
      </w:tr>
      <w:tr w:rsidR="00A96313" w:rsidRPr="00314F62" w14:paraId="288B4FEF" w14:textId="77777777" w:rsidTr="008521D7">
        <w:trPr>
          <w:trHeight w:val="340"/>
        </w:trPr>
        <w:tc>
          <w:tcPr>
            <w:tcW w:w="4323" w:type="dxa"/>
            <w:tcBorders>
              <w:top w:val="single" w:sz="4" w:space="0" w:color="auto"/>
              <w:left w:val="nil"/>
              <w:bottom w:val="single" w:sz="12" w:space="0" w:color="auto"/>
              <w:right w:val="nil"/>
            </w:tcBorders>
            <w:vAlign w:val="center"/>
          </w:tcPr>
          <w:p w14:paraId="0282ADED" w14:textId="77777777" w:rsidR="00A96313" w:rsidRPr="00314F62" w:rsidRDefault="00A96313" w:rsidP="002969C7">
            <w:pPr>
              <w:pStyle w:val="Table"/>
            </w:pPr>
            <w:r w:rsidRPr="00314F62">
              <w:t>Type</w:t>
            </w:r>
            <w:r w:rsidR="002969C7" w:rsidRPr="002969C7">
              <w:t> </w:t>
            </w:r>
            <w:r w:rsidRPr="00314F62">
              <w:t>2 Treatment</w:t>
            </w:r>
            <w:r w:rsidR="009052BB" w:rsidRPr="00314F62">
              <w:t xml:space="preserve"> (See 4.6)</w:t>
            </w:r>
          </w:p>
        </w:tc>
        <w:tc>
          <w:tcPr>
            <w:tcW w:w="4324" w:type="dxa"/>
            <w:tcBorders>
              <w:top w:val="single" w:sz="4" w:space="0" w:color="auto"/>
              <w:left w:val="nil"/>
              <w:bottom w:val="single" w:sz="12" w:space="0" w:color="auto"/>
              <w:right w:val="nil"/>
            </w:tcBorders>
            <w:vAlign w:val="center"/>
          </w:tcPr>
          <w:p w14:paraId="6A570C9A" w14:textId="77777777" w:rsidR="00A96313" w:rsidRPr="00314F62" w:rsidRDefault="00A96313" w:rsidP="00A96313">
            <w:pPr>
              <w:pStyle w:val="TableCen"/>
            </w:pPr>
            <w:r w:rsidRPr="00314F62">
              <w:t>65</w:t>
            </w:r>
          </w:p>
        </w:tc>
      </w:tr>
    </w:tbl>
    <w:p w14:paraId="03864218" w14:textId="40D5DBFB" w:rsidR="00A96313" w:rsidRPr="00314F62" w:rsidRDefault="00130D00" w:rsidP="00A96313">
      <w:pPr>
        <w:pStyle w:val="BodyTextIndentMinor"/>
        <w:rPr>
          <w:i/>
          <w:sz w:val="16"/>
          <w:szCs w:val="16"/>
        </w:rPr>
      </w:pPr>
      <w:r>
        <w:rPr>
          <w:i/>
          <w:sz w:val="16"/>
          <w:szCs w:val="16"/>
        </w:rPr>
        <w:t>(1)</w:t>
      </w:r>
      <w:r w:rsidR="00A96313" w:rsidRPr="00314F62">
        <w:rPr>
          <w:i/>
          <w:sz w:val="16"/>
          <w:szCs w:val="16"/>
        </w:rPr>
        <w:tab/>
        <w:t>Record measurement at the end of the defects liability period (</w:t>
      </w:r>
      <w:r w:rsidR="000F5E96" w:rsidRPr="00314F62">
        <w:rPr>
          <w:i/>
          <w:sz w:val="16"/>
          <w:szCs w:val="16"/>
        </w:rPr>
        <w:t>i.e.</w:t>
      </w:r>
      <w:r w:rsidR="00A96313" w:rsidRPr="00314F62">
        <w:rPr>
          <w:i/>
          <w:sz w:val="16"/>
          <w:szCs w:val="16"/>
        </w:rPr>
        <w:t xml:space="preserve"> 12</w:t>
      </w:r>
      <w:r w:rsidR="00817E79" w:rsidRPr="00314F62">
        <w:t> </w:t>
      </w:r>
      <w:r w:rsidR="00A96313" w:rsidRPr="00314F62">
        <w:rPr>
          <w:i/>
          <w:sz w:val="16"/>
          <w:szCs w:val="16"/>
        </w:rPr>
        <w:t>months from the date of on maintenance acceptance). The initial skid resistance is expected to be higher than the specified minimum value to ensure achievement of the minimum enduring requirement.</w:t>
      </w:r>
    </w:p>
    <w:p w14:paraId="50A24405" w14:textId="77777777" w:rsidR="00A96313" w:rsidRPr="00314F62" w:rsidRDefault="009D7751" w:rsidP="00DE4BB4">
      <w:pPr>
        <w:pStyle w:val="Heading3"/>
      </w:pPr>
      <w:bookmarkStart w:id="71" w:name="_Toc521319649"/>
      <w:bookmarkStart w:id="72" w:name="_Toc185318053"/>
      <w:bookmarkStart w:id="73" w:name="_Toc75951928"/>
      <w:r w:rsidRPr="00314F62">
        <w:t>General</w:t>
      </w:r>
      <w:bookmarkEnd w:id="71"/>
      <w:r w:rsidRPr="00314F62">
        <w:t xml:space="preserve"> Requirements</w:t>
      </w:r>
      <w:bookmarkEnd w:id="72"/>
      <w:bookmarkEnd w:id="73"/>
    </w:p>
    <w:p w14:paraId="7C186195" w14:textId="77777777" w:rsidR="00A96313" w:rsidRPr="00314F62" w:rsidRDefault="00A96313" w:rsidP="00A96313">
      <w:pPr>
        <w:pStyle w:val="BodyTextIndent"/>
      </w:pPr>
      <w:r w:rsidRPr="000563B5">
        <w:rPr>
          <w:rStyle w:val="BodyTextIndentBoldUnderlineChar"/>
          <w:b w:val="0"/>
          <w:bCs/>
        </w:rPr>
        <w:t>Treatment locations</w:t>
      </w:r>
      <w:r w:rsidRPr="00314F62">
        <w:t>: Thresholds at local traffic areas to visually enhance traffic control devices such as mini-roundabouts, diamond slow-ways, single lane angled slow-ways, approaches to intersections, and road humps (traffic calming device) and to visually enhance school zones or demarcation of parking area, bicycle lanes or bus lanes. Type 1 Treatment is generally used for these locations.</w:t>
      </w:r>
    </w:p>
    <w:p w14:paraId="4E64954D" w14:textId="77777777" w:rsidR="00A96313" w:rsidRPr="002969C7" w:rsidRDefault="00A96313" w:rsidP="002969C7">
      <w:pPr>
        <w:pStyle w:val="BodyTextIndent"/>
      </w:pPr>
      <w:r w:rsidRPr="002969C7">
        <w:t>Type</w:t>
      </w:r>
      <w:r w:rsidR="002969C7" w:rsidRPr="002969C7">
        <w:t> </w:t>
      </w:r>
      <w:r w:rsidRPr="002969C7">
        <w:t>2 Treatment is required for locations requiring high skid resistance. (</w:t>
      </w:r>
      <w:r w:rsidR="002969C7" w:rsidRPr="002969C7">
        <w:t>e.g.</w:t>
      </w:r>
      <w:r w:rsidRPr="002969C7">
        <w:t xml:space="preserve"> accident black spots and locations with high incidence of wet weather skidding)</w:t>
      </w:r>
    </w:p>
    <w:p w14:paraId="03C094B3" w14:textId="7FAEB80D" w:rsidR="00A96313" w:rsidRPr="00314F62" w:rsidRDefault="00A96313" w:rsidP="00A96313">
      <w:pPr>
        <w:pStyle w:val="BodyTextIndent"/>
      </w:pPr>
      <w:r w:rsidRPr="000563B5">
        <w:rPr>
          <w:rStyle w:val="BodyTextIndentBoldUnderlineChar"/>
          <w:b w:val="0"/>
          <w:bCs/>
        </w:rPr>
        <w:t>Visual assessment</w:t>
      </w:r>
      <w:r w:rsidRPr="00314F62">
        <w:t xml:space="preserve">: Inspect the installed coloured treatment to assess uniformity and compliance with the minimum skid resistance requirement.  Use test boards (product samples that have been tested for skid resistance and found to be satisfactory) to aid the visual assessment.  Conduct visual assessment during the </w:t>
      </w:r>
      <w:r w:rsidR="000563B5" w:rsidRPr="00314F62">
        <w:t>on-maintenance</w:t>
      </w:r>
      <w:r w:rsidRPr="00314F62">
        <w:t xml:space="preserve"> inspection.</w:t>
      </w:r>
    </w:p>
    <w:p w14:paraId="0E1555D2" w14:textId="2A775B8A" w:rsidR="00A96313" w:rsidRPr="00314F62" w:rsidRDefault="00A96313" w:rsidP="00A96313">
      <w:pPr>
        <w:pStyle w:val="BodyTextIndent"/>
      </w:pPr>
      <w:r w:rsidRPr="000563B5">
        <w:rPr>
          <w:rStyle w:val="BodyTextIndentBoldUnderlineChar"/>
          <w:b w:val="0"/>
          <w:bCs/>
        </w:rPr>
        <w:t>British Pendulum tests</w:t>
      </w:r>
      <w:r w:rsidRPr="00314F62">
        <w:t>: Undertake a minimum of 2</w:t>
      </w:r>
      <w:r w:rsidR="00E36F1E" w:rsidRPr="00314F62">
        <w:t> </w:t>
      </w:r>
      <w:r w:rsidRPr="00314F62">
        <w:t>skid resistance tests in each treatment area.  Increase test frequency as required (minimum 1</w:t>
      </w:r>
      <w:r w:rsidR="00E36F1E" w:rsidRPr="00314F62">
        <w:t> </w:t>
      </w:r>
      <w:r w:rsidRPr="00314F62">
        <w:t>test per 100 m</w:t>
      </w:r>
      <w:r w:rsidRPr="00314F62">
        <w:rPr>
          <w:vertAlign w:val="superscript"/>
        </w:rPr>
        <w:t>2</w:t>
      </w:r>
      <w:r w:rsidRPr="00314F62">
        <w:t xml:space="preserve"> or part thereof per site in the wheel path) to delineate any non-conforming areas.  If required, rectify defects.  Conduct tests at the end of the defects liability period (</w:t>
      </w:r>
      <w:r w:rsidR="00D777FC" w:rsidRPr="00314F62">
        <w:t>i.e.</w:t>
      </w:r>
      <w:r w:rsidRPr="00314F62">
        <w:t xml:space="preserve"> 12</w:t>
      </w:r>
      <w:r w:rsidR="002969C7" w:rsidRPr="00314F62">
        <w:t> </w:t>
      </w:r>
      <w:r w:rsidRPr="00314F62">
        <w:t>months from the date of on maintenance acceptance).</w:t>
      </w:r>
    </w:p>
    <w:p w14:paraId="638A1501" w14:textId="77777777" w:rsidR="00A96313" w:rsidRPr="00314F62" w:rsidRDefault="00A96313" w:rsidP="00A96313">
      <w:pPr>
        <w:pStyle w:val="BodyTextIndent"/>
      </w:pPr>
      <w:r w:rsidRPr="000563B5">
        <w:rPr>
          <w:rStyle w:val="BodyTextIndentBoldUnderlineChar"/>
          <w:b w:val="0"/>
          <w:bCs/>
        </w:rPr>
        <w:t>Manufacturer’s guarantee</w:t>
      </w:r>
      <w:r w:rsidRPr="00314F62">
        <w:t>: Minimum period of 3</w:t>
      </w:r>
      <w:r w:rsidR="002969C7" w:rsidRPr="00314F62">
        <w:t> </w:t>
      </w:r>
      <w:r w:rsidRPr="00314F62">
        <w:t xml:space="preserve">years against the loss of colour, stripping and delamination, and maintaining the skid resistance characteristics specified in </w:t>
      </w:r>
      <w:r w:rsidRPr="00314F62">
        <w:rPr>
          <w:i/>
        </w:rPr>
        <w:t>Clause </w:t>
      </w:r>
      <w:r w:rsidR="00015B2B" w:rsidRPr="00314F62">
        <w:rPr>
          <w:i/>
        </w:rPr>
        <w:t>4</w:t>
      </w:r>
      <w:r w:rsidRPr="00314F62">
        <w:rPr>
          <w:i/>
        </w:rPr>
        <w:t>.3</w:t>
      </w:r>
      <w:r w:rsidR="00015B2B" w:rsidRPr="00314F62">
        <w:rPr>
          <w:i/>
        </w:rPr>
        <w:t xml:space="preserve"> of this Reference Specification</w:t>
      </w:r>
      <w:r w:rsidRPr="00314F62">
        <w:t>.  The product guarantee does not extend to defects arising from damage caused by settlement, subsidence or failure of the underlying stratum.</w:t>
      </w:r>
    </w:p>
    <w:p w14:paraId="4354BEA6" w14:textId="77777777" w:rsidR="00A96313" w:rsidRPr="00314F62" w:rsidRDefault="0059411D" w:rsidP="00DE4BB4">
      <w:pPr>
        <w:pStyle w:val="Heading3"/>
      </w:pPr>
      <w:bookmarkStart w:id="74" w:name="_Toc185318054"/>
      <w:bookmarkStart w:id="75" w:name="_Toc75951929"/>
      <w:r w:rsidRPr="00314F62">
        <w:t xml:space="preserve">Type 1 Treatment (Stencilled </w:t>
      </w:r>
      <w:r w:rsidR="000F5E96" w:rsidRPr="00314F62">
        <w:t>or</w:t>
      </w:r>
      <w:r w:rsidRPr="00314F62">
        <w:t xml:space="preserve"> Stamped/Imprinted Surfacing System)</w:t>
      </w:r>
      <w:bookmarkEnd w:id="74"/>
      <w:bookmarkEnd w:id="75"/>
    </w:p>
    <w:p w14:paraId="2522C6BD" w14:textId="77777777" w:rsidR="00A96313" w:rsidRPr="00314F62" w:rsidRDefault="0059411D" w:rsidP="00DE4BB4">
      <w:pPr>
        <w:pStyle w:val="Heading4"/>
      </w:pPr>
      <w:bookmarkStart w:id="76" w:name="_Toc75951930"/>
      <w:r w:rsidRPr="00314F62">
        <w:t>General</w:t>
      </w:r>
      <w:bookmarkEnd w:id="76"/>
    </w:p>
    <w:p w14:paraId="422F11BC" w14:textId="77777777" w:rsidR="00A96313" w:rsidRPr="00314F62" w:rsidRDefault="00A96313" w:rsidP="00A96313">
      <w:pPr>
        <w:pStyle w:val="BodyTextIndent"/>
      </w:pPr>
      <w:r w:rsidRPr="000563B5">
        <w:rPr>
          <w:rStyle w:val="BodyTextIndentBoldUnderlineChar"/>
          <w:b w:val="0"/>
          <w:bCs/>
        </w:rPr>
        <w:t>Surfacing system</w:t>
      </w:r>
      <w:r w:rsidRPr="00314F62">
        <w:t>: Generally a proprietary treatment approved by Brisbane City Council (Approving Authority: Manager Asset</w:t>
      </w:r>
      <w:r w:rsidR="00015B2B" w:rsidRPr="00314F62">
        <w:t xml:space="preserve"> Management</w:t>
      </w:r>
      <w:r w:rsidRPr="00314F62">
        <w:t xml:space="preserve">) that has been specifically developed for installation by trained personnel to produce a uniformly coloured, highly durable, and seamless surface finish of adequate skid resistance (on road surface) or slip resistance (on pedestrian surface).  </w:t>
      </w:r>
      <w:r w:rsidRPr="00314F62">
        <w:rPr>
          <w:i/>
        </w:rPr>
        <w:t>Refer annexure</w:t>
      </w:r>
      <w:r w:rsidRPr="00314F62">
        <w:t>.</w:t>
      </w:r>
    </w:p>
    <w:p w14:paraId="22C8214E" w14:textId="77777777" w:rsidR="00A96313" w:rsidRPr="00314F62" w:rsidRDefault="00A96313" w:rsidP="00A96313">
      <w:pPr>
        <w:pStyle w:val="BodyTextIndent"/>
      </w:pPr>
      <w:r w:rsidRPr="000563B5">
        <w:rPr>
          <w:rStyle w:val="BodyTextIndentBoldUnderlineChar"/>
          <w:b w:val="0"/>
          <w:bCs/>
        </w:rPr>
        <w:t>Approval of treatment system</w:t>
      </w:r>
      <w:r w:rsidRPr="00314F62">
        <w:t>: Comply with one or more of the following criteria.</w:t>
      </w:r>
    </w:p>
    <w:p w14:paraId="72B2762A" w14:textId="77777777" w:rsidR="00A96313" w:rsidRPr="00314F62" w:rsidRDefault="00A96313" w:rsidP="00A96313">
      <w:pPr>
        <w:pStyle w:val="BodyTextIndentDot"/>
      </w:pPr>
      <w:r w:rsidRPr="00314F62">
        <w:t>The system has a minimum of 3</w:t>
      </w:r>
      <w:r w:rsidR="002969C7" w:rsidRPr="00314F62">
        <w:t> </w:t>
      </w:r>
      <w:r w:rsidRPr="00314F62">
        <w:t>years of documented history of satisfactory performance/trials and or usage locally or interstate.  Brisbane City Council may require further trials before approval.</w:t>
      </w:r>
    </w:p>
    <w:p w14:paraId="436C1860" w14:textId="77777777" w:rsidR="00A96313" w:rsidRPr="00314F62" w:rsidRDefault="00A96313" w:rsidP="00A96313">
      <w:pPr>
        <w:pStyle w:val="BodyTextIndentDot"/>
      </w:pPr>
      <w:r w:rsidRPr="00314F62">
        <w:t>The system is approved by an internationally recognised body such as the HAPAS British Board of Agreement (BBA) for its intended purpose.</w:t>
      </w:r>
    </w:p>
    <w:p w14:paraId="24F0031A" w14:textId="77777777" w:rsidR="00A96313" w:rsidRPr="00314F62" w:rsidRDefault="00A96313" w:rsidP="00A96313">
      <w:pPr>
        <w:pStyle w:val="BodyTextIndentDot"/>
      </w:pPr>
      <w:r w:rsidRPr="00314F62">
        <w:t xml:space="preserve">The system has been subjected to accelerated testings for scuffing, wear and tensile adhesion in accordance with the defined tests in </w:t>
      </w:r>
      <w:r w:rsidRPr="00314F62">
        <w:rPr>
          <w:rStyle w:val="BodyTextIndentItalicChar"/>
        </w:rPr>
        <w:t>TRL Report 176, Appendix G, H and J</w:t>
      </w:r>
      <w:r w:rsidRPr="00314F62">
        <w:t xml:space="preserve"> respectively (or equivalent NATA certified tests) and the results are satisfactory to Brisbane City Council.</w:t>
      </w:r>
    </w:p>
    <w:p w14:paraId="26B3C953" w14:textId="77777777" w:rsidR="00A96313" w:rsidRPr="00314F62" w:rsidRDefault="00A96313" w:rsidP="00A96313">
      <w:pPr>
        <w:pStyle w:val="BodyTextIndent"/>
      </w:pPr>
      <w:r w:rsidRPr="000563B5">
        <w:rPr>
          <w:rStyle w:val="BodyTextIndentBoldUnderlineChar"/>
          <w:b w:val="0"/>
          <w:bCs/>
        </w:rPr>
        <w:t>Surface preparation</w:t>
      </w:r>
      <w:r w:rsidRPr="00314F62">
        <w:t>: Water blast the substrate to be treated to remove all oil, grease, dirt and anything foreign to the surface.  Remove thermoplastic road markings.  Treat joints and cracks in accordance with the manufacturer’s instructions.</w:t>
      </w:r>
    </w:p>
    <w:p w14:paraId="5A3F3690" w14:textId="77777777" w:rsidR="00A96313" w:rsidRPr="00314F62" w:rsidRDefault="009D7751" w:rsidP="00DE4BB4">
      <w:pPr>
        <w:pStyle w:val="Heading4"/>
      </w:pPr>
      <w:bookmarkStart w:id="77" w:name="_Toc75951931"/>
      <w:r w:rsidRPr="00314F62">
        <w:t>Coating</w:t>
      </w:r>
      <w:r w:rsidR="0059411D" w:rsidRPr="00314F62">
        <w:t xml:space="preserve"> system</w:t>
      </w:r>
      <w:bookmarkEnd w:id="77"/>
    </w:p>
    <w:p w14:paraId="461D221B" w14:textId="77777777" w:rsidR="00A96313" w:rsidRPr="00314F62" w:rsidRDefault="00A96313" w:rsidP="00A96313">
      <w:pPr>
        <w:pStyle w:val="BodyTextIndent"/>
      </w:pPr>
      <w:r w:rsidRPr="000563B5">
        <w:rPr>
          <w:rStyle w:val="BodyTextIndentBoldUnderlineChar"/>
          <w:b w:val="0"/>
          <w:bCs/>
        </w:rPr>
        <w:t>Base coat (colour required)</w:t>
      </w:r>
      <w:r w:rsidRPr="00314F62">
        <w:t>: Use base coat that is capable of filling voids in the asphalt and concrete surfaces.</w:t>
      </w:r>
    </w:p>
    <w:p w14:paraId="66B23FF2" w14:textId="77777777" w:rsidR="00A96313" w:rsidRPr="00314F62" w:rsidRDefault="00A96313" w:rsidP="00A96313">
      <w:pPr>
        <w:pStyle w:val="BodyTextIndent"/>
      </w:pPr>
      <w:r w:rsidRPr="000563B5">
        <w:rPr>
          <w:rStyle w:val="BodyTextIndentBoldUnderlineChar"/>
          <w:b w:val="0"/>
          <w:bCs/>
        </w:rPr>
        <w:lastRenderedPageBreak/>
        <w:t>Top coat (colour required)</w:t>
      </w:r>
      <w:r w:rsidRPr="00314F62">
        <w:t>: Incorporate uniformly the UV stable organic and/or metallic oxide pigments, graded aggregates, specialty resins and other additives such as wetting agents and super plasticisers.</w:t>
      </w:r>
    </w:p>
    <w:p w14:paraId="5F4C1475" w14:textId="77777777" w:rsidR="00A96313" w:rsidRPr="00314F62" w:rsidRDefault="00A96313" w:rsidP="00A96313">
      <w:pPr>
        <w:pStyle w:val="BodyTextIndent"/>
      </w:pPr>
      <w:r w:rsidRPr="000563B5">
        <w:rPr>
          <w:rStyle w:val="BodyTextIndentBoldUnderlineChar"/>
          <w:b w:val="0"/>
          <w:bCs/>
        </w:rPr>
        <w:t>Protective sealer</w:t>
      </w:r>
      <w:r w:rsidRPr="00314F62">
        <w:t>: Provide protection against petroleum based fuels and oils as experienced on road surfaces.</w:t>
      </w:r>
    </w:p>
    <w:p w14:paraId="04B9BBC7" w14:textId="77777777" w:rsidR="00A96313" w:rsidRPr="00314F62" w:rsidRDefault="0059411D" w:rsidP="00DE4BB4">
      <w:pPr>
        <w:pStyle w:val="Heading4"/>
      </w:pPr>
      <w:bookmarkStart w:id="78" w:name="_Toc75951932"/>
      <w:r w:rsidRPr="00314F62">
        <w:t>Resin bonded aggregate system</w:t>
      </w:r>
      <w:bookmarkEnd w:id="78"/>
    </w:p>
    <w:p w14:paraId="64656AA7" w14:textId="77777777" w:rsidR="00A96313" w:rsidRPr="00314F62" w:rsidRDefault="00A96313" w:rsidP="00A96313">
      <w:pPr>
        <w:pStyle w:val="BodyTextIndent"/>
      </w:pPr>
      <w:r w:rsidRPr="00314F62">
        <w:t xml:space="preserve">Where a resin bonded aggregate system is used as a Type 1 Treatment; </w:t>
      </w:r>
      <w:r w:rsidRPr="00314F62">
        <w:rPr>
          <w:rStyle w:val="BodyTextIndentItalicChar"/>
        </w:rPr>
        <w:t xml:space="preserve">Clause </w:t>
      </w:r>
      <w:r w:rsidR="00015B2B" w:rsidRPr="00314F62">
        <w:rPr>
          <w:rStyle w:val="BodyTextIndentItalicChar"/>
        </w:rPr>
        <w:t>4</w:t>
      </w:r>
      <w:r w:rsidRPr="00314F62">
        <w:rPr>
          <w:rStyle w:val="BodyTextIndentItalicChar"/>
        </w:rPr>
        <w:t>.</w:t>
      </w:r>
      <w:r w:rsidR="00015B2B" w:rsidRPr="00314F62">
        <w:rPr>
          <w:rStyle w:val="BodyTextIndentItalicChar"/>
        </w:rPr>
        <w:t>5</w:t>
      </w:r>
      <w:r w:rsidRPr="00314F62">
        <w:rPr>
          <w:rStyle w:val="BodyTextIndentItalicChar"/>
        </w:rPr>
        <w:t xml:space="preserve"> </w:t>
      </w:r>
      <w:r w:rsidR="00015B2B" w:rsidRPr="00314F62">
        <w:rPr>
          <w:rStyle w:val="BodyTextIndentItalicChar"/>
        </w:rPr>
        <w:t>of this Reference Specification</w:t>
      </w:r>
      <w:r w:rsidR="00015B2B" w:rsidRPr="00314F62">
        <w:t xml:space="preserve"> </w:t>
      </w:r>
      <w:r w:rsidRPr="00314F62">
        <w:t>applies except that the aggregate requirements are as follows:</w:t>
      </w:r>
    </w:p>
    <w:p w14:paraId="21B96CB3" w14:textId="77777777" w:rsidR="00A96313" w:rsidRPr="00314F62" w:rsidRDefault="00A96313" w:rsidP="00A96313">
      <w:pPr>
        <w:pStyle w:val="BodyTextIndent"/>
      </w:pPr>
      <w:r w:rsidRPr="000563B5">
        <w:rPr>
          <w:rStyle w:val="BodyTextIndentBoldUnderlineChar"/>
          <w:b w:val="0"/>
          <w:bCs/>
        </w:rPr>
        <w:t>Aggregates requirement</w:t>
      </w:r>
      <w:r w:rsidRPr="00314F62">
        <w:t>: Provide aggregates that are clean, dry, hard, tough, durable, moderately sharp grains of pre-coated coloured natural stone, of uniform quality, free of dust, dirt and other deleterious matter.</w:t>
      </w:r>
    </w:p>
    <w:p w14:paraId="618BD54F" w14:textId="77777777" w:rsidR="00A96313" w:rsidRPr="00314F62" w:rsidRDefault="00A96313" w:rsidP="00A96313">
      <w:pPr>
        <w:pStyle w:val="BodyTextIndent"/>
      </w:pPr>
      <w:r w:rsidRPr="000563B5">
        <w:rPr>
          <w:rStyle w:val="BodyTextIndentBoldUnderlineChar"/>
          <w:b w:val="0"/>
          <w:bCs/>
        </w:rPr>
        <w:t>Grading</w:t>
      </w:r>
      <w:r w:rsidRPr="00314F62">
        <w:t>: Not more than 5% (by weight) is retained on a 2.36 mm A.S. sieve and not more than 5% (by weight) passes a 0.6 mm A.S. sieve.</w:t>
      </w:r>
    </w:p>
    <w:p w14:paraId="4C832013" w14:textId="77777777" w:rsidR="00A96313" w:rsidRPr="00314F62" w:rsidRDefault="00A96313" w:rsidP="00A96313">
      <w:pPr>
        <w:pStyle w:val="BodyTextIndent"/>
      </w:pPr>
      <w:r w:rsidRPr="000563B5">
        <w:rPr>
          <w:rStyle w:val="BodyTextIndentBoldUnderlineChar"/>
          <w:b w:val="0"/>
          <w:bCs/>
        </w:rPr>
        <w:t>Frictional characteristic</w:t>
      </w:r>
      <w:r w:rsidRPr="00314F62">
        <w:t xml:space="preserve">: Achieve a Polished Aggregate Friction Value (PAFV) of not less than 60 as determined by test method </w:t>
      </w:r>
      <w:r w:rsidRPr="00314F62">
        <w:rPr>
          <w:rStyle w:val="BodyTextIndentItalicChar"/>
        </w:rPr>
        <w:t>AS 1141.41</w:t>
      </w:r>
      <w:r w:rsidRPr="00314F62">
        <w:t>.</w:t>
      </w:r>
    </w:p>
    <w:p w14:paraId="5D7253B7" w14:textId="77777777" w:rsidR="00A96313" w:rsidRPr="00314F62" w:rsidRDefault="0059411D" w:rsidP="00DE4BB4">
      <w:pPr>
        <w:pStyle w:val="Heading3"/>
      </w:pPr>
      <w:bookmarkStart w:id="79" w:name="_Toc185318055"/>
      <w:bookmarkStart w:id="80" w:name="_Toc75951933"/>
      <w:r w:rsidRPr="00314F62">
        <w:t>Type 2 Treatment (High Friction Surfacing System)</w:t>
      </w:r>
      <w:bookmarkEnd w:id="79"/>
      <w:bookmarkEnd w:id="80"/>
    </w:p>
    <w:p w14:paraId="06027305" w14:textId="77777777" w:rsidR="00A96313" w:rsidRPr="00314F62" w:rsidRDefault="009D7751" w:rsidP="00DE4BB4">
      <w:pPr>
        <w:pStyle w:val="Heading4"/>
      </w:pPr>
      <w:bookmarkStart w:id="81" w:name="_Toc75951934"/>
      <w:r w:rsidRPr="00314F62">
        <w:t>General</w:t>
      </w:r>
      <w:bookmarkEnd w:id="81"/>
    </w:p>
    <w:p w14:paraId="27032AA2" w14:textId="77777777" w:rsidR="00A96313" w:rsidRPr="00314F62" w:rsidRDefault="00A96313" w:rsidP="00A96313">
      <w:pPr>
        <w:pStyle w:val="BodyTextIndent"/>
      </w:pPr>
      <w:r w:rsidRPr="000563B5">
        <w:rPr>
          <w:rStyle w:val="BodyTextIndentBoldUnderlineChar"/>
          <w:b w:val="0"/>
          <w:bCs/>
        </w:rPr>
        <w:t>High Friction Surfacing system</w:t>
      </w:r>
      <w:r w:rsidRPr="00314F62">
        <w:t>: Generally a proprietary anti skid and resin bonded aggregate system approved by Brisbane City Council (Approving Authority: Manager Asset</w:t>
      </w:r>
      <w:r w:rsidR="00030332" w:rsidRPr="00314F62">
        <w:t xml:space="preserve"> Management</w:t>
      </w:r>
      <w:r w:rsidRPr="00314F62">
        <w:t xml:space="preserve">) and that has been specifically developed for installation by trained personnel to produce a textured, durable surfacing of high skid resistance.  </w:t>
      </w:r>
      <w:r w:rsidRPr="00314F62">
        <w:rPr>
          <w:i/>
        </w:rPr>
        <w:t>Refer annexure</w:t>
      </w:r>
      <w:r w:rsidRPr="00314F62">
        <w:t>.</w:t>
      </w:r>
    </w:p>
    <w:p w14:paraId="3F875BF3" w14:textId="77777777" w:rsidR="00A96313" w:rsidRPr="00314F62" w:rsidRDefault="00A96313" w:rsidP="00A96313">
      <w:pPr>
        <w:pStyle w:val="BodyTextIndent"/>
      </w:pPr>
      <w:r w:rsidRPr="000563B5">
        <w:rPr>
          <w:rStyle w:val="BodyTextIndentBoldUnderlineChar"/>
          <w:b w:val="0"/>
          <w:bCs/>
        </w:rPr>
        <w:t>Approval of treatment system</w:t>
      </w:r>
      <w:r w:rsidRPr="00314F62">
        <w:t>: Comply with one or more of the following criteria.</w:t>
      </w:r>
    </w:p>
    <w:p w14:paraId="46DF3D9D" w14:textId="77777777" w:rsidR="00EA1F42" w:rsidRPr="00314F62" w:rsidRDefault="00A96313">
      <w:pPr>
        <w:pStyle w:val="BodyTextIndentDot"/>
      </w:pPr>
      <w:r w:rsidRPr="00314F62">
        <w:t>The system is an approved high friction surface product/method for this application under the HAPAS British Board of Agreement (BBA) or an equivalent internationally recognised body.</w:t>
      </w:r>
    </w:p>
    <w:p w14:paraId="7D4B7CAF" w14:textId="77777777" w:rsidR="00A96313" w:rsidRPr="00314F62" w:rsidRDefault="00A96313" w:rsidP="00030332">
      <w:pPr>
        <w:pStyle w:val="BodyTextIndentDot"/>
      </w:pPr>
      <w:r w:rsidRPr="00314F62">
        <w:t xml:space="preserve">The system has been subjected to accelerated testing for scuffing, wear and tensile adhesion in accordance with the defined tests in </w:t>
      </w:r>
      <w:r w:rsidRPr="00314F62">
        <w:rPr>
          <w:rStyle w:val="BodyTextIndentItalicChar"/>
        </w:rPr>
        <w:t>TRL Report 176, Appendix G, H and J</w:t>
      </w:r>
      <w:r w:rsidRPr="00314F62">
        <w:t xml:space="preserve"> respectively (or equivalent NATA certified tests) in accordance with the requirements detailed in Table </w:t>
      </w:r>
      <w:r w:rsidR="00793EBB" w:rsidRPr="00314F62">
        <w:t>4</w:t>
      </w:r>
      <w:r w:rsidR="00C56468" w:rsidRPr="00314F62">
        <w:t>.3</w:t>
      </w:r>
      <w:r w:rsidRPr="00314F62">
        <w:t>.</w:t>
      </w:r>
    </w:p>
    <w:p w14:paraId="53FB3ECF" w14:textId="3FFF9014" w:rsidR="0052773A" w:rsidRPr="00314F62" w:rsidRDefault="0052773A" w:rsidP="0052773A">
      <w:pPr>
        <w:pStyle w:val="TableLegend"/>
      </w:pPr>
      <w:r w:rsidRPr="00314F62">
        <w:t>Table</w:t>
      </w:r>
      <w:r w:rsidR="00DA3B03" w:rsidRPr="00314F62">
        <w:t> </w:t>
      </w:r>
      <w:r w:rsidRPr="00314F62">
        <w:t>4.3 – Accelerated testings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3"/>
      </w:tblGrid>
      <w:tr w:rsidR="0042703A" w:rsidRPr="00314F62" w14:paraId="4971C169" w14:textId="77777777" w:rsidTr="008521D7">
        <w:trPr>
          <w:cantSplit/>
          <w:trHeight w:val="397"/>
          <w:tblHeader/>
        </w:trPr>
        <w:tc>
          <w:tcPr>
            <w:tcW w:w="5244" w:type="dxa"/>
            <w:gridSpan w:val="2"/>
            <w:tcBorders>
              <w:top w:val="single" w:sz="12" w:space="0" w:color="auto"/>
              <w:left w:val="nil"/>
              <w:bottom w:val="single" w:sz="12" w:space="0" w:color="auto"/>
              <w:right w:val="nil"/>
            </w:tcBorders>
            <w:shd w:val="pct10" w:color="auto" w:fill="auto"/>
            <w:vAlign w:val="center"/>
          </w:tcPr>
          <w:p w14:paraId="68A56124" w14:textId="77777777" w:rsidR="0042703A" w:rsidRPr="00314F62" w:rsidRDefault="0042703A" w:rsidP="00A96313">
            <w:pPr>
              <w:pStyle w:val="TableHead"/>
            </w:pPr>
            <w:r w:rsidRPr="00314F62">
              <w:t>Test parameter</w:t>
            </w:r>
          </w:p>
        </w:tc>
        <w:tc>
          <w:tcPr>
            <w:tcW w:w="3403" w:type="dxa"/>
            <w:tcBorders>
              <w:top w:val="single" w:sz="12" w:space="0" w:color="auto"/>
              <w:left w:val="nil"/>
              <w:bottom w:val="single" w:sz="12" w:space="0" w:color="auto"/>
              <w:right w:val="nil"/>
            </w:tcBorders>
            <w:shd w:val="pct10" w:color="auto" w:fill="auto"/>
            <w:vAlign w:val="center"/>
          </w:tcPr>
          <w:p w14:paraId="2B8C8908" w14:textId="77777777" w:rsidR="0042703A" w:rsidRPr="00314F62" w:rsidRDefault="0042703A" w:rsidP="008607D0">
            <w:pPr>
              <w:pStyle w:val="TableHeadCen"/>
            </w:pPr>
            <w:r w:rsidRPr="00314F62">
              <w:t>Requirement</w:t>
            </w:r>
          </w:p>
        </w:tc>
      </w:tr>
      <w:tr w:rsidR="00A96313" w:rsidRPr="00314F62" w14:paraId="59806D39" w14:textId="77777777" w:rsidTr="008521D7">
        <w:trPr>
          <w:cantSplit/>
          <w:trHeight w:val="340"/>
        </w:trPr>
        <w:tc>
          <w:tcPr>
            <w:tcW w:w="2126" w:type="dxa"/>
            <w:vMerge w:val="restart"/>
            <w:tcBorders>
              <w:top w:val="single" w:sz="12" w:space="0" w:color="auto"/>
              <w:left w:val="nil"/>
              <w:bottom w:val="nil"/>
              <w:right w:val="nil"/>
            </w:tcBorders>
            <w:vAlign w:val="center"/>
          </w:tcPr>
          <w:p w14:paraId="2C15BA41" w14:textId="77777777" w:rsidR="00E84DF5" w:rsidRPr="00314F62" w:rsidRDefault="00A96313" w:rsidP="00E84DF5">
            <w:pPr>
              <w:pStyle w:val="TableCen"/>
            </w:pPr>
            <w:r w:rsidRPr="00314F62">
              <w:t>Scuffing</w:t>
            </w:r>
          </w:p>
          <w:p w14:paraId="589712AC" w14:textId="77777777" w:rsidR="00A96313" w:rsidRPr="00314F62" w:rsidRDefault="00A96313" w:rsidP="00E84DF5">
            <w:pPr>
              <w:pStyle w:val="TableCen"/>
            </w:pPr>
            <w:r w:rsidRPr="00314F62">
              <w:t>(</w:t>
            </w:r>
            <w:r w:rsidRPr="00314F62">
              <w:rPr>
                <w:i/>
              </w:rPr>
              <w:t>TRL</w:t>
            </w:r>
            <w:r w:rsidR="00E84DF5" w:rsidRPr="00314F62">
              <w:rPr>
                <w:i/>
              </w:rPr>
              <w:t> </w:t>
            </w:r>
            <w:r w:rsidRPr="00314F62">
              <w:rPr>
                <w:i/>
              </w:rPr>
              <w:t>176 Appendix G</w:t>
            </w:r>
            <w:r w:rsidRPr="00314F62">
              <w:t>, conducted at 45 C)</w:t>
            </w:r>
          </w:p>
        </w:tc>
        <w:tc>
          <w:tcPr>
            <w:tcW w:w="3118" w:type="dxa"/>
            <w:tcBorders>
              <w:top w:val="single" w:sz="12" w:space="0" w:color="auto"/>
              <w:left w:val="nil"/>
              <w:bottom w:val="single" w:sz="4" w:space="0" w:color="C0C0C0"/>
              <w:right w:val="nil"/>
            </w:tcBorders>
            <w:vAlign w:val="center"/>
          </w:tcPr>
          <w:p w14:paraId="36B44021" w14:textId="77777777" w:rsidR="00A96313" w:rsidRPr="00314F62" w:rsidRDefault="00A96313" w:rsidP="00A96313">
            <w:pPr>
              <w:pStyle w:val="Table"/>
            </w:pPr>
            <w:r w:rsidRPr="00314F62">
              <w:t>Initially</w:t>
            </w:r>
          </w:p>
        </w:tc>
        <w:tc>
          <w:tcPr>
            <w:tcW w:w="3403" w:type="dxa"/>
            <w:tcBorders>
              <w:top w:val="single" w:sz="12" w:space="0" w:color="auto"/>
              <w:left w:val="nil"/>
              <w:bottom w:val="single" w:sz="4" w:space="0" w:color="C0C0C0"/>
              <w:right w:val="nil"/>
            </w:tcBorders>
            <w:vAlign w:val="center"/>
          </w:tcPr>
          <w:p w14:paraId="3C0CFE31" w14:textId="4A472C07" w:rsidR="00A96313" w:rsidRPr="00314F62" w:rsidRDefault="00A96313" w:rsidP="00A96313">
            <w:pPr>
              <w:pStyle w:val="TableCen"/>
            </w:pPr>
            <w:r w:rsidRPr="00314F62">
              <w:t xml:space="preserve">Texture depth </w:t>
            </w:r>
            <w:r w:rsidRPr="00314F62">
              <w:rPr>
                <w:rFonts w:ascii="Symbol" w:eastAsia="Symbol" w:hAnsi="Symbol" w:cs="Symbol"/>
              </w:rPr>
              <w:t>³</w:t>
            </w:r>
            <w:r w:rsidRPr="00314F62">
              <w:t>1.4 mm</w:t>
            </w:r>
          </w:p>
        </w:tc>
      </w:tr>
      <w:tr w:rsidR="00A96313" w:rsidRPr="00314F62" w14:paraId="3718D3D7" w14:textId="77777777" w:rsidTr="008521D7">
        <w:trPr>
          <w:cantSplit/>
          <w:trHeight w:val="340"/>
        </w:trPr>
        <w:tc>
          <w:tcPr>
            <w:tcW w:w="2126" w:type="dxa"/>
            <w:vMerge/>
            <w:tcBorders>
              <w:top w:val="nil"/>
              <w:left w:val="nil"/>
              <w:bottom w:val="nil"/>
              <w:right w:val="nil"/>
            </w:tcBorders>
            <w:vAlign w:val="center"/>
          </w:tcPr>
          <w:p w14:paraId="2EEB123A" w14:textId="77777777" w:rsidR="00A96313" w:rsidRPr="00314F62" w:rsidRDefault="00A96313" w:rsidP="00314F62">
            <w:pPr>
              <w:pStyle w:val="TableCen"/>
            </w:pPr>
          </w:p>
        </w:tc>
        <w:tc>
          <w:tcPr>
            <w:tcW w:w="3118" w:type="dxa"/>
            <w:tcBorders>
              <w:top w:val="single" w:sz="4" w:space="0" w:color="C0C0C0"/>
              <w:left w:val="nil"/>
              <w:bottom w:val="single" w:sz="4" w:space="0" w:color="C0C0C0"/>
              <w:right w:val="nil"/>
            </w:tcBorders>
            <w:vAlign w:val="center"/>
          </w:tcPr>
          <w:p w14:paraId="0B2711D7" w14:textId="2770DD70" w:rsidR="00A96313" w:rsidRPr="00314F62" w:rsidRDefault="00A96313" w:rsidP="00A96313">
            <w:pPr>
              <w:pStyle w:val="Table"/>
            </w:pPr>
            <w:r w:rsidRPr="00314F62">
              <w:t>After 500</w:t>
            </w:r>
            <w:r w:rsidR="00DA3B03" w:rsidRPr="00314F62">
              <w:t> </w:t>
            </w:r>
            <w:r w:rsidRPr="00314F62">
              <w:t>wheel passes</w:t>
            </w:r>
          </w:p>
        </w:tc>
        <w:tc>
          <w:tcPr>
            <w:tcW w:w="3403" w:type="dxa"/>
            <w:tcBorders>
              <w:top w:val="single" w:sz="4" w:space="0" w:color="C0C0C0"/>
              <w:left w:val="nil"/>
              <w:bottom w:val="single" w:sz="4" w:space="0" w:color="C0C0C0"/>
              <w:right w:val="nil"/>
            </w:tcBorders>
            <w:vAlign w:val="center"/>
          </w:tcPr>
          <w:p w14:paraId="74E4259E" w14:textId="2FEBE3CF" w:rsidR="00A96313" w:rsidRPr="00314F62" w:rsidRDefault="00A96313" w:rsidP="00A96313">
            <w:pPr>
              <w:pStyle w:val="TableCen"/>
            </w:pPr>
            <w:r w:rsidRPr="00314F62">
              <w:t xml:space="preserve">Texture depth (mm) </w:t>
            </w:r>
            <w:r w:rsidRPr="00314F62">
              <w:rPr>
                <w:rFonts w:ascii="Symbol" w:eastAsia="Symbol" w:hAnsi="Symbol" w:cs="Symbol"/>
              </w:rPr>
              <w:t>³</w:t>
            </w:r>
            <w:r w:rsidRPr="00314F62">
              <w:t>1.2 mm</w:t>
            </w:r>
          </w:p>
          <w:p w14:paraId="6F84074C" w14:textId="486850C2" w:rsidR="00A96313" w:rsidRPr="00314F62" w:rsidRDefault="00A96313" w:rsidP="00A96313">
            <w:pPr>
              <w:pStyle w:val="TableCen"/>
            </w:pPr>
            <w:r w:rsidRPr="00314F62">
              <w:t xml:space="preserve">Erosion index </w:t>
            </w:r>
            <w:r w:rsidRPr="00314F62">
              <w:rPr>
                <w:rFonts w:ascii="Symbol" w:eastAsia="Symbol" w:hAnsi="Symbol" w:cs="Symbol"/>
              </w:rPr>
              <w:t>£</w:t>
            </w:r>
            <w:r w:rsidRPr="00314F62">
              <w:t>3</w:t>
            </w:r>
          </w:p>
        </w:tc>
      </w:tr>
      <w:tr w:rsidR="00A96313" w:rsidRPr="00314F62" w14:paraId="07048C9F" w14:textId="77777777" w:rsidTr="008521D7">
        <w:trPr>
          <w:cantSplit/>
          <w:trHeight w:val="340"/>
        </w:trPr>
        <w:tc>
          <w:tcPr>
            <w:tcW w:w="2126" w:type="dxa"/>
            <w:vMerge/>
            <w:tcBorders>
              <w:top w:val="nil"/>
              <w:left w:val="nil"/>
              <w:bottom w:val="nil"/>
              <w:right w:val="nil"/>
            </w:tcBorders>
            <w:vAlign w:val="center"/>
          </w:tcPr>
          <w:p w14:paraId="4E83A1DE" w14:textId="77777777" w:rsidR="00A96313" w:rsidRPr="00314F62" w:rsidRDefault="00A96313" w:rsidP="00314F62">
            <w:pPr>
              <w:pStyle w:val="TableCen"/>
            </w:pPr>
          </w:p>
        </w:tc>
        <w:tc>
          <w:tcPr>
            <w:tcW w:w="3118" w:type="dxa"/>
            <w:tcBorders>
              <w:top w:val="single" w:sz="4" w:space="0" w:color="C0C0C0"/>
              <w:left w:val="nil"/>
              <w:bottom w:val="single" w:sz="8" w:space="0" w:color="auto"/>
              <w:right w:val="nil"/>
            </w:tcBorders>
            <w:vAlign w:val="center"/>
          </w:tcPr>
          <w:p w14:paraId="2AE5956B" w14:textId="70211C95" w:rsidR="00A96313" w:rsidRPr="00314F62" w:rsidRDefault="00A96313" w:rsidP="00A96313">
            <w:pPr>
              <w:pStyle w:val="Table"/>
            </w:pPr>
            <w:r w:rsidRPr="00314F62">
              <w:t>After heat ageing for 112</w:t>
            </w:r>
            <w:r w:rsidR="00DA3B03" w:rsidRPr="00314F62">
              <w:t> </w:t>
            </w:r>
            <w:r w:rsidRPr="00314F62">
              <w:t>days at (70 </w:t>
            </w:r>
            <w:r w:rsidRPr="00314F62">
              <w:rPr>
                <w:rFonts w:ascii="Symbol" w:eastAsia="Symbol" w:hAnsi="Symbol" w:cs="Symbol"/>
              </w:rPr>
              <w:t>±</w:t>
            </w:r>
            <w:r w:rsidRPr="00314F62">
              <w:t> 3)</w:t>
            </w:r>
            <w:r w:rsidR="00DA3B03">
              <w:rPr>
                <w:rFonts w:cs="Arial"/>
              </w:rPr>
              <w:t>°</w:t>
            </w:r>
            <w:r w:rsidRPr="00314F62">
              <w:t>C and 500 wheel passes</w:t>
            </w:r>
          </w:p>
        </w:tc>
        <w:tc>
          <w:tcPr>
            <w:tcW w:w="3403" w:type="dxa"/>
            <w:tcBorders>
              <w:top w:val="single" w:sz="4" w:space="0" w:color="C0C0C0"/>
              <w:left w:val="nil"/>
              <w:bottom w:val="single" w:sz="8" w:space="0" w:color="auto"/>
              <w:right w:val="nil"/>
            </w:tcBorders>
            <w:vAlign w:val="center"/>
          </w:tcPr>
          <w:p w14:paraId="44A2068F" w14:textId="41526715" w:rsidR="00A96313" w:rsidRPr="00314F62" w:rsidRDefault="00A96313" w:rsidP="00A96313">
            <w:pPr>
              <w:pStyle w:val="TableCen"/>
            </w:pPr>
            <w:r w:rsidRPr="00314F62">
              <w:t xml:space="preserve">Texture depth (mm) </w:t>
            </w:r>
            <w:r w:rsidRPr="00314F62">
              <w:rPr>
                <w:rFonts w:ascii="Symbol" w:eastAsia="Symbol" w:hAnsi="Symbol" w:cs="Symbol"/>
              </w:rPr>
              <w:t>³</w:t>
            </w:r>
            <w:r w:rsidRPr="00314F62">
              <w:t>1.2 mm</w:t>
            </w:r>
          </w:p>
          <w:p w14:paraId="16E269E1" w14:textId="11495A49" w:rsidR="00A96313" w:rsidRPr="00314F62" w:rsidRDefault="00A96313" w:rsidP="00A96313">
            <w:pPr>
              <w:pStyle w:val="TableCen"/>
            </w:pPr>
            <w:r w:rsidRPr="00314F62">
              <w:t xml:space="preserve">Erosion index </w:t>
            </w:r>
            <w:r w:rsidRPr="00314F62">
              <w:rPr>
                <w:rFonts w:ascii="Symbol" w:eastAsia="Symbol" w:hAnsi="Symbol" w:cs="Symbol"/>
              </w:rPr>
              <w:t>£</w:t>
            </w:r>
            <w:r w:rsidRPr="00314F62">
              <w:t>5</w:t>
            </w:r>
          </w:p>
        </w:tc>
      </w:tr>
      <w:tr w:rsidR="00A96313" w:rsidRPr="00314F62" w14:paraId="3D20C634" w14:textId="77777777" w:rsidTr="008521D7">
        <w:trPr>
          <w:cantSplit/>
          <w:trHeight w:val="340"/>
        </w:trPr>
        <w:tc>
          <w:tcPr>
            <w:tcW w:w="2126" w:type="dxa"/>
            <w:vMerge w:val="restart"/>
            <w:tcBorders>
              <w:top w:val="single" w:sz="8" w:space="0" w:color="auto"/>
              <w:left w:val="nil"/>
              <w:bottom w:val="nil"/>
              <w:right w:val="nil"/>
            </w:tcBorders>
            <w:vAlign w:val="center"/>
          </w:tcPr>
          <w:p w14:paraId="549365DC" w14:textId="77777777" w:rsidR="00E84DF5" w:rsidRPr="00314F62" w:rsidRDefault="00A96313" w:rsidP="00E84DF5">
            <w:pPr>
              <w:pStyle w:val="TableCen"/>
            </w:pPr>
            <w:r w:rsidRPr="00314F62">
              <w:t>Wea</w:t>
            </w:r>
            <w:r w:rsidR="00E84DF5" w:rsidRPr="00314F62">
              <w:t>r</w:t>
            </w:r>
          </w:p>
          <w:p w14:paraId="35B7884E" w14:textId="77777777" w:rsidR="00A96313" w:rsidRPr="00314F62" w:rsidRDefault="00A96313" w:rsidP="00E84DF5">
            <w:pPr>
              <w:pStyle w:val="TableCen"/>
            </w:pPr>
            <w:r w:rsidRPr="00314F62">
              <w:t>(</w:t>
            </w:r>
            <w:r w:rsidRPr="00314F62">
              <w:rPr>
                <w:i/>
              </w:rPr>
              <w:t>TRL</w:t>
            </w:r>
            <w:r w:rsidR="00E84DF5" w:rsidRPr="00314F62">
              <w:rPr>
                <w:i/>
              </w:rPr>
              <w:t> </w:t>
            </w:r>
            <w:r w:rsidRPr="00314F62">
              <w:rPr>
                <w:i/>
              </w:rPr>
              <w:t>176 Appendix H</w:t>
            </w:r>
            <w:r w:rsidRPr="00314F62">
              <w:t>)</w:t>
            </w:r>
          </w:p>
        </w:tc>
        <w:tc>
          <w:tcPr>
            <w:tcW w:w="3118" w:type="dxa"/>
            <w:tcBorders>
              <w:top w:val="single" w:sz="8" w:space="0" w:color="auto"/>
              <w:left w:val="nil"/>
              <w:bottom w:val="dotted" w:sz="4" w:space="0" w:color="auto"/>
              <w:right w:val="nil"/>
            </w:tcBorders>
            <w:vAlign w:val="center"/>
          </w:tcPr>
          <w:p w14:paraId="5CF4FAF1" w14:textId="77777777" w:rsidR="00A96313" w:rsidRPr="00314F62" w:rsidRDefault="00A96313" w:rsidP="00A96313">
            <w:pPr>
              <w:pStyle w:val="Table"/>
            </w:pPr>
            <w:r w:rsidRPr="00314F62">
              <w:t>Initially</w:t>
            </w:r>
          </w:p>
        </w:tc>
        <w:tc>
          <w:tcPr>
            <w:tcW w:w="3403" w:type="dxa"/>
            <w:tcBorders>
              <w:top w:val="single" w:sz="8" w:space="0" w:color="auto"/>
              <w:left w:val="nil"/>
              <w:bottom w:val="dotted" w:sz="4" w:space="0" w:color="auto"/>
              <w:right w:val="nil"/>
            </w:tcBorders>
            <w:vAlign w:val="center"/>
          </w:tcPr>
          <w:p w14:paraId="3D4BCAE4" w14:textId="46196B33" w:rsidR="00A96313" w:rsidRPr="00314F62" w:rsidRDefault="00A96313" w:rsidP="00A96313">
            <w:pPr>
              <w:pStyle w:val="TableCen"/>
            </w:pPr>
            <w:r w:rsidRPr="00314F62">
              <w:t xml:space="preserve">Texture depth </w:t>
            </w:r>
            <w:r w:rsidRPr="00314F62">
              <w:rPr>
                <w:rFonts w:ascii="Symbol" w:eastAsia="Symbol" w:hAnsi="Symbol" w:cs="Symbol"/>
              </w:rPr>
              <w:t>³</w:t>
            </w:r>
            <w:r w:rsidRPr="00314F62">
              <w:t>1.4 mm</w:t>
            </w:r>
          </w:p>
          <w:p w14:paraId="1FB3506A" w14:textId="583264B5" w:rsidR="00A96313" w:rsidRPr="00314F62" w:rsidRDefault="00A96313" w:rsidP="00A96313">
            <w:pPr>
              <w:pStyle w:val="TableCen"/>
            </w:pPr>
            <w:r w:rsidRPr="00314F62">
              <w:t xml:space="preserve">BPN </w:t>
            </w:r>
            <w:r w:rsidRPr="00314F62">
              <w:rPr>
                <w:rFonts w:ascii="Symbol" w:eastAsia="Symbol" w:hAnsi="Symbol" w:cs="Symbol"/>
              </w:rPr>
              <w:t>³</w:t>
            </w:r>
            <w:r w:rsidRPr="00314F62">
              <w:t>65</w:t>
            </w:r>
          </w:p>
        </w:tc>
      </w:tr>
      <w:tr w:rsidR="00A96313" w:rsidRPr="00314F62" w14:paraId="5033940D" w14:textId="77777777" w:rsidTr="008521D7">
        <w:trPr>
          <w:cantSplit/>
          <w:trHeight w:val="340"/>
        </w:trPr>
        <w:tc>
          <w:tcPr>
            <w:tcW w:w="2126" w:type="dxa"/>
            <w:vMerge/>
            <w:tcBorders>
              <w:top w:val="nil"/>
              <w:left w:val="nil"/>
              <w:bottom w:val="single" w:sz="8" w:space="0" w:color="auto"/>
              <w:right w:val="nil"/>
            </w:tcBorders>
            <w:vAlign w:val="center"/>
          </w:tcPr>
          <w:p w14:paraId="2D608E9C" w14:textId="77777777" w:rsidR="00A96313" w:rsidRPr="00314F62" w:rsidRDefault="00A96313" w:rsidP="00314F62">
            <w:pPr>
              <w:pStyle w:val="TableCen"/>
            </w:pPr>
          </w:p>
        </w:tc>
        <w:tc>
          <w:tcPr>
            <w:tcW w:w="3118" w:type="dxa"/>
            <w:tcBorders>
              <w:top w:val="nil"/>
              <w:left w:val="nil"/>
              <w:bottom w:val="nil"/>
              <w:right w:val="nil"/>
            </w:tcBorders>
            <w:vAlign w:val="center"/>
          </w:tcPr>
          <w:p w14:paraId="6C4BC8B7" w14:textId="204E6426" w:rsidR="00A96313" w:rsidRPr="00314F62" w:rsidRDefault="00A96313" w:rsidP="00A96313">
            <w:pPr>
              <w:pStyle w:val="Table"/>
            </w:pPr>
            <w:r w:rsidRPr="00314F62">
              <w:t>After 100</w:t>
            </w:r>
            <w:r w:rsidR="00DA3B03">
              <w:t>,</w:t>
            </w:r>
            <w:r w:rsidRPr="00314F62">
              <w:t>000 wheel passes</w:t>
            </w:r>
          </w:p>
        </w:tc>
        <w:tc>
          <w:tcPr>
            <w:tcW w:w="3403" w:type="dxa"/>
            <w:tcBorders>
              <w:top w:val="nil"/>
              <w:left w:val="nil"/>
              <w:bottom w:val="nil"/>
              <w:right w:val="nil"/>
            </w:tcBorders>
            <w:vAlign w:val="center"/>
          </w:tcPr>
          <w:p w14:paraId="326010B6" w14:textId="7A64CAF6" w:rsidR="00A96313" w:rsidRPr="00314F62" w:rsidRDefault="00A96313" w:rsidP="00A96313">
            <w:pPr>
              <w:pStyle w:val="TableCen"/>
            </w:pPr>
            <w:r w:rsidRPr="00314F62">
              <w:t xml:space="preserve">Texture depth </w:t>
            </w:r>
            <w:r w:rsidRPr="00314F62">
              <w:rPr>
                <w:rFonts w:ascii="Symbol" w:eastAsia="Symbol" w:hAnsi="Symbol" w:cs="Symbol"/>
              </w:rPr>
              <w:t>³</w:t>
            </w:r>
            <w:r w:rsidRPr="00314F62">
              <w:t>1.1 mm</w:t>
            </w:r>
          </w:p>
          <w:p w14:paraId="2A6DF640" w14:textId="77777777" w:rsidR="00A96313" w:rsidRPr="00314F62" w:rsidRDefault="00A96313" w:rsidP="00A96313">
            <w:pPr>
              <w:pStyle w:val="TableCen"/>
            </w:pPr>
            <w:r w:rsidRPr="00314F62">
              <w:t xml:space="preserve">Erosion index </w:t>
            </w:r>
            <w:r w:rsidRPr="00314F62">
              <w:rPr>
                <w:rFonts w:ascii="Symbol" w:eastAsia="Symbol" w:hAnsi="Symbol" w:cs="Symbol"/>
              </w:rPr>
              <w:t>£</w:t>
            </w:r>
            <w:r w:rsidRPr="00314F62">
              <w:t> 3</w:t>
            </w:r>
          </w:p>
          <w:p w14:paraId="578CD0D0" w14:textId="07CB3250" w:rsidR="00A96313" w:rsidRPr="00314F62" w:rsidRDefault="00A96313" w:rsidP="00A96313">
            <w:pPr>
              <w:pStyle w:val="TableCen"/>
            </w:pPr>
            <w:r w:rsidRPr="00314F62">
              <w:t xml:space="preserve">BPN </w:t>
            </w:r>
            <w:r w:rsidRPr="00314F62">
              <w:rPr>
                <w:rFonts w:ascii="Symbol" w:eastAsia="Symbol" w:hAnsi="Symbol" w:cs="Symbol"/>
              </w:rPr>
              <w:t>³</w:t>
            </w:r>
            <w:r w:rsidRPr="00314F62">
              <w:t>65</w:t>
            </w:r>
          </w:p>
        </w:tc>
      </w:tr>
      <w:tr w:rsidR="00A96313" w:rsidRPr="00314F62" w14:paraId="1AA6351F" w14:textId="77777777" w:rsidTr="008521D7">
        <w:trPr>
          <w:cantSplit/>
          <w:trHeight w:val="340"/>
        </w:trPr>
        <w:tc>
          <w:tcPr>
            <w:tcW w:w="2126" w:type="dxa"/>
            <w:vMerge w:val="restart"/>
            <w:tcBorders>
              <w:top w:val="nil"/>
              <w:left w:val="nil"/>
              <w:bottom w:val="nil"/>
              <w:right w:val="nil"/>
            </w:tcBorders>
            <w:vAlign w:val="center"/>
          </w:tcPr>
          <w:p w14:paraId="65C3A46A" w14:textId="77777777" w:rsidR="00E84DF5" w:rsidRPr="00314F62" w:rsidRDefault="00A96313" w:rsidP="00E84DF5">
            <w:pPr>
              <w:pStyle w:val="TableCen"/>
            </w:pPr>
            <w:r w:rsidRPr="00314F62">
              <w:t>Tensile adhesion</w:t>
            </w:r>
          </w:p>
          <w:p w14:paraId="1D8773B7" w14:textId="1955CCC1" w:rsidR="00A96313" w:rsidRPr="00314F62" w:rsidRDefault="00A96313" w:rsidP="00E84DF5">
            <w:pPr>
              <w:pStyle w:val="TableCen"/>
            </w:pPr>
            <w:r w:rsidRPr="00314F62">
              <w:t>(</w:t>
            </w:r>
            <w:r w:rsidRPr="00314F62">
              <w:rPr>
                <w:i/>
              </w:rPr>
              <w:t>TRL</w:t>
            </w:r>
            <w:r w:rsidR="00E84DF5" w:rsidRPr="00314F62">
              <w:rPr>
                <w:i/>
              </w:rPr>
              <w:t> </w:t>
            </w:r>
            <w:r w:rsidRPr="00314F62">
              <w:rPr>
                <w:i/>
              </w:rPr>
              <w:t>176 Appendix</w:t>
            </w:r>
            <w:r w:rsidR="00DA3B03" w:rsidRPr="00314F62">
              <w:t> </w:t>
            </w:r>
            <w:r w:rsidRPr="00314F62">
              <w:rPr>
                <w:i/>
              </w:rPr>
              <w:t>J</w:t>
            </w:r>
            <w:r w:rsidRPr="00314F62">
              <w:t>)</w:t>
            </w:r>
          </w:p>
        </w:tc>
        <w:tc>
          <w:tcPr>
            <w:tcW w:w="3118" w:type="dxa"/>
            <w:tcBorders>
              <w:top w:val="single" w:sz="8" w:space="0" w:color="auto"/>
              <w:left w:val="nil"/>
              <w:bottom w:val="dotted" w:sz="4" w:space="0" w:color="auto"/>
              <w:right w:val="nil"/>
            </w:tcBorders>
            <w:vAlign w:val="center"/>
          </w:tcPr>
          <w:p w14:paraId="706EFAF6" w14:textId="0B9CC99B" w:rsidR="00A96313" w:rsidRPr="00314F62" w:rsidRDefault="00A96313" w:rsidP="00A96313">
            <w:pPr>
              <w:pStyle w:val="Table"/>
            </w:pPr>
            <w:r w:rsidRPr="00314F62">
              <w:t>Stress at (–10 </w:t>
            </w:r>
            <w:r w:rsidRPr="00314F62">
              <w:rPr>
                <w:rFonts w:ascii="Symbol" w:eastAsia="Symbol" w:hAnsi="Symbol" w:cs="Symbol"/>
              </w:rPr>
              <w:t>±</w:t>
            </w:r>
            <w:r w:rsidRPr="00314F62">
              <w:t> 2)</w:t>
            </w:r>
            <w:r w:rsidR="00DA3B03">
              <w:rPr>
                <w:rFonts w:cs="Arial"/>
              </w:rPr>
              <w:t>°</w:t>
            </w:r>
            <w:r w:rsidRPr="00314F62">
              <w:t>C</w:t>
            </w:r>
          </w:p>
        </w:tc>
        <w:tc>
          <w:tcPr>
            <w:tcW w:w="3403" w:type="dxa"/>
            <w:tcBorders>
              <w:top w:val="single" w:sz="8" w:space="0" w:color="auto"/>
              <w:left w:val="nil"/>
              <w:bottom w:val="dotted" w:sz="4" w:space="0" w:color="auto"/>
              <w:right w:val="nil"/>
            </w:tcBorders>
            <w:vAlign w:val="center"/>
          </w:tcPr>
          <w:p w14:paraId="6C9E9425" w14:textId="18EEE959" w:rsidR="00A96313" w:rsidRPr="00314F62" w:rsidRDefault="00A96313" w:rsidP="00A96313">
            <w:pPr>
              <w:pStyle w:val="TableCen"/>
            </w:pPr>
            <w:r w:rsidRPr="00314F62">
              <w:rPr>
                <w:rFonts w:ascii="Symbol" w:eastAsia="Symbol" w:hAnsi="Symbol" w:cs="Symbol"/>
              </w:rPr>
              <w:t>³</w:t>
            </w:r>
            <w:r w:rsidRPr="00314F62">
              <w:t>1.0 N/mm</w:t>
            </w:r>
            <w:r w:rsidRPr="00314F62">
              <w:rPr>
                <w:vertAlign w:val="superscript"/>
              </w:rPr>
              <w:t>2</w:t>
            </w:r>
          </w:p>
        </w:tc>
      </w:tr>
      <w:tr w:rsidR="00A96313" w:rsidRPr="00314F62" w14:paraId="642936FB" w14:textId="77777777" w:rsidTr="008521D7">
        <w:trPr>
          <w:cantSplit/>
          <w:trHeight w:val="340"/>
        </w:trPr>
        <w:tc>
          <w:tcPr>
            <w:tcW w:w="2126" w:type="dxa"/>
            <w:vMerge/>
            <w:tcBorders>
              <w:top w:val="nil"/>
              <w:left w:val="nil"/>
              <w:bottom w:val="single" w:sz="12" w:space="0" w:color="auto"/>
              <w:right w:val="nil"/>
            </w:tcBorders>
            <w:vAlign w:val="center"/>
          </w:tcPr>
          <w:p w14:paraId="7550AC77" w14:textId="77777777" w:rsidR="00A96313" w:rsidRPr="00314F62" w:rsidRDefault="00A96313" w:rsidP="00A96313">
            <w:pPr>
              <w:pStyle w:val="Table"/>
            </w:pPr>
          </w:p>
        </w:tc>
        <w:tc>
          <w:tcPr>
            <w:tcW w:w="3118" w:type="dxa"/>
            <w:tcBorders>
              <w:top w:val="nil"/>
              <w:left w:val="nil"/>
              <w:bottom w:val="single" w:sz="12" w:space="0" w:color="auto"/>
              <w:right w:val="nil"/>
            </w:tcBorders>
            <w:vAlign w:val="center"/>
          </w:tcPr>
          <w:p w14:paraId="32F55900" w14:textId="207AAAFD" w:rsidR="00A96313" w:rsidRPr="00314F62" w:rsidRDefault="00A96313" w:rsidP="00A96313">
            <w:pPr>
              <w:pStyle w:val="Table"/>
            </w:pPr>
            <w:r w:rsidRPr="00314F62">
              <w:t>Stress at (+20 </w:t>
            </w:r>
            <w:r w:rsidRPr="00314F62">
              <w:rPr>
                <w:rFonts w:ascii="Symbol" w:eastAsia="Symbol" w:hAnsi="Symbol" w:cs="Symbol"/>
              </w:rPr>
              <w:t>±</w:t>
            </w:r>
            <w:r w:rsidRPr="00314F62">
              <w:t> 2)</w:t>
            </w:r>
            <w:r w:rsidR="00DA3B03">
              <w:rPr>
                <w:rFonts w:cs="Arial"/>
              </w:rPr>
              <w:t>°</w:t>
            </w:r>
            <w:r w:rsidRPr="00314F62">
              <w:t>C</w:t>
            </w:r>
          </w:p>
        </w:tc>
        <w:tc>
          <w:tcPr>
            <w:tcW w:w="3403" w:type="dxa"/>
            <w:tcBorders>
              <w:top w:val="nil"/>
              <w:left w:val="nil"/>
              <w:bottom w:val="single" w:sz="12" w:space="0" w:color="auto"/>
              <w:right w:val="nil"/>
            </w:tcBorders>
            <w:vAlign w:val="center"/>
          </w:tcPr>
          <w:p w14:paraId="096433F0" w14:textId="1CFE7378" w:rsidR="00A96313" w:rsidRPr="00314F62" w:rsidRDefault="00A96313" w:rsidP="00A96313">
            <w:pPr>
              <w:pStyle w:val="TableCen"/>
            </w:pPr>
            <w:r w:rsidRPr="00314F62">
              <w:rPr>
                <w:rFonts w:ascii="Symbol" w:eastAsia="Symbol" w:hAnsi="Symbol" w:cs="Symbol"/>
              </w:rPr>
              <w:t>³</w:t>
            </w:r>
            <w:r w:rsidRPr="00314F62">
              <w:t>0.5 N/mm</w:t>
            </w:r>
            <w:r w:rsidRPr="00314F62">
              <w:rPr>
                <w:vertAlign w:val="superscript"/>
              </w:rPr>
              <w:t>2</w:t>
            </w:r>
          </w:p>
        </w:tc>
      </w:tr>
    </w:tbl>
    <w:p w14:paraId="1C2F2F40" w14:textId="77777777" w:rsidR="00A96313" w:rsidRPr="00314F62" w:rsidRDefault="00A96313" w:rsidP="00A96313">
      <w:pPr>
        <w:pStyle w:val="BodyTextIndent"/>
      </w:pPr>
      <w:r w:rsidRPr="00EE3E60">
        <w:rPr>
          <w:rStyle w:val="BodyTextIndentBoldUnderlineChar"/>
          <w:b w:val="0"/>
          <w:bCs/>
        </w:rPr>
        <w:t>Surface preparation</w:t>
      </w:r>
      <w:r w:rsidRPr="00314F62">
        <w:t>: Treat surface vigorously by either hot chemical application or dry surface abrasive blasting (as determined by a site inspection) to remove dust laitance and other loose material.  Wash and scrub the surface with a mild detergent solution to remove any remaining visible oil stains and flush with clean water.  Allow surface to dry prior to surface application of the binder.  Do not apply binder to surface that has been exposed to rain in the previous 48 hours when the treatment system is used in full lane/carriageway application.  Suitably mask all existing utility pit covers and raised pavement markers.</w:t>
      </w:r>
    </w:p>
    <w:p w14:paraId="59346B96" w14:textId="77777777" w:rsidR="00A96313" w:rsidRPr="00314F62" w:rsidRDefault="00A96313" w:rsidP="00A96313">
      <w:pPr>
        <w:pStyle w:val="BodyTextIndent"/>
      </w:pPr>
      <w:r w:rsidRPr="00EE3E60">
        <w:rPr>
          <w:rStyle w:val="BodyTextIndentBoldUnderlineChar"/>
          <w:b w:val="0"/>
          <w:bCs/>
        </w:rPr>
        <w:t>Asphalt surface</w:t>
      </w:r>
      <w:r w:rsidRPr="00314F62">
        <w:t>: Subject newly laid asphalt surface to vehicular traffic for a period of at least 6 weeks prior to surface binder application.</w:t>
      </w:r>
    </w:p>
    <w:p w14:paraId="4B104251" w14:textId="77777777" w:rsidR="00A96313" w:rsidRPr="00314F62" w:rsidRDefault="0059411D" w:rsidP="00DE4BB4">
      <w:pPr>
        <w:pStyle w:val="Heading4"/>
      </w:pPr>
      <w:bookmarkStart w:id="82" w:name="_Toc75951935"/>
      <w:r w:rsidRPr="00314F62">
        <w:lastRenderedPageBreak/>
        <w:t>Resin binder</w:t>
      </w:r>
      <w:bookmarkEnd w:id="82"/>
    </w:p>
    <w:p w14:paraId="49CCFBAF" w14:textId="77777777" w:rsidR="00A96313" w:rsidRPr="00314F62" w:rsidRDefault="00A96313" w:rsidP="00A96313">
      <w:pPr>
        <w:pStyle w:val="BodyTextIndent"/>
      </w:pPr>
      <w:r w:rsidRPr="00EE3E60">
        <w:rPr>
          <w:rStyle w:val="BodyTextIndentBoldUnderlineChar"/>
          <w:b w:val="0"/>
          <w:bCs/>
        </w:rPr>
        <w:t>General</w:t>
      </w:r>
      <w:r w:rsidRPr="00314F62">
        <w:t>: Use a certified industrial grade thermosetting two component polymer resin binder suitably pigmented to provide the necessary depth of specified colour in the finished surface coating.</w:t>
      </w:r>
    </w:p>
    <w:p w14:paraId="57E055BE" w14:textId="718D634D" w:rsidR="00A96313" w:rsidRPr="00314F62" w:rsidRDefault="00A96313" w:rsidP="00643BEE">
      <w:pPr>
        <w:pStyle w:val="BodyTextIndent"/>
      </w:pPr>
      <w:r w:rsidRPr="00EE3E60">
        <w:rPr>
          <w:rStyle w:val="BodyTextIndentBoldUnderlineChar"/>
          <w:b w:val="0"/>
          <w:bCs/>
        </w:rPr>
        <w:t>Binder properties</w:t>
      </w:r>
      <w:r w:rsidRPr="00314F62">
        <w:t>: Maintain a maximum in service time of 4</w:t>
      </w:r>
      <w:r w:rsidR="00B33F0F" w:rsidRPr="00314F62">
        <w:t> </w:t>
      </w:r>
      <w:r w:rsidRPr="00314F62">
        <w:t>hours at an ambient surface temperature of 20</w:t>
      </w:r>
      <w:r w:rsidR="00B17EC1">
        <w:rPr>
          <w:rFonts w:cs="Arial"/>
        </w:rPr>
        <w:t>°</w:t>
      </w:r>
      <w:r w:rsidRPr="00314F62">
        <w:t>C upon mixing and application of binder to the pavement surface.  Comply with Table </w:t>
      </w:r>
      <w:r w:rsidR="00793EBB" w:rsidRPr="00314F62">
        <w:t>4</w:t>
      </w:r>
      <w:r w:rsidR="00C56468" w:rsidRPr="00314F62">
        <w:t>.4</w:t>
      </w:r>
      <w:r w:rsidRPr="00314F62">
        <w:t xml:space="preserve"> for other material properties.</w:t>
      </w:r>
    </w:p>
    <w:p w14:paraId="54464CD0" w14:textId="582766E0" w:rsidR="0052773A" w:rsidRPr="00314F62" w:rsidRDefault="0052773A" w:rsidP="0052773A">
      <w:pPr>
        <w:pStyle w:val="TableLegend"/>
      </w:pPr>
      <w:r w:rsidRPr="00314F62">
        <w:t>Table</w:t>
      </w:r>
      <w:r w:rsidR="00B17EC1" w:rsidRPr="00314F62">
        <w:t> </w:t>
      </w:r>
      <w:r w:rsidRPr="00314F62">
        <w:t>4.4 – Binder properties</w:t>
      </w:r>
    </w:p>
    <w:tbl>
      <w:tblPr>
        <w:tblW w:w="8647" w:type="dxa"/>
        <w:tblInd w:w="709" w:type="dxa"/>
        <w:tblLayout w:type="fixed"/>
        <w:tblLook w:val="0000" w:firstRow="0" w:lastRow="0" w:firstColumn="0" w:lastColumn="0" w:noHBand="0" w:noVBand="0"/>
      </w:tblPr>
      <w:tblGrid>
        <w:gridCol w:w="2929"/>
        <w:gridCol w:w="2930"/>
        <w:gridCol w:w="2788"/>
      </w:tblGrid>
      <w:tr w:rsidR="00A96313" w:rsidRPr="00314F62" w14:paraId="6DDAB6FF" w14:textId="77777777" w:rsidTr="003F71B0">
        <w:trPr>
          <w:cantSplit/>
          <w:trHeight w:val="397"/>
        </w:trPr>
        <w:tc>
          <w:tcPr>
            <w:tcW w:w="2929" w:type="dxa"/>
            <w:tcBorders>
              <w:top w:val="single" w:sz="12" w:space="0" w:color="auto"/>
              <w:bottom w:val="single" w:sz="12" w:space="0" w:color="auto"/>
            </w:tcBorders>
            <w:shd w:val="pct10" w:color="auto" w:fill="auto"/>
            <w:vAlign w:val="center"/>
          </w:tcPr>
          <w:p w14:paraId="27FDABE5" w14:textId="77777777" w:rsidR="00A96313" w:rsidRPr="00314F62" w:rsidRDefault="00A96313" w:rsidP="008607D0">
            <w:pPr>
              <w:pStyle w:val="TableHeadCen"/>
            </w:pPr>
            <w:r w:rsidRPr="00314F62">
              <w:t>Test</w:t>
            </w:r>
          </w:p>
        </w:tc>
        <w:tc>
          <w:tcPr>
            <w:tcW w:w="2930" w:type="dxa"/>
            <w:tcBorders>
              <w:top w:val="single" w:sz="12" w:space="0" w:color="auto"/>
              <w:bottom w:val="single" w:sz="12" w:space="0" w:color="auto"/>
            </w:tcBorders>
            <w:shd w:val="pct10" w:color="auto" w:fill="auto"/>
            <w:vAlign w:val="center"/>
          </w:tcPr>
          <w:p w14:paraId="49B82BFC" w14:textId="77777777" w:rsidR="00A96313" w:rsidRPr="00314F62" w:rsidRDefault="00A96313" w:rsidP="008607D0">
            <w:pPr>
              <w:pStyle w:val="TableHeadCen"/>
            </w:pPr>
            <w:r w:rsidRPr="00314F62">
              <w:t>Parameter</w:t>
            </w:r>
          </w:p>
        </w:tc>
        <w:tc>
          <w:tcPr>
            <w:tcW w:w="2788" w:type="dxa"/>
            <w:tcBorders>
              <w:top w:val="single" w:sz="12" w:space="0" w:color="auto"/>
              <w:bottom w:val="single" w:sz="12" w:space="0" w:color="auto"/>
            </w:tcBorders>
            <w:shd w:val="pct10" w:color="auto" w:fill="auto"/>
            <w:vAlign w:val="center"/>
          </w:tcPr>
          <w:p w14:paraId="397C3A70" w14:textId="77777777" w:rsidR="00A96313" w:rsidRPr="00314F62" w:rsidRDefault="00A96313" w:rsidP="008607D0">
            <w:pPr>
              <w:pStyle w:val="TableHeadCen"/>
            </w:pPr>
            <w:r w:rsidRPr="00314F62">
              <w:t>Requirement</w:t>
            </w:r>
          </w:p>
        </w:tc>
      </w:tr>
      <w:tr w:rsidR="00A96313" w:rsidRPr="00314F62" w14:paraId="6EEB93FD" w14:textId="77777777" w:rsidTr="003F71B0">
        <w:trPr>
          <w:cantSplit/>
          <w:trHeight w:val="340"/>
        </w:trPr>
        <w:tc>
          <w:tcPr>
            <w:tcW w:w="2929" w:type="dxa"/>
            <w:vAlign w:val="center"/>
          </w:tcPr>
          <w:p w14:paraId="7AAB4C72" w14:textId="77777777" w:rsidR="00E65898" w:rsidRPr="00314F62" w:rsidRDefault="00A96313" w:rsidP="00A96313">
            <w:pPr>
              <w:pStyle w:val="TableCen"/>
            </w:pPr>
            <w:r w:rsidRPr="00314F62">
              <w:t>Tensile adhesion</w:t>
            </w:r>
          </w:p>
          <w:p w14:paraId="18A09C57" w14:textId="77777777" w:rsidR="00A96313" w:rsidRPr="00314F62" w:rsidRDefault="00A96313" w:rsidP="00A96313">
            <w:pPr>
              <w:pStyle w:val="TableCen"/>
            </w:pPr>
            <w:r w:rsidRPr="00314F62">
              <w:t>(</w:t>
            </w:r>
            <w:r w:rsidRPr="00314F62">
              <w:rPr>
                <w:i/>
              </w:rPr>
              <w:t xml:space="preserve">TRL 176 Appendix </w:t>
            </w:r>
            <w:r w:rsidRPr="00314F62">
              <w:t>J)</w:t>
            </w:r>
          </w:p>
        </w:tc>
        <w:tc>
          <w:tcPr>
            <w:tcW w:w="2930" w:type="dxa"/>
            <w:vAlign w:val="center"/>
          </w:tcPr>
          <w:p w14:paraId="649A70DF" w14:textId="7AA27A69" w:rsidR="00A96313" w:rsidRPr="00314F62" w:rsidRDefault="00A96313" w:rsidP="00A96313">
            <w:pPr>
              <w:pStyle w:val="TableCen"/>
            </w:pPr>
            <w:r w:rsidRPr="00314F62">
              <w:t>Stress at –10 </w:t>
            </w:r>
            <w:r w:rsidRPr="00314F62">
              <w:rPr>
                <w:rFonts w:ascii="Symbol" w:eastAsia="Symbol" w:hAnsi="Symbol" w:cs="Symbol"/>
              </w:rPr>
              <w:t>±</w:t>
            </w:r>
            <w:r w:rsidRPr="00314F62">
              <w:t> 2</w:t>
            </w:r>
            <w:r w:rsidR="00B17EC1">
              <w:rPr>
                <w:rFonts w:cs="Arial"/>
              </w:rPr>
              <w:t>°</w:t>
            </w:r>
            <w:r w:rsidRPr="00314F62">
              <w:t>C</w:t>
            </w:r>
          </w:p>
        </w:tc>
        <w:tc>
          <w:tcPr>
            <w:tcW w:w="2788" w:type="dxa"/>
            <w:vAlign w:val="center"/>
          </w:tcPr>
          <w:p w14:paraId="13E90EDB" w14:textId="49B1D3CC" w:rsidR="00A96313" w:rsidRPr="00314F62" w:rsidRDefault="00A96313" w:rsidP="00A96313">
            <w:pPr>
              <w:pStyle w:val="TableCen"/>
            </w:pPr>
            <w:r w:rsidRPr="00314F62">
              <w:rPr>
                <w:rFonts w:ascii="Symbol" w:eastAsia="Symbol" w:hAnsi="Symbol" w:cs="Symbol"/>
              </w:rPr>
              <w:t>³</w:t>
            </w:r>
            <w:r w:rsidRPr="00314F62">
              <w:t>1.0 N/mm</w:t>
            </w:r>
            <w:r w:rsidRPr="00314F62">
              <w:rPr>
                <w:vertAlign w:val="superscript"/>
              </w:rPr>
              <w:t>2</w:t>
            </w:r>
          </w:p>
        </w:tc>
      </w:tr>
      <w:tr w:rsidR="00A96313" w:rsidRPr="00314F62" w14:paraId="26E68722" w14:textId="77777777" w:rsidTr="003F71B0">
        <w:trPr>
          <w:cantSplit/>
          <w:trHeight w:val="340"/>
        </w:trPr>
        <w:tc>
          <w:tcPr>
            <w:tcW w:w="2929" w:type="dxa"/>
            <w:vAlign w:val="center"/>
          </w:tcPr>
          <w:p w14:paraId="5E994619" w14:textId="77777777" w:rsidR="00E65898" w:rsidRPr="00314F62" w:rsidRDefault="00A96313" w:rsidP="00A96313">
            <w:pPr>
              <w:pStyle w:val="TableCen"/>
            </w:pPr>
            <w:r w:rsidRPr="00314F62">
              <w:t>Tensile adhesion</w:t>
            </w:r>
          </w:p>
          <w:p w14:paraId="39230A38" w14:textId="77777777" w:rsidR="00A96313" w:rsidRPr="00314F62" w:rsidRDefault="00A96313" w:rsidP="00A96313">
            <w:pPr>
              <w:pStyle w:val="TableCen"/>
            </w:pPr>
            <w:r w:rsidRPr="00314F62">
              <w:t>(</w:t>
            </w:r>
            <w:r w:rsidRPr="00314F62">
              <w:rPr>
                <w:i/>
              </w:rPr>
              <w:t>TRL 176 Appendix J</w:t>
            </w:r>
            <w:r w:rsidRPr="00314F62">
              <w:t>)</w:t>
            </w:r>
          </w:p>
        </w:tc>
        <w:tc>
          <w:tcPr>
            <w:tcW w:w="2930" w:type="dxa"/>
            <w:vAlign w:val="center"/>
          </w:tcPr>
          <w:p w14:paraId="104BD7B8" w14:textId="463F0295" w:rsidR="00A96313" w:rsidRPr="00314F62" w:rsidRDefault="00A96313" w:rsidP="00A96313">
            <w:pPr>
              <w:pStyle w:val="TableCen"/>
            </w:pPr>
            <w:r w:rsidRPr="00314F62">
              <w:t>Stress at 20 </w:t>
            </w:r>
            <w:r w:rsidRPr="00314F62">
              <w:rPr>
                <w:rFonts w:ascii="Symbol" w:eastAsia="Symbol" w:hAnsi="Symbol" w:cs="Symbol"/>
              </w:rPr>
              <w:t>±</w:t>
            </w:r>
            <w:r w:rsidRPr="00314F62">
              <w:t> 2</w:t>
            </w:r>
            <w:r w:rsidR="00B17EC1">
              <w:rPr>
                <w:rFonts w:cs="Arial"/>
              </w:rPr>
              <w:t>°</w:t>
            </w:r>
            <w:r w:rsidRPr="00314F62">
              <w:t>C</w:t>
            </w:r>
          </w:p>
        </w:tc>
        <w:tc>
          <w:tcPr>
            <w:tcW w:w="2788" w:type="dxa"/>
            <w:vAlign w:val="center"/>
          </w:tcPr>
          <w:p w14:paraId="489F6B5C" w14:textId="7E55C4E9" w:rsidR="00A96313" w:rsidRPr="00314F62" w:rsidRDefault="00EE3E60" w:rsidP="00A96313">
            <w:pPr>
              <w:pStyle w:val="TableCen"/>
            </w:pPr>
            <w:r>
              <w:t>&gt;</w:t>
            </w:r>
            <w:r w:rsidR="00A96313" w:rsidRPr="00314F62">
              <w:t>0.5 N/mm</w:t>
            </w:r>
            <w:r w:rsidR="00A96313" w:rsidRPr="00314F62">
              <w:rPr>
                <w:vertAlign w:val="superscript"/>
              </w:rPr>
              <w:t>2</w:t>
            </w:r>
          </w:p>
        </w:tc>
      </w:tr>
      <w:tr w:rsidR="00A96313" w:rsidRPr="00314F62" w14:paraId="737991BB" w14:textId="77777777" w:rsidTr="003F71B0">
        <w:trPr>
          <w:cantSplit/>
          <w:trHeight w:val="340"/>
        </w:trPr>
        <w:tc>
          <w:tcPr>
            <w:tcW w:w="2929" w:type="dxa"/>
            <w:vAlign w:val="center"/>
          </w:tcPr>
          <w:p w14:paraId="74DAED9A" w14:textId="77777777" w:rsidR="00E65898" w:rsidRPr="00314F62" w:rsidRDefault="00A96313" w:rsidP="00A96313">
            <w:pPr>
              <w:pStyle w:val="TableCen"/>
            </w:pPr>
            <w:r w:rsidRPr="00314F62">
              <w:t>Elongation at break</w:t>
            </w:r>
          </w:p>
          <w:p w14:paraId="0DDA2D60" w14:textId="77777777" w:rsidR="00A96313" w:rsidRPr="00314F62" w:rsidRDefault="00A96313" w:rsidP="00A96313">
            <w:pPr>
              <w:pStyle w:val="TableCen"/>
            </w:pPr>
            <w:r w:rsidRPr="00314F62">
              <w:t>(</w:t>
            </w:r>
            <w:r w:rsidRPr="00314F62">
              <w:rPr>
                <w:i/>
              </w:rPr>
              <w:t>BS 2782</w:t>
            </w:r>
            <w:r w:rsidRPr="00314F62">
              <w:t>)</w:t>
            </w:r>
          </w:p>
        </w:tc>
        <w:tc>
          <w:tcPr>
            <w:tcW w:w="2930" w:type="dxa"/>
            <w:vAlign w:val="center"/>
          </w:tcPr>
          <w:p w14:paraId="060B7C3E" w14:textId="7A52F274" w:rsidR="00A96313" w:rsidRPr="00314F62" w:rsidRDefault="00A96313" w:rsidP="00A96313">
            <w:pPr>
              <w:pStyle w:val="TableCen"/>
            </w:pPr>
            <w:r w:rsidRPr="00314F62">
              <w:t>7 days at 23</w:t>
            </w:r>
            <w:r w:rsidR="00B17EC1">
              <w:rPr>
                <w:rFonts w:cs="Arial"/>
              </w:rPr>
              <w:t>°</w:t>
            </w:r>
            <w:r w:rsidRPr="00314F62">
              <w:t>C</w:t>
            </w:r>
          </w:p>
        </w:tc>
        <w:tc>
          <w:tcPr>
            <w:tcW w:w="2788" w:type="dxa"/>
            <w:vAlign w:val="center"/>
          </w:tcPr>
          <w:p w14:paraId="01AA0B21" w14:textId="3B7023CB" w:rsidR="00A96313" w:rsidRPr="00314F62" w:rsidRDefault="00A96313" w:rsidP="00A96313">
            <w:pPr>
              <w:pStyle w:val="TableCen"/>
            </w:pPr>
            <w:r w:rsidRPr="00314F62">
              <w:rPr>
                <w:rFonts w:ascii="Symbol" w:eastAsia="Symbol" w:hAnsi="Symbol" w:cs="Symbol"/>
              </w:rPr>
              <w:t>³</w:t>
            </w:r>
            <w:r w:rsidRPr="00314F62">
              <w:t>30%</w:t>
            </w:r>
          </w:p>
        </w:tc>
      </w:tr>
      <w:tr w:rsidR="00A96313" w:rsidRPr="00314F62" w14:paraId="61AD83C9" w14:textId="77777777" w:rsidTr="003F71B0">
        <w:trPr>
          <w:cantSplit/>
          <w:trHeight w:val="340"/>
        </w:trPr>
        <w:tc>
          <w:tcPr>
            <w:tcW w:w="2929" w:type="dxa"/>
            <w:tcBorders>
              <w:bottom w:val="single" w:sz="12" w:space="0" w:color="auto"/>
            </w:tcBorders>
            <w:vAlign w:val="center"/>
          </w:tcPr>
          <w:p w14:paraId="19D89B3D" w14:textId="77777777" w:rsidR="00E65898" w:rsidRPr="00314F62" w:rsidRDefault="00A96313" w:rsidP="00A96313">
            <w:pPr>
              <w:pStyle w:val="TableCen"/>
            </w:pPr>
            <w:r w:rsidRPr="00314F62">
              <w:t>Tensile strength</w:t>
            </w:r>
          </w:p>
          <w:p w14:paraId="25C82C2F" w14:textId="77777777" w:rsidR="00A96313" w:rsidRPr="00314F62" w:rsidRDefault="00A96313" w:rsidP="00A96313">
            <w:pPr>
              <w:pStyle w:val="TableCen"/>
            </w:pPr>
            <w:r w:rsidRPr="00314F62">
              <w:t>(</w:t>
            </w:r>
            <w:r w:rsidRPr="00314F62">
              <w:rPr>
                <w:i/>
              </w:rPr>
              <w:t>BS</w:t>
            </w:r>
            <w:r w:rsidRPr="00314F62">
              <w:rPr>
                <w:b/>
                <w:i/>
              </w:rPr>
              <w:t> </w:t>
            </w:r>
            <w:r w:rsidRPr="00314F62">
              <w:rPr>
                <w:i/>
              </w:rPr>
              <w:t>2782</w:t>
            </w:r>
            <w:r w:rsidRPr="00314F62">
              <w:t>)</w:t>
            </w:r>
          </w:p>
        </w:tc>
        <w:tc>
          <w:tcPr>
            <w:tcW w:w="2930" w:type="dxa"/>
            <w:tcBorders>
              <w:bottom w:val="single" w:sz="12" w:space="0" w:color="auto"/>
            </w:tcBorders>
            <w:vAlign w:val="center"/>
          </w:tcPr>
          <w:p w14:paraId="0B53C352" w14:textId="5B2C54A9" w:rsidR="00A96313" w:rsidRPr="00314F62" w:rsidRDefault="00A96313" w:rsidP="00A96313">
            <w:pPr>
              <w:pStyle w:val="TableCen"/>
            </w:pPr>
            <w:r w:rsidRPr="00314F62">
              <w:t>7 days at 23</w:t>
            </w:r>
            <w:r w:rsidR="00B17EC1">
              <w:rPr>
                <w:rFonts w:cs="Arial"/>
              </w:rPr>
              <w:t>°</w:t>
            </w:r>
            <w:r w:rsidRPr="00314F62">
              <w:t>C</w:t>
            </w:r>
          </w:p>
        </w:tc>
        <w:tc>
          <w:tcPr>
            <w:tcW w:w="2788" w:type="dxa"/>
            <w:tcBorders>
              <w:bottom w:val="single" w:sz="12" w:space="0" w:color="auto"/>
            </w:tcBorders>
            <w:vAlign w:val="center"/>
          </w:tcPr>
          <w:p w14:paraId="2778D5C4" w14:textId="5819F40B" w:rsidR="00A96313" w:rsidRPr="00314F62" w:rsidRDefault="00A96313" w:rsidP="00A96313">
            <w:pPr>
              <w:pStyle w:val="TableCen"/>
            </w:pPr>
            <w:r w:rsidRPr="00314F62">
              <w:rPr>
                <w:rFonts w:ascii="Symbol" w:eastAsia="Symbol" w:hAnsi="Symbol" w:cs="Symbol"/>
              </w:rPr>
              <w:t>³</w:t>
            </w:r>
            <w:r w:rsidRPr="00314F62">
              <w:t>10.5 N/mm</w:t>
            </w:r>
            <w:r w:rsidRPr="00314F62">
              <w:rPr>
                <w:vertAlign w:val="superscript"/>
              </w:rPr>
              <w:t>2</w:t>
            </w:r>
          </w:p>
        </w:tc>
      </w:tr>
    </w:tbl>
    <w:p w14:paraId="58A5B014" w14:textId="70C8D913" w:rsidR="00A96313" w:rsidRPr="00314F62" w:rsidRDefault="00A96313" w:rsidP="00A96313">
      <w:pPr>
        <w:pStyle w:val="BodyTextIndent"/>
      </w:pPr>
      <w:r w:rsidRPr="00793DBF">
        <w:rPr>
          <w:rStyle w:val="BodyTextIndentBoldUnderlineChar"/>
          <w:b w:val="0"/>
          <w:bCs/>
        </w:rPr>
        <w:t>Application</w:t>
      </w:r>
      <w:r w:rsidRPr="00314F62">
        <w:t>: Spray, brush or squeegee binder on to a dry surface at a rate to suit the surface texture and porosity.  On a smooth closed textured surface the amount of binder must not be less than what is required to hold the aggregate permanently in position.  Use a temperature gauge accurate to</w:t>
      </w:r>
      <w:r w:rsidR="00EA3A3B">
        <w:t xml:space="preserve"> </w:t>
      </w:r>
      <w:r w:rsidRPr="00314F62">
        <w:rPr>
          <w:rFonts w:ascii="Symbol" w:eastAsia="Symbol" w:hAnsi="Symbol" w:cs="Symbol"/>
          <w:sz w:val="18"/>
        </w:rPr>
        <w:t>±</w:t>
      </w:r>
      <w:r w:rsidRPr="00314F62">
        <w:t>2</w:t>
      </w:r>
      <w:r w:rsidR="003E1090">
        <w:rPr>
          <w:rFonts w:cs="Arial"/>
        </w:rPr>
        <w:t>°</w:t>
      </w:r>
      <w:r w:rsidRPr="00314F62">
        <w:t>C to measure the temperature of the heated binder components to facilitate the mixing or spray application.  Do not exceed the maximum temperature recommended by the manufacturer.  Allow heated binders to cool prior to the application of aggregate.</w:t>
      </w:r>
    </w:p>
    <w:p w14:paraId="6760C4FB" w14:textId="77777777" w:rsidR="00A96313" w:rsidRPr="00314F62" w:rsidRDefault="009D7751" w:rsidP="00DE4BB4">
      <w:pPr>
        <w:pStyle w:val="Heading4"/>
      </w:pPr>
      <w:bookmarkStart w:id="83" w:name="_Toc75951936"/>
      <w:r w:rsidRPr="00314F62">
        <w:t>Aggregates</w:t>
      </w:r>
      <w:bookmarkEnd w:id="83"/>
    </w:p>
    <w:p w14:paraId="0671C999" w14:textId="77777777" w:rsidR="00A96313" w:rsidRPr="00314F62" w:rsidRDefault="00A96313" w:rsidP="00A96313">
      <w:pPr>
        <w:pStyle w:val="BodyTextIndent"/>
      </w:pPr>
      <w:r w:rsidRPr="00793DBF">
        <w:rPr>
          <w:rStyle w:val="BodyTextIndentBoldUnderlineChar"/>
          <w:b w:val="0"/>
          <w:bCs/>
        </w:rPr>
        <w:t>Requirement</w:t>
      </w:r>
      <w:r w:rsidRPr="00314F62">
        <w:t>: Provide aggregates that are clean, dry, hard, tough, durable, moderately sharp grains of either natural stone or calcined bauxite, of uniform quality, free of dust, dirt and other deleterious matter.</w:t>
      </w:r>
    </w:p>
    <w:p w14:paraId="564FA216" w14:textId="77777777" w:rsidR="00A96313" w:rsidRPr="00314F62" w:rsidRDefault="00A96313" w:rsidP="00A96313">
      <w:pPr>
        <w:pStyle w:val="BodyTextIndent"/>
      </w:pPr>
      <w:r w:rsidRPr="00793DBF">
        <w:rPr>
          <w:rStyle w:val="BodyTextIndentBoldUnderlineChar"/>
          <w:b w:val="0"/>
          <w:bCs/>
        </w:rPr>
        <w:t>Grading</w:t>
      </w:r>
      <w:r w:rsidRPr="00314F62">
        <w:t>: Not more than 5% (by weight) is retained on a 3.35 mm A.S. sieve and not more than 5% (by weight) passes a 1.18 mm A.S. sieve.</w:t>
      </w:r>
    </w:p>
    <w:p w14:paraId="480A05FA" w14:textId="77777777" w:rsidR="00A96313" w:rsidRPr="00314F62" w:rsidRDefault="00A96313" w:rsidP="00A96313">
      <w:pPr>
        <w:pStyle w:val="BodyTextIndent"/>
      </w:pPr>
      <w:r w:rsidRPr="00793DBF">
        <w:rPr>
          <w:rStyle w:val="BodyTextIndentBoldUnderlineChar"/>
          <w:b w:val="0"/>
          <w:bCs/>
        </w:rPr>
        <w:t>Frictional characteristics</w:t>
      </w:r>
      <w:r w:rsidRPr="00314F62">
        <w:t xml:space="preserve">: Achieve a Polished Aggregate Friction Value (PAFV) of not less than 70 as determined by test method </w:t>
      </w:r>
      <w:r w:rsidRPr="00314F62">
        <w:rPr>
          <w:rStyle w:val="BodyTextIndentItalicChar"/>
        </w:rPr>
        <w:t>AS 1141.41</w:t>
      </w:r>
      <w:r w:rsidRPr="00314F62">
        <w:t>.</w:t>
      </w:r>
    </w:p>
    <w:p w14:paraId="43941572" w14:textId="77777777" w:rsidR="00A96313" w:rsidRPr="00314F62" w:rsidRDefault="00A96313" w:rsidP="00A96313">
      <w:pPr>
        <w:pStyle w:val="BodyTextIndent"/>
      </w:pPr>
      <w:r w:rsidRPr="00793DBF">
        <w:rPr>
          <w:rStyle w:val="BodyTextIndentBoldUnderlineChar"/>
          <w:b w:val="0"/>
          <w:bCs/>
        </w:rPr>
        <w:t>Application</w:t>
      </w:r>
      <w:r w:rsidRPr="00314F62">
        <w:t>: After binder application, broadcast aggregates to cover the binder uniformly and to excess, in accordance with manufacturer’s instructions.  Do not roll aggregates.  Upon initial curing, remove all excess aggregates by a vacuum sweeper or equivalent means.</w:t>
      </w:r>
    </w:p>
    <w:p w14:paraId="23079726" w14:textId="77777777" w:rsidR="00A96313" w:rsidRPr="00314F62" w:rsidRDefault="005A7CA1" w:rsidP="00DE4BB4">
      <w:pPr>
        <w:pStyle w:val="Heading3"/>
      </w:pPr>
      <w:bookmarkStart w:id="84" w:name="_Toc185318056"/>
      <w:bookmarkStart w:id="85" w:name="_Toc75951937"/>
      <w:r w:rsidRPr="00314F62">
        <w:t>Colour</w:t>
      </w:r>
      <w:bookmarkEnd w:id="84"/>
      <w:bookmarkEnd w:id="85"/>
    </w:p>
    <w:p w14:paraId="753E5362" w14:textId="77777777" w:rsidR="00A96313" w:rsidRPr="00314F62" w:rsidRDefault="009D7751" w:rsidP="00DE4BB4">
      <w:pPr>
        <w:pStyle w:val="Heading4"/>
      </w:pPr>
      <w:bookmarkStart w:id="86" w:name="_Toc75951938"/>
      <w:r w:rsidRPr="00314F62">
        <w:t>General</w:t>
      </w:r>
      <w:bookmarkEnd w:id="86"/>
    </w:p>
    <w:p w14:paraId="7311DAD9" w14:textId="77777777" w:rsidR="00A96313" w:rsidRPr="00314F62" w:rsidRDefault="00A96313" w:rsidP="00A96313">
      <w:pPr>
        <w:pStyle w:val="BodyTextIndent"/>
      </w:pPr>
      <w:r w:rsidRPr="00793DBF">
        <w:rPr>
          <w:rStyle w:val="BodyTextIndentBoldUnderlineChar"/>
          <w:b w:val="0"/>
          <w:bCs/>
        </w:rPr>
        <w:t>Colour</w:t>
      </w:r>
      <w:r w:rsidRPr="00314F62">
        <w:t xml:space="preserve">: Produce surfacing colour to be an approximate match to the specified </w:t>
      </w:r>
      <w:r w:rsidRPr="00314F62">
        <w:rPr>
          <w:rStyle w:val="BodyTextIndentItalicChar"/>
        </w:rPr>
        <w:t xml:space="preserve">AS 2700 </w:t>
      </w:r>
      <w:r w:rsidRPr="00314F62">
        <w:t xml:space="preserve">colour standard.  Undertake assessment of colour matching in the test light booth in accordance with the procedure prescribed in </w:t>
      </w:r>
      <w:r w:rsidRPr="00314F62">
        <w:rPr>
          <w:rStyle w:val="BodyTextIndentItalicChar"/>
        </w:rPr>
        <w:t>AS/NZS 1580.601.1</w:t>
      </w:r>
      <w:r w:rsidRPr="00314F62">
        <w:t>.</w:t>
      </w:r>
    </w:p>
    <w:p w14:paraId="0F05A79A" w14:textId="77777777" w:rsidR="00A96313" w:rsidRPr="00314F62" w:rsidRDefault="009D7751" w:rsidP="00DE4BB4">
      <w:pPr>
        <w:pStyle w:val="Heading4"/>
      </w:pPr>
      <w:bookmarkStart w:id="87" w:name="_Toc75951939"/>
      <w:r w:rsidRPr="00314F62">
        <w:t xml:space="preserve">Local </w:t>
      </w:r>
      <w:r w:rsidR="005A7CA1" w:rsidRPr="00314F62">
        <w:t>traffic</w:t>
      </w:r>
      <w:r w:rsidRPr="00314F62">
        <w:t xml:space="preserve"> </w:t>
      </w:r>
      <w:r w:rsidR="000F4DED" w:rsidRPr="00314F62">
        <w:t>a</w:t>
      </w:r>
      <w:r w:rsidRPr="00314F62">
        <w:t xml:space="preserve">rea (LATM) </w:t>
      </w:r>
      <w:r w:rsidR="000F4DED" w:rsidRPr="00314F62">
        <w:t>s</w:t>
      </w:r>
      <w:r w:rsidRPr="00314F62">
        <w:t>chemes</w:t>
      </w:r>
      <w:bookmarkEnd w:id="87"/>
    </w:p>
    <w:p w14:paraId="66FB80A8" w14:textId="77777777" w:rsidR="00A96313" w:rsidRPr="00314F62" w:rsidRDefault="00A96313" w:rsidP="00A96313">
      <w:pPr>
        <w:pStyle w:val="BodyTextIndent"/>
      </w:pPr>
      <w:r w:rsidRPr="00793DBF">
        <w:rPr>
          <w:rStyle w:val="BodyTextIndentBoldUnderlineChar"/>
          <w:b w:val="0"/>
          <w:bCs/>
        </w:rPr>
        <w:t>Permitted colours for threshold treatments on pavement</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180DAC" w:rsidRPr="00314F62">
        <w:rPr>
          <w:rStyle w:val="BodyTextIndentItalicChar"/>
        </w:rPr>
        <w:t> </w:t>
      </w:r>
      <w:r w:rsidRPr="00314F62">
        <w:t xml:space="preserve">Signal </w:t>
      </w:r>
      <w:r w:rsidR="00BA43D5" w:rsidRPr="00314F62">
        <w:t>Red</w:t>
      </w:r>
      <w:r w:rsidR="007A7D75" w:rsidRPr="00314F62">
        <w:t>’</w:t>
      </w:r>
      <w:r w:rsidR="00BA43D5" w:rsidRPr="00314F62">
        <w:t xml:space="preserve"> </w:t>
      </w:r>
      <w:r w:rsidRPr="00314F62">
        <w:t xml:space="preserve">or </w:t>
      </w:r>
      <w:r w:rsidR="007A7D75" w:rsidRPr="00314F62">
        <w:t>‘</w:t>
      </w:r>
      <w:r w:rsidRPr="00314F62">
        <w:t>R14</w:t>
      </w:r>
      <w:r w:rsidR="00180DAC" w:rsidRPr="00314F62">
        <w:rPr>
          <w:rStyle w:val="BodyTextIndentItalicChar"/>
        </w:rPr>
        <w:t> </w:t>
      </w:r>
      <w:r w:rsidRPr="00314F62">
        <w:t>Waratah</w:t>
      </w:r>
      <w:r w:rsidR="007A7D75" w:rsidRPr="00314F62">
        <w:t>’</w:t>
      </w:r>
      <w:r w:rsidRPr="00314F62">
        <w:t>.</w:t>
      </w:r>
    </w:p>
    <w:p w14:paraId="59839255" w14:textId="006D37EA" w:rsidR="00A96313" w:rsidRPr="00314F62" w:rsidRDefault="00A96313" w:rsidP="00A96313">
      <w:pPr>
        <w:pStyle w:val="BodyTextIndent"/>
      </w:pPr>
      <w:r w:rsidRPr="006C4391">
        <w:rPr>
          <w:rStyle w:val="BodyTextIndentBoldUnderlineChar"/>
          <w:b w:val="0"/>
          <w:bCs/>
        </w:rPr>
        <w:t xml:space="preserve">Permitted colours for </w:t>
      </w:r>
      <w:r w:rsidR="009963D5" w:rsidRPr="006C4391">
        <w:rPr>
          <w:rStyle w:val="BodyTextIndentBoldUnderlineChar"/>
          <w:b w:val="0"/>
          <w:bCs/>
        </w:rPr>
        <w:t>border</w:t>
      </w:r>
      <w:r w:rsidRPr="006C4391">
        <w:rPr>
          <w:rStyle w:val="BodyTextIndentBoldUnderlineChar"/>
          <w:b w:val="0"/>
          <w:bCs/>
        </w:rPr>
        <w:t xml:space="preserve"> of threshold treatments on pavement</w:t>
      </w:r>
      <w:r w:rsidRPr="006C4391">
        <w:t xml:space="preserve">: Yellow of an approximate match to any of the </w:t>
      </w:r>
      <w:r w:rsidR="00030332" w:rsidRPr="006C4391">
        <w:rPr>
          <w:rStyle w:val="BodyTextIndentItalicChar"/>
        </w:rPr>
        <w:t xml:space="preserve">AS 2700 </w:t>
      </w:r>
      <w:r w:rsidRPr="006C4391">
        <w:t xml:space="preserve">standard colours </w:t>
      </w:r>
      <w:r w:rsidR="007A7D75" w:rsidRPr="006C4391">
        <w:t>‘</w:t>
      </w:r>
      <w:r w:rsidRPr="006C4391">
        <w:t>Y11</w:t>
      </w:r>
      <w:r w:rsidR="00180DAC" w:rsidRPr="006C4391">
        <w:rPr>
          <w:rStyle w:val="BodyTextIndentItalicChar"/>
        </w:rPr>
        <w:t> </w:t>
      </w:r>
      <w:r w:rsidRPr="006C4391">
        <w:t>Canary</w:t>
      </w:r>
      <w:r w:rsidR="007A7D75" w:rsidRPr="006C4391">
        <w:t>’</w:t>
      </w:r>
      <w:r w:rsidRPr="006C4391">
        <w:t xml:space="preserve"> or </w:t>
      </w:r>
      <w:r w:rsidR="007A7D75" w:rsidRPr="006C4391">
        <w:t>‘</w:t>
      </w:r>
      <w:r w:rsidRPr="006C4391">
        <w:t>Y12</w:t>
      </w:r>
      <w:r w:rsidR="00180DAC" w:rsidRPr="006C4391">
        <w:rPr>
          <w:rStyle w:val="BodyTextIndentItalicChar"/>
        </w:rPr>
        <w:t> </w:t>
      </w:r>
      <w:r w:rsidRPr="006C4391">
        <w:t>Wattle</w:t>
      </w:r>
      <w:r w:rsidR="007A7D75" w:rsidRPr="006C4391">
        <w:t>’</w:t>
      </w:r>
      <w:r w:rsidRPr="006C4391">
        <w:t xml:space="preserve"> or </w:t>
      </w:r>
      <w:r w:rsidR="007A7D75" w:rsidRPr="006C4391">
        <w:t>‘</w:t>
      </w:r>
      <w:r w:rsidRPr="006C4391">
        <w:t>Y13</w:t>
      </w:r>
      <w:r w:rsidR="00180DAC" w:rsidRPr="006C4391">
        <w:rPr>
          <w:rStyle w:val="BodyTextIndentItalicChar"/>
        </w:rPr>
        <w:t> </w:t>
      </w:r>
      <w:r w:rsidRPr="006C4391">
        <w:t>Vivid yellow</w:t>
      </w:r>
      <w:r w:rsidR="007A7D75" w:rsidRPr="006C4391">
        <w:t>’</w:t>
      </w:r>
      <w:r w:rsidRPr="006C4391">
        <w:t>.</w:t>
      </w:r>
    </w:p>
    <w:p w14:paraId="2791B6E6" w14:textId="77777777" w:rsidR="00BA43D5" w:rsidRPr="00314F62" w:rsidRDefault="00BA43D5" w:rsidP="00A96313">
      <w:pPr>
        <w:pStyle w:val="BodyTextIndent"/>
      </w:pPr>
      <w:r w:rsidRPr="00C33044">
        <w:rPr>
          <w:rStyle w:val="BodyTextIndentBoldUnderlineChar"/>
          <w:b w:val="0"/>
          <w:bCs/>
        </w:rPr>
        <w:t>Permitted colours for top of speed platforms</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4A2C41" w:rsidRPr="00314F62">
        <w:rPr>
          <w:rStyle w:val="BodyTextIndentItalicChar"/>
        </w:rPr>
        <w:t> </w:t>
      </w:r>
      <w:r w:rsidR="004A2C41" w:rsidRPr="00314F62">
        <w:t>S</w:t>
      </w:r>
      <w:r w:rsidRPr="00314F62">
        <w:t>ignal Red</w:t>
      </w:r>
      <w:r w:rsidR="007A7D75" w:rsidRPr="00314F62">
        <w:t>’</w:t>
      </w:r>
      <w:r w:rsidRPr="00314F62">
        <w:t xml:space="preserve"> or </w:t>
      </w:r>
      <w:r w:rsidR="007A7D75" w:rsidRPr="00314F62">
        <w:t>‘</w:t>
      </w:r>
      <w:r w:rsidRPr="00314F62">
        <w:t>R14</w:t>
      </w:r>
      <w:r w:rsidR="004A2C41" w:rsidRPr="00314F62">
        <w:rPr>
          <w:rStyle w:val="BodyTextIndentItalicChar"/>
        </w:rPr>
        <w:t> </w:t>
      </w:r>
      <w:r w:rsidRPr="00314F62">
        <w:t>Waratah</w:t>
      </w:r>
      <w:r w:rsidR="007A7D75" w:rsidRPr="00314F62">
        <w:t>’</w:t>
      </w:r>
      <w:r w:rsidRPr="00314F62">
        <w:t>.</w:t>
      </w:r>
    </w:p>
    <w:p w14:paraId="1C225E3D" w14:textId="3907BC9E" w:rsidR="00A96313" w:rsidRDefault="00A96313" w:rsidP="00A96313">
      <w:pPr>
        <w:pStyle w:val="BodyTextIndent"/>
      </w:pPr>
      <w:r w:rsidRPr="00C33044">
        <w:rPr>
          <w:rStyle w:val="BodyTextIndentBoldUnderlineChar"/>
          <w:b w:val="0"/>
          <w:bCs/>
        </w:rPr>
        <w:t>Permitted colours at median infill</w:t>
      </w:r>
      <w:r w:rsidRPr="00314F62">
        <w:t>: Red of an approximate match to any of the</w:t>
      </w:r>
      <w:r w:rsidR="00030332" w:rsidRPr="00314F62">
        <w:rPr>
          <w:rStyle w:val="BodyTextIndentItalicChar"/>
        </w:rPr>
        <w:t xml:space="preserve"> AS 2700 </w:t>
      </w:r>
      <w:r w:rsidRPr="00314F62">
        <w:t xml:space="preserve">standard colours </w:t>
      </w:r>
      <w:r w:rsidR="007A7D75" w:rsidRPr="00314F62">
        <w:t>‘</w:t>
      </w:r>
      <w:r w:rsidRPr="00314F62">
        <w:t>R42</w:t>
      </w:r>
      <w:r w:rsidR="004A2C41" w:rsidRPr="00314F62">
        <w:rPr>
          <w:rStyle w:val="BodyTextIndentItalicChar"/>
        </w:rPr>
        <w:t> </w:t>
      </w:r>
      <w:r w:rsidRPr="00314F62">
        <w:t xml:space="preserve">Salmon </w:t>
      </w:r>
      <w:r w:rsidR="008946B5" w:rsidRPr="00314F62">
        <w:t>Pink</w:t>
      </w:r>
      <w:r w:rsidR="007A7D75" w:rsidRPr="00314F62">
        <w:t>’</w:t>
      </w:r>
      <w:r w:rsidR="008946B5" w:rsidRPr="00314F62">
        <w:t xml:space="preserve"> </w:t>
      </w:r>
      <w:r w:rsidRPr="00314F62">
        <w:t xml:space="preserve">or </w:t>
      </w:r>
      <w:r w:rsidR="007A7D75" w:rsidRPr="00314F62">
        <w:t>‘</w:t>
      </w:r>
      <w:r w:rsidRPr="00314F62">
        <w:t>R43</w:t>
      </w:r>
      <w:r w:rsidR="004A2C41" w:rsidRPr="00314F62">
        <w:rPr>
          <w:rStyle w:val="BodyTextIndentItalicChar"/>
        </w:rPr>
        <w:t> </w:t>
      </w:r>
      <w:r w:rsidRPr="00314F62">
        <w:t xml:space="preserve">Red </w:t>
      </w:r>
      <w:r w:rsidR="008946B5" w:rsidRPr="00314F62">
        <w:t>Dust</w:t>
      </w:r>
      <w:r w:rsidR="007A7D75" w:rsidRPr="00314F62">
        <w:t>’</w:t>
      </w:r>
      <w:r w:rsidR="008946B5" w:rsidRPr="00314F62">
        <w:t xml:space="preserve"> </w:t>
      </w:r>
      <w:r w:rsidRPr="00314F62">
        <w:t xml:space="preserve">or </w:t>
      </w:r>
      <w:r w:rsidR="007A7D75" w:rsidRPr="00314F62">
        <w:t>‘</w:t>
      </w:r>
      <w:r w:rsidRPr="00314F62">
        <w:t>R52</w:t>
      </w:r>
      <w:r w:rsidR="004A2C41" w:rsidRPr="00314F62">
        <w:rPr>
          <w:rStyle w:val="BodyTextIndentItalicChar"/>
        </w:rPr>
        <w:t> </w:t>
      </w:r>
      <w:r w:rsidRPr="00314F62">
        <w:t>Terracotta</w:t>
      </w:r>
      <w:r w:rsidR="007A7D75" w:rsidRPr="00314F62">
        <w:t>’</w:t>
      </w:r>
      <w:r w:rsidRPr="00314F62">
        <w:t>.</w:t>
      </w:r>
    </w:p>
    <w:p w14:paraId="78DBCAC4" w14:textId="5C768067" w:rsidR="00AB101F" w:rsidRPr="00314F62" w:rsidRDefault="00D44F86" w:rsidP="00A9631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equivalent to</w:t>
      </w:r>
      <w:r w:rsidR="008F01C7" w:rsidRPr="00336E50">
        <w:rPr>
          <w:rStyle w:val="BodyTextIndentBoldUnderlineChar"/>
          <w:b w:val="0"/>
          <w:bCs/>
          <w:u w:val="none"/>
        </w:rPr>
        <w:t>,</w:t>
      </w:r>
      <w:r w:rsidRPr="00336E50">
        <w:rPr>
          <w:rStyle w:val="BodyTextIndentBoldUnderlineChar"/>
          <w:b w:val="0"/>
          <w:bCs/>
          <w:u w:val="none"/>
        </w:rPr>
        <w:t xml:space="preserve"> or whiter than</w:t>
      </w:r>
      <w:r w:rsidR="008F01C7" w:rsidRPr="00336E50">
        <w:rPr>
          <w:rStyle w:val="BodyTextIndentBoldUnderlineChar"/>
          <w:b w:val="0"/>
          <w:bCs/>
          <w:u w:val="none"/>
        </w:rPr>
        <w:t>,</w:t>
      </w:r>
      <w:r w:rsidRPr="00336E50">
        <w:rPr>
          <w:rStyle w:val="BodyTextIndentBoldUnderlineChar"/>
          <w:b w:val="0"/>
          <w:bCs/>
          <w:u w:val="none"/>
        </w:rPr>
        <w:t xml:space="preserve">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6D8604FA" w14:textId="65D498BB" w:rsidR="00A96313" w:rsidRPr="00336E50" w:rsidRDefault="003C7511" w:rsidP="00DE4BB4">
      <w:pPr>
        <w:pStyle w:val="Heading4"/>
      </w:pPr>
      <w:bookmarkStart w:id="88" w:name="_Toc75951940"/>
      <w:r w:rsidRPr="00336E50">
        <w:lastRenderedPageBreak/>
        <w:t xml:space="preserve">On-road </w:t>
      </w:r>
      <w:r w:rsidR="000F4DED" w:rsidRPr="00336E50">
        <w:t>Bicycle lanes</w:t>
      </w:r>
      <w:r w:rsidR="00391776" w:rsidRPr="00336E50">
        <w:t xml:space="preserve"> and Bicycle Shared Zones</w:t>
      </w:r>
      <w:bookmarkEnd w:id="88"/>
    </w:p>
    <w:p w14:paraId="4979DB36" w14:textId="4928CCA1" w:rsidR="00A96313" w:rsidRDefault="00A96313" w:rsidP="008946B5">
      <w:pPr>
        <w:pStyle w:val="BodyTextIndent"/>
      </w:pPr>
      <w:r w:rsidRPr="00C33044">
        <w:rPr>
          <w:rStyle w:val="BodyTextIndentBoldUnderlineChar"/>
          <w:b w:val="0"/>
          <w:bCs/>
        </w:rPr>
        <w:t>Permitted colours</w:t>
      </w:r>
      <w:r w:rsidRPr="00314F62">
        <w:t xml:space="preserve">: Green </w:t>
      </w:r>
      <w:r w:rsidR="009225BC" w:rsidRPr="00314F62">
        <w:t>to</w:t>
      </w:r>
      <w:r w:rsidRPr="00314F62">
        <w:t xml:space="preserve"> match the </w:t>
      </w:r>
      <w:r w:rsidR="008946B5" w:rsidRPr="00314F62">
        <w:t xml:space="preserve">preferred </w:t>
      </w:r>
      <w:r w:rsidR="00030332" w:rsidRPr="00314F62">
        <w:rPr>
          <w:rStyle w:val="BodyTextIndentItalicChar"/>
        </w:rPr>
        <w:t xml:space="preserve">AS 2700 </w:t>
      </w:r>
      <w:r w:rsidRPr="00314F62">
        <w:t xml:space="preserve">standard colour </w:t>
      </w:r>
      <w:r w:rsidR="007A7D75" w:rsidRPr="00314F62">
        <w:t>‘</w:t>
      </w:r>
      <w:r w:rsidR="008946B5" w:rsidRPr="00314F62">
        <w:t>G27</w:t>
      </w:r>
      <w:r w:rsidR="00180DAC" w:rsidRPr="00314F62">
        <w:rPr>
          <w:rStyle w:val="BodyTextIndentItalicChar"/>
        </w:rPr>
        <w:t> </w:t>
      </w:r>
      <w:r w:rsidR="008946B5" w:rsidRPr="00314F62">
        <w:t>Homebush Green</w:t>
      </w:r>
      <w:r w:rsidR="007A7D75" w:rsidRPr="00314F62">
        <w:t>’</w:t>
      </w:r>
      <w:r w:rsidR="008946B5" w:rsidRPr="00314F62">
        <w:t xml:space="preserve">.  To accommodate different materials and varying conditions, an approximate colour match to one of the following three </w:t>
      </w:r>
      <w:r w:rsidR="00030332" w:rsidRPr="00314F62">
        <w:rPr>
          <w:rStyle w:val="BodyTextIndentItalicChar"/>
        </w:rPr>
        <w:t xml:space="preserve">AS 2700 </w:t>
      </w:r>
      <w:r w:rsidR="008946B5" w:rsidRPr="00314F62">
        <w:t xml:space="preserve">greens is permitted: </w:t>
      </w:r>
      <w:r w:rsidR="007A7D75" w:rsidRPr="00314F62">
        <w:t>‘</w:t>
      </w:r>
      <w:r w:rsidR="008946B5" w:rsidRPr="00314F62">
        <w:t>G27</w:t>
      </w:r>
      <w:r w:rsidR="00180DAC" w:rsidRPr="00314F62">
        <w:rPr>
          <w:rStyle w:val="BodyTextIndentItalicChar"/>
        </w:rPr>
        <w:t> </w:t>
      </w:r>
      <w:r w:rsidR="008946B5" w:rsidRPr="00314F62">
        <w:t>Homebush Green</w:t>
      </w:r>
      <w:r w:rsidR="007A7D75" w:rsidRPr="00314F62">
        <w:t>’</w:t>
      </w:r>
      <w:r w:rsidR="008946B5" w:rsidRPr="00314F62">
        <w:t xml:space="preserve"> or </w:t>
      </w:r>
      <w:r w:rsidR="007A7D75" w:rsidRPr="00314F62">
        <w:t>‘</w:t>
      </w:r>
      <w:r w:rsidR="008946B5" w:rsidRPr="00314F62">
        <w:t>G13</w:t>
      </w:r>
      <w:r w:rsidR="00180DAC" w:rsidRPr="00314F62">
        <w:rPr>
          <w:rStyle w:val="BodyTextIndentItalicChar"/>
        </w:rPr>
        <w:t> </w:t>
      </w:r>
      <w:r w:rsidR="008946B5" w:rsidRPr="00314F62">
        <w:t>Emerald</w:t>
      </w:r>
      <w:r w:rsidR="007A7D75" w:rsidRPr="00314F62">
        <w:t>’</w:t>
      </w:r>
      <w:r w:rsidR="008946B5" w:rsidRPr="00314F62">
        <w:t xml:space="preserve">, </w:t>
      </w:r>
      <w:r w:rsidR="009225BC" w:rsidRPr="00314F62">
        <w:t xml:space="preserve">or </w:t>
      </w:r>
      <w:r w:rsidR="007A7D75" w:rsidRPr="00314F62">
        <w:t>‘</w:t>
      </w:r>
      <w:r w:rsidR="009225BC" w:rsidRPr="00314F62">
        <w:t>G16</w:t>
      </w:r>
      <w:r w:rsidR="00180DAC" w:rsidRPr="00314F62">
        <w:rPr>
          <w:rStyle w:val="BodyTextIndentItalicChar"/>
        </w:rPr>
        <w:t> </w:t>
      </w:r>
      <w:r w:rsidR="009225BC" w:rsidRPr="00314F62">
        <w:t>Traffic Green</w:t>
      </w:r>
      <w:r w:rsidR="007A7D75" w:rsidRPr="00314F62">
        <w:t>’</w:t>
      </w:r>
      <w:r w:rsidRPr="00314F62">
        <w:t>.</w:t>
      </w:r>
    </w:p>
    <w:p w14:paraId="3D3F14D4" w14:textId="382CB0AE" w:rsidR="008F01C7" w:rsidRDefault="008F01C7" w:rsidP="008946B5">
      <w:pPr>
        <w:pStyle w:val="BodyTextIndent"/>
      </w:pPr>
      <w:r w:rsidRPr="00336E50">
        <w:rPr>
          <w:rStyle w:val="BodyTextIndentBoldUnderlineChar"/>
          <w:b w:val="0"/>
          <w:bCs/>
        </w:rPr>
        <w:t xml:space="preserve">Permitted colour for lettering </w:t>
      </w:r>
      <w:r w:rsidR="001649D3" w:rsidRPr="00336E50">
        <w:rPr>
          <w:rStyle w:val="BodyTextIndentBoldUnderlineChar"/>
          <w:b w:val="0"/>
          <w:bCs/>
        </w:rPr>
        <w:t>and symbols</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3BA778FF" w14:textId="2BF6D8D3" w:rsidR="003C7511" w:rsidRPr="00336E50" w:rsidRDefault="003C7511" w:rsidP="00DE4BB4">
      <w:pPr>
        <w:pStyle w:val="Heading4"/>
      </w:pPr>
      <w:bookmarkStart w:id="89" w:name="_Toc75951941"/>
      <w:r w:rsidRPr="00336E50">
        <w:t>Off-road B</w:t>
      </w:r>
      <w:r w:rsidR="001667CE" w:rsidRPr="00336E50">
        <w:t>icycle facilities</w:t>
      </w:r>
      <w:bookmarkEnd w:id="89"/>
    </w:p>
    <w:p w14:paraId="6F4089D2" w14:textId="2A57D349" w:rsidR="003C7511" w:rsidRPr="00336E50" w:rsidRDefault="0032032A" w:rsidP="008946B5">
      <w:pPr>
        <w:pStyle w:val="BodyTextIndent"/>
      </w:pPr>
      <w:r w:rsidRPr="00336E50">
        <w:rPr>
          <w:u w:val="single"/>
        </w:rPr>
        <w:t xml:space="preserve">Permitted colours </w:t>
      </w:r>
      <w:r w:rsidR="00361282" w:rsidRPr="00336E50">
        <w:rPr>
          <w:u w:val="single"/>
        </w:rPr>
        <w:t>–</w:t>
      </w:r>
      <w:r w:rsidRPr="00336E50">
        <w:rPr>
          <w:u w:val="single"/>
        </w:rPr>
        <w:t xml:space="preserve"> </w:t>
      </w:r>
      <w:r w:rsidR="00361282" w:rsidRPr="00336E50">
        <w:rPr>
          <w:u w:val="single"/>
        </w:rPr>
        <w:t>c</w:t>
      </w:r>
      <w:r w:rsidR="00FA3EC7" w:rsidRPr="00336E50">
        <w:rPr>
          <w:u w:val="single"/>
        </w:rPr>
        <w:t>onflict zone</w:t>
      </w:r>
      <w:r w:rsidR="00361282" w:rsidRPr="00336E50">
        <w:rPr>
          <w:u w:val="single"/>
        </w:rPr>
        <w:t xml:space="preserve"> markings</w:t>
      </w:r>
      <w:r w:rsidR="00FA3EC7" w:rsidRPr="00336E50">
        <w:t xml:space="preserve">: Red of an approximate match to any of the </w:t>
      </w:r>
      <w:r w:rsidR="00FA3EC7" w:rsidRPr="00336E50">
        <w:rPr>
          <w:rStyle w:val="BodyTextIndentItalicChar"/>
        </w:rPr>
        <w:t xml:space="preserve">AS 2700 </w:t>
      </w:r>
      <w:r w:rsidR="00FA3EC7" w:rsidRPr="00336E50">
        <w:t>standard colours ‘R13</w:t>
      </w:r>
      <w:r w:rsidR="00FA3EC7" w:rsidRPr="00336E50">
        <w:rPr>
          <w:rStyle w:val="BodyTextIndentItalicChar"/>
        </w:rPr>
        <w:t> </w:t>
      </w:r>
      <w:r w:rsidR="00FA3EC7" w:rsidRPr="00336E50">
        <w:t>Signal Red’ or ‘R14</w:t>
      </w:r>
      <w:r w:rsidR="00FA3EC7" w:rsidRPr="00336E50">
        <w:rPr>
          <w:rStyle w:val="BodyTextIndentItalicChar"/>
        </w:rPr>
        <w:t> </w:t>
      </w:r>
      <w:r w:rsidR="00FA3EC7" w:rsidRPr="00336E50">
        <w:t xml:space="preserve">Waratah’ with Yellow border of an approximate match to any of the </w:t>
      </w:r>
      <w:r w:rsidR="00FA3EC7" w:rsidRPr="00336E50">
        <w:rPr>
          <w:rStyle w:val="BodyTextIndentItalicChar"/>
        </w:rPr>
        <w:t xml:space="preserve">AS 2700 </w:t>
      </w:r>
      <w:r w:rsidR="00FA3EC7" w:rsidRPr="00336E50">
        <w:t>standard colours ‘Y11</w:t>
      </w:r>
      <w:r w:rsidR="00FA3EC7" w:rsidRPr="00336E50">
        <w:rPr>
          <w:rStyle w:val="BodyTextIndentItalicChar"/>
        </w:rPr>
        <w:t> </w:t>
      </w:r>
      <w:r w:rsidR="00FA3EC7" w:rsidRPr="00336E50">
        <w:t>Canary’ or ‘Y12</w:t>
      </w:r>
      <w:r w:rsidR="00FA3EC7" w:rsidRPr="00336E50">
        <w:rPr>
          <w:rStyle w:val="BodyTextIndentItalicChar"/>
        </w:rPr>
        <w:t> </w:t>
      </w:r>
      <w:r w:rsidR="00FA3EC7" w:rsidRPr="00336E50">
        <w:t>Wattle’ or ‘Y13</w:t>
      </w:r>
      <w:r w:rsidR="00FA3EC7" w:rsidRPr="00336E50">
        <w:rPr>
          <w:rStyle w:val="BodyTextIndentItalicChar"/>
        </w:rPr>
        <w:t> </w:t>
      </w:r>
      <w:r w:rsidR="00FA3EC7" w:rsidRPr="00336E50">
        <w:t>Vivid yellow’.</w:t>
      </w:r>
    </w:p>
    <w:p w14:paraId="3E80CE7B" w14:textId="2582D479" w:rsidR="00FA3EC7" w:rsidRPr="00336E50" w:rsidRDefault="00361282" w:rsidP="008946B5">
      <w:pPr>
        <w:pStyle w:val="BodyTextIndent"/>
      </w:pPr>
      <w:r w:rsidRPr="00336E50">
        <w:rPr>
          <w:u w:val="single"/>
        </w:rPr>
        <w:t>Permitted colours – o</w:t>
      </w:r>
      <w:r w:rsidR="003D551F" w:rsidRPr="00336E50">
        <w:rPr>
          <w:u w:val="single"/>
        </w:rPr>
        <w:t>n-surface ‘SLOW’ and ‘CAUTION’</w:t>
      </w:r>
      <w:r w:rsidRPr="00336E50">
        <w:rPr>
          <w:u w:val="single"/>
        </w:rPr>
        <w:t xml:space="preserve"> markings</w:t>
      </w:r>
      <w:r w:rsidR="00B8239D" w:rsidRPr="00336E50">
        <w:t xml:space="preserve">: Yellow of an approximate match to any of the </w:t>
      </w:r>
      <w:r w:rsidR="00B8239D" w:rsidRPr="00336E50">
        <w:rPr>
          <w:rStyle w:val="BodyTextIndentItalicChar"/>
        </w:rPr>
        <w:t xml:space="preserve">AS 2700 </w:t>
      </w:r>
      <w:r w:rsidR="00B8239D" w:rsidRPr="00336E50">
        <w:t>standard colours ‘Y11</w:t>
      </w:r>
      <w:r w:rsidR="00B8239D" w:rsidRPr="00336E50">
        <w:rPr>
          <w:rStyle w:val="BodyTextIndentItalicChar"/>
        </w:rPr>
        <w:t> </w:t>
      </w:r>
      <w:r w:rsidR="00B8239D" w:rsidRPr="00336E50">
        <w:t>Canary’ or ‘Y12</w:t>
      </w:r>
      <w:r w:rsidR="00B8239D" w:rsidRPr="00336E50">
        <w:rPr>
          <w:rStyle w:val="BodyTextIndentItalicChar"/>
        </w:rPr>
        <w:t> </w:t>
      </w:r>
      <w:r w:rsidR="00B8239D" w:rsidRPr="00336E50">
        <w:t>Wattle’ or ‘Y13</w:t>
      </w:r>
      <w:r w:rsidR="00B8239D" w:rsidRPr="00336E50">
        <w:rPr>
          <w:rStyle w:val="BodyTextIndentItalicChar"/>
        </w:rPr>
        <w:t> </w:t>
      </w:r>
      <w:r w:rsidR="00B8239D" w:rsidRPr="00336E50">
        <w:t xml:space="preserve">Vivid yellow’ </w:t>
      </w:r>
      <w:r w:rsidR="0032032A" w:rsidRPr="00336E50">
        <w:t xml:space="preserve">with </w:t>
      </w:r>
      <w:r w:rsidR="00B8239D" w:rsidRPr="00336E50">
        <w:t xml:space="preserve">Red </w:t>
      </w:r>
      <w:r w:rsidR="0032032A" w:rsidRPr="00336E50">
        <w:t xml:space="preserve">lettering </w:t>
      </w:r>
      <w:r w:rsidR="00B8239D" w:rsidRPr="00336E50">
        <w:t xml:space="preserve">of an approximate match to any of the </w:t>
      </w:r>
      <w:r w:rsidR="00B8239D" w:rsidRPr="00336E50">
        <w:rPr>
          <w:rStyle w:val="BodyTextIndentItalicChar"/>
        </w:rPr>
        <w:t xml:space="preserve">AS 2700 </w:t>
      </w:r>
      <w:r w:rsidR="00B8239D" w:rsidRPr="00336E50">
        <w:t>standard colours ‘R13</w:t>
      </w:r>
      <w:r w:rsidR="00B8239D" w:rsidRPr="00336E50">
        <w:rPr>
          <w:rStyle w:val="BodyTextIndentItalicChar"/>
        </w:rPr>
        <w:t> </w:t>
      </w:r>
      <w:r w:rsidR="00B8239D" w:rsidRPr="00336E50">
        <w:t>Signal Red’ or ‘R14</w:t>
      </w:r>
      <w:r w:rsidR="00B8239D" w:rsidRPr="00336E50">
        <w:rPr>
          <w:rStyle w:val="BodyTextIndentItalicChar"/>
        </w:rPr>
        <w:t> </w:t>
      </w:r>
      <w:r w:rsidR="00B8239D" w:rsidRPr="00336E50">
        <w:t>Waratah’.</w:t>
      </w:r>
    </w:p>
    <w:p w14:paraId="271DEC3E" w14:textId="65F5AE0C" w:rsidR="001649D3" w:rsidRPr="00314F62" w:rsidRDefault="001649D3" w:rsidP="008946B5">
      <w:pPr>
        <w:pStyle w:val="BodyTextIndent"/>
      </w:pPr>
      <w:r w:rsidRPr="00336E50">
        <w:rPr>
          <w:rStyle w:val="BodyTextIndentBoldUnderlineChar"/>
          <w:b w:val="0"/>
          <w:bCs/>
        </w:rPr>
        <w:t>Permitted colour for lettering and symbols</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62DB9223" w14:textId="77777777" w:rsidR="00A96313" w:rsidRPr="00314F62" w:rsidRDefault="000F4DED" w:rsidP="00DE4BB4">
      <w:pPr>
        <w:pStyle w:val="Heading4"/>
      </w:pPr>
      <w:bookmarkStart w:id="90" w:name="_Toc75951942"/>
      <w:r>
        <w:t>Bus lanes</w:t>
      </w:r>
      <w:bookmarkEnd w:id="90"/>
    </w:p>
    <w:p w14:paraId="1C823BA8" w14:textId="1D22E8F0" w:rsidR="00A96313" w:rsidRDefault="00A96313" w:rsidP="00A96313">
      <w:pPr>
        <w:pStyle w:val="BodyTextIndent"/>
      </w:pPr>
      <w:r w:rsidRPr="00793DBF">
        <w:rPr>
          <w:rStyle w:val="BodyTextIndentBoldUnderlineChar"/>
          <w:b w:val="0"/>
          <w:bCs/>
        </w:rPr>
        <w:t>Permitted colours</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4A2C41" w:rsidRPr="00314F62">
        <w:rPr>
          <w:rStyle w:val="BodyTextIndentItalicChar"/>
        </w:rPr>
        <w:t> </w:t>
      </w:r>
      <w:r w:rsidRPr="00314F62">
        <w:t xml:space="preserve">Signal </w:t>
      </w:r>
      <w:r w:rsidR="00BA43D5" w:rsidRPr="00314F62">
        <w:t>Red</w:t>
      </w:r>
      <w:r w:rsidR="007A7D75" w:rsidRPr="00314F62">
        <w:t>’</w:t>
      </w:r>
      <w:r w:rsidR="00BA43D5" w:rsidRPr="00314F62">
        <w:t xml:space="preserve"> </w:t>
      </w:r>
      <w:r w:rsidRPr="00314F62">
        <w:t xml:space="preserve">or </w:t>
      </w:r>
      <w:r w:rsidR="007A7D75" w:rsidRPr="00314F62">
        <w:t>‘</w:t>
      </w:r>
      <w:r w:rsidRPr="00314F62">
        <w:t>R14</w:t>
      </w:r>
      <w:r w:rsidR="004A2C41" w:rsidRPr="00314F62">
        <w:rPr>
          <w:rStyle w:val="BodyTextIndentItalicChar"/>
        </w:rPr>
        <w:t> </w:t>
      </w:r>
      <w:r w:rsidRPr="00314F62">
        <w:t>Waratah</w:t>
      </w:r>
      <w:r w:rsidR="007A7D75" w:rsidRPr="00314F62">
        <w:t>’</w:t>
      </w:r>
      <w:r w:rsidRPr="00314F62">
        <w:t>.</w:t>
      </w:r>
    </w:p>
    <w:p w14:paraId="0CCF2094" w14:textId="53C2887E" w:rsidR="001649D3" w:rsidRPr="00314F62" w:rsidRDefault="001649D3" w:rsidP="001649D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50130399" w14:textId="77777777" w:rsidR="00531C72" w:rsidRPr="00336E50" w:rsidRDefault="00531C72" w:rsidP="00DE4BB4">
      <w:pPr>
        <w:pStyle w:val="Heading4"/>
      </w:pPr>
      <w:bookmarkStart w:id="91" w:name="_Toc75951943"/>
      <w:r w:rsidRPr="00336E50">
        <w:t>School Zone Enhanced Treatment</w:t>
      </w:r>
      <w:bookmarkEnd w:id="91"/>
    </w:p>
    <w:p w14:paraId="49755528" w14:textId="22FECB73" w:rsidR="00E90826" w:rsidRDefault="00E90826" w:rsidP="00E90826">
      <w:pPr>
        <w:pStyle w:val="BodyTextIndent"/>
      </w:pPr>
      <w:r w:rsidRPr="00793DBF">
        <w:rPr>
          <w:rStyle w:val="BodyTextIndentBoldUnderlineChar"/>
          <w:b w:val="0"/>
          <w:bCs/>
        </w:rPr>
        <w:t>Permitted colours</w:t>
      </w:r>
      <w:r w:rsidRPr="00314F62">
        <w:t xml:space="preserve">: Red of an approximate match to any of the </w:t>
      </w:r>
      <w:r w:rsidRPr="00314F62">
        <w:rPr>
          <w:rStyle w:val="BodyTextIndentItalicChar"/>
        </w:rPr>
        <w:t xml:space="preserve">AS 2700 </w:t>
      </w:r>
      <w:r w:rsidRPr="00314F62">
        <w:t>standard colours ‘R13</w:t>
      </w:r>
      <w:r w:rsidRPr="00314F62">
        <w:rPr>
          <w:rStyle w:val="BodyTextIndentItalicChar"/>
        </w:rPr>
        <w:t> </w:t>
      </w:r>
      <w:r w:rsidRPr="00314F62">
        <w:t>Signal Red’ or ‘R14</w:t>
      </w:r>
      <w:r w:rsidRPr="00314F62">
        <w:rPr>
          <w:rStyle w:val="BodyTextIndentItalicChar"/>
        </w:rPr>
        <w:t> </w:t>
      </w:r>
      <w:r w:rsidRPr="00314F62">
        <w:t>Waratah’.</w:t>
      </w:r>
    </w:p>
    <w:p w14:paraId="1092063D" w14:textId="77777777" w:rsidR="00AB101F" w:rsidRPr="00314F62" w:rsidRDefault="00AB101F" w:rsidP="00AB101F">
      <w:pPr>
        <w:pStyle w:val="BodyTextIndent"/>
      </w:pPr>
      <w:r w:rsidRPr="00336E50">
        <w:rPr>
          <w:rStyle w:val="BodyTextIndentBoldUnderlineChar"/>
          <w:b w:val="0"/>
          <w:bCs/>
        </w:rPr>
        <w:t>Permitted colours for border of threshold treatments on pavement</w:t>
      </w:r>
      <w:r w:rsidRPr="00336E50">
        <w:t xml:space="preserve">: Yellow of an approximate match to any of the </w:t>
      </w:r>
      <w:r w:rsidRPr="00336E50">
        <w:rPr>
          <w:rStyle w:val="BodyTextIndentItalicChar"/>
        </w:rPr>
        <w:t xml:space="preserve">AS 2700 </w:t>
      </w:r>
      <w:r w:rsidRPr="00336E50">
        <w:t>standard colours ‘Y11</w:t>
      </w:r>
      <w:r w:rsidRPr="00336E50">
        <w:rPr>
          <w:rStyle w:val="BodyTextIndentItalicChar"/>
        </w:rPr>
        <w:t> </w:t>
      </w:r>
      <w:r w:rsidRPr="00336E50">
        <w:t>Canary’ or ‘Y12</w:t>
      </w:r>
      <w:r w:rsidRPr="00336E50">
        <w:rPr>
          <w:rStyle w:val="BodyTextIndentItalicChar"/>
        </w:rPr>
        <w:t> </w:t>
      </w:r>
      <w:r w:rsidRPr="00336E50">
        <w:t>Wattle’ or ‘Y13</w:t>
      </w:r>
      <w:r w:rsidRPr="00336E50">
        <w:rPr>
          <w:rStyle w:val="BodyTextIndentItalicChar"/>
        </w:rPr>
        <w:t> </w:t>
      </w:r>
      <w:r w:rsidRPr="00336E50">
        <w:t>Vivid yellow’.</w:t>
      </w:r>
    </w:p>
    <w:p w14:paraId="116D9C5E" w14:textId="77777777" w:rsidR="001649D3" w:rsidRPr="00314F62" w:rsidRDefault="001649D3" w:rsidP="001649D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47E2ACAC" w14:textId="77777777" w:rsidR="00E16989" w:rsidRPr="00336E50" w:rsidRDefault="00E16989" w:rsidP="00DE4BB4">
      <w:pPr>
        <w:pStyle w:val="Heading4"/>
      </w:pPr>
      <w:bookmarkStart w:id="92" w:name="_Toc75951944"/>
      <w:r w:rsidRPr="00336E50">
        <w:t>Significant Wildlife Conservation Area (SWCA) Thresholds</w:t>
      </w:r>
      <w:bookmarkEnd w:id="92"/>
    </w:p>
    <w:p w14:paraId="3B1FA59C" w14:textId="77777777" w:rsidR="00E16989" w:rsidRPr="00336E50" w:rsidRDefault="00E16989" w:rsidP="00E16989">
      <w:pPr>
        <w:pStyle w:val="BodyTextIndent"/>
      </w:pPr>
      <w:r w:rsidRPr="00336E50">
        <w:rPr>
          <w:rStyle w:val="BodyTextIndentBoldUnderlineChar"/>
          <w:b w:val="0"/>
          <w:bCs/>
        </w:rPr>
        <w:t>Permitted colours</w:t>
      </w:r>
      <w:r w:rsidRPr="00336E50">
        <w:t xml:space="preserve">: Green to match the preferred </w:t>
      </w:r>
      <w:r w:rsidRPr="00336E50">
        <w:rPr>
          <w:rStyle w:val="BodyTextIndentItalicChar"/>
        </w:rPr>
        <w:t xml:space="preserve">AS 2700 </w:t>
      </w:r>
      <w:r w:rsidRPr="00336E50">
        <w:t>standard colour ‘G27</w:t>
      </w:r>
      <w:r w:rsidRPr="00336E50">
        <w:rPr>
          <w:rStyle w:val="BodyTextIndentItalicChar"/>
        </w:rPr>
        <w:t> </w:t>
      </w:r>
      <w:r w:rsidRPr="00336E50">
        <w:t xml:space="preserve">Homebush Green’.  To accommodate different materials and varying conditions, an approximate colour match to one of the following three </w:t>
      </w:r>
      <w:r w:rsidRPr="00336E50">
        <w:rPr>
          <w:rStyle w:val="BodyTextIndentItalicChar"/>
        </w:rPr>
        <w:t xml:space="preserve">AS 2700 </w:t>
      </w:r>
      <w:r w:rsidRPr="00336E50">
        <w:t>greens is permitted: ‘G27</w:t>
      </w:r>
      <w:r w:rsidRPr="00336E50">
        <w:rPr>
          <w:rStyle w:val="BodyTextIndentItalicChar"/>
        </w:rPr>
        <w:t> </w:t>
      </w:r>
      <w:r w:rsidRPr="00336E50">
        <w:t>Homebush Green’ or ‘G13</w:t>
      </w:r>
      <w:r w:rsidRPr="00336E50">
        <w:rPr>
          <w:rStyle w:val="BodyTextIndentItalicChar"/>
        </w:rPr>
        <w:t> </w:t>
      </w:r>
      <w:r w:rsidRPr="00336E50">
        <w:t>Emerald’, or ‘G16</w:t>
      </w:r>
      <w:r w:rsidRPr="00336E50">
        <w:rPr>
          <w:rStyle w:val="BodyTextIndentItalicChar"/>
        </w:rPr>
        <w:t> </w:t>
      </w:r>
      <w:r w:rsidRPr="00336E50">
        <w:t>Traffic Green’.</w:t>
      </w:r>
    </w:p>
    <w:p w14:paraId="62FA151B" w14:textId="77777777" w:rsidR="00E16989" w:rsidRPr="00336E50" w:rsidRDefault="00E16989" w:rsidP="00E16989">
      <w:pPr>
        <w:pStyle w:val="BodyTextIndent"/>
      </w:pPr>
      <w:r w:rsidRPr="00336E50">
        <w:rPr>
          <w:rStyle w:val="BodyTextIndentBoldUnderlineChar"/>
          <w:b w:val="0"/>
          <w:bCs/>
        </w:rPr>
        <w:t>Permitted colours for border of threshold treatments on pavement</w:t>
      </w:r>
      <w:r w:rsidRPr="00336E50">
        <w:t xml:space="preserve">: Yellow of an approximate match to any of the </w:t>
      </w:r>
      <w:r w:rsidRPr="00336E50">
        <w:rPr>
          <w:rStyle w:val="BodyTextIndentItalicChar"/>
        </w:rPr>
        <w:t xml:space="preserve">AS 2700 </w:t>
      </w:r>
      <w:r w:rsidRPr="00336E50">
        <w:t>standard colours ‘Y11</w:t>
      </w:r>
      <w:r w:rsidRPr="00336E50">
        <w:rPr>
          <w:rStyle w:val="BodyTextIndentItalicChar"/>
        </w:rPr>
        <w:t> </w:t>
      </w:r>
      <w:r w:rsidRPr="00336E50">
        <w:t>Canary’ or ‘Y12</w:t>
      </w:r>
      <w:r w:rsidRPr="00336E50">
        <w:rPr>
          <w:rStyle w:val="BodyTextIndentItalicChar"/>
        </w:rPr>
        <w:t> </w:t>
      </w:r>
      <w:r w:rsidRPr="00336E50">
        <w:t>Wattle’ or ‘Y13</w:t>
      </w:r>
      <w:r w:rsidRPr="00336E50">
        <w:rPr>
          <w:rStyle w:val="BodyTextIndentItalicChar"/>
        </w:rPr>
        <w:t> </w:t>
      </w:r>
      <w:r w:rsidRPr="00336E50">
        <w:t>Vivid yellow’.</w:t>
      </w:r>
    </w:p>
    <w:p w14:paraId="67ED359E" w14:textId="6C7B525D" w:rsidR="00531C72" w:rsidRPr="00314F62" w:rsidRDefault="001649D3" w:rsidP="00A9631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4B3767EF" w14:textId="77777777" w:rsidR="00A96313" w:rsidRPr="00314F62" w:rsidRDefault="000F4DED" w:rsidP="00DE4BB4">
      <w:pPr>
        <w:pStyle w:val="Heading4"/>
      </w:pPr>
      <w:bookmarkStart w:id="93" w:name="_Toc75951945"/>
      <w:r>
        <w:t>Decorative streetscape</w:t>
      </w:r>
      <w:bookmarkEnd w:id="93"/>
    </w:p>
    <w:p w14:paraId="279B15BD" w14:textId="77777777" w:rsidR="00A96313" w:rsidRPr="00314F62" w:rsidRDefault="0052773A" w:rsidP="008824D2">
      <w:pPr>
        <w:pStyle w:val="BodyTextIndent"/>
      </w:pPr>
      <w:r w:rsidRPr="00314F62">
        <w:rPr>
          <w:rStyle w:val="BodyTextIndentBoldUnderlineChar"/>
          <w:b w:val="0"/>
          <w:u w:val="none"/>
        </w:rPr>
        <w:t>Not p</w:t>
      </w:r>
      <w:r w:rsidR="00A96313" w:rsidRPr="00314F62">
        <w:rPr>
          <w:rStyle w:val="BodyTextIndentBoldUnderlineChar"/>
          <w:b w:val="0"/>
          <w:u w:val="none"/>
        </w:rPr>
        <w:t xml:space="preserve">ermitted </w:t>
      </w:r>
      <w:r w:rsidR="008824D2" w:rsidRPr="00314F62">
        <w:rPr>
          <w:rStyle w:val="BodyTextIndentBoldUnderlineChar"/>
          <w:b w:val="0"/>
          <w:u w:val="none"/>
        </w:rPr>
        <w:t>for non-traffic management purposes</w:t>
      </w:r>
      <w:r w:rsidR="00A96313" w:rsidRPr="00314F62">
        <w:t>.</w:t>
      </w:r>
    </w:p>
    <w:p w14:paraId="039DCC4E" w14:textId="77777777" w:rsidR="00A96313" w:rsidRPr="00314F62" w:rsidRDefault="000F4DED" w:rsidP="00DE4BB4">
      <w:pPr>
        <w:pStyle w:val="Heading3"/>
      </w:pPr>
      <w:bookmarkStart w:id="94" w:name="_Toc75951946"/>
      <w:r w:rsidRPr="00314F62">
        <w:t>Application Of Coloured Pavement Treatment</w:t>
      </w:r>
      <w:bookmarkEnd w:id="94"/>
    </w:p>
    <w:p w14:paraId="57B37B3D" w14:textId="77777777" w:rsidR="009B2788" w:rsidRPr="00314F62" w:rsidRDefault="009D7751" w:rsidP="00DE4BB4">
      <w:pPr>
        <w:pStyle w:val="Heading4"/>
      </w:pPr>
      <w:bookmarkStart w:id="95" w:name="_Toc75951947"/>
      <w:bookmarkStart w:id="96" w:name="_Toc493942094"/>
      <w:bookmarkStart w:id="97" w:name="_Toc493986933"/>
      <w:r w:rsidRPr="00314F62">
        <w:t>Loc</w:t>
      </w:r>
      <w:r w:rsidR="000F4DED" w:rsidRPr="00314F62">
        <w:t>al area traffic management (LATM) schemes (traffic calming)</w:t>
      </w:r>
      <w:bookmarkEnd w:id="95"/>
    </w:p>
    <w:p w14:paraId="1B8BC820" w14:textId="77777777" w:rsidR="009B2788" w:rsidRPr="00314F62" w:rsidRDefault="009B2788" w:rsidP="009B2788">
      <w:pPr>
        <w:pStyle w:val="BodyTextIndent"/>
      </w:pPr>
      <w:r w:rsidRPr="00314F62">
        <w:t>The correct usage of threshold treatments is to designate a changed road environment where arterial or sub-arterial roads (typically 60km/h or greater) intersect neighbourhood or local access roads (50km/h or less).  The intent is to highlight a change of speed limit or road function i.e. movement vs. access.  The treatment for the entrance to an LATM consists of a threshold treatment (typically full width of road) of red with a yellow border.</w:t>
      </w:r>
    </w:p>
    <w:p w14:paraId="5C893BDB" w14:textId="77777777" w:rsidR="009B2788" w:rsidRPr="00314F62" w:rsidRDefault="009B2788" w:rsidP="009B2788">
      <w:pPr>
        <w:pStyle w:val="BodyTextIndent"/>
      </w:pPr>
      <w:r w:rsidRPr="00314F62">
        <w:t>Coloured pavement treatments are also used to delineate the path through a traffic management/calming device.  These treatments are the same as used for a threshold treatment, namely red with a yellow border.</w:t>
      </w:r>
    </w:p>
    <w:p w14:paraId="17CA1E4C" w14:textId="77777777" w:rsidR="009B2788" w:rsidRPr="00314F62" w:rsidRDefault="009B2788" w:rsidP="009B2788">
      <w:pPr>
        <w:pStyle w:val="BodyTextIndent"/>
      </w:pPr>
      <w:r w:rsidRPr="00314F62">
        <w:lastRenderedPageBreak/>
        <w:t>Some developments often have threshold treatments where they do not have a traffic management function, i.e. local access road to local access road.  These treatments are not to be replaced or reinstalled.</w:t>
      </w:r>
    </w:p>
    <w:p w14:paraId="3FF90600" w14:textId="77777777" w:rsidR="009B2788" w:rsidRPr="00314F62" w:rsidRDefault="003A30E6" w:rsidP="009B2788">
      <w:pPr>
        <w:pStyle w:val="BodyTextIndent"/>
      </w:pPr>
      <w:r w:rsidRPr="00314F62">
        <w:t xml:space="preserve">LATM schemes are </w:t>
      </w:r>
      <w:r w:rsidR="007D4CFA" w:rsidRPr="00314F62">
        <w:t xml:space="preserve">to be </w:t>
      </w:r>
      <w:r w:rsidRPr="00314F62">
        <w:t>installed</w:t>
      </w:r>
      <w:r w:rsidR="00933CE2" w:rsidRPr="00314F62">
        <w:t xml:space="preserve"> in accordance with</w:t>
      </w:r>
      <w:r w:rsidRPr="00314F62">
        <w:t xml:space="preserve"> </w:t>
      </w:r>
      <w:r w:rsidR="00DA52DE" w:rsidRPr="00314F62">
        <w:rPr>
          <w:rStyle w:val="BodyTextIndentItalicChar"/>
        </w:rPr>
        <w:t xml:space="preserve">Brisbane City Council </w:t>
      </w:r>
      <w:r w:rsidRPr="00314F62">
        <w:rPr>
          <w:rStyle w:val="BodyTextIndentItalicChar"/>
        </w:rPr>
        <w:t>Standard Drawings</w:t>
      </w:r>
      <w:r w:rsidRPr="00314F62">
        <w:rPr>
          <w:rFonts w:cs="Arial"/>
        </w:rPr>
        <w:t>.</w:t>
      </w:r>
    </w:p>
    <w:p w14:paraId="4F681746" w14:textId="77777777" w:rsidR="009B2788" w:rsidRPr="00314F62" w:rsidRDefault="000F4DED" w:rsidP="00DE4BB4">
      <w:pPr>
        <w:pStyle w:val="Heading4"/>
      </w:pPr>
      <w:bookmarkStart w:id="98" w:name="_Toc75951948"/>
      <w:r w:rsidRPr="00314F62">
        <w:t>Bus lanes and transit lanes</w:t>
      </w:r>
      <w:bookmarkEnd w:id="98"/>
    </w:p>
    <w:p w14:paraId="6751BA22" w14:textId="77777777" w:rsidR="009B2788" w:rsidRPr="00314F62" w:rsidRDefault="009B2788" w:rsidP="009B2788">
      <w:pPr>
        <w:pStyle w:val="BodyTextIndent"/>
      </w:pPr>
      <w:r w:rsidRPr="00314F62">
        <w:t>There are special requirements for the installation of bus and transit lanes which use/require a coloured pavement treatment and normal longitudinal markings.</w:t>
      </w:r>
    </w:p>
    <w:p w14:paraId="455EA529" w14:textId="77777777" w:rsidR="009B2788" w:rsidRPr="00314F62" w:rsidRDefault="009B2788" w:rsidP="009B2788">
      <w:pPr>
        <w:pStyle w:val="BodyTextIndent"/>
      </w:pPr>
      <w:r w:rsidRPr="00314F62">
        <w:t>For the insta</w:t>
      </w:r>
      <w:r w:rsidR="007D4CFA" w:rsidRPr="00314F62">
        <w:t>llation of bus lane markings</w:t>
      </w:r>
      <w:r w:rsidRPr="00314F62">
        <w:t xml:space="preserve">, refer to </w:t>
      </w:r>
      <w:r w:rsidRPr="00314F62">
        <w:rPr>
          <w:rStyle w:val="BodyTextIndentItalicChar"/>
        </w:rPr>
        <w:t xml:space="preserve">Queensland Department of </w:t>
      </w:r>
      <w:r w:rsidR="00DA52DE" w:rsidRPr="00314F62">
        <w:rPr>
          <w:rStyle w:val="BodyTextIndentItalicChar"/>
        </w:rPr>
        <w:t xml:space="preserve">Transport and </w:t>
      </w:r>
      <w:r w:rsidRPr="00314F62">
        <w:rPr>
          <w:rStyle w:val="BodyTextIndentItalicChar"/>
        </w:rPr>
        <w:t xml:space="preserve">Main Roads </w:t>
      </w:r>
      <w:r w:rsidR="003A30E6" w:rsidRPr="00314F62">
        <w:rPr>
          <w:rStyle w:val="BodyTextIndentItalicChar"/>
        </w:rPr>
        <w:t>Traffic Control drawings TC142</w:t>
      </w:r>
      <w:r w:rsidR="00E934A1" w:rsidRPr="00314F62">
        <w:rPr>
          <w:rStyle w:val="BodyTextIndentItalicChar"/>
        </w:rPr>
        <w:t>7</w:t>
      </w:r>
      <w:r w:rsidR="00DA52DE" w:rsidRPr="00314F62">
        <w:rPr>
          <w:rStyle w:val="BodyTextIndentItalicChar"/>
        </w:rPr>
        <w:t>.</w:t>
      </w:r>
    </w:p>
    <w:p w14:paraId="5AF2E491" w14:textId="77777777" w:rsidR="009B2788" w:rsidRPr="00314F62" w:rsidRDefault="003A30E6" w:rsidP="003A30E6">
      <w:pPr>
        <w:pStyle w:val="BodyTextIndent"/>
      </w:pPr>
      <w:r w:rsidRPr="00314F62">
        <w:t xml:space="preserve">For the installation of transit lane markings, refer to </w:t>
      </w:r>
      <w:r w:rsidRPr="00314F62">
        <w:rPr>
          <w:rStyle w:val="BodyTextIndentItalicChar"/>
        </w:rPr>
        <w:t xml:space="preserve">Queensland Department of </w:t>
      </w:r>
      <w:r w:rsidR="00DA52DE" w:rsidRPr="00314F62">
        <w:rPr>
          <w:rStyle w:val="BodyTextIndentItalicChar"/>
        </w:rPr>
        <w:t xml:space="preserve">Transport and </w:t>
      </w:r>
      <w:r w:rsidRPr="00314F62">
        <w:rPr>
          <w:rStyle w:val="BodyTextIndentItalicChar"/>
        </w:rPr>
        <w:t>Main Roads Traffic Control drawing TC1244</w:t>
      </w:r>
      <w:r w:rsidRPr="00314F62">
        <w:t>.</w:t>
      </w:r>
    </w:p>
    <w:p w14:paraId="3337843D" w14:textId="77777777" w:rsidR="009B2788" w:rsidRPr="00314F62" w:rsidRDefault="009D7751" w:rsidP="00DE4BB4">
      <w:pPr>
        <w:pStyle w:val="Heading4"/>
      </w:pPr>
      <w:bookmarkStart w:id="99" w:name="_Toc75951949"/>
      <w:r w:rsidRPr="00314F62">
        <w:t xml:space="preserve">Bicycle </w:t>
      </w:r>
      <w:r w:rsidR="000F4DED" w:rsidRPr="00314F62">
        <w:t>lanes</w:t>
      </w:r>
      <w:bookmarkEnd w:id="99"/>
    </w:p>
    <w:p w14:paraId="73D8F1C6" w14:textId="77777777" w:rsidR="009B2788" w:rsidRPr="00314F62" w:rsidRDefault="009B2788" w:rsidP="009B2788">
      <w:pPr>
        <w:pStyle w:val="BodyTextIndent"/>
      </w:pPr>
      <w:r w:rsidRPr="00314F62">
        <w:t xml:space="preserve">Coloured bicycle lanes are typically used to delineate specialist bicycle facilities and lanes on the road pavement.  They serve to restrict access where there are high levels of interaction between bicycles and other road users, typically at intersections. </w:t>
      </w:r>
      <w:r w:rsidR="00AB5322" w:rsidRPr="00314F62">
        <w:t xml:space="preserve"> </w:t>
      </w:r>
      <w:r w:rsidRPr="00314F62">
        <w:t>Coloured bicycle lanes are green in colour.</w:t>
      </w:r>
    </w:p>
    <w:p w14:paraId="64C01C0F" w14:textId="77777777" w:rsidR="009B2788" w:rsidRPr="00314F62" w:rsidRDefault="009B2788" w:rsidP="009B2788">
      <w:pPr>
        <w:pStyle w:val="BodyTextIndent"/>
      </w:pPr>
      <w:r w:rsidRPr="00314F62">
        <w:t xml:space="preserve">Associated longitudinal and transverse pavement marking types and dimensions are shown in the </w:t>
      </w:r>
      <w:r w:rsidR="00CB37F5" w:rsidRPr="00314F62">
        <w:rPr>
          <w:rStyle w:val="BodyTextIndentItalicChar"/>
        </w:rPr>
        <w:t>AS </w:t>
      </w:r>
      <w:r w:rsidR="0032291D" w:rsidRPr="00314F62">
        <w:rPr>
          <w:i/>
        </w:rPr>
        <w:t>1742</w:t>
      </w:r>
      <w:r w:rsidR="0032291D" w:rsidRPr="00314F62">
        <w:t xml:space="preserve">, </w:t>
      </w:r>
      <w:r w:rsidR="00E934A1" w:rsidRPr="00314F62">
        <w:rPr>
          <w:i/>
        </w:rPr>
        <w:t xml:space="preserve">Queensland </w:t>
      </w:r>
      <w:r w:rsidRPr="00314F62">
        <w:rPr>
          <w:i/>
        </w:rPr>
        <w:t>MUTCD</w:t>
      </w:r>
      <w:r w:rsidRPr="00314F62">
        <w:t xml:space="preserve"> and B</w:t>
      </w:r>
      <w:r w:rsidR="00DA52DE" w:rsidRPr="00314F62">
        <w:t xml:space="preserve">risbane </w:t>
      </w:r>
      <w:r w:rsidRPr="00314F62">
        <w:t>C</w:t>
      </w:r>
      <w:r w:rsidR="00DA52DE" w:rsidRPr="00314F62">
        <w:t xml:space="preserve">ity </w:t>
      </w:r>
      <w:r w:rsidRPr="00314F62">
        <w:t>C</w:t>
      </w:r>
      <w:r w:rsidR="00DA52DE" w:rsidRPr="00314F62">
        <w:t>ouncil</w:t>
      </w:r>
      <w:r w:rsidRPr="00314F62">
        <w:t xml:space="preserve"> Standard Drawings.</w:t>
      </w:r>
    </w:p>
    <w:p w14:paraId="39015147" w14:textId="77777777" w:rsidR="009B2788" w:rsidRPr="00314F62" w:rsidRDefault="009B2788" w:rsidP="009B2788">
      <w:pPr>
        <w:pStyle w:val="BodyTextIndent"/>
      </w:pPr>
      <w:r w:rsidRPr="00314F62">
        <w:t>For typical longitudinal traffic markings, waterborne paint is preferred for these applications if the thickness tolerance for longlife material cannot be achieved.</w:t>
      </w:r>
    </w:p>
    <w:p w14:paraId="0297E4DE" w14:textId="77777777" w:rsidR="009B2788" w:rsidRPr="00314F62" w:rsidRDefault="009B2788" w:rsidP="009B2788">
      <w:pPr>
        <w:pStyle w:val="BodyTextIndent"/>
      </w:pPr>
      <w:r w:rsidRPr="00314F62">
        <w:t>A longlife material (other than hot applied thermoplastic) maybe used on high volume roads where excessive wear may occur.  Any markings in a longlife material are not to exceed 3mm in thickness.  The use of hot applied thermoplastic markings is to be avoided in areas with high bicycle use, particularly when used for bicycle lanes.</w:t>
      </w:r>
    </w:p>
    <w:p w14:paraId="1833C47C" w14:textId="77777777" w:rsidR="009B2788" w:rsidRPr="00314F62" w:rsidRDefault="009B2788" w:rsidP="009B2788">
      <w:pPr>
        <w:pStyle w:val="BodyTextIndent"/>
      </w:pPr>
      <w:r w:rsidRPr="00314F62">
        <w:t>Testing has shown that hot applied thermoplastic can be hazardous to bicycles (and motorcycles) due to the potential for water build-up or ponding behind the line which has the potential to contribute to aquaplaning and the potential for low skid-resistance on the surface of the material if an anti-skid material is not applied installation.</w:t>
      </w:r>
    </w:p>
    <w:p w14:paraId="1505867E" w14:textId="0C756A3E" w:rsidR="00856CEA" w:rsidRPr="00314F62" w:rsidRDefault="007D4CFA" w:rsidP="00856CEA">
      <w:pPr>
        <w:pStyle w:val="BodyTextIndent"/>
        <w:rPr>
          <w:rStyle w:val="BodyTextIndentItalicChar"/>
        </w:rPr>
      </w:pPr>
      <w:r w:rsidRPr="00314F62">
        <w:t>On-road b</w:t>
      </w:r>
      <w:r w:rsidR="003A30E6" w:rsidRPr="00314F62">
        <w:t xml:space="preserve">icycle facilities are installed to </w:t>
      </w:r>
      <w:r w:rsidR="00E934A1" w:rsidRPr="00314F62">
        <w:rPr>
          <w:rStyle w:val="BodyTextIndentItalicChar"/>
        </w:rPr>
        <w:t xml:space="preserve">Austroads Guide to Road Design: Part 6A, </w:t>
      </w:r>
      <w:r w:rsidR="003A30E6" w:rsidRPr="00314F62">
        <w:rPr>
          <w:rStyle w:val="BodyTextIndentItalicChar"/>
        </w:rPr>
        <w:t xml:space="preserve">Standard Drawing </w:t>
      </w:r>
      <w:r w:rsidR="00856CEA" w:rsidRPr="00314F62">
        <w:rPr>
          <w:rStyle w:val="BodyTextIndentItalicChar"/>
        </w:rPr>
        <w:t>BSD-5104</w:t>
      </w:r>
      <w:r w:rsidR="00E934A1" w:rsidRPr="00314F62">
        <w:rPr>
          <w:rStyle w:val="BodyTextIndentItalicChar"/>
        </w:rPr>
        <w:t xml:space="preserve"> and </w:t>
      </w:r>
      <w:r w:rsidR="00843A04" w:rsidRPr="00314F62">
        <w:rPr>
          <w:rStyle w:val="BodyTextIndentItalicChar"/>
        </w:rPr>
        <w:t xml:space="preserve">DTMR </w:t>
      </w:r>
      <w:r w:rsidR="00AB5322" w:rsidRPr="00314F62">
        <w:rPr>
          <w:rStyle w:val="BodyTextIndentItalicChar"/>
        </w:rPr>
        <w:t>‘</w:t>
      </w:r>
      <w:r w:rsidR="00843A04" w:rsidRPr="00314F62">
        <w:rPr>
          <w:rStyle w:val="BodyTextIndentItalicChar"/>
        </w:rPr>
        <w:t>A guide to signing cycle networks</w:t>
      </w:r>
      <w:r w:rsidR="00AB5322" w:rsidRPr="00314F62">
        <w:rPr>
          <w:rStyle w:val="BodyTextIndentItalicChar"/>
        </w:rPr>
        <w:t>’</w:t>
      </w:r>
      <w:r w:rsidR="00856CEA" w:rsidRPr="00314F62">
        <w:rPr>
          <w:rStyle w:val="BodyTextIndentItalicChar"/>
        </w:rPr>
        <w:t>.</w:t>
      </w:r>
    </w:p>
    <w:p w14:paraId="10055828" w14:textId="7906BA03" w:rsidR="009B2788" w:rsidRPr="00336E50" w:rsidRDefault="009D7751" w:rsidP="00DE4BB4">
      <w:pPr>
        <w:pStyle w:val="Heading4"/>
      </w:pPr>
      <w:bookmarkStart w:id="100" w:name="_Toc75951950"/>
      <w:r w:rsidRPr="00336E50">
        <w:t xml:space="preserve">School </w:t>
      </w:r>
      <w:r w:rsidR="006058D0" w:rsidRPr="00336E50">
        <w:t>Z</w:t>
      </w:r>
      <w:r w:rsidR="000F4DED" w:rsidRPr="00336E50">
        <w:t>one</w:t>
      </w:r>
      <w:r w:rsidR="00144167" w:rsidRPr="00336E50">
        <w:t xml:space="preserve"> Enhanced Treatment</w:t>
      </w:r>
      <w:bookmarkEnd w:id="100"/>
    </w:p>
    <w:p w14:paraId="3813BBD7" w14:textId="196B71F7" w:rsidR="009B2788" w:rsidRPr="00336E50" w:rsidRDefault="009B2788" w:rsidP="009B2788">
      <w:pPr>
        <w:pStyle w:val="BodyTextIndent"/>
      </w:pPr>
      <w:r w:rsidRPr="00336E50">
        <w:t xml:space="preserve">School Zone </w:t>
      </w:r>
      <w:r w:rsidR="00144167" w:rsidRPr="00336E50">
        <w:t xml:space="preserve">Enhanced Treatments </w:t>
      </w:r>
      <w:r w:rsidRPr="00336E50">
        <w:t xml:space="preserve">are installed to alert motorist that they are entering a specialist traffic zone.  The </w:t>
      </w:r>
      <w:r w:rsidR="006058D0" w:rsidRPr="00336E50">
        <w:t xml:space="preserve">School Zone </w:t>
      </w:r>
      <w:r w:rsidR="00144167" w:rsidRPr="00336E50">
        <w:t xml:space="preserve">Enhanced Treatment </w:t>
      </w:r>
      <w:r w:rsidRPr="00336E50">
        <w:t>consists of a threshold treatment (either part or full width of road) of red with a yellow border with the legend ‘SCHOOL ZONE’ written across the red section of the threshold.</w:t>
      </w:r>
    </w:p>
    <w:p w14:paraId="681A019E" w14:textId="4C4D5076" w:rsidR="003A30E6" w:rsidRPr="00336E50" w:rsidRDefault="003A30E6" w:rsidP="003A30E6">
      <w:pPr>
        <w:pStyle w:val="BodyTextIndent"/>
        <w:rPr>
          <w:rFonts w:cs="Arial"/>
        </w:rPr>
      </w:pPr>
      <w:r w:rsidRPr="00336E50">
        <w:t xml:space="preserve">School Zone </w:t>
      </w:r>
      <w:r w:rsidR="00C33044" w:rsidRPr="00336E50">
        <w:t xml:space="preserve">Enhanced Treatments </w:t>
      </w:r>
      <w:r w:rsidRPr="00336E50">
        <w:t xml:space="preserve">are </w:t>
      </w:r>
      <w:r w:rsidR="007D4CFA" w:rsidRPr="00336E50">
        <w:t xml:space="preserve">to be </w:t>
      </w:r>
      <w:r w:rsidRPr="00336E50">
        <w:t xml:space="preserve">installed to </w:t>
      </w:r>
      <w:r w:rsidRPr="00336E50">
        <w:rPr>
          <w:rStyle w:val="BodyTextIndentItalicChar"/>
        </w:rPr>
        <w:t xml:space="preserve">Standard Drawing </w:t>
      </w:r>
      <w:r w:rsidR="007F180D" w:rsidRPr="00336E50">
        <w:rPr>
          <w:rStyle w:val="BodyTextIndentItalicChar"/>
        </w:rPr>
        <w:t>BSD-3167</w:t>
      </w:r>
      <w:r w:rsidRPr="00336E50">
        <w:rPr>
          <w:rFonts w:cs="Arial"/>
        </w:rPr>
        <w:t>.</w:t>
      </w:r>
    </w:p>
    <w:p w14:paraId="3BF94436" w14:textId="45CE1662" w:rsidR="00A60156" w:rsidRPr="00336E50" w:rsidRDefault="00A60156" w:rsidP="00DE4BB4">
      <w:pPr>
        <w:pStyle w:val="Heading4"/>
      </w:pPr>
      <w:bookmarkStart w:id="101" w:name="_Toc75951951"/>
      <w:r w:rsidRPr="00336E50">
        <w:t>Significant Wildlife Conservation Area (SWCA) Thresholds</w:t>
      </w:r>
      <w:bookmarkEnd w:id="101"/>
    </w:p>
    <w:p w14:paraId="640ED1D8" w14:textId="38CAA732" w:rsidR="00A60156" w:rsidRPr="00336E50" w:rsidRDefault="00F02A25" w:rsidP="001D5D09">
      <w:pPr>
        <w:pStyle w:val="BodyTextIndent"/>
      </w:pPr>
      <w:r w:rsidRPr="00336E50">
        <w:t xml:space="preserve">Significant Wildlife Conservation Area (SWCA) Thresholds </w:t>
      </w:r>
      <w:r w:rsidR="00A60156" w:rsidRPr="00336E50">
        <w:t xml:space="preserve">are be used to identify the start of signed ‘Significant Wildlife Conservation Areas’ (SWCAs).  The purpose of threshold treatments is to complement the entry signs into a SWCA and shall bear the words 'WILD LIFE'. </w:t>
      </w:r>
    </w:p>
    <w:p w14:paraId="273F7036" w14:textId="720A325C" w:rsidR="00A60156" w:rsidRPr="00336E50" w:rsidRDefault="00F02A25" w:rsidP="00A60156">
      <w:pPr>
        <w:pStyle w:val="BodyTextIndent"/>
        <w:rPr>
          <w:rFonts w:cs="Arial"/>
        </w:rPr>
      </w:pPr>
      <w:r w:rsidRPr="00336E50">
        <w:t xml:space="preserve">Significant Wildlife Conservation Area (SWCA) Thresholds </w:t>
      </w:r>
      <w:r w:rsidR="00C94CB5" w:rsidRPr="00336E50">
        <w:t>are to be installed as per</w:t>
      </w:r>
      <w:r w:rsidR="00A60156" w:rsidRPr="00336E50">
        <w:t xml:space="preserve"> </w:t>
      </w:r>
      <w:r w:rsidR="008D3A12" w:rsidRPr="00336E50">
        <w:rPr>
          <w:i/>
          <w:iCs/>
        </w:rPr>
        <w:t>DTMR TC</w:t>
      </w:r>
      <w:r w:rsidR="00E84B92" w:rsidRPr="00336E50">
        <w:rPr>
          <w:rStyle w:val="BodyTextIndentItalicChar"/>
        </w:rPr>
        <w:t> </w:t>
      </w:r>
      <w:r w:rsidR="008D3A12" w:rsidRPr="00336E50">
        <w:rPr>
          <w:i/>
          <w:iCs/>
        </w:rPr>
        <w:t xml:space="preserve">Sign </w:t>
      </w:r>
      <w:r w:rsidR="008D3A12" w:rsidRPr="00336E50">
        <w:rPr>
          <w:rFonts w:cs="Arial"/>
          <w:i/>
          <w:iCs/>
        </w:rPr>
        <w:t>TC2321</w:t>
      </w:r>
      <w:r w:rsidR="001D5D09" w:rsidRPr="00336E50">
        <w:rPr>
          <w:rFonts w:cs="Arial"/>
        </w:rPr>
        <w:t>.</w:t>
      </w:r>
    </w:p>
    <w:p w14:paraId="0307C091" w14:textId="7C47F486" w:rsidR="00EA3A3B" w:rsidRPr="00A60156" w:rsidRDefault="0047592B" w:rsidP="00EA3A3B">
      <w:pPr>
        <w:pStyle w:val="BodyTextIndent"/>
        <w:rPr>
          <w:rFonts w:cs="Arial"/>
        </w:rPr>
      </w:pPr>
      <w:r w:rsidRPr="00336E50">
        <w:t xml:space="preserve">Significant Wildlife Conservation Area (SWCA) Thresholds </w:t>
      </w:r>
      <w:r w:rsidR="00EA3A3B" w:rsidRPr="00336E50">
        <w:rPr>
          <w:rFonts w:cs="Arial"/>
        </w:rPr>
        <w:t xml:space="preserve">are to be </w:t>
      </w:r>
      <w:r w:rsidR="00D5769C" w:rsidRPr="00336E50">
        <w:rPr>
          <w:rFonts w:cs="Arial"/>
        </w:rPr>
        <w:t>using a Type 2 Treatment (High Friction Surfacing System).</w:t>
      </w:r>
    </w:p>
    <w:p w14:paraId="48BCF46C" w14:textId="77777777" w:rsidR="009B2788" w:rsidRPr="00314F62" w:rsidRDefault="009D7751" w:rsidP="00DE4BB4">
      <w:pPr>
        <w:pStyle w:val="Heading4"/>
      </w:pPr>
      <w:bookmarkStart w:id="102" w:name="_Toc75951952"/>
      <w:r w:rsidRPr="00314F62">
        <w:t>Pedestrian</w:t>
      </w:r>
      <w:r w:rsidR="000F4DED" w:rsidRPr="00314F62">
        <w:t xml:space="preserve"> facilities</w:t>
      </w:r>
      <w:bookmarkEnd w:id="102"/>
    </w:p>
    <w:p w14:paraId="13F9ADE7" w14:textId="77777777" w:rsidR="009B2788" w:rsidRPr="00314F62" w:rsidRDefault="009B2788" w:rsidP="009B2788">
      <w:pPr>
        <w:pStyle w:val="BodyTextIndent"/>
      </w:pPr>
      <w:r w:rsidRPr="00314F62">
        <w:t xml:space="preserve">A coloured pavement treatment </w:t>
      </w:r>
      <w:r w:rsidR="006058D0" w:rsidRPr="00314F62">
        <w:t>may be</w:t>
      </w:r>
      <w:r w:rsidRPr="00314F62">
        <w:t xml:space="preserve"> used at pedestrian facilities to show a clear path or delineation for users.  These facilities include pedestrian refuges and pedestrian build-outs at crossings.</w:t>
      </w:r>
    </w:p>
    <w:p w14:paraId="6C912226" w14:textId="77777777" w:rsidR="009B2788" w:rsidRPr="00314F62" w:rsidRDefault="009B2788" w:rsidP="009B2788">
      <w:pPr>
        <w:pStyle w:val="BodyTextIndent"/>
      </w:pPr>
      <w:r w:rsidRPr="00314F62">
        <w:t>Coloured pavement treatments may also be installed to highlight or provide a contrast for pedestrian facilities, for example, a Zebra Crossing.</w:t>
      </w:r>
    </w:p>
    <w:p w14:paraId="16D80498" w14:textId="41E9E91F" w:rsidR="003A30E6" w:rsidRPr="00314F62" w:rsidRDefault="003A30E6" w:rsidP="003A30E6">
      <w:pPr>
        <w:pStyle w:val="BodyTextIndent"/>
        <w:rPr>
          <w:rFonts w:cs="Arial"/>
        </w:rPr>
      </w:pPr>
      <w:r w:rsidRPr="00314F62">
        <w:t xml:space="preserve">Pedestrian </w:t>
      </w:r>
      <w:r w:rsidR="007D4CFA" w:rsidRPr="00314F62">
        <w:t>facilities</w:t>
      </w:r>
      <w:r w:rsidRPr="00314F62">
        <w:t xml:space="preserve"> are </w:t>
      </w:r>
      <w:r w:rsidR="007D4CFA" w:rsidRPr="00314F62">
        <w:t xml:space="preserve">to be </w:t>
      </w:r>
      <w:r w:rsidRPr="00314F62">
        <w:t xml:space="preserve">installed to </w:t>
      </w:r>
      <w:r w:rsidRPr="00314F62">
        <w:rPr>
          <w:rStyle w:val="BodyTextIndentItalicChar"/>
        </w:rPr>
        <w:t xml:space="preserve">Standard Drawing </w:t>
      </w:r>
      <w:r w:rsidR="00856CEA" w:rsidRPr="00314F62">
        <w:rPr>
          <w:rStyle w:val="BodyTextIndentItalicChar"/>
        </w:rPr>
        <w:t>BSD-5232, BSD-5258</w:t>
      </w:r>
      <w:r w:rsidR="00856CEA" w:rsidRPr="00314F62">
        <w:t xml:space="preserve"> </w:t>
      </w:r>
      <w:r w:rsidR="00856CEA" w:rsidRPr="00314F62">
        <w:rPr>
          <w:rStyle w:val="BodyTextIndentItalicChar"/>
        </w:rPr>
        <w:t>BSD-5259 and BSD-5260</w:t>
      </w:r>
      <w:r w:rsidRPr="00314F62">
        <w:rPr>
          <w:rFonts w:cs="Arial"/>
        </w:rPr>
        <w:t>.</w:t>
      </w:r>
    </w:p>
    <w:p w14:paraId="7834E733" w14:textId="77777777" w:rsidR="009B2788" w:rsidRPr="00314F62" w:rsidRDefault="0005528F" w:rsidP="00DE4BB4">
      <w:pPr>
        <w:pStyle w:val="Heading4"/>
      </w:pPr>
      <w:bookmarkStart w:id="103" w:name="_Toc75951953"/>
      <w:r w:rsidRPr="00314F62">
        <w:lastRenderedPageBreak/>
        <w:t>High friction surface</w:t>
      </w:r>
      <w:r w:rsidR="000F4DED" w:rsidRPr="00314F62">
        <w:t xml:space="preserve"> treatments</w:t>
      </w:r>
      <w:bookmarkEnd w:id="103"/>
    </w:p>
    <w:p w14:paraId="20968145" w14:textId="77777777" w:rsidR="009B2788" w:rsidRPr="00314F62" w:rsidRDefault="009B2788" w:rsidP="009B2788">
      <w:pPr>
        <w:pStyle w:val="BodyTextIndent"/>
      </w:pPr>
      <w:r w:rsidRPr="00314F62">
        <w:t>This treatment is applied to areas or sections of a road that has a history of accidents and/or considered to have a surface with an unacceptable skid level.</w:t>
      </w:r>
    </w:p>
    <w:p w14:paraId="48EA03B7" w14:textId="77777777" w:rsidR="009B2788" w:rsidRPr="00314F62" w:rsidRDefault="009B2788" w:rsidP="009B2788">
      <w:pPr>
        <w:pStyle w:val="BodyTextIndent"/>
      </w:pPr>
      <w:r w:rsidRPr="00314F62">
        <w:t>While not technically a coloured pavement treatment and not performing a traffic function, these treatments are normally a different colour to the existing road surface and are often very noticeable.  They are covered by the same specification as coloured pavement treatments and are often applied by the same suppliers using very similar techniques.</w:t>
      </w:r>
    </w:p>
    <w:p w14:paraId="549D608A" w14:textId="77777777" w:rsidR="009B2788" w:rsidRPr="00314F62" w:rsidRDefault="009B2788" w:rsidP="009B2788">
      <w:pPr>
        <w:pStyle w:val="BodyTextIndent"/>
      </w:pPr>
      <w:r w:rsidRPr="00314F62">
        <w:t>Care has to be taken when considering work on or near these treatments as there installation is considered a safety issue.  These materials must be replaced with a like material after maintenance.</w:t>
      </w:r>
    </w:p>
    <w:p w14:paraId="348D7EE7" w14:textId="77777777" w:rsidR="009B2788" w:rsidRPr="00314F62" w:rsidRDefault="009D7751" w:rsidP="00DE4BB4">
      <w:pPr>
        <w:pStyle w:val="Heading4"/>
      </w:pPr>
      <w:bookmarkStart w:id="104" w:name="_Toc75951954"/>
      <w:r w:rsidRPr="00314F62">
        <w:t xml:space="preserve">Installation </w:t>
      </w:r>
      <w:r w:rsidR="00AC07C9" w:rsidRPr="00314F62">
        <w:t>and</w:t>
      </w:r>
      <w:r w:rsidRPr="00314F62">
        <w:t xml:space="preserve"> </w:t>
      </w:r>
      <w:r w:rsidR="000F4DED" w:rsidRPr="00314F62">
        <w:t xml:space="preserve">re-instatement </w:t>
      </w:r>
      <w:r w:rsidR="000F4DED" w:rsidRPr="00314F62">
        <w:rPr>
          <w:rFonts w:hint="eastAsia"/>
        </w:rPr>
        <w:t>–</w:t>
      </w:r>
      <w:r w:rsidR="000F4DED" w:rsidRPr="00314F62">
        <w:t xml:space="preserve"> coloured pavement treatments</w:t>
      </w:r>
      <w:bookmarkEnd w:id="104"/>
    </w:p>
    <w:p w14:paraId="334A258E" w14:textId="77777777" w:rsidR="009B2788" w:rsidRPr="00C33044" w:rsidRDefault="009B2788" w:rsidP="004B5D81">
      <w:pPr>
        <w:pStyle w:val="BodyTextIndentBoldUnderline"/>
        <w:rPr>
          <w:b w:val="0"/>
          <w:bCs/>
        </w:rPr>
      </w:pPr>
      <w:r w:rsidRPr="00C33044">
        <w:rPr>
          <w:b w:val="0"/>
          <w:bCs/>
        </w:rPr>
        <w:t>General Requirements</w:t>
      </w:r>
    </w:p>
    <w:p w14:paraId="3E8F96EC" w14:textId="77777777" w:rsidR="009B2788" w:rsidRPr="00314F62" w:rsidRDefault="009B2788" w:rsidP="009B2788">
      <w:pPr>
        <w:pStyle w:val="BodyTextIndent"/>
      </w:pPr>
      <w:r w:rsidRPr="00314F62">
        <w:t>Coloured pavement treatments are only to be installed or re-instated where they serve a traffic management function or as described in this document.  Examples include where they are part of a LATM or Traffic Calming Scheme, bus or bicycle lanes, a school zone or pedestrian facilities.</w:t>
      </w:r>
    </w:p>
    <w:p w14:paraId="259DA983" w14:textId="77777777" w:rsidR="009B2788" w:rsidRPr="00314F62" w:rsidRDefault="009B2788" w:rsidP="009B2788">
      <w:pPr>
        <w:pStyle w:val="BodyTextIndent"/>
      </w:pPr>
      <w:r w:rsidRPr="00314F62">
        <w:t>Threshold treatments need to be maintained where local and neighbourhood roads meet arterial, sub-arterial or district access roads as defined in the Road Hierarchy Plan for Brisbane.  Treatments will also need maintenance where they delineate the path through a traffic control device or on a speed platform within a controlled area due to wear or following pavement resurfacing.</w:t>
      </w:r>
    </w:p>
    <w:p w14:paraId="2C7CCEE6" w14:textId="77777777" w:rsidR="009B2788" w:rsidRPr="00314F62" w:rsidRDefault="009B2788" w:rsidP="009B2788">
      <w:pPr>
        <w:pStyle w:val="BodyTextIndent"/>
      </w:pPr>
      <w:r w:rsidRPr="00314F62">
        <w:t>Where the treatment is to be reinstalled/reinstated, use only with the colours as described in the specification (red with yellow border).</w:t>
      </w:r>
    </w:p>
    <w:p w14:paraId="4B1A0BE5" w14:textId="77777777" w:rsidR="009B2788" w:rsidRPr="00314F62" w:rsidRDefault="009B2788" w:rsidP="009B2788">
      <w:pPr>
        <w:pStyle w:val="BodyTextIndent"/>
      </w:pPr>
      <w:r w:rsidRPr="00314F62">
        <w:t>Threshold treatments at local intersections that are clearly defined T-junctions should not require maintenance.</w:t>
      </w:r>
    </w:p>
    <w:p w14:paraId="41472ED3" w14:textId="77777777" w:rsidR="009B2788" w:rsidRPr="00314F62" w:rsidRDefault="009B2788" w:rsidP="009B2788">
      <w:pPr>
        <w:pStyle w:val="BodyTextIndent"/>
      </w:pPr>
      <w:r w:rsidRPr="00314F62">
        <w:t>In cases where the threshold is at a T-junction that is not clearly defined, the threshold should be maintained as an indication of intersection priority, that is the threshold is on the terminating road. If there is any doubt, advice should be sought from Road Network officers (T</w:t>
      </w:r>
      <w:r w:rsidR="00492689" w:rsidRPr="00314F62">
        <w:t xml:space="preserve">ransport and </w:t>
      </w:r>
      <w:r w:rsidRPr="00314F62">
        <w:t>T</w:t>
      </w:r>
      <w:r w:rsidR="00492689" w:rsidRPr="00314F62">
        <w:t>raffic</w:t>
      </w:r>
      <w:r w:rsidRPr="00314F62">
        <w:t>) for the area.  Alternatively the treatment could be replaced with the appropriate intersection treatment with the installation of signage and a Give Way line.</w:t>
      </w:r>
    </w:p>
    <w:p w14:paraId="62DC3E4D" w14:textId="77777777" w:rsidR="009B2788" w:rsidRPr="00314F62" w:rsidRDefault="009B2788" w:rsidP="009B2788">
      <w:pPr>
        <w:pStyle w:val="BodyTextIndent"/>
      </w:pPr>
      <w:r w:rsidRPr="00314F62">
        <w:t>For those cases where the threshold treatment is not to be maintained then the surface treatment should be left to wear off.  If necessary, the community will need to be advised where the treatment is not being replaced.</w:t>
      </w:r>
    </w:p>
    <w:p w14:paraId="364EEE29" w14:textId="77777777" w:rsidR="009B2788" w:rsidRPr="00C33044" w:rsidRDefault="009B2788" w:rsidP="004B5D81">
      <w:pPr>
        <w:pStyle w:val="BodyTextIndentBoldUnderline"/>
        <w:rPr>
          <w:b w:val="0"/>
          <w:bCs/>
        </w:rPr>
      </w:pPr>
      <w:r w:rsidRPr="00C33044">
        <w:rPr>
          <w:b w:val="0"/>
          <w:bCs/>
        </w:rPr>
        <w:t>Other Surface Materials</w:t>
      </w:r>
    </w:p>
    <w:p w14:paraId="0D135ABD" w14:textId="77777777" w:rsidR="009B2788" w:rsidRPr="00314F62" w:rsidRDefault="009B2788" w:rsidP="009B2788">
      <w:pPr>
        <w:pStyle w:val="BodyTextIndent"/>
      </w:pPr>
      <w:r w:rsidRPr="00314F62">
        <w:t>Where treatment is completed in material other than a surface applied material (pavers or concrete), and rehabilitation or replacement is justified, remove existing material and replace with asphalt surface and surface applied coloured treatment.  Where road surface requires rehabilitation and replacement of colour surface is not justified, remove and replace with asphalt surface.</w:t>
      </w:r>
    </w:p>
    <w:p w14:paraId="3A8CAED8" w14:textId="77777777" w:rsidR="005E132D" w:rsidRDefault="009B2788" w:rsidP="005E132D">
      <w:pPr>
        <w:pStyle w:val="BodyTextIndent"/>
      </w:pPr>
      <w:r w:rsidRPr="00314F62">
        <w:t>If necessary, the community will need to be advised where the treatment is not being replaced</w:t>
      </w:r>
      <w:bookmarkEnd w:id="96"/>
      <w:bookmarkEnd w:id="97"/>
    </w:p>
    <w:sectPr w:rsidR="005E132D" w:rsidSect="00495374">
      <w:footerReference w:type="default" r:id="rId20"/>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21890" w14:textId="77777777" w:rsidR="00A9431E" w:rsidRDefault="00A9431E" w:rsidP="00A96313">
      <w:pPr>
        <w:pStyle w:val="BodyTextIndentMinor"/>
      </w:pPr>
      <w:r>
        <w:separator/>
      </w:r>
    </w:p>
  </w:endnote>
  <w:endnote w:type="continuationSeparator" w:id="0">
    <w:p w14:paraId="0F1D03BE" w14:textId="77777777" w:rsidR="00A9431E" w:rsidRDefault="00A9431E" w:rsidP="00A96313">
      <w:pPr>
        <w:pStyle w:val="BodyTextIndentMinor"/>
      </w:pPr>
      <w:r>
        <w:continuationSeparator/>
      </w:r>
    </w:p>
  </w:endnote>
  <w:endnote w:type="continuationNotice" w:id="1">
    <w:p w14:paraId="1ADD9FB6" w14:textId="77777777" w:rsidR="00A9431E" w:rsidRDefault="00A94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D8AA" w14:textId="5F1B9AF1" w:rsidR="005A102D" w:rsidRDefault="005A102D">
    <w:pPr>
      <w:pStyle w:val="Footer"/>
    </w:pPr>
    <w:r w:rsidRPr="005A102D">
      <w:t>Revision 5.0 –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7B1C" w14:textId="1661B2A3" w:rsidR="005A102D" w:rsidRDefault="005A102D">
    <w:pPr>
      <w:pStyle w:val="Footer"/>
    </w:pPr>
    <w:r>
      <w:rPr>
        <w:noProof/>
      </w:rPr>
      <mc:AlternateContent>
        <mc:Choice Requires="wps">
          <w:drawing>
            <wp:anchor distT="0" distB="0" distL="114300" distR="114300" simplePos="0" relativeHeight="251658251" behindDoc="0" locked="0" layoutInCell="1" allowOverlap="1" wp14:anchorId="3335AA27" wp14:editId="2CCD610D">
              <wp:simplePos x="0" y="0"/>
              <wp:positionH relativeFrom="page">
                <wp:posOffset>4680585</wp:posOffset>
              </wp:positionH>
              <wp:positionV relativeFrom="page">
                <wp:posOffset>7381240</wp:posOffset>
              </wp:positionV>
              <wp:extent cx="4957200" cy="270000"/>
              <wp:effectExtent l="2267267" t="0" r="2263458"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21D37B" w14:textId="77777777" w:rsidR="005A102D" w:rsidRPr="00026533" w:rsidRDefault="005A102D" w:rsidP="0075268B">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38BB216D" w14:textId="77777777" w:rsidR="005A102D" w:rsidRPr="00BB7649" w:rsidRDefault="005A102D" w:rsidP="0075268B">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5AA27" id="_x0000_t202" coordsize="21600,21600" o:spt="202" path="m,l,21600r21600,l21600,xe">
              <v:stroke joinstyle="miter"/>
              <v:path gradientshapeok="t" o:connecttype="rect"/>
            </v:shapetype>
            <v:shape id="Text Box 6" o:spid="_x0000_s1026" type="#_x0000_t202" style="position:absolute;left:0;text-align:left;margin-left:368.55pt;margin-top:581.2pt;width:390.35pt;height:21.25pt;rotation:-5921140fd;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" filled="f" stroked="f">
              <v:stroke joinstyle="round"/>
              <o:lock v:ext="edit" shapetype="t"/>
              <v:textbox style="layout-flow:vertical;mso-layout-flow-alt:bottom-to-top">
                <w:txbxContent>
                  <w:p w14:paraId="7C21D37B" w14:textId="77777777" w:rsidR="005A102D" w:rsidRPr="00026533" w:rsidRDefault="005A102D" w:rsidP="0075268B">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38BB216D" w14:textId="77777777" w:rsidR="005A102D" w:rsidRPr="00BB7649" w:rsidRDefault="005A102D" w:rsidP="0075268B">
                    <w:pPr>
                      <w:pStyle w:val="NormalWeb"/>
                      <w:spacing w:before="0" w:beforeAutospacing="0" w:after="0" w:afterAutospacing="0"/>
                      <w:rPr>
                        <w:rFonts w:ascii="Arial Bold" w:hAnsi="Arial Bold"/>
                        <w:sz w:val="28"/>
                        <w:szCs w:val="28"/>
                      </w:rPr>
                    </w:pPr>
                  </w:p>
                </w:txbxContent>
              </v:textbox>
              <w10:wrap anchorx="page" anchory="page"/>
            </v:shape>
          </w:pict>
        </mc:Fallback>
      </mc:AlternateContent>
    </w:r>
    <w:r>
      <w:rPr>
        <w:noProof/>
      </w:rPr>
      <w:t xml:space="preserve">Revision 5.0 – </w:t>
    </w:r>
    <w:r w:rsidRPr="002940F8">
      <w:rPr>
        <w:noProof/>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9191" w14:textId="77777777" w:rsidR="005A102D" w:rsidRDefault="005A102D" w:rsidP="00C62B5E">
    <w:pPr>
      <w:pStyle w:val="Footer"/>
    </w:pPr>
    <w:r>
      <w:rPr>
        <w:noProof/>
      </w:rPr>
      <mc:AlternateContent>
        <mc:Choice Requires="wps">
          <w:drawing>
            <wp:anchor distT="0" distB="0" distL="114300" distR="114300" simplePos="0" relativeHeight="251662347" behindDoc="0" locked="0" layoutInCell="1" allowOverlap="1" wp14:anchorId="196E348E" wp14:editId="33E2ED00">
              <wp:simplePos x="0" y="0"/>
              <wp:positionH relativeFrom="page">
                <wp:posOffset>4680585</wp:posOffset>
              </wp:positionH>
              <wp:positionV relativeFrom="page">
                <wp:posOffset>7381240</wp:posOffset>
              </wp:positionV>
              <wp:extent cx="4957200" cy="270000"/>
              <wp:effectExtent l="2267267" t="0" r="2263458"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EB61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7A0E8069" w14:textId="77777777" w:rsidR="005A102D" w:rsidRPr="00BB7649" w:rsidRDefault="005A102D" w:rsidP="00026533">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E348E" id="_x0000_t202" coordsize="21600,21600" o:spt="202" path="m,l,21600r21600,l21600,xe">
              <v:stroke joinstyle="miter"/>
              <v:path gradientshapeok="t" o:connecttype="rect"/>
            </v:shapetype>
            <v:shape id="Text Box 2" o:spid="_x0000_s1027" type="#_x0000_t202" style="position:absolute;left:0;text-align:left;margin-left:368.55pt;margin-top:581.2pt;width:390.35pt;height:21.25pt;rotation:-5921140fd;z-index:251662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" filled="f" stroked="f">
              <v:stroke joinstyle="round"/>
              <o:lock v:ext="edit" shapetype="t"/>
              <v:textbox style="layout-flow:vertical;mso-layout-flow-alt:bottom-to-top">
                <w:txbxContent>
                  <w:p w14:paraId="6DEB61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7A0E8069" w14:textId="77777777" w:rsidR="005A102D" w:rsidRPr="00BB7649" w:rsidRDefault="005A102D" w:rsidP="00026533">
                    <w:pPr>
                      <w:pStyle w:val="NormalWeb"/>
                      <w:spacing w:before="0" w:beforeAutospacing="0" w:after="0" w:afterAutospacing="0"/>
                      <w:rPr>
                        <w:rFonts w:ascii="Arial Bold" w:hAnsi="Arial Bold"/>
                        <w:sz w:val="28"/>
                        <w:szCs w:val="28"/>
                      </w:rPr>
                    </w:pPr>
                  </w:p>
                </w:txbxContent>
              </v:textbox>
              <w10:wrap anchorx="page" anchory="page"/>
            </v:shape>
          </w:pict>
        </mc:Fallback>
      </mc:AlternateContent>
    </w:r>
    <w:bookmarkStart w:id="4" w:name="_Hlk75859399"/>
    <w:r>
      <w:rPr>
        <w:noProof/>
      </w:rPr>
      <w:t>Revision 5.0 – March 2021</w:t>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73AB" w14:textId="204C3052" w:rsidR="005A102D" w:rsidRDefault="005A102D" w:rsidP="005A102D">
    <w:pPr>
      <w:pStyle w:val="Footer"/>
      <w:tabs>
        <w:tab w:val="clear" w:pos="8306"/>
        <w:tab w:val="right" w:pos="9354"/>
      </w:tabs>
    </w:pPr>
    <w:r>
      <w:rPr>
        <w:noProof/>
      </w:rPr>
      <mc:AlternateContent>
        <mc:Choice Requires="wps">
          <w:drawing>
            <wp:anchor distT="0" distB="0" distL="114300" distR="114300" simplePos="0" relativeHeight="251658245" behindDoc="0" locked="0" layoutInCell="1" allowOverlap="1" wp14:anchorId="704C5070" wp14:editId="76C9835B">
              <wp:simplePos x="0" y="0"/>
              <wp:positionH relativeFrom="page">
                <wp:posOffset>4680585</wp:posOffset>
              </wp:positionH>
              <wp:positionV relativeFrom="page">
                <wp:posOffset>7381240</wp:posOffset>
              </wp:positionV>
              <wp:extent cx="4957200" cy="270000"/>
              <wp:effectExtent l="2267267" t="0" r="2263458"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B030CE"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0518DDCD" w14:textId="77777777" w:rsidR="005A102D" w:rsidRPr="00BB7649" w:rsidRDefault="005A102D" w:rsidP="00026533">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C5070" id="_x0000_t202" coordsize="21600,21600" o:spt="202" path="m,l,21600r21600,l21600,xe">
              <v:stroke joinstyle="miter"/>
              <v:path gradientshapeok="t" o:connecttype="rect"/>
            </v:shapetype>
            <v:shape id="Text Box 11" o:spid="_x0000_s1028" type="#_x0000_t202" style="position:absolute;left:0;text-align:left;margin-left:368.55pt;margin-top:581.2pt;width:390.35pt;height:21.25pt;rotation:-5921140fd;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" filled="f" stroked="f">
              <v:stroke joinstyle="round"/>
              <o:lock v:ext="edit" shapetype="t"/>
              <v:textbox style="layout-flow:vertical;mso-layout-flow-alt:bottom-to-top">
                <w:txbxContent>
                  <w:p w14:paraId="12B030CE"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0518DDCD" w14:textId="77777777" w:rsidR="005A102D" w:rsidRPr="00BB7649" w:rsidRDefault="005A102D" w:rsidP="00026533">
                    <w:pPr>
                      <w:pStyle w:val="NormalWeb"/>
                      <w:spacing w:before="0" w:beforeAutospacing="0" w:after="0" w:afterAutospacing="0"/>
                      <w:rPr>
                        <w:rFonts w:ascii="Arial Bold" w:hAnsi="Arial Bold"/>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06E1F824" wp14:editId="25F932BB">
              <wp:simplePos x="0" y="0"/>
              <wp:positionH relativeFrom="margin">
                <wp:posOffset>5761355</wp:posOffset>
              </wp:positionH>
              <wp:positionV relativeFrom="margin">
                <wp:posOffset>8371205</wp:posOffset>
              </wp:positionV>
              <wp:extent cx="2879725" cy="215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B8B085" w14:textId="77777777" w:rsidR="005A102D" w:rsidRDefault="005A102D" w:rsidP="00DC2C5B">
                          <w:pPr>
                            <w:pStyle w:val="NormalWeb"/>
                            <w:spacing w:before="0" w:beforeAutospacing="0" w:after="0" w:afterAutospacing="0"/>
                          </w:pPr>
                          <w:r w:rsidRPr="005146A9">
                            <w:rPr>
                              <w:rFonts w:ascii="Arial" w:hAnsi="Arial" w:cs="Arial"/>
                              <w:b/>
                              <w:bCs/>
                              <w:i/>
                              <w:iCs/>
                              <w:color w:val="336699"/>
                            </w:rPr>
                            <w:t>S180</w:t>
                          </w:r>
                          <w:r>
                            <w:rPr>
                              <w:rFonts w:ascii="Arial" w:hAnsi="Arial" w:cs="Arial"/>
                              <w:b/>
                              <w:bCs/>
                              <w:i/>
                              <w:iCs/>
                              <w:color w:val="336699"/>
                            </w:rPr>
                            <w:t xml:space="preserve"> </w:t>
                          </w:r>
                          <w:r w:rsidRPr="005146A9">
                            <w:rPr>
                              <w:rFonts w:ascii="Arial" w:hAnsi="Arial" w:cs="Arial"/>
                              <w:b/>
                              <w:bCs/>
                              <w:i/>
                              <w:iCs/>
                              <w:color w:val="336699"/>
                            </w:rPr>
                            <w:t xml:space="preserve"> UNIT PAVING</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1F824" id="Text Box 14" o:spid="_x0000_s1029" type="#_x0000_t202" style="position:absolute;left:0;text-align:left;margin-left:453.65pt;margin-top:659.15pt;width:226.75pt;height:17pt;rotation:-5921140fd;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" filled="f" stroked="f">
              <v:stroke joinstyle="round"/>
              <o:lock v:ext="edit" shapetype="t"/>
              <v:textbox style="layout-flow:vertical;mso-layout-flow-alt:bottom-to-top;mso-fit-shape-to-text:t">
                <w:txbxContent>
                  <w:p w14:paraId="31B8B085" w14:textId="77777777" w:rsidR="005A102D" w:rsidRDefault="005A102D" w:rsidP="00DC2C5B">
                    <w:pPr>
                      <w:pStyle w:val="NormalWeb"/>
                      <w:spacing w:before="0" w:beforeAutospacing="0" w:after="0" w:afterAutospacing="0"/>
                    </w:pPr>
                    <w:r w:rsidRPr="005146A9">
                      <w:rPr>
                        <w:rFonts w:ascii="Arial" w:hAnsi="Arial" w:cs="Arial"/>
                        <w:b/>
                        <w:bCs/>
                        <w:i/>
                        <w:iCs/>
                        <w:color w:val="336699"/>
                      </w:rPr>
                      <w:t>S180</w:t>
                    </w:r>
                    <w:r>
                      <w:rPr>
                        <w:rFonts w:ascii="Arial" w:hAnsi="Arial" w:cs="Arial"/>
                        <w:b/>
                        <w:bCs/>
                        <w:i/>
                        <w:iCs/>
                        <w:color w:val="336699"/>
                      </w:rPr>
                      <w:t xml:space="preserve"> </w:t>
                    </w:r>
                    <w:r w:rsidRPr="005146A9">
                      <w:rPr>
                        <w:rFonts w:ascii="Arial" w:hAnsi="Arial" w:cs="Arial"/>
                        <w:b/>
                        <w:bCs/>
                        <w:i/>
                        <w:iCs/>
                        <w:color w:val="336699"/>
                      </w:rPr>
                      <w:t xml:space="preserve"> UNIT PAVING</w:t>
                    </w:r>
                  </w:p>
                </w:txbxContent>
              </v:textbox>
              <w10:wrap anchorx="margin" anchory="margin"/>
            </v:shape>
          </w:pict>
        </mc:Fallback>
      </mc:AlternateContent>
    </w:r>
    <w:r>
      <w:rPr>
        <w:noProof/>
      </w:rPr>
      <w:t xml:space="preserve">Revision 5.0 – </w:t>
    </w:r>
    <w:r w:rsidRPr="002940F8">
      <w:rPr>
        <w:noProof/>
      </w:rPr>
      <w:t>March 2021</w:t>
    </w:r>
    <w:r>
      <w:rPr>
        <w:noProof/>
      </w:rPr>
      <w:tab/>
    </w:r>
    <w:r>
      <w:rPr>
        <w:noProof/>
      </w:rP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BB43" w14:textId="2A9831F4" w:rsidR="005A102D" w:rsidRDefault="005A102D" w:rsidP="005A102D">
    <w:pPr>
      <w:pStyle w:val="Footer"/>
      <w:tabs>
        <w:tab w:val="clear" w:pos="8306"/>
        <w:tab w:val="right" w:pos="9354"/>
      </w:tabs>
    </w:pPr>
    <w:r>
      <w:rPr>
        <w:noProof/>
      </w:rPr>
      <mc:AlternateContent>
        <mc:Choice Requires="wps">
          <w:drawing>
            <wp:anchor distT="0" distB="0" distL="114300" distR="114300" simplePos="0" relativeHeight="251658249" behindDoc="0" locked="0" layoutInCell="1" allowOverlap="1" wp14:anchorId="188E4850" wp14:editId="793232C8">
              <wp:simplePos x="0" y="0"/>
              <wp:positionH relativeFrom="page">
                <wp:posOffset>4680585</wp:posOffset>
              </wp:positionH>
              <wp:positionV relativeFrom="page">
                <wp:posOffset>7381240</wp:posOffset>
              </wp:positionV>
              <wp:extent cx="4957200" cy="270000"/>
              <wp:effectExtent l="2267267" t="0" r="2263458"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AC5D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23F9A07B" w14:textId="77777777" w:rsidR="005A102D" w:rsidRPr="00BB7649" w:rsidRDefault="005A102D" w:rsidP="00026533">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4850" id="_x0000_t202" coordsize="21600,21600" o:spt="202" path="m,l,21600r21600,l21600,xe">
              <v:stroke joinstyle="miter"/>
              <v:path gradientshapeok="t" o:connecttype="rect"/>
            </v:shapetype>
            <v:shape id="Text Box 16" o:spid="_x0000_s1030" type="#_x0000_t202" style="position:absolute;left:0;text-align:left;margin-left:368.55pt;margin-top:581.2pt;width:390.35pt;height:21.25pt;rotation:-5921140fd;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" filled="f" stroked="f">
              <v:stroke joinstyle="round"/>
              <o:lock v:ext="edit" shapetype="t"/>
              <v:textbox style="layout-flow:vertical;mso-layout-flow-alt:bottom-to-top">
                <w:txbxContent>
                  <w:p w14:paraId="18AC5D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23F9A07B" w14:textId="77777777" w:rsidR="005A102D" w:rsidRPr="00BB7649" w:rsidRDefault="005A102D" w:rsidP="00026533">
                    <w:pPr>
                      <w:pStyle w:val="NormalWeb"/>
                      <w:spacing w:before="0" w:beforeAutospacing="0" w:after="0" w:afterAutospacing="0"/>
                      <w:rPr>
                        <w:rFonts w:ascii="Arial Bold" w:hAnsi="Arial Bold"/>
                        <w:sz w:val="28"/>
                        <w:szCs w:val="28"/>
                      </w:rPr>
                    </w:pPr>
                  </w:p>
                </w:txbxContent>
              </v:textbox>
              <w10:wrap anchorx="page" anchory="page"/>
            </v:shape>
          </w:pict>
        </mc:Fallback>
      </mc:AlternateContent>
    </w:r>
    <w:r>
      <w:rPr>
        <w:noProof/>
      </w:rPr>
      <w:t xml:space="preserve">Revision 5.0 – </w:t>
    </w:r>
    <w:r w:rsidRPr="002940F8">
      <w:rPr>
        <w:noProof/>
      </w:rPr>
      <w:t>March 2021</w:t>
    </w:r>
    <w:r>
      <w:rPr>
        <w:noProof/>
      </w:rPr>
      <w:tab/>
    </w:r>
    <w:r>
      <w:rPr>
        <w:noProof/>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41F3" w14:textId="77777777" w:rsidR="00A9431E" w:rsidRDefault="00A9431E" w:rsidP="00A96313">
      <w:pPr>
        <w:pStyle w:val="BodyTextIndentMinor"/>
      </w:pPr>
      <w:r>
        <w:separator/>
      </w:r>
    </w:p>
  </w:footnote>
  <w:footnote w:type="continuationSeparator" w:id="0">
    <w:p w14:paraId="4CEBE71F" w14:textId="77777777" w:rsidR="00A9431E" w:rsidRDefault="00A9431E" w:rsidP="00A96313">
      <w:pPr>
        <w:pStyle w:val="BodyTextIndentMinor"/>
      </w:pPr>
      <w:r>
        <w:continuationSeparator/>
      </w:r>
    </w:p>
  </w:footnote>
  <w:footnote w:type="continuationNotice" w:id="1">
    <w:p w14:paraId="6FD5A6F4" w14:textId="77777777" w:rsidR="00A9431E" w:rsidRDefault="00A94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A83D" w14:textId="08BA1A5B" w:rsidR="005A102D" w:rsidRPr="00C62B5E" w:rsidRDefault="005A102D" w:rsidP="004E27ED">
    <w:pPr>
      <w:pStyle w:val="Header"/>
    </w:pPr>
    <w:r>
      <w:rPr>
        <w:noProof/>
      </w:rPr>
      <w:drawing>
        <wp:inline distT="0" distB="0" distL="0" distR="0" wp14:anchorId="344F39D5" wp14:editId="3FE880A6">
          <wp:extent cx="1384068" cy="720000"/>
          <wp:effectExtent l="0" t="0" r="6985" b="4445"/>
          <wp:docPr id="8" name="Picture 3"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8" cy="720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DD9C" w14:textId="39FAB7B3" w:rsidR="005A102D" w:rsidRPr="00F94CD1" w:rsidRDefault="005A102D" w:rsidP="004E27ED">
    <w:pPr>
      <w:pStyle w:val="Header"/>
    </w:pPr>
    <w:r w:rsidRPr="00C62B5E">
      <w:t>Brisbane City Council</w:t>
    </w:r>
    <w:r>
      <w:tab/>
    </w:r>
    <w:r>
      <w:tab/>
    </w:r>
    <w:r w:rsidRPr="00336E50">
      <w:t>Reference Specifications for Engineering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5619" w14:textId="284F671D" w:rsidR="005A102D" w:rsidRPr="004E27ED" w:rsidRDefault="005A102D" w:rsidP="004E27ED">
    <w:pPr>
      <w:pStyle w:val="Header"/>
    </w:pPr>
    <w:r w:rsidRPr="004E27ED">
      <w:t>Brisbane City Council</w:t>
    </w:r>
    <w:r w:rsidRPr="004E27ED">
      <w:tab/>
    </w:r>
    <w:r w:rsidRPr="004E27ED">
      <w:tab/>
      <w:t>Reference Specifications for Engineering Work</w:t>
    </w:r>
    <w:r w:rsidR="00EC613A" w:rsidRPr="004E27ED">
      <w:t xml:space="preserve"> S155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4D60"/>
    <w:multiLevelType w:val="singleLevel"/>
    <w:tmpl w:val="9DBCB77E"/>
    <w:lvl w:ilvl="0">
      <w:start w:val="6"/>
      <w:numFmt w:val="bullet"/>
      <w:pStyle w:val="Dot2"/>
      <w:lvlText w:val="-"/>
      <w:lvlJc w:val="left"/>
      <w:pPr>
        <w:tabs>
          <w:tab w:val="num" w:pos="360"/>
        </w:tabs>
        <w:ind w:left="340" w:hanging="340"/>
      </w:pPr>
      <w:rPr>
        <w:rFonts w:hint="default"/>
      </w:rPr>
    </w:lvl>
  </w:abstractNum>
  <w:abstractNum w:abstractNumId="1" w15:restartNumberingAfterBreak="0">
    <w:nsid w:val="19EE7B1F"/>
    <w:multiLevelType w:val="multilevel"/>
    <w:tmpl w:val="6748CEB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C841EC8"/>
    <w:multiLevelType w:val="multilevel"/>
    <w:tmpl w:val="36B89E18"/>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pStyle w:val="Heading4"/>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F7D38F0"/>
    <w:multiLevelType w:val="hybridMultilevel"/>
    <w:tmpl w:val="97AE75F6"/>
    <w:lvl w:ilvl="0" w:tplc="C88657A4">
      <w:start w:val="1"/>
      <w:numFmt w:val="bullet"/>
      <w:pStyle w:val="TableDo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5" w15:restartNumberingAfterBreak="0">
    <w:nsid w:val="2CD6461A"/>
    <w:multiLevelType w:val="singleLevel"/>
    <w:tmpl w:val="86F00B46"/>
    <w:lvl w:ilvl="0">
      <w:start w:val="1"/>
      <w:numFmt w:val="bullet"/>
      <w:pStyle w:val="DotTab"/>
      <w:lvlText w:val=""/>
      <w:lvlJc w:val="left"/>
      <w:pPr>
        <w:tabs>
          <w:tab w:val="num" w:pos="720"/>
        </w:tabs>
        <w:ind w:left="720" w:hanging="720"/>
      </w:pPr>
      <w:rPr>
        <w:rFonts w:ascii="Symbol" w:hAnsi="Symbol" w:hint="default"/>
      </w:rPr>
    </w:lvl>
  </w:abstractNum>
  <w:abstractNum w:abstractNumId="6" w15:restartNumberingAfterBreak="0">
    <w:nsid w:val="32192CE4"/>
    <w:multiLevelType w:val="multilevel"/>
    <w:tmpl w:val="BA46A9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4845996"/>
    <w:multiLevelType w:val="multilevel"/>
    <w:tmpl w:val="694C1C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79935AC"/>
    <w:multiLevelType w:val="multilevel"/>
    <w:tmpl w:val="C6065E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C092C91"/>
    <w:multiLevelType w:val="multilevel"/>
    <w:tmpl w:val="C722FE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EC76C36"/>
    <w:multiLevelType w:val="multilevel"/>
    <w:tmpl w:val="E91EB9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59071DE7"/>
    <w:multiLevelType w:val="multilevel"/>
    <w:tmpl w:val="A0AA48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C9B7B9C"/>
    <w:multiLevelType w:val="multilevel"/>
    <w:tmpl w:val="709C91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83564B"/>
    <w:multiLevelType w:val="multilevel"/>
    <w:tmpl w:val="56B26550"/>
    <w:lvl w:ilvl="0">
      <w:start w:val="1"/>
      <w:numFmt w:val="bullet"/>
      <w:pStyle w:val="Dot20"/>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E65AF5"/>
    <w:multiLevelType w:val="multilevel"/>
    <w:tmpl w:val="E0F4A0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67A79AC"/>
    <w:multiLevelType w:val="multilevel"/>
    <w:tmpl w:val="0C09001F"/>
    <w:lvl w:ilvl="0">
      <w:start w:val="1"/>
      <w:numFmt w:val="decimal"/>
      <w:pStyle w:val="DotPoin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CB57878"/>
    <w:multiLevelType w:val="multilevel"/>
    <w:tmpl w:val="6FEE6F14"/>
    <w:lvl w:ilvl="0">
      <w:start w:val="1"/>
      <w:numFmt w:val="bullet"/>
      <w:pStyle w:val="BodyTextIndentDot"/>
      <w:lvlText w:val=""/>
      <w:lvlJc w:val="left"/>
      <w:pPr>
        <w:tabs>
          <w:tab w:val="num" w:pos="1134"/>
        </w:tabs>
        <w:ind w:left="1134" w:hanging="425"/>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3"/>
  </w:num>
  <w:num w:numId="4">
    <w:abstractNumId w:val="17"/>
  </w:num>
  <w:num w:numId="5">
    <w:abstractNumId w:val="0"/>
  </w:num>
  <w:num w:numId="6">
    <w:abstractNumId w:val="14"/>
  </w:num>
  <w:num w:numId="7">
    <w:abstractNumId w:val="5"/>
  </w:num>
  <w:num w:numId="8">
    <w:abstractNumId w:val="4"/>
  </w:num>
  <w:num w:numId="9">
    <w:abstractNumId w:val="8"/>
  </w:num>
  <w:num w:numId="10">
    <w:abstractNumId w:val="11"/>
  </w:num>
  <w:num w:numId="11">
    <w:abstractNumId w:val="15"/>
  </w:num>
  <w:num w:numId="12">
    <w:abstractNumId w:val="1"/>
  </w:num>
  <w:num w:numId="13">
    <w:abstractNumId w:val="12"/>
  </w:num>
  <w:num w:numId="14">
    <w:abstractNumId w:val="6"/>
  </w:num>
  <w:num w:numId="15">
    <w:abstractNumId w:val="9"/>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7UL5DKZX9kUB/jsIah1XBGxOV+Q7UvG/iwICYPAcEld7ikU3A6Vg/+fnUN31VFztM0Cdn+HtesaWIrg1k68WA==" w:salt="VX0JUbIn1AcUiKefn9S5ZQ=="/>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13"/>
    <w:rsid w:val="00004FB2"/>
    <w:rsid w:val="00015B2B"/>
    <w:rsid w:val="000208EF"/>
    <w:rsid w:val="00026533"/>
    <w:rsid w:val="00030332"/>
    <w:rsid w:val="00037FA8"/>
    <w:rsid w:val="00042191"/>
    <w:rsid w:val="0004385E"/>
    <w:rsid w:val="0005528F"/>
    <w:rsid w:val="000563B5"/>
    <w:rsid w:val="000630DC"/>
    <w:rsid w:val="000721EC"/>
    <w:rsid w:val="00077FF2"/>
    <w:rsid w:val="00083A3A"/>
    <w:rsid w:val="00084541"/>
    <w:rsid w:val="00084AC7"/>
    <w:rsid w:val="00091A1A"/>
    <w:rsid w:val="000C1351"/>
    <w:rsid w:val="000D6DA8"/>
    <w:rsid w:val="000E45BE"/>
    <w:rsid w:val="000E5F2F"/>
    <w:rsid w:val="000F4DED"/>
    <w:rsid w:val="000F5E96"/>
    <w:rsid w:val="00107B69"/>
    <w:rsid w:val="00110F64"/>
    <w:rsid w:val="00121CA5"/>
    <w:rsid w:val="00123BF3"/>
    <w:rsid w:val="001256CE"/>
    <w:rsid w:val="00130D00"/>
    <w:rsid w:val="001348B7"/>
    <w:rsid w:val="00144167"/>
    <w:rsid w:val="00145AA6"/>
    <w:rsid w:val="00161F00"/>
    <w:rsid w:val="001649D3"/>
    <w:rsid w:val="001667CE"/>
    <w:rsid w:val="001745F1"/>
    <w:rsid w:val="0017729E"/>
    <w:rsid w:val="00180DAC"/>
    <w:rsid w:val="00181466"/>
    <w:rsid w:val="00193C2C"/>
    <w:rsid w:val="001954BC"/>
    <w:rsid w:val="00197103"/>
    <w:rsid w:val="001A5291"/>
    <w:rsid w:val="001A6923"/>
    <w:rsid w:val="001A69F5"/>
    <w:rsid w:val="001B52A8"/>
    <w:rsid w:val="001B7E00"/>
    <w:rsid w:val="001C2EF8"/>
    <w:rsid w:val="001C3C5A"/>
    <w:rsid w:val="001C42A2"/>
    <w:rsid w:val="001D0D8F"/>
    <w:rsid w:val="001D2B17"/>
    <w:rsid w:val="001D5D09"/>
    <w:rsid w:val="001E14C1"/>
    <w:rsid w:val="001F5944"/>
    <w:rsid w:val="00204594"/>
    <w:rsid w:val="00211A0B"/>
    <w:rsid w:val="002225D1"/>
    <w:rsid w:val="002318B9"/>
    <w:rsid w:val="002367B8"/>
    <w:rsid w:val="00236D27"/>
    <w:rsid w:val="00240206"/>
    <w:rsid w:val="002452F7"/>
    <w:rsid w:val="00247D82"/>
    <w:rsid w:val="00256293"/>
    <w:rsid w:val="002667DB"/>
    <w:rsid w:val="002709B9"/>
    <w:rsid w:val="00274D77"/>
    <w:rsid w:val="00281436"/>
    <w:rsid w:val="0028292B"/>
    <w:rsid w:val="00283B14"/>
    <w:rsid w:val="002940F8"/>
    <w:rsid w:val="002969C7"/>
    <w:rsid w:val="002B4E76"/>
    <w:rsid w:val="002D2A9A"/>
    <w:rsid w:val="002E3664"/>
    <w:rsid w:val="002F5A15"/>
    <w:rsid w:val="003002E4"/>
    <w:rsid w:val="00301029"/>
    <w:rsid w:val="003042DE"/>
    <w:rsid w:val="00307BAE"/>
    <w:rsid w:val="00314F62"/>
    <w:rsid w:val="0032032A"/>
    <w:rsid w:val="0032291D"/>
    <w:rsid w:val="003306BC"/>
    <w:rsid w:val="00336E50"/>
    <w:rsid w:val="00361282"/>
    <w:rsid w:val="00365663"/>
    <w:rsid w:val="00376511"/>
    <w:rsid w:val="00391776"/>
    <w:rsid w:val="003A30E6"/>
    <w:rsid w:val="003B2159"/>
    <w:rsid w:val="003B56BB"/>
    <w:rsid w:val="003B64D2"/>
    <w:rsid w:val="003B6CDB"/>
    <w:rsid w:val="003C0E0B"/>
    <w:rsid w:val="003C7511"/>
    <w:rsid w:val="003D551F"/>
    <w:rsid w:val="003D5935"/>
    <w:rsid w:val="003E1090"/>
    <w:rsid w:val="003E1B2C"/>
    <w:rsid w:val="003F22DA"/>
    <w:rsid w:val="003F24FD"/>
    <w:rsid w:val="003F31FB"/>
    <w:rsid w:val="003F63BA"/>
    <w:rsid w:val="003F71B0"/>
    <w:rsid w:val="004242B2"/>
    <w:rsid w:val="0042703A"/>
    <w:rsid w:val="0043020E"/>
    <w:rsid w:val="00432E21"/>
    <w:rsid w:val="00444730"/>
    <w:rsid w:val="00464920"/>
    <w:rsid w:val="00473D2A"/>
    <w:rsid w:val="0047592B"/>
    <w:rsid w:val="00492689"/>
    <w:rsid w:val="00493606"/>
    <w:rsid w:val="00495374"/>
    <w:rsid w:val="00495482"/>
    <w:rsid w:val="00496D21"/>
    <w:rsid w:val="004A2C41"/>
    <w:rsid w:val="004A4944"/>
    <w:rsid w:val="004A7B52"/>
    <w:rsid w:val="004B3856"/>
    <w:rsid w:val="004B5D81"/>
    <w:rsid w:val="004C2158"/>
    <w:rsid w:val="004E27ED"/>
    <w:rsid w:val="00504A54"/>
    <w:rsid w:val="0052773A"/>
    <w:rsid w:val="0053008F"/>
    <w:rsid w:val="00531C72"/>
    <w:rsid w:val="00540522"/>
    <w:rsid w:val="005538E0"/>
    <w:rsid w:val="00561D2A"/>
    <w:rsid w:val="0056314C"/>
    <w:rsid w:val="00582A4F"/>
    <w:rsid w:val="005845DF"/>
    <w:rsid w:val="00587CCD"/>
    <w:rsid w:val="005902BB"/>
    <w:rsid w:val="00593614"/>
    <w:rsid w:val="0059411D"/>
    <w:rsid w:val="00596BBE"/>
    <w:rsid w:val="005A102D"/>
    <w:rsid w:val="005A2EE4"/>
    <w:rsid w:val="005A7CA1"/>
    <w:rsid w:val="005B326C"/>
    <w:rsid w:val="005B7B66"/>
    <w:rsid w:val="005C133F"/>
    <w:rsid w:val="005C6EB1"/>
    <w:rsid w:val="005E132D"/>
    <w:rsid w:val="005E6CC0"/>
    <w:rsid w:val="0060066B"/>
    <w:rsid w:val="006058D0"/>
    <w:rsid w:val="0061009E"/>
    <w:rsid w:val="006133CA"/>
    <w:rsid w:val="00616A79"/>
    <w:rsid w:val="006173CA"/>
    <w:rsid w:val="00620F37"/>
    <w:rsid w:val="00636645"/>
    <w:rsid w:val="00643BEE"/>
    <w:rsid w:val="006537FA"/>
    <w:rsid w:val="00660346"/>
    <w:rsid w:val="0066250B"/>
    <w:rsid w:val="006707E4"/>
    <w:rsid w:val="006708FA"/>
    <w:rsid w:val="00670983"/>
    <w:rsid w:val="006711BF"/>
    <w:rsid w:val="00695CED"/>
    <w:rsid w:val="006A41C8"/>
    <w:rsid w:val="006A5854"/>
    <w:rsid w:val="006A5994"/>
    <w:rsid w:val="006B2AC1"/>
    <w:rsid w:val="006C22E4"/>
    <w:rsid w:val="006C4391"/>
    <w:rsid w:val="006D10DF"/>
    <w:rsid w:val="006D4E3E"/>
    <w:rsid w:val="006E1A6E"/>
    <w:rsid w:val="006E7189"/>
    <w:rsid w:val="00703F70"/>
    <w:rsid w:val="007047C6"/>
    <w:rsid w:val="00714AA5"/>
    <w:rsid w:val="007255F6"/>
    <w:rsid w:val="007313AD"/>
    <w:rsid w:val="0073211F"/>
    <w:rsid w:val="00745E56"/>
    <w:rsid w:val="0075268B"/>
    <w:rsid w:val="00752E97"/>
    <w:rsid w:val="0078625B"/>
    <w:rsid w:val="00790C1D"/>
    <w:rsid w:val="00791B8A"/>
    <w:rsid w:val="00793DBF"/>
    <w:rsid w:val="00793EBB"/>
    <w:rsid w:val="007A144C"/>
    <w:rsid w:val="007A2382"/>
    <w:rsid w:val="007A4DE3"/>
    <w:rsid w:val="007A7D75"/>
    <w:rsid w:val="007C0E7B"/>
    <w:rsid w:val="007D4CFA"/>
    <w:rsid w:val="007E69C6"/>
    <w:rsid w:val="007F180D"/>
    <w:rsid w:val="007F539C"/>
    <w:rsid w:val="007F7069"/>
    <w:rsid w:val="008000AC"/>
    <w:rsid w:val="00800D62"/>
    <w:rsid w:val="008055EF"/>
    <w:rsid w:val="00813FA3"/>
    <w:rsid w:val="00817E79"/>
    <w:rsid w:val="00824EDE"/>
    <w:rsid w:val="00826281"/>
    <w:rsid w:val="00826BEC"/>
    <w:rsid w:val="00826E1B"/>
    <w:rsid w:val="00831ADD"/>
    <w:rsid w:val="008327AC"/>
    <w:rsid w:val="00834EA1"/>
    <w:rsid w:val="0084381B"/>
    <w:rsid w:val="00843A04"/>
    <w:rsid w:val="00844586"/>
    <w:rsid w:val="0084697B"/>
    <w:rsid w:val="008521D7"/>
    <w:rsid w:val="008541D0"/>
    <w:rsid w:val="00856CEA"/>
    <w:rsid w:val="008573B3"/>
    <w:rsid w:val="008607D0"/>
    <w:rsid w:val="008638AA"/>
    <w:rsid w:val="00867942"/>
    <w:rsid w:val="008824D2"/>
    <w:rsid w:val="008946B5"/>
    <w:rsid w:val="00894D43"/>
    <w:rsid w:val="00895BF2"/>
    <w:rsid w:val="008A1CF6"/>
    <w:rsid w:val="008A5A21"/>
    <w:rsid w:val="008B4500"/>
    <w:rsid w:val="008C17E8"/>
    <w:rsid w:val="008C4DB3"/>
    <w:rsid w:val="008C62B7"/>
    <w:rsid w:val="008C6E74"/>
    <w:rsid w:val="008C7D94"/>
    <w:rsid w:val="008D3A12"/>
    <w:rsid w:val="008F01C7"/>
    <w:rsid w:val="00901E35"/>
    <w:rsid w:val="009052BB"/>
    <w:rsid w:val="00905806"/>
    <w:rsid w:val="00905ED8"/>
    <w:rsid w:val="00914AEB"/>
    <w:rsid w:val="00922575"/>
    <w:rsid w:val="009225BC"/>
    <w:rsid w:val="00923F9F"/>
    <w:rsid w:val="00933CE2"/>
    <w:rsid w:val="00940A00"/>
    <w:rsid w:val="00962783"/>
    <w:rsid w:val="00972D62"/>
    <w:rsid w:val="009746F9"/>
    <w:rsid w:val="009963D5"/>
    <w:rsid w:val="009A75BC"/>
    <w:rsid w:val="009B2788"/>
    <w:rsid w:val="009C07AF"/>
    <w:rsid w:val="009D0E61"/>
    <w:rsid w:val="009D7751"/>
    <w:rsid w:val="009E0998"/>
    <w:rsid w:val="00A00F35"/>
    <w:rsid w:val="00A160B2"/>
    <w:rsid w:val="00A165C3"/>
    <w:rsid w:val="00A24BF9"/>
    <w:rsid w:val="00A34EEE"/>
    <w:rsid w:val="00A42B59"/>
    <w:rsid w:val="00A43B27"/>
    <w:rsid w:val="00A50F44"/>
    <w:rsid w:val="00A537A1"/>
    <w:rsid w:val="00A60156"/>
    <w:rsid w:val="00A75C31"/>
    <w:rsid w:val="00A763CE"/>
    <w:rsid w:val="00A76D55"/>
    <w:rsid w:val="00A874FE"/>
    <w:rsid w:val="00A9431E"/>
    <w:rsid w:val="00A943AA"/>
    <w:rsid w:val="00A96313"/>
    <w:rsid w:val="00AA6016"/>
    <w:rsid w:val="00AB101F"/>
    <w:rsid w:val="00AB1619"/>
    <w:rsid w:val="00AB1CF6"/>
    <w:rsid w:val="00AB5322"/>
    <w:rsid w:val="00AC07C9"/>
    <w:rsid w:val="00AC110D"/>
    <w:rsid w:val="00AC261F"/>
    <w:rsid w:val="00AE2445"/>
    <w:rsid w:val="00AF39AA"/>
    <w:rsid w:val="00B05AF9"/>
    <w:rsid w:val="00B05C40"/>
    <w:rsid w:val="00B05D2D"/>
    <w:rsid w:val="00B10AD1"/>
    <w:rsid w:val="00B17EC1"/>
    <w:rsid w:val="00B23672"/>
    <w:rsid w:val="00B241DB"/>
    <w:rsid w:val="00B33090"/>
    <w:rsid w:val="00B33F0F"/>
    <w:rsid w:val="00B4751D"/>
    <w:rsid w:val="00B5288C"/>
    <w:rsid w:val="00B61081"/>
    <w:rsid w:val="00B62E15"/>
    <w:rsid w:val="00B63A52"/>
    <w:rsid w:val="00B6620B"/>
    <w:rsid w:val="00B66A9D"/>
    <w:rsid w:val="00B70B81"/>
    <w:rsid w:val="00B8239D"/>
    <w:rsid w:val="00BA43D5"/>
    <w:rsid w:val="00BA5A4C"/>
    <w:rsid w:val="00BA7191"/>
    <w:rsid w:val="00BA7D5D"/>
    <w:rsid w:val="00BB3245"/>
    <w:rsid w:val="00BB684A"/>
    <w:rsid w:val="00BC04F5"/>
    <w:rsid w:val="00BF5F40"/>
    <w:rsid w:val="00C03E11"/>
    <w:rsid w:val="00C12652"/>
    <w:rsid w:val="00C13F3E"/>
    <w:rsid w:val="00C2290F"/>
    <w:rsid w:val="00C249E8"/>
    <w:rsid w:val="00C26DBC"/>
    <w:rsid w:val="00C33044"/>
    <w:rsid w:val="00C37E09"/>
    <w:rsid w:val="00C56468"/>
    <w:rsid w:val="00C56CC6"/>
    <w:rsid w:val="00C62B5E"/>
    <w:rsid w:val="00C62EA5"/>
    <w:rsid w:val="00C63077"/>
    <w:rsid w:val="00C76AEA"/>
    <w:rsid w:val="00C814F4"/>
    <w:rsid w:val="00C94CB5"/>
    <w:rsid w:val="00CB37F5"/>
    <w:rsid w:val="00CD292F"/>
    <w:rsid w:val="00CD61FB"/>
    <w:rsid w:val="00CD6876"/>
    <w:rsid w:val="00CE4C5D"/>
    <w:rsid w:val="00CE7230"/>
    <w:rsid w:val="00CF26E6"/>
    <w:rsid w:val="00CF4223"/>
    <w:rsid w:val="00D03241"/>
    <w:rsid w:val="00D064C9"/>
    <w:rsid w:val="00D10C23"/>
    <w:rsid w:val="00D10DC3"/>
    <w:rsid w:val="00D22A53"/>
    <w:rsid w:val="00D32FE0"/>
    <w:rsid w:val="00D401E0"/>
    <w:rsid w:val="00D423E5"/>
    <w:rsid w:val="00D44F86"/>
    <w:rsid w:val="00D46274"/>
    <w:rsid w:val="00D462DF"/>
    <w:rsid w:val="00D50063"/>
    <w:rsid w:val="00D542DD"/>
    <w:rsid w:val="00D5656E"/>
    <w:rsid w:val="00D569C1"/>
    <w:rsid w:val="00D5769C"/>
    <w:rsid w:val="00D6545A"/>
    <w:rsid w:val="00D678F8"/>
    <w:rsid w:val="00D72C66"/>
    <w:rsid w:val="00D777FC"/>
    <w:rsid w:val="00D82A84"/>
    <w:rsid w:val="00D86CDF"/>
    <w:rsid w:val="00D87E72"/>
    <w:rsid w:val="00DA3B03"/>
    <w:rsid w:val="00DA52DE"/>
    <w:rsid w:val="00DA55E3"/>
    <w:rsid w:val="00DA7845"/>
    <w:rsid w:val="00DB6AE6"/>
    <w:rsid w:val="00DB7092"/>
    <w:rsid w:val="00DB7B28"/>
    <w:rsid w:val="00DC0FFE"/>
    <w:rsid w:val="00DC21D7"/>
    <w:rsid w:val="00DC2B6A"/>
    <w:rsid w:val="00DC2C5B"/>
    <w:rsid w:val="00DC5CA7"/>
    <w:rsid w:val="00DE4BB4"/>
    <w:rsid w:val="00DF6A5A"/>
    <w:rsid w:val="00E0424F"/>
    <w:rsid w:val="00E06529"/>
    <w:rsid w:val="00E16989"/>
    <w:rsid w:val="00E175E3"/>
    <w:rsid w:val="00E2568C"/>
    <w:rsid w:val="00E3033B"/>
    <w:rsid w:val="00E30FE0"/>
    <w:rsid w:val="00E34E8D"/>
    <w:rsid w:val="00E366FA"/>
    <w:rsid w:val="00E36F1E"/>
    <w:rsid w:val="00E5357E"/>
    <w:rsid w:val="00E65898"/>
    <w:rsid w:val="00E84868"/>
    <w:rsid w:val="00E84B92"/>
    <w:rsid w:val="00E84DF5"/>
    <w:rsid w:val="00E90826"/>
    <w:rsid w:val="00E934A1"/>
    <w:rsid w:val="00E950C5"/>
    <w:rsid w:val="00EA0D2C"/>
    <w:rsid w:val="00EA1F42"/>
    <w:rsid w:val="00EA3A3B"/>
    <w:rsid w:val="00EC613A"/>
    <w:rsid w:val="00EE0A82"/>
    <w:rsid w:val="00EE3E60"/>
    <w:rsid w:val="00F02A25"/>
    <w:rsid w:val="00F03139"/>
    <w:rsid w:val="00F062CD"/>
    <w:rsid w:val="00F12D2F"/>
    <w:rsid w:val="00F13163"/>
    <w:rsid w:val="00F15FE3"/>
    <w:rsid w:val="00F21533"/>
    <w:rsid w:val="00F22017"/>
    <w:rsid w:val="00F220CA"/>
    <w:rsid w:val="00F33A21"/>
    <w:rsid w:val="00F3529D"/>
    <w:rsid w:val="00F369CF"/>
    <w:rsid w:val="00F45E92"/>
    <w:rsid w:val="00F51010"/>
    <w:rsid w:val="00F51666"/>
    <w:rsid w:val="00F5682B"/>
    <w:rsid w:val="00F62EAE"/>
    <w:rsid w:val="00F77E32"/>
    <w:rsid w:val="00F80DBC"/>
    <w:rsid w:val="00F81C54"/>
    <w:rsid w:val="00F82FC4"/>
    <w:rsid w:val="00F852C3"/>
    <w:rsid w:val="00F91DD6"/>
    <w:rsid w:val="00F94CD1"/>
    <w:rsid w:val="00FA3EC7"/>
    <w:rsid w:val="00FB5EDC"/>
    <w:rsid w:val="00FB7A11"/>
    <w:rsid w:val="00FC4C02"/>
    <w:rsid w:val="00FC54CE"/>
    <w:rsid w:val="00FC6493"/>
    <w:rsid w:val="00FC7970"/>
    <w:rsid w:val="00FD72A9"/>
    <w:rsid w:val="00FE418A"/>
    <w:rsid w:val="00FF6B53"/>
    <w:rsid w:val="469BE057"/>
    <w:rsid w:val="553A9E15"/>
    <w:rsid w:val="77116D0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CAF84C"/>
  <w15:docId w15:val="{38FE8A63-DF30-4B4D-B95D-9DD5EA6E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96313"/>
    <w:rPr>
      <w:rFonts w:ascii="Arial" w:hAnsi="Arial"/>
    </w:rPr>
  </w:style>
  <w:style w:type="paragraph" w:styleId="Heading1">
    <w:name w:val="heading 1"/>
    <w:basedOn w:val="Normal"/>
    <w:next w:val="Normal"/>
    <w:qFormat/>
    <w:rsid w:val="009C07AF"/>
    <w:pPr>
      <w:keepNext/>
      <w:spacing w:before="200" w:after="80"/>
      <w:jc w:val="both"/>
      <w:outlineLvl w:val="0"/>
    </w:pPr>
    <w:rPr>
      <w:b/>
      <w:caps/>
      <w:kern w:val="28"/>
      <w:sz w:val="24"/>
    </w:rPr>
  </w:style>
  <w:style w:type="paragraph" w:styleId="Heading2">
    <w:name w:val="heading 2"/>
    <w:basedOn w:val="Normal"/>
    <w:next w:val="Normal"/>
    <w:qFormat/>
    <w:rsid w:val="00D72C66"/>
    <w:pPr>
      <w:keepNext/>
      <w:numPr>
        <w:numId w:val="2"/>
      </w:numPr>
      <w:spacing w:before="160" w:after="60"/>
      <w:outlineLvl w:val="1"/>
    </w:pPr>
    <w:rPr>
      <w:rFonts w:ascii="Arial Bold" w:hAnsi="Arial Bold"/>
      <w:b/>
      <w:caps/>
      <w:sz w:val="28"/>
      <w:szCs w:val="22"/>
    </w:rPr>
  </w:style>
  <w:style w:type="paragraph" w:styleId="Heading3">
    <w:name w:val="heading 3"/>
    <w:basedOn w:val="Heading2"/>
    <w:next w:val="Normal"/>
    <w:link w:val="Heading3Char"/>
    <w:qFormat/>
    <w:rsid w:val="00D72C66"/>
    <w:pPr>
      <w:numPr>
        <w:ilvl w:val="1"/>
      </w:numPr>
      <w:outlineLvl w:val="2"/>
    </w:pPr>
    <w:rPr>
      <w:sz w:val="24"/>
    </w:rPr>
  </w:style>
  <w:style w:type="paragraph" w:styleId="Heading4">
    <w:name w:val="heading 4"/>
    <w:basedOn w:val="Normal"/>
    <w:next w:val="Normal"/>
    <w:qFormat/>
    <w:rsid w:val="00D72C66"/>
    <w:pPr>
      <w:keepNext/>
      <w:numPr>
        <w:ilvl w:val="2"/>
        <w:numId w:val="2"/>
      </w:numPr>
      <w:spacing w:before="120" w:after="60"/>
      <w:outlineLvl w:val="3"/>
    </w:pPr>
    <w:rPr>
      <w:b/>
      <w:u w:val="single"/>
    </w:rPr>
  </w:style>
  <w:style w:type="paragraph" w:styleId="Heading5">
    <w:name w:val="heading 5"/>
    <w:basedOn w:val="Normal"/>
    <w:next w:val="Normal"/>
    <w:rsid w:val="00A96313"/>
    <w:pPr>
      <w:spacing w:before="240" w:after="60"/>
      <w:outlineLvl w:val="4"/>
    </w:pPr>
    <w:rPr>
      <w:sz w:val="22"/>
    </w:rPr>
  </w:style>
  <w:style w:type="paragraph" w:styleId="Heading6">
    <w:name w:val="heading 6"/>
    <w:basedOn w:val="Normal"/>
    <w:next w:val="Normal"/>
    <w:rsid w:val="00A96313"/>
    <w:pPr>
      <w:spacing w:before="240" w:after="60"/>
      <w:outlineLvl w:val="5"/>
    </w:pPr>
    <w:rPr>
      <w:i/>
      <w:sz w:val="22"/>
    </w:rPr>
  </w:style>
  <w:style w:type="paragraph" w:styleId="Heading7">
    <w:name w:val="heading 7"/>
    <w:basedOn w:val="Normal"/>
    <w:next w:val="Normal"/>
    <w:rsid w:val="00A96313"/>
    <w:pPr>
      <w:spacing w:before="240" w:after="60"/>
      <w:outlineLvl w:val="6"/>
    </w:pPr>
  </w:style>
  <w:style w:type="paragraph" w:styleId="Heading8">
    <w:name w:val="heading 8"/>
    <w:basedOn w:val="Normal"/>
    <w:next w:val="Normal"/>
    <w:rsid w:val="00A96313"/>
    <w:pPr>
      <w:spacing w:before="240" w:after="60"/>
      <w:outlineLvl w:val="7"/>
    </w:pPr>
    <w:rPr>
      <w:i/>
    </w:rPr>
  </w:style>
  <w:style w:type="paragraph" w:styleId="Heading9">
    <w:name w:val="heading 9"/>
    <w:basedOn w:val="Normal"/>
    <w:next w:val="Normal"/>
    <w:rsid w:val="00A9631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rsid w:val="00A96313"/>
  </w:style>
  <w:style w:type="paragraph" w:styleId="Header">
    <w:name w:val="header"/>
    <w:basedOn w:val="Normal"/>
    <w:rsid w:val="004E27ED"/>
    <w:pPr>
      <w:pBdr>
        <w:bottom w:val="single" w:sz="2" w:space="5" w:color="auto"/>
      </w:pBdr>
      <w:tabs>
        <w:tab w:val="center" w:pos="4678"/>
        <w:tab w:val="right" w:pos="9354"/>
      </w:tabs>
      <w:spacing w:before="20" w:after="20"/>
      <w:jc w:val="both"/>
    </w:pPr>
    <w:rPr>
      <w:i/>
      <w:sz w:val="16"/>
      <w:szCs w:val="16"/>
    </w:rPr>
  </w:style>
  <w:style w:type="paragraph" w:styleId="Footer">
    <w:name w:val="footer"/>
    <w:basedOn w:val="Normal"/>
    <w:rsid w:val="005A102D"/>
    <w:pPr>
      <w:pBdr>
        <w:top w:val="single" w:sz="2" w:space="4" w:color="auto"/>
      </w:pBdr>
      <w:tabs>
        <w:tab w:val="center" w:pos="4153"/>
        <w:tab w:val="right" w:pos="8306"/>
      </w:tabs>
      <w:spacing w:before="80"/>
      <w:contextualSpacing/>
      <w:jc w:val="both"/>
    </w:pPr>
    <w:rPr>
      <w:b/>
      <w:i/>
      <w:sz w:val="16"/>
    </w:rPr>
  </w:style>
  <w:style w:type="character" w:styleId="PageNumber">
    <w:name w:val="page number"/>
    <w:basedOn w:val="DefaultParagraphFont"/>
    <w:rsid w:val="00A96313"/>
    <w:rPr>
      <w:rFonts w:ascii="Arial" w:hAnsi="Arial"/>
      <w:sz w:val="16"/>
    </w:rPr>
  </w:style>
  <w:style w:type="paragraph" w:styleId="BodyText">
    <w:name w:val="Body Text"/>
    <w:basedOn w:val="Normal"/>
    <w:rsid w:val="00A96313"/>
    <w:pPr>
      <w:spacing w:line="302" w:lineRule="exact"/>
      <w:ind w:left="737"/>
      <w:jc w:val="both"/>
    </w:pPr>
  </w:style>
  <w:style w:type="paragraph" w:styleId="Caption">
    <w:name w:val="caption"/>
    <w:basedOn w:val="Normal"/>
    <w:next w:val="Normal"/>
    <w:rsid w:val="00A96313"/>
    <w:pPr>
      <w:spacing w:before="120" w:after="120"/>
    </w:pPr>
    <w:rPr>
      <w:b/>
    </w:rPr>
  </w:style>
  <w:style w:type="paragraph" w:styleId="BodyText2">
    <w:name w:val="Body Text 2"/>
    <w:basedOn w:val="Normal"/>
    <w:rsid w:val="00A96313"/>
    <w:pPr>
      <w:jc w:val="center"/>
    </w:pPr>
    <w:rPr>
      <w:b/>
      <w:sz w:val="24"/>
    </w:rPr>
  </w:style>
  <w:style w:type="paragraph" w:styleId="BodyText3">
    <w:name w:val="Body Text 3"/>
    <w:basedOn w:val="Normal"/>
    <w:rsid w:val="00A96313"/>
    <w:pPr>
      <w:spacing w:before="4" w:line="211" w:lineRule="exact"/>
      <w:jc w:val="both"/>
    </w:pPr>
  </w:style>
  <w:style w:type="paragraph" w:styleId="BodyTextIndent">
    <w:name w:val="Body Text Indent"/>
    <w:basedOn w:val="Normal"/>
    <w:link w:val="BodyTextIndentChar"/>
    <w:qFormat/>
    <w:rsid w:val="00A96313"/>
    <w:pPr>
      <w:spacing w:before="60" w:after="60"/>
      <w:ind w:left="709"/>
      <w:jc w:val="both"/>
    </w:pPr>
  </w:style>
  <w:style w:type="paragraph" w:styleId="TOC1">
    <w:name w:val="toc 1"/>
    <w:basedOn w:val="Normal"/>
    <w:next w:val="Normal"/>
    <w:autoRedefine/>
    <w:uiPriority w:val="39"/>
    <w:rsid w:val="00495374"/>
    <w:pPr>
      <w:tabs>
        <w:tab w:val="left" w:pos="567"/>
        <w:tab w:val="right" w:leader="dot" w:pos="9354"/>
      </w:tabs>
      <w:spacing w:before="120" w:after="60"/>
      <w:ind w:left="567" w:hanging="567"/>
    </w:pPr>
    <w:rPr>
      <w:b/>
      <w:caps/>
      <w:noProof/>
      <w:sz w:val="24"/>
      <w:szCs w:val="24"/>
    </w:rPr>
  </w:style>
  <w:style w:type="paragraph" w:customStyle="1" w:styleId="hdg1">
    <w:name w:val="hdg 1"/>
    <w:basedOn w:val="Normal"/>
    <w:next w:val="hdg2"/>
    <w:rsid w:val="00A96313"/>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Normal"/>
    <w:rsid w:val="00A96313"/>
    <w:pPr>
      <w:keepNext/>
      <w:keepLines/>
      <w:spacing w:before="240" w:after="240"/>
    </w:pPr>
    <w:rPr>
      <w:rFonts w:ascii="MarkingPenHeavy" w:hAnsi="MarkingPenHeavy"/>
      <w:i/>
      <w:caps/>
      <w:snapToGrid w:val="0"/>
      <w:color w:val="808080"/>
      <w:kern w:val="32"/>
      <w:sz w:val="32"/>
      <w:lang w:eastAsia="en-US"/>
    </w:rPr>
  </w:style>
  <w:style w:type="paragraph" w:customStyle="1" w:styleId="bullets">
    <w:name w:val="bullets"/>
    <w:basedOn w:val="Normal"/>
    <w:next w:val="Normal"/>
    <w:rsid w:val="00A96313"/>
    <w:pPr>
      <w:keepLines/>
      <w:numPr>
        <w:numId w:val="3"/>
      </w:numPr>
      <w:tabs>
        <w:tab w:val="clear" w:pos="360"/>
        <w:tab w:val="num" w:pos="1134"/>
      </w:tabs>
      <w:spacing w:before="120"/>
      <w:ind w:left="1134" w:hanging="425"/>
    </w:pPr>
  </w:style>
  <w:style w:type="paragraph" w:styleId="BlockText">
    <w:name w:val="Block Text"/>
    <w:basedOn w:val="Normal"/>
    <w:rsid w:val="00A96313"/>
    <w:pPr>
      <w:spacing w:after="120"/>
      <w:ind w:left="1440" w:right="1440"/>
    </w:pPr>
  </w:style>
  <w:style w:type="paragraph" w:styleId="BodyTextIndent2">
    <w:name w:val="Body Text Indent 2"/>
    <w:basedOn w:val="Normal"/>
    <w:rsid w:val="00A96313"/>
    <w:pPr>
      <w:spacing w:before="60" w:after="60"/>
      <w:ind w:left="709"/>
      <w:jc w:val="both"/>
    </w:pPr>
    <w:rPr>
      <w:i/>
    </w:rPr>
  </w:style>
  <w:style w:type="paragraph" w:styleId="BodyTextIndent3">
    <w:name w:val="Body Text Indent 3"/>
    <w:basedOn w:val="Normal"/>
    <w:rsid w:val="00A96313"/>
    <w:pPr>
      <w:spacing w:after="120"/>
      <w:ind w:left="709"/>
      <w:jc w:val="both"/>
    </w:pPr>
  </w:style>
  <w:style w:type="paragraph" w:styleId="CommentText">
    <w:name w:val="annotation text"/>
    <w:basedOn w:val="Normal"/>
    <w:semiHidden/>
    <w:rsid w:val="00A96313"/>
    <w:rPr>
      <w:rFonts w:ascii="Times New Roman" w:hAnsi="Times New Roman"/>
    </w:rPr>
  </w:style>
  <w:style w:type="paragraph" w:styleId="BalloonText">
    <w:name w:val="Balloon Text"/>
    <w:basedOn w:val="Normal"/>
    <w:semiHidden/>
    <w:rsid w:val="00A96313"/>
    <w:rPr>
      <w:rFonts w:ascii="Tahoma" w:hAnsi="Tahoma"/>
      <w:sz w:val="16"/>
    </w:rPr>
  </w:style>
  <w:style w:type="character" w:customStyle="1" w:styleId="PlainTextCharChar">
    <w:name w:val="Plain Text Char Char"/>
    <w:basedOn w:val="DefaultParagraphFont"/>
    <w:rsid w:val="00A96313"/>
    <w:rPr>
      <w:rFonts w:ascii="Tahoma" w:hAnsi="Tahoma" w:cs="MarkingPenHeavy"/>
      <w:noProof w:val="0"/>
      <w:color w:val="000000"/>
      <w:lang w:val="en-AU" w:eastAsia="en-US" w:bidi="ar-SA"/>
    </w:rPr>
  </w:style>
  <w:style w:type="paragraph" w:customStyle="1" w:styleId="Dot20">
    <w:name w:val="Dot 2"/>
    <w:basedOn w:val="Normal"/>
    <w:rsid w:val="00A96313"/>
    <w:pPr>
      <w:numPr>
        <w:numId w:val="6"/>
      </w:numPr>
      <w:tabs>
        <w:tab w:val="clear" w:pos="360"/>
      </w:tabs>
      <w:ind w:left="1134" w:hanging="425"/>
    </w:pPr>
  </w:style>
  <w:style w:type="paragraph" w:customStyle="1" w:styleId="Dot2">
    <w:name w:val="Dot2"/>
    <w:basedOn w:val="Normal"/>
    <w:rsid w:val="00A96313"/>
    <w:pPr>
      <w:numPr>
        <w:numId w:val="5"/>
      </w:numPr>
      <w:tabs>
        <w:tab w:val="clear" w:pos="360"/>
        <w:tab w:val="num" w:pos="1418"/>
      </w:tabs>
      <w:ind w:left="1418" w:hanging="425"/>
      <w:jc w:val="both"/>
    </w:pPr>
    <w:rPr>
      <w:snapToGrid w:val="0"/>
      <w:lang w:eastAsia="en-US"/>
    </w:rPr>
  </w:style>
  <w:style w:type="paragraph" w:customStyle="1" w:styleId="MinorHead">
    <w:name w:val="Minor Head"/>
    <w:basedOn w:val="Normal"/>
    <w:rsid w:val="00894D43"/>
    <w:pPr>
      <w:spacing w:before="60" w:after="60"/>
      <w:ind w:left="709"/>
      <w:jc w:val="both"/>
    </w:pPr>
    <w:rPr>
      <w:b/>
      <w:u w:val="single"/>
    </w:rPr>
  </w:style>
  <w:style w:type="paragraph" w:customStyle="1" w:styleId="DotTab">
    <w:name w:val="Dot Tab"/>
    <w:basedOn w:val="Normal"/>
    <w:rsid w:val="00A96313"/>
    <w:pPr>
      <w:numPr>
        <w:numId w:val="7"/>
      </w:numPr>
      <w:tabs>
        <w:tab w:val="clear" w:pos="720"/>
        <w:tab w:val="num" w:pos="426"/>
      </w:tabs>
      <w:ind w:left="426" w:hanging="284"/>
    </w:pPr>
    <w:rPr>
      <w:snapToGrid w:val="0"/>
      <w:color w:val="000000"/>
      <w:sz w:val="18"/>
      <w:lang w:eastAsia="en-US"/>
    </w:rPr>
  </w:style>
  <w:style w:type="paragraph" w:customStyle="1" w:styleId="Text">
    <w:name w:val="Text"/>
    <w:basedOn w:val="Normal"/>
    <w:rsid w:val="00A96313"/>
    <w:pPr>
      <w:spacing w:after="120"/>
      <w:ind w:left="709"/>
      <w:jc w:val="both"/>
    </w:pPr>
  </w:style>
  <w:style w:type="paragraph" w:customStyle="1" w:styleId="DotPoint">
    <w:name w:val="Dot Point"/>
    <w:basedOn w:val="Normal"/>
    <w:rsid w:val="00A96313"/>
    <w:pPr>
      <w:numPr>
        <w:numId w:val="1"/>
      </w:numPr>
      <w:tabs>
        <w:tab w:val="clear" w:pos="360"/>
        <w:tab w:val="num" w:pos="851"/>
      </w:tabs>
      <w:ind w:left="851" w:hanging="284"/>
      <w:jc w:val="both"/>
    </w:pPr>
    <w:rPr>
      <w:snapToGrid w:val="0"/>
      <w:color w:val="000000"/>
      <w:sz w:val="22"/>
      <w:lang w:eastAsia="en-US"/>
    </w:rPr>
  </w:style>
  <w:style w:type="paragraph" w:styleId="Index8">
    <w:name w:val="index 8"/>
    <w:basedOn w:val="Normal"/>
    <w:next w:val="Normal"/>
    <w:autoRedefine/>
    <w:semiHidden/>
    <w:rsid w:val="00A96313"/>
    <w:pPr>
      <w:ind w:left="1760" w:hanging="220"/>
    </w:pPr>
    <w:rPr>
      <w:rFonts w:ascii="Times New Roman" w:hAnsi="Times New Roman"/>
      <w:lang w:val="en-GB"/>
    </w:rPr>
  </w:style>
  <w:style w:type="paragraph" w:customStyle="1" w:styleId="Table">
    <w:name w:val="Table"/>
    <w:basedOn w:val="BodyTextIndent3"/>
    <w:qFormat/>
    <w:rsid w:val="008A1CF6"/>
    <w:pPr>
      <w:spacing w:before="40" w:after="40"/>
      <w:ind w:left="0"/>
      <w:jc w:val="left"/>
    </w:pPr>
    <w:rPr>
      <w:snapToGrid w:val="0"/>
      <w:sz w:val="18"/>
      <w:lang w:eastAsia="en-US"/>
    </w:rPr>
  </w:style>
  <w:style w:type="paragraph" w:customStyle="1" w:styleId="TableCen">
    <w:name w:val="Table Cen"/>
    <w:basedOn w:val="Table"/>
    <w:qFormat/>
    <w:rsid w:val="0042703A"/>
    <w:pPr>
      <w:jc w:val="center"/>
    </w:pPr>
  </w:style>
  <w:style w:type="paragraph" w:customStyle="1" w:styleId="TableHead">
    <w:name w:val="Table Head"/>
    <w:basedOn w:val="Normal"/>
    <w:rsid w:val="00856CEA"/>
    <w:pPr>
      <w:spacing w:before="60" w:after="60"/>
    </w:pPr>
    <w:rPr>
      <w:b/>
      <w:sz w:val="18"/>
    </w:rPr>
  </w:style>
  <w:style w:type="paragraph" w:customStyle="1" w:styleId="BodyTextIndentDot">
    <w:name w:val="Body Text Indent Dot"/>
    <w:basedOn w:val="BodyTextIndent"/>
    <w:qFormat/>
    <w:rsid w:val="00030332"/>
    <w:pPr>
      <w:numPr>
        <w:numId w:val="4"/>
      </w:numPr>
      <w:spacing w:before="40" w:after="40"/>
    </w:pPr>
  </w:style>
  <w:style w:type="paragraph" w:customStyle="1" w:styleId="BodyTextIndentBold">
    <w:name w:val="Body Text Indent Bold"/>
    <w:basedOn w:val="BodyTextIndent"/>
    <w:link w:val="BodyTextIndentBoldChar"/>
    <w:qFormat/>
    <w:rsid w:val="00A96313"/>
    <w:rPr>
      <w:b/>
    </w:rPr>
  </w:style>
  <w:style w:type="paragraph" w:customStyle="1" w:styleId="BodyTextIndentMinor">
    <w:name w:val="Body Text Indent Minor"/>
    <w:basedOn w:val="BodyTextIndent3"/>
    <w:rsid w:val="00A96313"/>
    <w:pPr>
      <w:tabs>
        <w:tab w:val="left" w:pos="993"/>
      </w:tabs>
      <w:spacing w:before="40" w:after="40"/>
      <w:ind w:left="993" w:hanging="284"/>
    </w:pPr>
    <w:rPr>
      <w:sz w:val="18"/>
    </w:rPr>
  </w:style>
  <w:style w:type="paragraph" w:customStyle="1" w:styleId="BodyTextIndentDot2">
    <w:name w:val="Body Text Indent Dot2"/>
    <w:basedOn w:val="Normal"/>
    <w:qFormat/>
    <w:rsid w:val="00A96313"/>
    <w:pPr>
      <w:numPr>
        <w:numId w:val="8"/>
      </w:numPr>
      <w:tabs>
        <w:tab w:val="clear" w:pos="360"/>
        <w:tab w:val="num" w:pos="1134"/>
      </w:tabs>
      <w:spacing w:before="40" w:after="40"/>
      <w:ind w:left="1134" w:hanging="425"/>
      <w:jc w:val="both"/>
    </w:pPr>
  </w:style>
  <w:style w:type="paragraph" w:customStyle="1" w:styleId="TableDot1">
    <w:name w:val="Table Dot1"/>
    <w:basedOn w:val="BodyTextIndentDot2"/>
    <w:rsid w:val="00824EDE"/>
    <w:pPr>
      <w:tabs>
        <w:tab w:val="num" w:pos="459"/>
      </w:tabs>
      <w:ind w:left="460" w:hanging="284"/>
      <w:jc w:val="left"/>
    </w:pPr>
    <w:rPr>
      <w:sz w:val="18"/>
    </w:rPr>
  </w:style>
  <w:style w:type="paragraph" w:customStyle="1" w:styleId="TableBold">
    <w:name w:val="Table Bold"/>
    <w:basedOn w:val="Table"/>
    <w:qFormat/>
    <w:rsid w:val="0042703A"/>
    <w:rPr>
      <w:b/>
    </w:rPr>
  </w:style>
  <w:style w:type="paragraph" w:customStyle="1" w:styleId="Amend">
    <w:name w:val="Amend"/>
    <w:basedOn w:val="Normal"/>
    <w:rsid w:val="00A96313"/>
    <w:pPr>
      <w:jc w:val="right"/>
    </w:pPr>
    <w:rPr>
      <w:sz w:val="16"/>
    </w:rPr>
  </w:style>
  <w:style w:type="paragraph" w:styleId="TOC2">
    <w:name w:val="toc 2"/>
    <w:basedOn w:val="Normal"/>
    <w:next w:val="Normal"/>
    <w:autoRedefine/>
    <w:uiPriority w:val="39"/>
    <w:rsid w:val="00495374"/>
    <w:pPr>
      <w:tabs>
        <w:tab w:val="left" w:pos="1134"/>
        <w:tab w:val="right" w:leader="dot" w:pos="9354"/>
      </w:tabs>
      <w:spacing w:before="40" w:after="40"/>
      <w:ind w:left="1134" w:hanging="567"/>
      <w:contextualSpacing/>
      <w:jc w:val="both"/>
    </w:pPr>
    <w:rPr>
      <w:rFonts w:ascii="Arial Bold" w:hAnsi="Arial Bold"/>
      <w:b/>
      <w:smallCaps/>
      <w:noProof/>
      <w:sz w:val="22"/>
      <w:szCs w:val="22"/>
    </w:rPr>
  </w:style>
  <w:style w:type="paragraph" w:styleId="TOC3">
    <w:name w:val="toc 3"/>
    <w:basedOn w:val="Normal"/>
    <w:next w:val="Normal"/>
    <w:autoRedefine/>
    <w:uiPriority w:val="39"/>
    <w:rsid w:val="00745E56"/>
    <w:pPr>
      <w:tabs>
        <w:tab w:val="left" w:pos="1843"/>
        <w:tab w:val="right" w:pos="9354"/>
      </w:tabs>
      <w:spacing w:after="20"/>
      <w:ind w:left="1843" w:hanging="709"/>
      <w:contextualSpacing/>
    </w:pPr>
    <w:rPr>
      <w:b/>
      <w:bCs/>
      <w:noProof/>
    </w:rPr>
  </w:style>
  <w:style w:type="character" w:styleId="Hyperlink">
    <w:name w:val="Hyperlink"/>
    <w:basedOn w:val="DefaultParagraphFont"/>
    <w:rsid w:val="008C4DB3"/>
    <w:rPr>
      <w:color w:val="0000FF"/>
      <w:u w:val="single"/>
    </w:rPr>
  </w:style>
  <w:style w:type="paragraph" w:customStyle="1" w:styleId="CoverHeading">
    <w:name w:val="Cover Heading"/>
    <w:basedOn w:val="Normal"/>
    <w:rsid w:val="005E132D"/>
    <w:pPr>
      <w:spacing w:before="240" w:after="120"/>
      <w:jc w:val="center"/>
      <w:outlineLvl w:val="0"/>
    </w:pPr>
    <w:rPr>
      <w:b/>
      <w:caps/>
      <w:sz w:val="24"/>
    </w:rPr>
  </w:style>
  <w:style w:type="paragraph" w:customStyle="1" w:styleId="TableHeadLeft">
    <w:name w:val="Table Head Left"/>
    <w:basedOn w:val="TableHead"/>
    <w:rsid w:val="00620F37"/>
  </w:style>
  <w:style w:type="character" w:customStyle="1" w:styleId="BodyTextIndentChar">
    <w:name w:val="Body Text Indent Char"/>
    <w:basedOn w:val="DefaultParagraphFont"/>
    <w:link w:val="BodyTextIndent"/>
    <w:rsid w:val="009D7751"/>
    <w:rPr>
      <w:rFonts w:ascii="Arial" w:hAnsi="Arial"/>
      <w:lang w:val="en-AU" w:eastAsia="en-AU" w:bidi="ar-SA"/>
    </w:rPr>
  </w:style>
  <w:style w:type="character" w:customStyle="1" w:styleId="BodyTextIndentBoldChar">
    <w:name w:val="Body Text Indent Bold Char"/>
    <w:basedOn w:val="BodyTextIndentChar"/>
    <w:link w:val="BodyTextIndentBold"/>
    <w:rsid w:val="009D7751"/>
    <w:rPr>
      <w:rFonts w:ascii="Arial" w:hAnsi="Arial"/>
      <w:b/>
      <w:lang w:val="en-AU" w:eastAsia="en-AU" w:bidi="ar-SA"/>
    </w:rPr>
  </w:style>
  <w:style w:type="paragraph" w:customStyle="1" w:styleId="BodyTextIndentBoldUnderline">
    <w:name w:val="Body Text Indent Bold Underline"/>
    <w:basedOn w:val="BodyTextIndent"/>
    <w:link w:val="BodyTextIndentBoldUnderlineChar"/>
    <w:rsid w:val="009D7751"/>
    <w:rPr>
      <w:b/>
      <w:u w:val="single"/>
    </w:rPr>
  </w:style>
  <w:style w:type="character" w:customStyle="1" w:styleId="BodyTextIndentBoldUnderlineChar">
    <w:name w:val="Body Text Indent Bold Underline Char"/>
    <w:basedOn w:val="BodyTextIndentChar"/>
    <w:link w:val="BodyTextIndentBoldUnderline"/>
    <w:rsid w:val="009D7751"/>
    <w:rPr>
      <w:rFonts w:ascii="Arial" w:hAnsi="Arial"/>
      <w:b/>
      <w:u w:val="single"/>
      <w:lang w:val="en-AU" w:eastAsia="en-AU" w:bidi="ar-SA"/>
    </w:rPr>
  </w:style>
  <w:style w:type="paragraph" w:customStyle="1" w:styleId="BodyTextIndentBoldItalicCen">
    <w:name w:val="Body Text Indent Bold Italic Cen"/>
    <w:basedOn w:val="BodyTextIndent"/>
    <w:rsid w:val="00C62B5E"/>
    <w:pPr>
      <w:jc w:val="center"/>
    </w:pPr>
    <w:rPr>
      <w:b/>
      <w:i/>
    </w:rPr>
  </w:style>
  <w:style w:type="paragraph" w:customStyle="1" w:styleId="TableLegend">
    <w:name w:val="Table Legend"/>
    <w:basedOn w:val="Normal"/>
    <w:rsid w:val="00FC7970"/>
    <w:pPr>
      <w:spacing w:before="120" w:after="60"/>
      <w:ind w:left="709"/>
    </w:pPr>
    <w:rPr>
      <w:b/>
      <w:i/>
      <w:sz w:val="18"/>
    </w:rPr>
  </w:style>
  <w:style w:type="paragraph" w:customStyle="1" w:styleId="Figure">
    <w:name w:val="Figure"/>
    <w:basedOn w:val="Normal"/>
    <w:rsid w:val="00FC7970"/>
    <w:pPr>
      <w:spacing w:before="60" w:after="60"/>
      <w:ind w:left="709"/>
    </w:pPr>
    <w:rPr>
      <w:b/>
      <w:i/>
      <w:sz w:val="18"/>
    </w:rPr>
  </w:style>
  <w:style w:type="paragraph" w:styleId="TOC4">
    <w:name w:val="toc 4"/>
    <w:basedOn w:val="Normal"/>
    <w:next w:val="Normal"/>
    <w:autoRedefine/>
    <w:uiPriority w:val="39"/>
    <w:rsid w:val="00CD6876"/>
    <w:pPr>
      <w:tabs>
        <w:tab w:val="left" w:pos="1843"/>
        <w:tab w:val="right" w:leader="dot" w:pos="9060"/>
      </w:tabs>
      <w:ind w:left="1843" w:hanging="709"/>
    </w:pPr>
  </w:style>
  <w:style w:type="paragraph" w:customStyle="1" w:styleId="BodyTextIndentItalic">
    <w:name w:val="Body Text Indent Italic"/>
    <w:basedOn w:val="BodyTextIndent"/>
    <w:link w:val="BodyTextIndentItalicChar"/>
    <w:rsid w:val="00DA52DE"/>
    <w:rPr>
      <w:i/>
    </w:rPr>
  </w:style>
  <w:style w:type="character" w:customStyle="1" w:styleId="BodyTextIndentItalicChar">
    <w:name w:val="Body Text Indent Italic Char"/>
    <w:basedOn w:val="BodyTextIndentChar"/>
    <w:link w:val="BodyTextIndentItalic"/>
    <w:rsid w:val="00DA52DE"/>
    <w:rPr>
      <w:rFonts w:ascii="Arial" w:hAnsi="Arial"/>
      <w:i/>
      <w:lang w:val="en-AU" w:eastAsia="en-AU" w:bidi="ar-SA"/>
    </w:rPr>
  </w:style>
  <w:style w:type="paragraph" w:customStyle="1" w:styleId="Table8">
    <w:name w:val="Table 8"/>
    <w:basedOn w:val="Table"/>
    <w:rsid w:val="00A00F35"/>
    <w:pPr>
      <w:spacing w:before="20" w:after="20"/>
    </w:pPr>
    <w:rPr>
      <w:sz w:val="16"/>
      <w:szCs w:val="16"/>
    </w:rPr>
  </w:style>
  <w:style w:type="paragraph" w:customStyle="1" w:styleId="TableHeadCen">
    <w:name w:val="Table Head Cen"/>
    <w:basedOn w:val="TableHead"/>
    <w:qFormat/>
    <w:rsid w:val="008607D0"/>
    <w:pPr>
      <w:jc w:val="center"/>
    </w:pPr>
  </w:style>
  <w:style w:type="paragraph" w:styleId="NormalWeb">
    <w:name w:val="Normal (Web)"/>
    <w:basedOn w:val="Normal"/>
    <w:uiPriority w:val="99"/>
    <w:semiHidden/>
    <w:unhideWhenUsed/>
    <w:rsid w:val="00A160B2"/>
    <w:pPr>
      <w:spacing w:before="100" w:beforeAutospacing="1" w:after="100" w:afterAutospacing="1"/>
    </w:pPr>
    <w:rPr>
      <w:rFonts w:ascii="Times New Roman" w:hAnsi="Times New Roman"/>
      <w:sz w:val="24"/>
      <w:szCs w:val="24"/>
    </w:rPr>
  </w:style>
  <w:style w:type="paragraph" w:customStyle="1" w:styleId="TableDot">
    <w:name w:val="Table Dot"/>
    <w:basedOn w:val="Table"/>
    <w:rsid w:val="008327AC"/>
    <w:pPr>
      <w:numPr>
        <w:numId w:val="18"/>
      </w:numPr>
      <w:ind w:left="396" w:hanging="396"/>
    </w:pPr>
  </w:style>
  <w:style w:type="table" w:styleId="TableGrid">
    <w:name w:val="Table Grid"/>
    <w:basedOn w:val="TableNormal"/>
    <w:rsid w:val="00C6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2C66"/>
    <w:rPr>
      <w:rFonts w:ascii="Arial Bold" w:hAnsi="Arial Bold"/>
      <w:b/>
      <w:cap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c26e5-4c41-468c-83b0-97e8e79a919c">
      <UserInfo>
        <DisplayName>Chris Mandla</DisplayName>
        <AccountId>297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9F755-0BBF-4FBF-B60A-6754BC55A5F9}">
  <ds:schemaRefs>
    <ds:schemaRef ds:uri="http://schemas.microsoft.com/sharepoint/v3/contenttype/forms"/>
  </ds:schemaRefs>
</ds:datastoreItem>
</file>

<file path=customXml/itemProps2.xml><?xml version="1.0" encoding="utf-8"?>
<ds:datastoreItem xmlns:ds="http://schemas.openxmlformats.org/officeDocument/2006/customXml" ds:itemID="{A4D273CB-FFC3-4032-8DA9-FB50168F439C}">
  <ds:schemaRefs>
    <ds:schemaRef ds:uri="http://purl.org/dc/terms/"/>
    <ds:schemaRef ds:uri="http://www.w3.org/XML/1998/namespace"/>
    <ds:schemaRef ds:uri="http://purl.org/dc/elements/1.1/"/>
    <ds:schemaRef ds:uri="http://schemas.microsoft.com/office/2006/metadata/properties"/>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4f40705d-e7da-4f43-bdce-ad8c70b86017"/>
    <ds:schemaRef ds:uri="http://purl.org/dc/dcmitype/"/>
  </ds:schemaRefs>
</ds:datastoreItem>
</file>

<file path=customXml/itemProps3.xml><?xml version="1.0" encoding="utf-8"?>
<ds:datastoreItem xmlns:ds="http://schemas.openxmlformats.org/officeDocument/2006/customXml" ds:itemID="{A399A48A-09D3-4366-A003-E07FB2C3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23</Pages>
  <Words>7934</Words>
  <Characters>47771</Characters>
  <Application>Microsoft Office Word</Application>
  <DocSecurity>8</DocSecurity>
  <Lines>398</Lines>
  <Paragraphs>111</Paragraphs>
  <ScaleCrop>false</ScaleCrop>
  <HeadingPairs>
    <vt:vector size="2" baseType="variant">
      <vt:variant>
        <vt:lpstr>Title</vt:lpstr>
      </vt:variant>
      <vt:variant>
        <vt:i4>1</vt:i4>
      </vt:variant>
    </vt:vector>
  </HeadingPairs>
  <TitlesOfParts>
    <vt:vector size="1" baseType="lpstr">
      <vt:lpstr>Amendment Register</vt:lpstr>
    </vt:vector>
  </TitlesOfParts>
  <Company>Brisbane City Council</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Register</dc:title>
  <dc:subject/>
  <dc:creator>Dallas Lee</dc:creator>
  <cp:keywords/>
  <dc:description/>
  <cp:lastModifiedBy>David Brady</cp:lastModifiedBy>
  <cp:revision>19</cp:revision>
  <cp:lastPrinted>2012-03-16T17:19:00Z</cp:lastPrinted>
  <dcterms:created xsi:type="dcterms:W3CDTF">2021-06-28T05:39:00Z</dcterms:created>
  <dcterms:modified xsi:type="dcterms:W3CDTF">2021-07-06T00:36:00Z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