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501BC" w14:textId="77777777" w:rsidR="001E2027" w:rsidRDefault="001E2027" w:rsidP="0020427B">
      <w:pPr>
        <w:pStyle w:val="Heading1"/>
      </w:pPr>
      <w:bookmarkStart w:id="0" w:name="_Toc334690139"/>
      <w:permStart w:id="1797408154" w:edGrp="everyone"/>
      <w:r w:rsidRPr="001E2027">
        <w:t>BRISBANE CITY COUNCIL</w:t>
      </w:r>
    </w:p>
    <w:p w14:paraId="5E20BC64" w14:textId="65D680B8" w:rsidR="0020427B" w:rsidRDefault="0020427B" w:rsidP="0020427B">
      <w:pPr>
        <w:pStyle w:val="Heading1"/>
      </w:pPr>
      <w:r>
        <w:t>Reference Specifications for Engineering Work</w:t>
      </w:r>
    </w:p>
    <w:p w14:paraId="488AD307" w14:textId="77777777" w:rsidR="0020427B" w:rsidRDefault="0020427B" w:rsidP="0020427B">
      <w:pPr>
        <w:pStyle w:val="Heading1"/>
      </w:pPr>
      <w:r>
        <w:t>S110 General Requirements</w:t>
      </w:r>
    </w:p>
    <w:p w14:paraId="7DA184F0" w14:textId="29E16FCD" w:rsidR="005F13B1" w:rsidRPr="005F13B1" w:rsidRDefault="005F13B1" w:rsidP="005F13B1">
      <w:pPr>
        <w:sectPr w:rsidR="005F13B1" w:rsidRPr="005F13B1" w:rsidSect="008E0523">
          <w:headerReference w:type="even" r:id="rId10"/>
          <w:headerReference w:type="default" r:id="rId11"/>
          <w:footerReference w:type="default" r:id="rId12"/>
          <w:pgSz w:w="11906" w:h="16838" w:code="9"/>
          <w:pgMar w:top="1134" w:right="1134" w:bottom="992" w:left="1418" w:header="1134" w:footer="851" w:gutter="0"/>
          <w:pgNumType w:fmt="lowerRoman" w:start="1"/>
          <w:cols w:space="720"/>
          <w:docGrid w:linePitch="272"/>
        </w:sectPr>
      </w:pPr>
    </w:p>
    <w:permEnd w:id="1797408154"/>
    <w:p w14:paraId="44F9CBDA" w14:textId="02D34242" w:rsidR="00EC52BC" w:rsidRDefault="00EC52BC" w:rsidP="004B5D80">
      <w:pPr>
        <w:pStyle w:val="Heading2"/>
        <w:numPr>
          <w:ilvl w:val="0"/>
          <w:numId w:val="0"/>
        </w:numPr>
        <w:ind w:left="720" w:hanging="720"/>
      </w:pPr>
      <w:r>
        <w:lastRenderedPageBreak/>
        <w:t>Amendment Register</w:t>
      </w:r>
      <w:bookmarkEnd w:id="0"/>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310"/>
        <w:gridCol w:w="5386"/>
        <w:gridCol w:w="1559"/>
      </w:tblGrid>
      <w:tr w:rsidR="00EC52BC" w14:paraId="4E9623B2" w14:textId="77777777" w:rsidTr="00552D02">
        <w:tc>
          <w:tcPr>
            <w:tcW w:w="1242" w:type="dxa"/>
            <w:tcBorders>
              <w:top w:val="single" w:sz="12" w:space="0" w:color="auto"/>
              <w:left w:val="nil"/>
              <w:bottom w:val="single" w:sz="12" w:space="0" w:color="auto"/>
              <w:right w:val="single" w:sz="6" w:space="0" w:color="auto"/>
            </w:tcBorders>
            <w:shd w:val="pct10" w:color="auto" w:fill="auto"/>
            <w:vAlign w:val="center"/>
          </w:tcPr>
          <w:p w14:paraId="3E0E40E3" w14:textId="77777777" w:rsidR="00EC52BC" w:rsidRDefault="00EC52BC" w:rsidP="001A3710">
            <w:pPr>
              <w:pStyle w:val="TableHeadCen"/>
            </w:pPr>
            <w:r>
              <w:t>Ed/Rev Number</w:t>
            </w:r>
          </w:p>
        </w:tc>
        <w:tc>
          <w:tcPr>
            <w:tcW w:w="1310" w:type="dxa"/>
            <w:tcBorders>
              <w:top w:val="single" w:sz="12" w:space="0" w:color="auto"/>
              <w:left w:val="single" w:sz="6" w:space="0" w:color="auto"/>
              <w:bottom w:val="single" w:sz="12" w:space="0" w:color="auto"/>
              <w:right w:val="single" w:sz="6" w:space="0" w:color="auto"/>
            </w:tcBorders>
            <w:shd w:val="pct10" w:color="auto" w:fill="auto"/>
            <w:vAlign w:val="center"/>
          </w:tcPr>
          <w:p w14:paraId="43DC2460" w14:textId="77777777" w:rsidR="00EC52BC" w:rsidRDefault="00EC52BC" w:rsidP="001A3710">
            <w:pPr>
              <w:pStyle w:val="TableHeadCen"/>
            </w:pPr>
            <w:r>
              <w:t>Section Number</w:t>
            </w:r>
          </w:p>
        </w:tc>
        <w:tc>
          <w:tcPr>
            <w:tcW w:w="5386" w:type="dxa"/>
            <w:tcBorders>
              <w:top w:val="single" w:sz="12" w:space="0" w:color="auto"/>
              <w:left w:val="single" w:sz="6" w:space="0" w:color="auto"/>
              <w:bottom w:val="single" w:sz="12" w:space="0" w:color="auto"/>
              <w:right w:val="single" w:sz="6" w:space="0" w:color="auto"/>
            </w:tcBorders>
            <w:shd w:val="pct10" w:color="auto" w:fill="auto"/>
            <w:vAlign w:val="center"/>
          </w:tcPr>
          <w:p w14:paraId="6F6C3D88" w14:textId="77777777" w:rsidR="00EC52BC" w:rsidRDefault="00EC52BC" w:rsidP="001A3710">
            <w:pPr>
              <w:pStyle w:val="TableHead"/>
            </w:pPr>
            <w:r>
              <w:t>Description</w:t>
            </w:r>
          </w:p>
        </w:tc>
        <w:tc>
          <w:tcPr>
            <w:tcW w:w="1559" w:type="dxa"/>
            <w:tcBorders>
              <w:top w:val="single" w:sz="12" w:space="0" w:color="auto"/>
              <w:left w:val="single" w:sz="6" w:space="0" w:color="auto"/>
              <w:bottom w:val="single" w:sz="12" w:space="0" w:color="auto"/>
              <w:right w:val="nil"/>
            </w:tcBorders>
            <w:shd w:val="pct10" w:color="auto" w:fill="auto"/>
            <w:vAlign w:val="center"/>
          </w:tcPr>
          <w:p w14:paraId="26816F43" w14:textId="77777777" w:rsidR="00EC52BC" w:rsidRDefault="00EC52BC" w:rsidP="001A3710">
            <w:pPr>
              <w:pStyle w:val="TableHeadCen"/>
            </w:pPr>
            <w:r>
              <w:t>Date</w:t>
            </w:r>
          </w:p>
        </w:tc>
      </w:tr>
      <w:tr w:rsidR="00EC52BC" w14:paraId="04A15FCE" w14:textId="77777777" w:rsidTr="00552D02">
        <w:trPr>
          <w:trHeight w:val="340"/>
        </w:trPr>
        <w:tc>
          <w:tcPr>
            <w:tcW w:w="1242" w:type="dxa"/>
            <w:tcBorders>
              <w:top w:val="single" w:sz="12" w:space="0" w:color="auto"/>
              <w:left w:val="nil"/>
              <w:bottom w:val="single" w:sz="8" w:space="0" w:color="auto"/>
              <w:right w:val="single" w:sz="2" w:space="0" w:color="auto"/>
            </w:tcBorders>
            <w:vAlign w:val="center"/>
          </w:tcPr>
          <w:p w14:paraId="70E45301" w14:textId="77777777" w:rsidR="00EC52BC" w:rsidRDefault="00EC52BC" w:rsidP="001A3710">
            <w:pPr>
              <w:pStyle w:val="TableCen"/>
            </w:pPr>
            <w:r>
              <w:t>1.0</w:t>
            </w:r>
          </w:p>
        </w:tc>
        <w:tc>
          <w:tcPr>
            <w:tcW w:w="1310" w:type="dxa"/>
            <w:tcBorders>
              <w:top w:val="single" w:sz="12" w:space="0" w:color="auto"/>
              <w:left w:val="single" w:sz="2" w:space="0" w:color="auto"/>
              <w:bottom w:val="single" w:sz="8" w:space="0" w:color="auto"/>
              <w:right w:val="single" w:sz="2" w:space="0" w:color="auto"/>
            </w:tcBorders>
            <w:vAlign w:val="center"/>
          </w:tcPr>
          <w:p w14:paraId="02514A6C" w14:textId="77777777" w:rsidR="00EC52BC" w:rsidRDefault="00EC52BC" w:rsidP="001A3710">
            <w:pPr>
              <w:pStyle w:val="TableCen"/>
            </w:pPr>
          </w:p>
        </w:tc>
        <w:tc>
          <w:tcPr>
            <w:tcW w:w="5386" w:type="dxa"/>
            <w:tcBorders>
              <w:top w:val="single" w:sz="12" w:space="0" w:color="auto"/>
              <w:left w:val="single" w:sz="2" w:space="0" w:color="auto"/>
              <w:bottom w:val="single" w:sz="8" w:space="0" w:color="auto"/>
              <w:right w:val="single" w:sz="2" w:space="0" w:color="auto"/>
            </w:tcBorders>
            <w:vAlign w:val="center"/>
          </w:tcPr>
          <w:p w14:paraId="03A0CADC" w14:textId="77777777" w:rsidR="00EC52BC" w:rsidRDefault="00EC52BC" w:rsidP="001A3710">
            <w:pPr>
              <w:pStyle w:val="Table"/>
            </w:pPr>
            <w:r>
              <w:t>Original issue</w:t>
            </w:r>
          </w:p>
        </w:tc>
        <w:tc>
          <w:tcPr>
            <w:tcW w:w="1559" w:type="dxa"/>
            <w:tcBorders>
              <w:top w:val="single" w:sz="12" w:space="0" w:color="auto"/>
              <w:left w:val="single" w:sz="2" w:space="0" w:color="auto"/>
              <w:bottom w:val="single" w:sz="8" w:space="0" w:color="auto"/>
              <w:right w:val="nil"/>
            </w:tcBorders>
            <w:vAlign w:val="center"/>
          </w:tcPr>
          <w:p w14:paraId="4A930130" w14:textId="77777777" w:rsidR="00EC52BC" w:rsidRDefault="00EC52BC" w:rsidP="001A3710">
            <w:pPr>
              <w:pStyle w:val="TableCen"/>
            </w:pPr>
            <w:r>
              <w:t>Oct 2001</w:t>
            </w:r>
          </w:p>
        </w:tc>
      </w:tr>
      <w:tr w:rsidR="00A75767" w14:paraId="55F3012E" w14:textId="77777777" w:rsidTr="00552D02">
        <w:trPr>
          <w:trHeight w:val="340"/>
        </w:trPr>
        <w:tc>
          <w:tcPr>
            <w:tcW w:w="1242" w:type="dxa"/>
            <w:tcBorders>
              <w:top w:val="single" w:sz="8" w:space="0" w:color="auto"/>
              <w:left w:val="nil"/>
              <w:bottom w:val="single" w:sz="12" w:space="0" w:color="auto"/>
              <w:right w:val="single" w:sz="2" w:space="0" w:color="auto"/>
            </w:tcBorders>
            <w:vAlign w:val="center"/>
          </w:tcPr>
          <w:p w14:paraId="3DE51011" w14:textId="77777777" w:rsidR="00A75767" w:rsidRDefault="00A75767" w:rsidP="00A75767">
            <w:pPr>
              <w:pStyle w:val="TableCen"/>
            </w:pPr>
            <w:r>
              <w:t>2.0</w:t>
            </w:r>
          </w:p>
        </w:tc>
        <w:tc>
          <w:tcPr>
            <w:tcW w:w="1310" w:type="dxa"/>
            <w:tcBorders>
              <w:top w:val="single" w:sz="8" w:space="0" w:color="auto"/>
              <w:left w:val="single" w:sz="2" w:space="0" w:color="auto"/>
              <w:bottom w:val="single" w:sz="12" w:space="0" w:color="auto"/>
              <w:right w:val="single" w:sz="2" w:space="0" w:color="auto"/>
            </w:tcBorders>
            <w:vAlign w:val="center"/>
          </w:tcPr>
          <w:p w14:paraId="17A638CA" w14:textId="2844C854" w:rsidR="00A75767" w:rsidRDefault="00A75767" w:rsidP="00A75767">
            <w:pPr>
              <w:pStyle w:val="TableCen"/>
            </w:pPr>
            <w:r w:rsidRPr="0081590C">
              <w:t>General</w:t>
            </w:r>
          </w:p>
        </w:tc>
        <w:tc>
          <w:tcPr>
            <w:tcW w:w="5386" w:type="dxa"/>
            <w:tcBorders>
              <w:top w:val="single" w:sz="8" w:space="0" w:color="auto"/>
              <w:left w:val="single" w:sz="2" w:space="0" w:color="auto"/>
              <w:bottom w:val="single" w:sz="12" w:space="0" w:color="auto"/>
              <w:right w:val="single" w:sz="2" w:space="0" w:color="auto"/>
            </w:tcBorders>
            <w:vAlign w:val="center"/>
          </w:tcPr>
          <w:p w14:paraId="5EDD6457" w14:textId="4CD21EE2" w:rsidR="00A75767" w:rsidRDefault="00A75767" w:rsidP="00A75767">
            <w:pPr>
              <w:pStyle w:val="Table"/>
            </w:pPr>
            <w:r w:rsidRPr="0081590C">
              <w:t>Document name changed from ‘Reference Specifications for Civil Engineering Work’ to ‘Reference Specifications for Engineering Work’</w:t>
            </w:r>
          </w:p>
        </w:tc>
        <w:tc>
          <w:tcPr>
            <w:tcW w:w="1559" w:type="dxa"/>
            <w:tcBorders>
              <w:top w:val="single" w:sz="8" w:space="0" w:color="auto"/>
              <w:left w:val="single" w:sz="2" w:space="0" w:color="auto"/>
              <w:bottom w:val="single" w:sz="12" w:space="0" w:color="auto"/>
              <w:right w:val="nil"/>
            </w:tcBorders>
            <w:vAlign w:val="center"/>
          </w:tcPr>
          <w:p w14:paraId="6E5F37F7" w14:textId="090FD500" w:rsidR="00A75767" w:rsidRDefault="00540DDF" w:rsidP="00A75767">
            <w:pPr>
              <w:pStyle w:val="TableCen"/>
            </w:pPr>
            <w:r>
              <w:t>Mar</w:t>
            </w:r>
            <w:r w:rsidR="00A75767" w:rsidRPr="0081590C">
              <w:t xml:space="preserve"> 202</w:t>
            </w:r>
            <w:r>
              <w:t>1</w:t>
            </w:r>
            <w:permStart w:id="2111657695" w:edGrp="everyone"/>
            <w:permEnd w:id="2111657695"/>
          </w:p>
        </w:tc>
      </w:tr>
    </w:tbl>
    <w:p w14:paraId="4791CBBE" w14:textId="77777777" w:rsidR="00EC52BC" w:rsidRDefault="00EC52BC" w:rsidP="00EC52BC"/>
    <w:p w14:paraId="3F4225A5" w14:textId="77777777" w:rsidR="00EC52BC" w:rsidRDefault="00EC52BC" w:rsidP="00EC52BC"/>
    <w:p w14:paraId="67AAFAD0" w14:textId="77777777" w:rsidR="00EC52BC" w:rsidRDefault="00EC52BC" w:rsidP="00EC52BC"/>
    <w:p w14:paraId="2564EF88" w14:textId="77777777" w:rsidR="00EC52BC" w:rsidRDefault="00EC52BC" w:rsidP="00EC52BC">
      <w:pPr>
        <w:sectPr w:rsidR="00EC52BC" w:rsidSect="008E0523">
          <w:headerReference w:type="default" r:id="rId13"/>
          <w:footerReference w:type="default" r:id="rId14"/>
          <w:pgSz w:w="11906" w:h="16838" w:code="9"/>
          <w:pgMar w:top="1134" w:right="1134" w:bottom="992" w:left="1418" w:header="1134" w:footer="851" w:gutter="0"/>
          <w:pgNumType w:fmt="lowerRoman" w:start="1"/>
          <w:cols w:space="720"/>
          <w:docGrid w:linePitch="272"/>
        </w:sectPr>
      </w:pPr>
    </w:p>
    <w:p w14:paraId="2C45F273" w14:textId="35558C38" w:rsidR="00EC52BC" w:rsidRDefault="00A34B4C" w:rsidP="00EC52BC">
      <w:pPr>
        <w:pStyle w:val="BodyTextIndentBoldItalicCen"/>
      </w:pPr>
      <w:r w:rsidRPr="004A2005">
        <w:lastRenderedPageBreak/>
        <w:t>(</w:t>
      </w:r>
      <w:r w:rsidR="00EC52BC" w:rsidRPr="004A2005">
        <w:t xml:space="preserve">This </w:t>
      </w:r>
      <w:r w:rsidRPr="004A2005">
        <w:t>Page Left Intentionally Blank)</w:t>
      </w:r>
    </w:p>
    <w:p w14:paraId="2E0336FC" w14:textId="77777777" w:rsidR="00EC52BC" w:rsidRDefault="00EC52BC">
      <w:pPr>
        <w:jc w:val="center"/>
        <w:sectPr w:rsidR="00EC52BC" w:rsidSect="008E0523">
          <w:headerReference w:type="even" r:id="rId15"/>
          <w:pgSz w:w="11906" w:h="16838" w:code="9"/>
          <w:pgMar w:top="1134" w:right="1134" w:bottom="992" w:left="1418" w:header="1134" w:footer="851" w:gutter="0"/>
          <w:pgNumType w:fmt="lowerRoman" w:start="1"/>
          <w:cols w:space="720"/>
          <w:vAlign w:val="center"/>
        </w:sectPr>
      </w:pPr>
    </w:p>
    <w:p w14:paraId="713B2235" w14:textId="77777777" w:rsidR="00A34B4C" w:rsidRDefault="00A34B4C" w:rsidP="00B04F46">
      <w:pPr>
        <w:pStyle w:val="Heading2"/>
        <w:numPr>
          <w:ilvl w:val="0"/>
          <w:numId w:val="0"/>
        </w:numPr>
        <w:ind w:left="720" w:hanging="720"/>
      </w:pPr>
      <w:r>
        <w:lastRenderedPageBreak/>
        <w:t>TABLE OF CONTENTS</w:t>
      </w:r>
    </w:p>
    <w:p w14:paraId="7696E948" w14:textId="40B3AFA6" w:rsidR="003663F1" w:rsidRPr="00E66864" w:rsidRDefault="002C3856" w:rsidP="0007602B">
      <w:pPr>
        <w:pStyle w:val="TOC1"/>
        <w:rPr>
          <w:rFonts w:ascii="Calibri" w:eastAsia="SimSun" w:hAnsi="Calibri" w:cs="Cordia New"/>
          <w:noProof/>
          <w:sz w:val="22"/>
          <w:szCs w:val="28"/>
          <w:lang w:eastAsia="zh-CN" w:bidi="th-TH"/>
        </w:rPr>
      </w:pPr>
      <w:r>
        <w:fldChar w:fldCharType="begin"/>
      </w:r>
      <w:r>
        <w:instrText xml:space="preserve"> TOC \o "2-3" \t "Heading 1,1" </w:instrText>
      </w:r>
      <w:r>
        <w:fldChar w:fldCharType="separate"/>
      </w:r>
      <w:r w:rsidR="003663F1">
        <w:rPr>
          <w:noProof/>
        </w:rPr>
        <w:t>1.0</w:t>
      </w:r>
      <w:r w:rsidR="003663F1" w:rsidRPr="00E66864">
        <w:rPr>
          <w:rFonts w:ascii="Calibri" w:eastAsia="SimSun" w:hAnsi="Calibri" w:cs="Cordia New"/>
          <w:noProof/>
          <w:sz w:val="22"/>
          <w:szCs w:val="28"/>
          <w:lang w:eastAsia="zh-CN" w:bidi="th-TH"/>
        </w:rPr>
        <w:tab/>
      </w:r>
      <w:r w:rsidR="003663F1">
        <w:rPr>
          <w:noProof/>
        </w:rPr>
        <w:t>GENERAL</w:t>
      </w:r>
      <w:r w:rsidR="003663F1">
        <w:rPr>
          <w:noProof/>
        </w:rPr>
        <w:tab/>
      </w:r>
      <w:r w:rsidR="003663F1">
        <w:rPr>
          <w:noProof/>
        </w:rPr>
        <w:fldChar w:fldCharType="begin"/>
      </w:r>
      <w:r w:rsidR="003663F1">
        <w:rPr>
          <w:noProof/>
        </w:rPr>
        <w:instrText xml:space="preserve"> PAGEREF _Toc42772985 \h </w:instrText>
      </w:r>
      <w:r w:rsidR="003663F1">
        <w:rPr>
          <w:noProof/>
        </w:rPr>
      </w:r>
      <w:r w:rsidR="003663F1">
        <w:rPr>
          <w:noProof/>
        </w:rPr>
        <w:fldChar w:fldCharType="separate"/>
      </w:r>
      <w:r w:rsidR="003663F1">
        <w:rPr>
          <w:noProof/>
        </w:rPr>
        <w:t>1</w:t>
      </w:r>
      <w:r w:rsidR="003663F1">
        <w:rPr>
          <w:noProof/>
        </w:rPr>
        <w:fldChar w:fldCharType="end"/>
      </w:r>
    </w:p>
    <w:p w14:paraId="16805D3B" w14:textId="31E33241" w:rsidR="003663F1" w:rsidRPr="00E66864" w:rsidRDefault="003663F1" w:rsidP="0007602B">
      <w:pPr>
        <w:pStyle w:val="TOC2"/>
        <w:rPr>
          <w:rFonts w:ascii="Calibri" w:eastAsia="SimSun" w:hAnsi="Calibri" w:cs="Cordia New"/>
          <w:szCs w:val="28"/>
          <w:lang w:eastAsia="zh-CN" w:bidi="th-TH"/>
        </w:rPr>
      </w:pPr>
      <w:r>
        <w:t>1.1</w:t>
      </w:r>
      <w:r w:rsidRPr="00E66864">
        <w:rPr>
          <w:rFonts w:ascii="Calibri" w:eastAsia="SimSun" w:hAnsi="Calibri" w:cs="Cordia New"/>
          <w:szCs w:val="28"/>
          <w:lang w:eastAsia="zh-CN" w:bidi="th-TH"/>
        </w:rPr>
        <w:tab/>
      </w:r>
      <w:r>
        <w:t>Interpretation</w:t>
      </w:r>
      <w:r>
        <w:tab/>
      </w:r>
      <w:r>
        <w:fldChar w:fldCharType="begin"/>
      </w:r>
      <w:r>
        <w:instrText xml:space="preserve"> PAGEREF _Toc42772986 \h </w:instrText>
      </w:r>
      <w:r>
        <w:fldChar w:fldCharType="separate"/>
      </w:r>
      <w:r>
        <w:t>1</w:t>
      </w:r>
      <w:r>
        <w:fldChar w:fldCharType="end"/>
      </w:r>
    </w:p>
    <w:p w14:paraId="55854D77" w14:textId="7FABC389" w:rsidR="003663F1" w:rsidRPr="00E66864" w:rsidRDefault="003663F1" w:rsidP="0007602B">
      <w:pPr>
        <w:pStyle w:val="TOC2"/>
        <w:rPr>
          <w:rFonts w:ascii="Calibri" w:eastAsia="SimSun" w:hAnsi="Calibri" w:cs="Cordia New"/>
          <w:szCs w:val="28"/>
          <w:lang w:eastAsia="zh-CN" w:bidi="th-TH"/>
        </w:rPr>
      </w:pPr>
      <w:r>
        <w:t>1.2</w:t>
      </w:r>
      <w:r w:rsidRPr="00E66864">
        <w:rPr>
          <w:rFonts w:ascii="Calibri" w:eastAsia="SimSun" w:hAnsi="Calibri" w:cs="Cordia New"/>
          <w:szCs w:val="28"/>
          <w:lang w:eastAsia="zh-CN" w:bidi="th-TH"/>
        </w:rPr>
        <w:tab/>
      </w:r>
      <w:r>
        <w:t>Inspection</w:t>
      </w:r>
      <w:r>
        <w:tab/>
      </w:r>
      <w:r>
        <w:fldChar w:fldCharType="begin"/>
      </w:r>
      <w:r>
        <w:instrText xml:space="preserve"> PAGEREF _Toc42772987 \h </w:instrText>
      </w:r>
      <w:r>
        <w:fldChar w:fldCharType="separate"/>
      </w:r>
      <w:r>
        <w:t>2</w:t>
      </w:r>
      <w:r>
        <w:fldChar w:fldCharType="end"/>
      </w:r>
    </w:p>
    <w:p w14:paraId="75F9AE6F" w14:textId="4D66B68B" w:rsidR="003663F1" w:rsidRPr="00E66864" w:rsidRDefault="003663F1" w:rsidP="0007602B">
      <w:pPr>
        <w:pStyle w:val="TOC2"/>
        <w:rPr>
          <w:rFonts w:ascii="Calibri" w:eastAsia="SimSun" w:hAnsi="Calibri" w:cs="Cordia New"/>
          <w:szCs w:val="28"/>
          <w:lang w:eastAsia="zh-CN" w:bidi="th-TH"/>
        </w:rPr>
      </w:pPr>
      <w:r>
        <w:t>1.3</w:t>
      </w:r>
      <w:r w:rsidRPr="00E66864">
        <w:rPr>
          <w:rFonts w:ascii="Calibri" w:eastAsia="SimSun" w:hAnsi="Calibri" w:cs="Cordia New"/>
          <w:szCs w:val="28"/>
          <w:lang w:eastAsia="zh-CN" w:bidi="th-TH"/>
        </w:rPr>
        <w:tab/>
      </w:r>
      <w:r>
        <w:t>Contractor's Submissions</w:t>
      </w:r>
      <w:r>
        <w:tab/>
      </w:r>
      <w:r>
        <w:fldChar w:fldCharType="begin"/>
      </w:r>
      <w:r>
        <w:instrText xml:space="preserve"> PAGEREF _Toc42772988 \h </w:instrText>
      </w:r>
      <w:r>
        <w:fldChar w:fldCharType="separate"/>
      </w:r>
      <w:r>
        <w:t>2</w:t>
      </w:r>
      <w:r>
        <w:fldChar w:fldCharType="end"/>
      </w:r>
    </w:p>
    <w:p w14:paraId="06A5E139" w14:textId="5E80F5B0" w:rsidR="003663F1" w:rsidRPr="00E66864" w:rsidRDefault="003663F1" w:rsidP="0007602B">
      <w:pPr>
        <w:pStyle w:val="TOC2"/>
        <w:rPr>
          <w:rFonts w:ascii="Calibri" w:eastAsia="SimSun" w:hAnsi="Calibri" w:cs="Cordia New"/>
          <w:szCs w:val="28"/>
          <w:lang w:eastAsia="zh-CN" w:bidi="th-TH"/>
        </w:rPr>
      </w:pPr>
      <w:r>
        <w:t>1.4</w:t>
      </w:r>
      <w:r w:rsidRPr="00E66864">
        <w:rPr>
          <w:rFonts w:ascii="Calibri" w:eastAsia="SimSun" w:hAnsi="Calibri" w:cs="Cordia New"/>
          <w:szCs w:val="28"/>
          <w:lang w:eastAsia="zh-CN" w:bidi="th-TH"/>
        </w:rPr>
        <w:tab/>
      </w:r>
      <w:r>
        <w:t>Materials, Components And Work</w:t>
      </w:r>
      <w:r>
        <w:tab/>
      </w:r>
      <w:r>
        <w:fldChar w:fldCharType="begin"/>
      </w:r>
      <w:r>
        <w:instrText xml:space="preserve"> PAGEREF _Toc42772989 \h </w:instrText>
      </w:r>
      <w:r>
        <w:fldChar w:fldCharType="separate"/>
      </w:r>
      <w:r>
        <w:t>2</w:t>
      </w:r>
      <w:r>
        <w:fldChar w:fldCharType="end"/>
      </w:r>
    </w:p>
    <w:p w14:paraId="1703C9DD" w14:textId="0EDE05F3" w:rsidR="00DE5937" w:rsidRDefault="002C3856">
      <w:r>
        <w:fldChar w:fldCharType="end"/>
      </w:r>
    </w:p>
    <w:p w14:paraId="1703C9DE" w14:textId="77777777" w:rsidR="00DE5937" w:rsidRDefault="00DE5937"/>
    <w:p w14:paraId="1703C9DF" w14:textId="77777777" w:rsidR="00DE5937" w:rsidRDefault="00DE5937"/>
    <w:p w14:paraId="1703C9E0" w14:textId="77777777" w:rsidR="00DE5937" w:rsidRDefault="00DE5937"/>
    <w:p w14:paraId="1703C9E1" w14:textId="77777777" w:rsidR="00DE5937" w:rsidRDefault="00DE5937"/>
    <w:p w14:paraId="1703C9E2" w14:textId="77777777" w:rsidR="00DE5937" w:rsidRDefault="00DE5937">
      <w:pPr>
        <w:sectPr w:rsidR="00DE5937" w:rsidSect="008E0523">
          <w:footerReference w:type="default" r:id="rId16"/>
          <w:pgSz w:w="11906" w:h="16838" w:code="9"/>
          <w:pgMar w:top="1134" w:right="1134" w:bottom="992" w:left="1418" w:header="1134" w:footer="851" w:gutter="0"/>
          <w:pgNumType w:fmt="lowerRoman" w:start="1"/>
          <w:cols w:space="720"/>
        </w:sectPr>
      </w:pPr>
    </w:p>
    <w:p w14:paraId="48C7367F" w14:textId="77777777" w:rsidR="00A34B4C" w:rsidRDefault="00A34B4C" w:rsidP="00A34B4C">
      <w:pPr>
        <w:pStyle w:val="BodyTextIndentBoldItalicCen"/>
      </w:pPr>
      <w:r w:rsidRPr="004A2005">
        <w:lastRenderedPageBreak/>
        <w:t>(This Page Left Intentionally Blank)</w:t>
      </w:r>
    </w:p>
    <w:p w14:paraId="1D827C75" w14:textId="77777777" w:rsidR="00A34B4C" w:rsidRDefault="00A34B4C" w:rsidP="00A34B4C">
      <w:pPr>
        <w:jc w:val="center"/>
        <w:sectPr w:rsidR="00A34B4C" w:rsidSect="008E0523">
          <w:headerReference w:type="even" r:id="rId17"/>
          <w:footerReference w:type="default" r:id="rId18"/>
          <w:pgSz w:w="11906" w:h="16838" w:code="9"/>
          <w:pgMar w:top="1134" w:right="1134" w:bottom="992" w:left="1418" w:header="1134" w:footer="851" w:gutter="0"/>
          <w:pgNumType w:fmt="lowerRoman" w:start="1"/>
          <w:cols w:space="720"/>
          <w:vAlign w:val="center"/>
        </w:sectPr>
      </w:pPr>
    </w:p>
    <w:p w14:paraId="1703C9E9" w14:textId="5DA5246A" w:rsidR="00DE5937" w:rsidRDefault="00DE5937">
      <w:pPr>
        <w:rPr>
          <w:b/>
          <w:color w:val="FFFFFF"/>
        </w:rPr>
      </w:pPr>
      <w:r>
        <w:rPr>
          <w:b/>
          <w:color w:val="FFFFFF"/>
        </w:rPr>
        <w:lastRenderedPageBreak/>
        <w:t>ENE</w:t>
      </w:r>
    </w:p>
    <w:p w14:paraId="353F05C3" w14:textId="77777777" w:rsidR="00912885" w:rsidRDefault="00DE5937" w:rsidP="00E738D0">
      <w:pPr>
        <w:pStyle w:val="Heading2"/>
      </w:pPr>
      <w:bookmarkStart w:id="1" w:name="_Toc493942060"/>
      <w:bookmarkStart w:id="2" w:name="_Toc493986899"/>
      <w:bookmarkStart w:id="3" w:name="_Toc42772985"/>
      <w:r w:rsidRPr="00E738D0">
        <w:t>GENERAL</w:t>
      </w:r>
      <w:bookmarkStart w:id="4" w:name="_Toc42772986"/>
      <w:bookmarkEnd w:id="1"/>
      <w:bookmarkEnd w:id="2"/>
      <w:bookmarkEnd w:id="3"/>
    </w:p>
    <w:p w14:paraId="1703C9EB" w14:textId="02F96908" w:rsidR="00DE5937" w:rsidRPr="005A7C49" w:rsidRDefault="005A7C49" w:rsidP="00E738D0">
      <w:pPr>
        <w:pStyle w:val="Heading3"/>
      </w:pPr>
      <w:r w:rsidRPr="00E738D0">
        <w:t>Interpretation</w:t>
      </w:r>
      <w:bookmarkEnd w:id="4"/>
    </w:p>
    <w:p w14:paraId="1703C9EC" w14:textId="77777777" w:rsidR="00DE5937" w:rsidRDefault="00DE5937" w:rsidP="00DC620B">
      <w:pPr>
        <w:pStyle w:val="BodyTextIndentBoldUnderline"/>
      </w:pPr>
      <w:r>
        <w:t>General</w:t>
      </w:r>
    </w:p>
    <w:p w14:paraId="1703C9ED" w14:textId="77777777" w:rsidR="00DE5937" w:rsidRDefault="00DE5937" w:rsidP="00662E15">
      <w:pPr>
        <w:pStyle w:val="BodyTextIndent"/>
      </w:pPr>
      <w:r w:rsidRPr="003663F1">
        <w:rPr>
          <w:u w:val="single"/>
        </w:rPr>
        <w:t>Annexure</w:t>
      </w:r>
      <w:r>
        <w:t xml:space="preserve">: Specifications are in two parts, a reference specification and (optionally) an annexure.  </w:t>
      </w:r>
      <w:r w:rsidRPr="00DC620B">
        <w:t>Where</w:t>
      </w:r>
      <w:r>
        <w:t xml:space="preserve"> an annexure is included in the Contract, it modifies the relevant reference specification by additions, deletions and amendments.  The annexure overrides any inconsistent provisions in the reference specification.</w:t>
      </w:r>
    </w:p>
    <w:p w14:paraId="1703C9EE" w14:textId="77777777" w:rsidR="00DE5937" w:rsidRDefault="00DE5937" w:rsidP="00662E15">
      <w:pPr>
        <w:pStyle w:val="BodyTextIndent"/>
        <w:rPr>
          <w:color w:val="000000"/>
        </w:rPr>
      </w:pPr>
      <w:r w:rsidRPr="003663F1">
        <w:rPr>
          <w:color w:val="000000"/>
          <w:u w:val="single"/>
        </w:rPr>
        <w:t>Job specification</w:t>
      </w:r>
      <w:r>
        <w:rPr>
          <w:color w:val="000000"/>
        </w:rPr>
        <w:t>: Where a job specification is incorporated in the Contract, it overrides any inconsistent provisions of the standard specifications and any schedule (read together as above).</w:t>
      </w:r>
    </w:p>
    <w:p w14:paraId="1703C9EF" w14:textId="77777777" w:rsidR="00DE5937" w:rsidRDefault="00DE5937" w:rsidP="00662E15">
      <w:pPr>
        <w:pStyle w:val="BodyTextIndent"/>
      </w:pPr>
      <w:r w:rsidRPr="003663F1">
        <w:rPr>
          <w:u w:val="single"/>
        </w:rPr>
        <w:t>Instructions</w:t>
      </w:r>
      <w:r>
        <w:t>: Instructions in the Contract not specifically addressed to any party are addressed to the Contractor.</w:t>
      </w:r>
    </w:p>
    <w:p w14:paraId="1703C9F0" w14:textId="77777777" w:rsidR="00DE5937" w:rsidRDefault="00DE5937" w:rsidP="00662E15">
      <w:pPr>
        <w:pStyle w:val="BodyTextIndent"/>
      </w:pPr>
      <w:r w:rsidRPr="003663F1">
        <w:rPr>
          <w:u w:val="single"/>
        </w:rPr>
        <w:t>Principal</w:t>
      </w:r>
      <w:r>
        <w:t>: The purchaser of goods and services.</w:t>
      </w:r>
    </w:p>
    <w:p w14:paraId="1703C9F1" w14:textId="77777777" w:rsidR="00DE5937" w:rsidRDefault="00DE5937" w:rsidP="00662E15">
      <w:pPr>
        <w:pStyle w:val="BodyTextIndent"/>
      </w:pPr>
      <w:r w:rsidRPr="003663F1">
        <w:rPr>
          <w:u w:val="single"/>
        </w:rPr>
        <w:t>Superintendent</w:t>
      </w:r>
      <w:r>
        <w:t>: Agent of the Principal and the person appointed by the Principal to supervise the work under the Contract.</w:t>
      </w:r>
    </w:p>
    <w:p w14:paraId="1703C9F2" w14:textId="77777777" w:rsidR="00DE5937" w:rsidRDefault="00DE5937" w:rsidP="00662E15">
      <w:pPr>
        <w:pStyle w:val="BodyTextIndent"/>
      </w:pPr>
      <w:r w:rsidRPr="003663F1">
        <w:rPr>
          <w:u w:val="single"/>
        </w:rPr>
        <w:t>Supplier</w:t>
      </w:r>
      <w:r>
        <w:t>: Provider of goods or services, usually under a subcontract.</w:t>
      </w:r>
    </w:p>
    <w:p w14:paraId="1703C9F3" w14:textId="77777777" w:rsidR="00DE5937" w:rsidRDefault="00DE5937" w:rsidP="00662E15">
      <w:pPr>
        <w:pStyle w:val="BodyTextIndent"/>
      </w:pPr>
      <w:r w:rsidRPr="003663F1">
        <w:rPr>
          <w:u w:val="single"/>
        </w:rPr>
        <w:t>Contractor</w:t>
      </w:r>
      <w:r>
        <w:t>: The person bound to execute the work under the Contract, or the Supplier of a product to the Principal and the Supplier's subcontractors and Suppliers in turn.</w:t>
      </w:r>
    </w:p>
    <w:p w14:paraId="1703C9F4" w14:textId="78EBB584" w:rsidR="00DE5937" w:rsidRDefault="00DE5937" w:rsidP="00662E15">
      <w:pPr>
        <w:pStyle w:val="BodyTextIndent"/>
      </w:pPr>
      <w:r w:rsidRPr="003663F1">
        <w:rPr>
          <w:u w:val="single"/>
        </w:rPr>
        <w:t>Product</w:t>
      </w:r>
      <w:r>
        <w:t>: That which is supplied by the Contractor, which may be either tangible (</w:t>
      </w:r>
      <w:r w:rsidR="00814C8D">
        <w:t>e.g.</w:t>
      </w:r>
      <w:r>
        <w:t xml:space="preserve"> a built item); intangible (including services such as design and delivery of tangible product); or both.</w:t>
      </w:r>
    </w:p>
    <w:p w14:paraId="1703C9F6" w14:textId="77777777" w:rsidR="00DE5937" w:rsidRDefault="00DE5937" w:rsidP="00662E15">
      <w:pPr>
        <w:pStyle w:val="BodyTextIndentBoldUnderline"/>
      </w:pPr>
      <w:r>
        <w:t>Standards</w:t>
      </w:r>
    </w:p>
    <w:p w14:paraId="1703C9F7" w14:textId="77777777" w:rsidR="00DE5937" w:rsidRDefault="00DE5937" w:rsidP="00607B7E">
      <w:pPr>
        <w:pStyle w:val="BodyTextIndent"/>
      </w:pPr>
      <w:r w:rsidRPr="003663F1">
        <w:rPr>
          <w:u w:val="single"/>
        </w:rPr>
        <w:t>Current editions</w:t>
      </w:r>
      <w:r>
        <w:t>: An Australian or other standard applicable to the Works is the latest edition in publication one month prior to the closing date for tenders.</w:t>
      </w:r>
    </w:p>
    <w:p w14:paraId="1703C9F9" w14:textId="77777777" w:rsidR="00DE5937" w:rsidRDefault="00DE5937" w:rsidP="00662E15">
      <w:pPr>
        <w:pStyle w:val="BodyTextIndentBoldUnderline"/>
      </w:pPr>
      <w:r>
        <w:t>Definitions</w:t>
      </w:r>
    </w:p>
    <w:p w14:paraId="1703C9FA" w14:textId="77777777" w:rsidR="00DE5937" w:rsidRDefault="00DE5937" w:rsidP="00607B7E">
      <w:pPr>
        <w:pStyle w:val="BodyTextIndent"/>
      </w:pPr>
      <w:r w:rsidRPr="003663F1">
        <w:rPr>
          <w:u w:val="single"/>
        </w:rPr>
        <w:t>Provide</w:t>
      </w:r>
      <w:r>
        <w:t>: The words "provide", "supply" and similar expressions mean, "provide (supply, etc) and install" unless the context clearly implies, or it is explicitly stated, that the item is to be provided only.</w:t>
      </w:r>
    </w:p>
    <w:p w14:paraId="1703C9FB" w14:textId="77777777" w:rsidR="00DE5937" w:rsidRDefault="00DE5937" w:rsidP="00607B7E">
      <w:pPr>
        <w:pStyle w:val="BodyTextIndent"/>
        <w:rPr>
          <w:color w:val="000000"/>
        </w:rPr>
      </w:pPr>
      <w:r w:rsidRPr="00F624B7">
        <w:rPr>
          <w:color w:val="000000"/>
          <w:u w:val="single"/>
        </w:rPr>
        <w:t>Approved</w:t>
      </w:r>
      <w:r>
        <w:rPr>
          <w:color w:val="000000"/>
        </w:rPr>
        <w:t>: The words "directed", "approved", "instructed", "rejected" and similar terms mean "directed (approved, etc) by the Superintendent".</w:t>
      </w:r>
    </w:p>
    <w:p w14:paraId="1703C9FC" w14:textId="77777777" w:rsidR="00DE5937" w:rsidRDefault="00DE5937" w:rsidP="00607B7E">
      <w:pPr>
        <w:pStyle w:val="BodyTextIndent"/>
      </w:pPr>
      <w:r w:rsidRPr="00F624B7">
        <w:rPr>
          <w:u w:val="single"/>
        </w:rPr>
        <w:t>Give notice</w:t>
      </w:r>
      <w:r>
        <w:t>: The words "give notice", "submit" and similar expressions mean, unless the context otherwise requires, "give notice (submit, etc) to the Superintendent".  The Superintendent may require any verbal notice (submission, etc) to be confirmed in writing.</w:t>
      </w:r>
    </w:p>
    <w:p w14:paraId="1703C9FD" w14:textId="55DEC3F3" w:rsidR="00DE5937" w:rsidRDefault="00DE5937" w:rsidP="00607B7E">
      <w:pPr>
        <w:pStyle w:val="BodyTextIndent"/>
      </w:pPr>
      <w:r w:rsidRPr="00F624B7">
        <w:rPr>
          <w:u w:val="single"/>
        </w:rPr>
        <w:t>Other terms</w:t>
      </w:r>
      <w:r>
        <w:t xml:space="preserve">: The meaning of words not otherwise defined in the Contract is, where the context allows, as stated in </w:t>
      </w:r>
      <w:r w:rsidRPr="008E18AA">
        <w:rPr>
          <w:i/>
          <w:iCs/>
        </w:rPr>
        <w:t>AS</w:t>
      </w:r>
      <w:r w:rsidR="00814C8D" w:rsidRPr="008E18AA">
        <w:rPr>
          <w:i/>
          <w:iCs/>
        </w:rPr>
        <w:t> </w:t>
      </w:r>
      <w:r w:rsidRPr="008E18AA">
        <w:rPr>
          <w:i/>
          <w:iCs/>
        </w:rPr>
        <w:t>4000</w:t>
      </w:r>
      <w:r>
        <w:t xml:space="preserve"> and </w:t>
      </w:r>
      <w:r w:rsidRPr="008E18AA">
        <w:rPr>
          <w:i/>
          <w:iCs/>
        </w:rPr>
        <w:t>AS</w:t>
      </w:r>
      <w:r w:rsidR="00814C8D" w:rsidRPr="008E18AA">
        <w:rPr>
          <w:i/>
          <w:iCs/>
        </w:rPr>
        <w:t> </w:t>
      </w:r>
      <w:r w:rsidRPr="008E18AA">
        <w:rPr>
          <w:i/>
          <w:iCs/>
        </w:rPr>
        <w:t>1348.1</w:t>
      </w:r>
      <w:r>
        <w:t>.</w:t>
      </w:r>
    </w:p>
    <w:p w14:paraId="1703C9FE" w14:textId="77777777" w:rsidR="00DE5937" w:rsidRDefault="00DE5937" w:rsidP="00607B7E">
      <w:pPr>
        <w:pStyle w:val="BodyTextIndent"/>
        <w:rPr>
          <w:color w:val="000000"/>
        </w:rPr>
      </w:pPr>
      <w:r w:rsidRPr="00F624B7">
        <w:rPr>
          <w:color w:val="000000"/>
          <w:u w:val="single"/>
        </w:rPr>
        <w:t>NATA</w:t>
      </w:r>
      <w:r>
        <w:rPr>
          <w:color w:val="000000"/>
        </w:rPr>
        <w:t>: The National Association of Testing Authorities, Australia.</w:t>
      </w:r>
    </w:p>
    <w:p w14:paraId="1703CA01" w14:textId="20AC4B18" w:rsidR="00DE5937" w:rsidRDefault="00DE5937" w:rsidP="00662E15">
      <w:pPr>
        <w:pStyle w:val="BodyTextIndentBoldUnderline"/>
      </w:pPr>
      <w:r>
        <w:t>Dimensions</w:t>
      </w:r>
    </w:p>
    <w:p w14:paraId="1703CA02" w14:textId="77777777" w:rsidR="00DE5937" w:rsidRDefault="00DE5937" w:rsidP="00607B7E">
      <w:pPr>
        <w:pStyle w:val="BodyTextIndent"/>
      </w:pPr>
      <w:r w:rsidRPr="008E18AA">
        <w:rPr>
          <w:u w:val="single"/>
        </w:rPr>
        <w:t>Verification</w:t>
      </w:r>
      <w:r>
        <w:t>: If the Works include al</w:t>
      </w:r>
      <w:permStart w:id="645295722" w:edGrp="everyone"/>
      <w:permEnd w:id="645295722"/>
      <w:r>
        <w:t>terations and/or additions to existing work, verify the dimensions of the existing work before proceeding.  Seek direction regarding discrepancies.</w:t>
      </w:r>
    </w:p>
    <w:p w14:paraId="1703CA03" w14:textId="77777777" w:rsidR="00DE5937" w:rsidRDefault="00DE5937" w:rsidP="00607B7E">
      <w:pPr>
        <w:pStyle w:val="BodyTextIndent"/>
        <w:rPr>
          <w:color w:val="000000"/>
        </w:rPr>
      </w:pPr>
      <w:r w:rsidRPr="008E18AA">
        <w:rPr>
          <w:color w:val="000000"/>
          <w:u w:val="single"/>
        </w:rPr>
        <w:t>Levels</w:t>
      </w:r>
      <w:r>
        <w:rPr>
          <w:color w:val="000000"/>
        </w:rPr>
        <w:t>: Spot levels take precedence over contour lines and ground profile lines.</w:t>
      </w:r>
    </w:p>
    <w:p w14:paraId="1703CA04" w14:textId="2D19DD84" w:rsidR="00DE5937" w:rsidRPr="002C3856" w:rsidRDefault="00674F29" w:rsidP="00E738D0">
      <w:pPr>
        <w:pStyle w:val="Heading3"/>
      </w:pPr>
      <w:bookmarkStart w:id="5" w:name="_Toc493942061"/>
      <w:bookmarkStart w:id="6" w:name="_Toc493986900"/>
      <w:r>
        <w:br w:type="page"/>
      </w:r>
      <w:bookmarkStart w:id="7" w:name="_Toc42772987"/>
      <w:r w:rsidR="002C3856" w:rsidRPr="00CC79C1">
        <w:lastRenderedPageBreak/>
        <w:t>Inspection</w:t>
      </w:r>
      <w:bookmarkEnd w:id="5"/>
      <w:bookmarkEnd w:id="6"/>
      <w:bookmarkEnd w:id="7"/>
    </w:p>
    <w:p w14:paraId="1703CA05" w14:textId="77777777" w:rsidR="00DE5937" w:rsidRDefault="00DE5937" w:rsidP="00662E15">
      <w:pPr>
        <w:pStyle w:val="BodyTextIndentBoldUnderline"/>
      </w:pPr>
      <w:r>
        <w:t>Covering up</w:t>
      </w:r>
    </w:p>
    <w:p w14:paraId="1703CA06" w14:textId="77777777" w:rsidR="00DE5937" w:rsidRDefault="00DE5937" w:rsidP="008E18AA">
      <w:pPr>
        <w:pStyle w:val="BodyTextIndent"/>
      </w:pPr>
      <w:r>
        <w:t>Where notice is to be given for inspection of any part of the Works, do not cover up that part without approval.</w:t>
      </w:r>
    </w:p>
    <w:p w14:paraId="1703CA07" w14:textId="7F3E3E99" w:rsidR="00DE5937" w:rsidRPr="002C3856" w:rsidRDefault="002C3856" w:rsidP="00E738D0">
      <w:pPr>
        <w:pStyle w:val="Heading3"/>
      </w:pPr>
      <w:bookmarkStart w:id="8" w:name="_Toc493942062"/>
      <w:bookmarkStart w:id="9" w:name="_Toc493986901"/>
      <w:bookmarkStart w:id="10" w:name="_Toc42772988"/>
      <w:r w:rsidRPr="008E18AA">
        <w:t>Contractor's Submissions</w:t>
      </w:r>
      <w:bookmarkEnd w:id="8"/>
      <w:bookmarkEnd w:id="9"/>
      <w:bookmarkEnd w:id="10"/>
    </w:p>
    <w:p w14:paraId="1703CA08" w14:textId="77777777" w:rsidR="00DE5937" w:rsidRDefault="00DE5937" w:rsidP="008E18AA">
      <w:pPr>
        <w:pStyle w:val="BodyTextIndentBoldUnderline"/>
      </w:pPr>
      <w:r>
        <w:t>Samples</w:t>
      </w:r>
    </w:p>
    <w:p w14:paraId="1703CA09" w14:textId="77777777" w:rsidR="00DE5937" w:rsidRDefault="00DE5937" w:rsidP="008E18AA">
      <w:pPr>
        <w:pStyle w:val="BodyTextIndent"/>
      </w:pPr>
      <w:r w:rsidRPr="008E18AA">
        <w:rPr>
          <w:u w:val="single"/>
        </w:rPr>
        <w:t>Quantity</w:t>
      </w:r>
      <w:r>
        <w:t>: Submit at least one of each item and two copies of any supporting documentation for review.  Keep approved samples in good condition on the site, for reference, until practical completion.</w:t>
      </w:r>
    </w:p>
    <w:p w14:paraId="1703CA0A" w14:textId="77777777" w:rsidR="00DE5937" w:rsidRDefault="00DE5937" w:rsidP="008E18AA">
      <w:pPr>
        <w:pStyle w:val="BodyTextIndent"/>
      </w:pPr>
      <w:r w:rsidRPr="008E18AA">
        <w:rPr>
          <w:u w:val="single"/>
        </w:rPr>
        <w:t>Suitability</w:t>
      </w:r>
      <w:r>
        <w:t>: Do not commence work affected by samples until the samples have been approved.  Submit further samples as required.</w:t>
      </w:r>
    </w:p>
    <w:p w14:paraId="1703CA0B" w14:textId="77777777" w:rsidR="00DE5937" w:rsidRDefault="00DE5937" w:rsidP="008E18AA">
      <w:pPr>
        <w:pStyle w:val="BodyTextIndent"/>
        <w:rPr>
          <w:color w:val="000000"/>
        </w:rPr>
      </w:pPr>
      <w:r w:rsidRPr="008E18AA">
        <w:rPr>
          <w:color w:val="000000"/>
          <w:u w:val="single"/>
        </w:rPr>
        <w:t>Delay</w:t>
      </w:r>
      <w:r>
        <w:rPr>
          <w:color w:val="000000"/>
        </w:rPr>
        <w:t>: Delay caused by late submission or inadequacy of samples is not a reason for an extension of time.</w:t>
      </w:r>
    </w:p>
    <w:p w14:paraId="1703CA0C" w14:textId="77777777" w:rsidR="00DE5937" w:rsidRDefault="00DE5937" w:rsidP="008E18AA">
      <w:pPr>
        <w:pStyle w:val="BodyTextIndent"/>
        <w:rPr>
          <w:color w:val="000000"/>
        </w:rPr>
      </w:pPr>
      <w:r w:rsidRPr="008E18AA">
        <w:rPr>
          <w:color w:val="000000"/>
          <w:u w:val="single"/>
        </w:rPr>
        <w:t>Approval</w:t>
      </w:r>
      <w:r>
        <w:rPr>
          <w:color w:val="000000"/>
        </w:rPr>
        <w:t>: Approval of samples does not affect the responsibilities of the Contractor under the Contract.</w:t>
      </w:r>
    </w:p>
    <w:p w14:paraId="1703CA0D" w14:textId="77777777" w:rsidR="00DE5937" w:rsidRDefault="00DE5937" w:rsidP="008E18AA">
      <w:pPr>
        <w:pStyle w:val="BodyTextIndent"/>
        <w:rPr>
          <w:color w:val="000000"/>
        </w:rPr>
      </w:pPr>
      <w:r w:rsidRPr="008E18AA">
        <w:rPr>
          <w:color w:val="000000"/>
          <w:u w:val="single"/>
        </w:rPr>
        <w:t>Criteria</w:t>
      </w:r>
      <w:r>
        <w:rPr>
          <w:color w:val="000000"/>
        </w:rPr>
        <w:t>: Match approved samples, prototypes and sample panels throughout the Works.</w:t>
      </w:r>
    </w:p>
    <w:p w14:paraId="1703CA0F" w14:textId="77777777" w:rsidR="00DE5937" w:rsidRDefault="00DE5937" w:rsidP="008E18AA">
      <w:pPr>
        <w:pStyle w:val="BodyTextIndentBoldUnderline"/>
      </w:pPr>
      <w:r>
        <w:t>Documents</w:t>
      </w:r>
    </w:p>
    <w:p w14:paraId="1703CA10" w14:textId="77777777" w:rsidR="00DE5937" w:rsidRDefault="00DE5937" w:rsidP="008E18AA">
      <w:pPr>
        <w:pStyle w:val="BodyTextIndent"/>
      </w:pPr>
      <w:r w:rsidRPr="008E18AA">
        <w:rPr>
          <w:u w:val="single"/>
        </w:rPr>
        <w:t>Requirement</w:t>
      </w:r>
      <w:r>
        <w:t>: Prepare and supply such Drawings, Specifications, work procedures and other documents as are specified and as are directed.</w:t>
      </w:r>
      <w:r>
        <w:rPr>
          <w:i/>
        </w:rPr>
        <w:t xml:space="preserve">  Refer annexure</w:t>
      </w:r>
      <w:r>
        <w:t>.</w:t>
      </w:r>
    </w:p>
    <w:p w14:paraId="1703CA11" w14:textId="77777777" w:rsidR="00DE5937" w:rsidRDefault="00DE5937" w:rsidP="008E18AA">
      <w:pPr>
        <w:pStyle w:val="BodyTextIndent"/>
      </w:pPr>
      <w:r w:rsidRPr="008E18AA">
        <w:rPr>
          <w:u w:val="single"/>
        </w:rPr>
        <w:t>Suitability</w:t>
      </w:r>
      <w:r>
        <w:t>: Do not commence work affected by any such documents until the Superintendent has advised that the document is suitable.  If the Superintendent deems a document unsuitable, submit a new or amended document as appropriate.</w:t>
      </w:r>
    </w:p>
    <w:p w14:paraId="1703CA12" w14:textId="77777777" w:rsidR="00DE5937" w:rsidRDefault="00DE5937" w:rsidP="008E18AA">
      <w:pPr>
        <w:pStyle w:val="BodyTextIndent"/>
      </w:pPr>
      <w:r w:rsidRPr="008E18AA">
        <w:rPr>
          <w:u w:val="single"/>
        </w:rPr>
        <w:t>Delay</w:t>
      </w:r>
      <w:r>
        <w:t>: Delay caused by late submission or inadequacy of Contractor's documents is not a reason for an extension of time.</w:t>
      </w:r>
    </w:p>
    <w:p w14:paraId="1703CA14" w14:textId="5538CA0E" w:rsidR="00DE5937" w:rsidRDefault="00DE5937" w:rsidP="008E18AA">
      <w:pPr>
        <w:pStyle w:val="BodyTextIndentBoldUnderline"/>
        <w:rPr>
          <w:color w:val="000000"/>
        </w:rPr>
      </w:pPr>
      <w:r>
        <w:t xml:space="preserve">Work </w:t>
      </w:r>
      <w:r w:rsidR="008E18AA">
        <w:t xml:space="preserve">As-Constructed </w:t>
      </w:r>
      <w:r>
        <w:t>drawings</w:t>
      </w:r>
    </w:p>
    <w:p w14:paraId="1703CA15" w14:textId="77777777" w:rsidR="00DE5937" w:rsidRDefault="00DE5937" w:rsidP="008E18AA">
      <w:pPr>
        <w:pStyle w:val="BodyTextIndent"/>
      </w:pPr>
      <w:r w:rsidRPr="008E18AA">
        <w:rPr>
          <w:u w:val="single"/>
        </w:rPr>
        <w:t>Requirement</w:t>
      </w:r>
      <w:r>
        <w:t>: Where work as constructed drawings are called for in the Contract, prepare drawings showing the "as constructed" locations and details of elements of the Works and any Temporary Works left in place.  Show dimensions and levels</w:t>
      </w:r>
      <w:r>
        <w:rPr>
          <w:i/>
        </w:rPr>
        <w:t>.  Refer annexure</w:t>
      </w:r>
      <w:r>
        <w:t>.</w:t>
      </w:r>
    </w:p>
    <w:p w14:paraId="1703CA16" w14:textId="77777777" w:rsidR="00DE5937" w:rsidRDefault="00DE5937" w:rsidP="008E18AA">
      <w:pPr>
        <w:pStyle w:val="BodyTextIndent"/>
      </w:pPr>
      <w:r w:rsidRPr="008E18AA">
        <w:rPr>
          <w:u w:val="single"/>
        </w:rPr>
        <w:t>Format</w:t>
      </w:r>
      <w:r>
        <w:t>: The Principal or his agent must submit to Council one set of hardcopy work as constructed drawings.  Mark on the drawings neatly and legibly in red ink to show deviations from and additions to the approved design drawings. A Registered Professional Engineer in Queensland (RPEQ) must certify the work as constructed drawings to be accurate and correct.  A licensed surveyor must endorse all cadastral survey information.  Where directed, complement hardcopies with digital submission.</w:t>
      </w:r>
      <w:r>
        <w:rPr>
          <w:i/>
        </w:rPr>
        <w:t xml:space="preserve">  Refer annexure</w:t>
      </w:r>
      <w:r>
        <w:t>.</w:t>
      </w:r>
    </w:p>
    <w:p w14:paraId="1703CA17" w14:textId="77777777" w:rsidR="00DE5937" w:rsidRDefault="00DE5937" w:rsidP="008E18AA">
      <w:pPr>
        <w:pStyle w:val="BodyTextIndent"/>
        <w:rPr>
          <w:color w:val="000000"/>
        </w:rPr>
      </w:pPr>
      <w:r w:rsidRPr="008E18AA">
        <w:rPr>
          <w:color w:val="000000"/>
          <w:u w:val="single"/>
        </w:rPr>
        <w:t>Time</w:t>
      </w:r>
      <w:r>
        <w:rPr>
          <w:color w:val="000000"/>
        </w:rPr>
        <w:t>: Provide the work as constructed drawings within 2 weeks from the date of On Maintenance inspection (Practical Completion).</w:t>
      </w:r>
    </w:p>
    <w:p w14:paraId="1703CA19" w14:textId="56AF9E5F" w:rsidR="00DE5937" w:rsidRPr="002C3856" w:rsidRDefault="002C3856" w:rsidP="00E738D0">
      <w:pPr>
        <w:pStyle w:val="Heading3"/>
      </w:pPr>
      <w:bookmarkStart w:id="11" w:name="_Toc493942063"/>
      <w:bookmarkStart w:id="12" w:name="_Toc493986902"/>
      <w:bookmarkStart w:id="13" w:name="_Toc42772989"/>
      <w:r w:rsidRPr="00EF39E6">
        <w:t>Materials, Components And Work</w:t>
      </w:r>
      <w:bookmarkEnd w:id="11"/>
      <w:bookmarkEnd w:id="12"/>
      <w:bookmarkEnd w:id="13"/>
    </w:p>
    <w:p w14:paraId="1703CA1A" w14:textId="77777777" w:rsidR="00DE5937" w:rsidRDefault="00DE5937" w:rsidP="008E18AA">
      <w:pPr>
        <w:pStyle w:val="BodyTextIndentBoldUnderline"/>
      </w:pPr>
      <w:r>
        <w:t>Standards</w:t>
      </w:r>
    </w:p>
    <w:p w14:paraId="1703CA1B" w14:textId="77777777" w:rsidR="00DE5937" w:rsidRDefault="00DE5937" w:rsidP="008E18AA">
      <w:pPr>
        <w:pStyle w:val="BodyTextIndent"/>
      </w:pPr>
      <w:r>
        <w:t>Unless otherwise specified, all materials, methods and workmanship must be in accordance with the relevant Australian Standard.</w:t>
      </w:r>
    </w:p>
    <w:p w14:paraId="1703CA1D" w14:textId="2A5B8DBC" w:rsidR="00DE5937" w:rsidRDefault="00DE094A" w:rsidP="008E18AA">
      <w:pPr>
        <w:pStyle w:val="BodyTextIndentBoldUnderline"/>
        <w:rPr>
          <w:color w:val="000000"/>
        </w:rPr>
      </w:pPr>
      <w:r>
        <w:br w:type="page"/>
      </w:r>
      <w:r w:rsidR="00DE5937">
        <w:lastRenderedPageBreak/>
        <w:t>Proprietary items</w:t>
      </w:r>
    </w:p>
    <w:p w14:paraId="1703CA1E" w14:textId="77777777" w:rsidR="00DE5937" w:rsidRDefault="00DE5937" w:rsidP="008E18AA">
      <w:pPr>
        <w:pStyle w:val="BodyTextIndent"/>
      </w:pPr>
      <w:r w:rsidRPr="008E18AA">
        <w:rPr>
          <w:u w:val="single"/>
        </w:rPr>
        <w:t>Definition</w:t>
      </w:r>
      <w:r>
        <w:t>: A proprietary item is any item identified by naming the manufacturer, supplier, installer, trade name, brand name, catalogue or reference number.</w:t>
      </w:r>
    </w:p>
    <w:p w14:paraId="1703CA1F" w14:textId="1AC22787" w:rsidR="00DE5937" w:rsidRDefault="00DE5937" w:rsidP="008E18AA">
      <w:pPr>
        <w:pStyle w:val="BodyTextIndent"/>
      </w:pPr>
      <w:r w:rsidRPr="008E18AA">
        <w:rPr>
          <w:u w:val="single"/>
        </w:rPr>
        <w:t>Implication</w:t>
      </w:r>
      <w:r>
        <w:t xml:space="preserve">: The identification of a proprietary item does not necessarily imply exclusive preference for the </w:t>
      </w:r>
      <w:r w:rsidR="00DB1596">
        <w:t>item but</w:t>
      </w:r>
      <w:r>
        <w:t xml:space="preserve"> indicates the required properties.</w:t>
      </w:r>
    </w:p>
    <w:p w14:paraId="1703CA20" w14:textId="77777777" w:rsidR="00DE5937" w:rsidRDefault="00DE5937" w:rsidP="008E18AA">
      <w:pPr>
        <w:pStyle w:val="BodyTextIndent"/>
      </w:pPr>
      <w:r w:rsidRPr="008E18AA">
        <w:rPr>
          <w:u w:val="single"/>
        </w:rPr>
        <w:t>Information</w:t>
      </w:r>
      <w:r>
        <w:t>: Submit proposed alternatives for approval.  Submit available technical information and any other relevant information requested including reasons for the substitution (for example, the proprietary item is not readily available).  State whether the use of the alternative will require alteration to any other part of the Works and advise any consequent variation to the Contract Sum.</w:t>
      </w:r>
    </w:p>
    <w:p w14:paraId="1703CA21" w14:textId="77777777" w:rsidR="00DE5937" w:rsidRDefault="00DE5937" w:rsidP="008E18AA">
      <w:pPr>
        <w:pStyle w:val="BodyTextIndent"/>
      </w:pPr>
      <w:r w:rsidRPr="008E18AA">
        <w:rPr>
          <w:u w:val="single"/>
        </w:rPr>
        <w:t>Alternatives</w:t>
      </w:r>
      <w:r>
        <w:t>: The Superintendent may reject any alternative proposed.  If alternative items are accepted, any cost difference must be treated as a variation.</w:t>
      </w:r>
    </w:p>
    <w:p w14:paraId="1703CA23" w14:textId="77777777" w:rsidR="00DE5937" w:rsidRDefault="00DE5937" w:rsidP="008E18AA">
      <w:pPr>
        <w:pStyle w:val="BodyTextIndentBoldUnderline"/>
        <w:rPr>
          <w:color w:val="000000"/>
        </w:rPr>
      </w:pPr>
      <w:r>
        <w:t>Manufacturers' or suppliers' recommendations</w:t>
      </w:r>
    </w:p>
    <w:p w14:paraId="1703CA24" w14:textId="77777777" w:rsidR="00DE5937" w:rsidRDefault="00DE5937">
      <w:pPr>
        <w:ind w:left="709"/>
        <w:jc w:val="both"/>
        <w:rPr>
          <w:color w:val="000000"/>
        </w:rPr>
      </w:pPr>
      <w:r w:rsidRPr="008E18AA">
        <w:rPr>
          <w:color w:val="000000"/>
          <w:u w:val="single"/>
        </w:rPr>
        <w:t>Compliance</w:t>
      </w:r>
      <w:r>
        <w:rPr>
          <w:color w:val="000000"/>
        </w:rPr>
        <w:t>: Select (where no selection is given) and store, handle and use manufactured items in accordance with the current published recommendations of the manufacturer or supplier.</w:t>
      </w:r>
    </w:p>
    <w:p w14:paraId="1703CA26" w14:textId="77777777" w:rsidR="00DE5937" w:rsidRDefault="00DE5937" w:rsidP="008E18AA">
      <w:pPr>
        <w:pStyle w:val="BodyTextIndentBoldUnderline"/>
        <w:rPr>
          <w:color w:val="000000"/>
        </w:rPr>
      </w:pPr>
      <w:r>
        <w:t>Joining up</w:t>
      </w:r>
    </w:p>
    <w:p w14:paraId="1703CA27" w14:textId="77777777" w:rsidR="00DE5937" w:rsidRDefault="00DE5937" w:rsidP="008E18AA">
      <w:pPr>
        <w:pStyle w:val="BodyTextIndent"/>
      </w:pPr>
      <w:r w:rsidRPr="008E18AA">
        <w:rPr>
          <w:u w:val="single"/>
        </w:rPr>
        <w:t>Requirement</w:t>
      </w:r>
      <w:r>
        <w:t>: Carry out the joining of new work to existing work, and any consequent cutting away, neatly and in a manner appropriate to the materials.</w:t>
      </w:r>
    </w:p>
    <w:p w14:paraId="1703CA29" w14:textId="77777777" w:rsidR="00DE5937" w:rsidRDefault="00DE5937" w:rsidP="008E18AA">
      <w:pPr>
        <w:pStyle w:val="BodyTextIndentBoldUnderline"/>
      </w:pPr>
      <w:r>
        <w:t>Environmental compliance</w:t>
      </w:r>
    </w:p>
    <w:p w14:paraId="1703CA2A" w14:textId="77777777" w:rsidR="00DE5937" w:rsidRDefault="00DE5937" w:rsidP="008E18AA">
      <w:pPr>
        <w:pStyle w:val="BodyTextIndent"/>
      </w:pPr>
      <w:r>
        <w:t xml:space="preserve">Carry out all work under the </w:t>
      </w:r>
      <w:r>
        <w:rPr>
          <w:color w:val="000000"/>
        </w:rPr>
        <w:t>contract</w:t>
      </w:r>
      <w:r>
        <w:t xml:space="preserve"> in accordance with the approved Environmental Management Plan.</w:t>
      </w:r>
    </w:p>
    <w:p w14:paraId="1703CA2C" w14:textId="77777777" w:rsidR="00DE5937" w:rsidRPr="003005C1" w:rsidRDefault="00DE5937" w:rsidP="008E18AA">
      <w:pPr>
        <w:pStyle w:val="BodyTextIndentBoldUnderline"/>
      </w:pPr>
      <w:r w:rsidRPr="003005C1">
        <w:t>Fire ant management</w:t>
      </w:r>
    </w:p>
    <w:p w14:paraId="1703CA2D" w14:textId="77777777" w:rsidR="00DE5937" w:rsidRDefault="00DE5937" w:rsidP="008E18AA">
      <w:pPr>
        <w:pStyle w:val="BodyTextIndent"/>
      </w:pPr>
      <w:r w:rsidRPr="008E18AA">
        <w:rPr>
          <w:u w:val="single"/>
        </w:rPr>
        <w:t>High risk activities</w:t>
      </w:r>
      <w:r>
        <w:t>: Those activities that have the potential to disturb or distribute the red imported fire ants (</w:t>
      </w:r>
      <w:r>
        <w:rPr>
          <w:i/>
        </w:rPr>
        <w:t>Solenopsis invicta</w:t>
      </w:r>
      <w:r>
        <w:t>) and result in the spread of fire ants across a site boundary.  High risk activities can include:</w:t>
      </w:r>
    </w:p>
    <w:p w14:paraId="1703CA2E" w14:textId="77777777" w:rsidR="00DE5937" w:rsidRDefault="00DE5937" w:rsidP="008E18AA">
      <w:pPr>
        <w:pStyle w:val="BodyTextIndentDot"/>
      </w:pPr>
      <w:r>
        <w:t>Earthworks of a minor or major scale.</w:t>
      </w:r>
    </w:p>
    <w:p w14:paraId="1703CA2F" w14:textId="77777777" w:rsidR="00DE5937" w:rsidRDefault="00DE5937" w:rsidP="008E18AA">
      <w:pPr>
        <w:pStyle w:val="BodyTextIndentDot"/>
      </w:pPr>
      <w:r>
        <w:t>Revegetation or rehabilitation.</w:t>
      </w:r>
    </w:p>
    <w:p w14:paraId="1703CA30" w14:textId="77777777" w:rsidR="00DE5937" w:rsidRDefault="00DE5937" w:rsidP="008E18AA">
      <w:pPr>
        <w:pStyle w:val="BodyTextIndentDot"/>
      </w:pPr>
      <w:r>
        <w:t>Import of fill onto a site</w:t>
      </w:r>
    </w:p>
    <w:p w14:paraId="1703CA31" w14:textId="77777777" w:rsidR="00DE5937" w:rsidRDefault="00DE5937" w:rsidP="008E18AA">
      <w:pPr>
        <w:pStyle w:val="BodyTextIndentDot"/>
      </w:pPr>
      <w:r>
        <w:t>Export of fill or other materials such as soils, gravel, mulch, and plants.</w:t>
      </w:r>
    </w:p>
    <w:p w14:paraId="1703CA32" w14:textId="77777777" w:rsidR="00DE5937" w:rsidRDefault="00DE5937" w:rsidP="008E18AA">
      <w:pPr>
        <w:pStyle w:val="BodyTextIndentDot"/>
      </w:pPr>
      <w:r>
        <w:t>Export off or import onto a site of construction and demolition waste and materials or green waste.</w:t>
      </w:r>
    </w:p>
    <w:p w14:paraId="1703CA34" w14:textId="77777777" w:rsidR="00DE5937" w:rsidRDefault="00DE5937" w:rsidP="00FA2323">
      <w:pPr>
        <w:pStyle w:val="BodyTextIndent"/>
      </w:pPr>
      <w:r w:rsidRPr="00FA2323">
        <w:rPr>
          <w:u w:val="single"/>
        </w:rPr>
        <w:t>High risk materials or items</w:t>
      </w:r>
      <w:r>
        <w:t>: Materials or items that are likely to house fire ants.  High risk materials can include:</w:t>
      </w:r>
    </w:p>
    <w:p w14:paraId="1703CA35" w14:textId="38D68DF2" w:rsidR="00DE5937" w:rsidRDefault="00DE5937" w:rsidP="00FA2323">
      <w:pPr>
        <w:pStyle w:val="BodyTextIndentDot"/>
      </w:pPr>
      <w:r>
        <w:t>Any soil either separately or associated with other items, potting media and organic mulches (</w:t>
      </w:r>
      <w:r w:rsidR="00FB4FB6">
        <w:t>e.g.</w:t>
      </w:r>
      <w:r>
        <w:t xml:space="preserve"> topsoil, landscaping materials, green waste, plant stock, fill/spoil).</w:t>
      </w:r>
    </w:p>
    <w:p w14:paraId="1703CA36" w14:textId="77777777" w:rsidR="00DE5937" w:rsidRDefault="00DE5937" w:rsidP="00FA2323">
      <w:pPr>
        <w:pStyle w:val="BodyTextIndentDot"/>
      </w:pPr>
      <w:r>
        <w:t>Plants (including turf) with roots and soil or potting media attached.</w:t>
      </w:r>
    </w:p>
    <w:p w14:paraId="1703CA37" w14:textId="77777777" w:rsidR="00DE5937" w:rsidRDefault="00DE5937" w:rsidP="00FA2323">
      <w:pPr>
        <w:pStyle w:val="BodyTextIndentDot"/>
      </w:pPr>
      <w:r>
        <w:t>Baled hay and baled straw.</w:t>
      </w:r>
    </w:p>
    <w:p w14:paraId="1703CA38" w14:textId="77777777" w:rsidR="00DE5937" w:rsidRDefault="00DE5937" w:rsidP="00FA2323">
      <w:pPr>
        <w:pStyle w:val="BodyTextIndentDot"/>
      </w:pPr>
      <w:r>
        <w:t>Soil moving equipment or other soiled vehicles (including agricultural machinery).</w:t>
      </w:r>
    </w:p>
    <w:p w14:paraId="1703CA39" w14:textId="77777777" w:rsidR="00DE5937" w:rsidRDefault="00DE5937" w:rsidP="00FA2323">
      <w:pPr>
        <w:pStyle w:val="BodyTextIndentDot"/>
      </w:pPr>
      <w:r>
        <w:t>Any other item such as timber product, prepared stock foods and protein meals, shipping containers, caravans, motor vehicle bodies, boat and box trailers and construction material, that is infested with fire ants or contaminated with soil.</w:t>
      </w:r>
    </w:p>
    <w:p w14:paraId="1703CA3F" w14:textId="77FA2A1F" w:rsidR="00DE5937" w:rsidRDefault="00DE5937" w:rsidP="00DE094A">
      <w:pPr>
        <w:pStyle w:val="BodyTextIndent"/>
      </w:pPr>
      <w:r w:rsidRPr="00DE094A">
        <w:rPr>
          <w:u w:val="single"/>
        </w:rPr>
        <w:t>Precautionary and quarantine procedures</w:t>
      </w:r>
      <w:r>
        <w:t xml:space="preserve">: Undertake the necessary precautionary and quarantine procedures in accordance with the approved </w:t>
      </w:r>
      <w:r w:rsidR="00FB4FB6">
        <w:t>site-specific</w:t>
      </w:r>
      <w:r>
        <w:t xml:space="preserve"> Environmental Management Plan or the Special Contract Conditions.  If the aforementioned documents do not form part of the contract documentation, undertake the necessary precautionary and quarantine procedures prescribed in the BCC Corporate Procedure for Managing Fire Ants.</w:t>
      </w:r>
    </w:p>
    <w:sectPr w:rsidR="00DE5937" w:rsidSect="008E0523">
      <w:footerReference w:type="default" r:id="rId19"/>
      <w:pgSz w:w="11906" w:h="16838" w:code="9"/>
      <w:pgMar w:top="1134" w:right="1134" w:bottom="992" w:left="1418" w:header="113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0F748" w14:textId="77777777" w:rsidR="000D63B1" w:rsidRDefault="000D63B1">
      <w:r>
        <w:separator/>
      </w:r>
    </w:p>
  </w:endnote>
  <w:endnote w:type="continuationSeparator" w:id="0">
    <w:p w14:paraId="11DB8EF6" w14:textId="77777777" w:rsidR="000D63B1" w:rsidRDefault="000D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1C977" w14:textId="68B98AC2" w:rsidR="00EC52BC" w:rsidRDefault="00EC52BC" w:rsidP="000C6284">
    <w:pPr>
      <w:pStyle w:val="Footer"/>
      <w:rPr>
        <w:rStyle w:val="PageNumber"/>
        <w:b w:val="0"/>
        <w:i w:val="0"/>
        <w:sz w:val="20"/>
      </w:rPr>
    </w:pPr>
    <w:r w:rsidRPr="00841945">
      <w:t xml:space="preserve">Revision </w:t>
    </w:r>
    <w:r w:rsidR="00E756E7">
      <w:t>2</w:t>
    </w:r>
    <w:r w:rsidRPr="00841945">
      <w:t xml:space="preserve">.0 – </w:t>
    </w:r>
    <w:r w:rsidR="008B547B">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BA8A2" w14:textId="77777777" w:rsidR="00F3124F" w:rsidRDefault="00552D02" w:rsidP="000C6284">
    <w:pPr>
      <w:pStyle w:val="Footer"/>
      <w:rPr>
        <w:rStyle w:val="PageNumber"/>
        <w:b w:val="0"/>
        <w:i w:val="0"/>
        <w:sz w:val="20"/>
      </w:rPr>
    </w:pPr>
    <w:r>
      <w:rPr>
        <w:noProof/>
        <w:sz w:val="18"/>
      </w:rPr>
      <w:pict w14:anchorId="71E866EA">
        <v:shapetype id="_x0000_t202" coordsize="21600,21600" o:spt="202" path="m,l,21600r21600,l21600,xe">
          <v:stroke joinstyle="miter"/>
          <v:path gradientshapeok="t" o:connecttype="rect"/>
        </v:shapetype>
        <v:shape id="WordArt 1" o:spid="_x0000_s2095" type="#_x0000_t202" style="position:absolute;left:0;text-align:left;margin-left:427.75pt;margin-top:626.35pt;width:278.1pt;height:21.25pt;rotation:-5921140fd;z-index:251661312;visibility:visible;mso-position-horizontal:absolute;mso-position-horizontal-relative:page;mso-position-vertical-relative:page" filled="f" stroked="f">
          <v:stroke joinstyle="round"/>
          <o:lock v:ext="edit" shapetype="t"/>
          <v:textbox style="layout-flow:vertical;mso-layout-flow-alt:bottom-to-top;mso-next-textbox:#WordArt 1">
            <w:txbxContent>
              <w:p w14:paraId="7BC1153E" w14:textId="77777777" w:rsidR="00F3124F" w:rsidRPr="003A2444" w:rsidRDefault="00F3124F" w:rsidP="00841945">
                <w:pPr>
                  <w:pStyle w:val="NormalWeb"/>
                  <w:rPr>
                    <w:rFonts w:ascii="Arial Bold" w:hAnsi="Arial Bold"/>
                    <w:shadow/>
                    <w:sz w:val="28"/>
                    <w:szCs w:val="28"/>
                  </w:rPr>
                </w:pPr>
                <w:r w:rsidRPr="00841945">
                  <w:rPr>
                    <w:rFonts w:ascii="Arial Bold" w:hAnsi="Arial Bold" w:cs="Arial"/>
                    <w:b/>
                    <w:bCs/>
                    <w:i/>
                    <w:iCs/>
                    <w:shadow/>
                    <w:sz w:val="28"/>
                    <w:szCs w:val="28"/>
                  </w:rPr>
                  <w:t>S1</w:t>
                </w:r>
                <w:r>
                  <w:rPr>
                    <w:rFonts w:ascii="Arial Bold" w:hAnsi="Arial Bold" w:cs="Arial"/>
                    <w:b/>
                    <w:bCs/>
                    <w:i/>
                    <w:iCs/>
                    <w:shadow/>
                    <w:sz w:val="28"/>
                    <w:szCs w:val="28"/>
                  </w:rPr>
                  <w:t>1</w:t>
                </w:r>
                <w:r w:rsidRPr="00841945">
                  <w:rPr>
                    <w:rFonts w:ascii="Arial Bold" w:hAnsi="Arial Bold" w:cs="Arial"/>
                    <w:b/>
                    <w:bCs/>
                    <w:i/>
                    <w:iCs/>
                    <w:shadow/>
                    <w:sz w:val="28"/>
                    <w:szCs w:val="28"/>
                  </w:rPr>
                  <w:t xml:space="preserve">0 </w:t>
                </w:r>
                <w:r>
                  <w:rPr>
                    <w:rFonts w:ascii="Arial Bold" w:hAnsi="Arial Bold" w:cs="Arial"/>
                    <w:b/>
                    <w:bCs/>
                    <w:i/>
                    <w:iCs/>
                    <w:shadow/>
                    <w:sz w:val="28"/>
                    <w:szCs w:val="28"/>
                  </w:rPr>
                  <w:t xml:space="preserve"> </w:t>
                </w:r>
                <w:r w:rsidRPr="00FF2E7F">
                  <w:rPr>
                    <w:rFonts w:ascii="Arial Bold" w:hAnsi="Arial Bold" w:cs="Arial"/>
                    <w:b/>
                    <w:bCs/>
                    <w:i/>
                    <w:iCs/>
                    <w:shadow/>
                    <w:sz w:val="28"/>
                    <w:szCs w:val="28"/>
                  </w:rPr>
                  <w:t>GENERAL REQUIREMENTS</w:t>
                </w:r>
              </w:p>
            </w:txbxContent>
          </v:textbox>
          <w10:wrap anchorx="page" anchory="margin"/>
        </v:shape>
      </w:pict>
    </w:r>
    <w:r w:rsidR="00F3124F" w:rsidRPr="00841945">
      <w:t xml:space="preserve">Revision </w:t>
    </w:r>
    <w:r w:rsidR="00F3124F">
      <w:t>2</w:t>
    </w:r>
    <w:r w:rsidR="00F3124F" w:rsidRPr="00841945">
      <w:t xml:space="preserve">.0 – </w:t>
    </w:r>
    <w:r w:rsidR="00F3124F">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6CF88" w14:textId="11920A8F" w:rsidR="00295AB8" w:rsidRDefault="00552D02" w:rsidP="000C6284">
    <w:pPr>
      <w:pStyle w:val="Footer"/>
      <w:rPr>
        <w:rStyle w:val="PageNumber"/>
        <w:b w:val="0"/>
        <w:i w:val="0"/>
        <w:sz w:val="20"/>
      </w:rPr>
    </w:pPr>
    <w:r>
      <w:rPr>
        <w:noProof/>
      </w:rPr>
      <w:pict w14:anchorId="13116442">
        <v:shapetype id="_x0000_t202" coordsize="21600,21600" o:spt="202" path="m,l,21600r21600,l21600,xe">
          <v:stroke joinstyle="miter"/>
          <v:path gradientshapeok="t" o:connecttype="rect"/>
        </v:shapetype>
        <v:shape id="_x0000_s2087" type="#_x0000_t202" style="position:absolute;left:0;text-align:left;margin-left:427.75pt;margin-top:626.35pt;width:278.1pt;height:21.25pt;rotation:-5921140fd;z-index:251657216;visibility:visible;mso-position-horizontal:absolute;mso-position-horizontal-relative:page;mso-position-vertical-relative:page" filled="f" stroked="f">
          <v:stroke joinstyle="round"/>
          <o:lock v:ext="edit" shapetype="t"/>
          <v:textbox style="layout-flow:vertical;mso-layout-flow-alt:bottom-to-top;mso-next-textbox:#_x0000_s2087">
            <w:txbxContent>
              <w:p w14:paraId="1D3FF964" w14:textId="77777777" w:rsidR="00E756E7" w:rsidRPr="003A2444" w:rsidRDefault="00E756E7" w:rsidP="00841945">
                <w:pPr>
                  <w:pStyle w:val="NormalWeb"/>
                  <w:rPr>
                    <w:rFonts w:ascii="Arial Bold" w:hAnsi="Arial Bold"/>
                    <w:shadow/>
                    <w:sz w:val="28"/>
                    <w:szCs w:val="28"/>
                  </w:rPr>
                </w:pPr>
                <w:r w:rsidRPr="00841945">
                  <w:rPr>
                    <w:rFonts w:ascii="Arial Bold" w:hAnsi="Arial Bold" w:cs="Arial"/>
                    <w:b/>
                    <w:bCs/>
                    <w:i/>
                    <w:iCs/>
                    <w:shadow/>
                    <w:sz w:val="28"/>
                    <w:szCs w:val="28"/>
                  </w:rPr>
                  <w:t>S1</w:t>
                </w:r>
                <w:r>
                  <w:rPr>
                    <w:rFonts w:ascii="Arial Bold" w:hAnsi="Arial Bold" w:cs="Arial"/>
                    <w:b/>
                    <w:bCs/>
                    <w:i/>
                    <w:iCs/>
                    <w:shadow/>
                    <w:sz w:val="28"/>
                    <w:szCs w:val="28"/>
                  </w:rPr>
                  <w:t>1</w:t>
                </w:r>
                <w:r w:rsidRPr="00841945">
                  <w:rPr>
                    <w:rFonts w:ascii="Arial Bold" w:hAnsi="Arial Bold" w:cs="Arial"/>
                    <w:b/>
                    <w:bCs/>
                    <w:i/>
                    <w:iCs/>
                    <w:shadow/>
                    <w:sz w:val="28"/>
                    <w:szCs w:val="28"/>
                  </w:rPr>
                  <w:t xml:space="preserve">0 </w:t>
                </w:r>
                <w:r>
                  <w:rPr>
                    <w:rFonts w:ascii="Arial Bold" w:hAnsi="Arial Bold" w:cs="Arial"/>
                    <w:b/>
                    <w:bCs/>
                    <w:i/>
                    <w:iCs/>
                    <w:shadow/>
                    <w:sz w:val="28"/>
                    <w:szCs w:val="28"/>
                  </w:rPr>
                  <w:t xml:space="preserve"> </w:t>
                </w:r>
                <w:r w:rsidRPr="00FF2E7F">
                  <w:rPr>
                    <w:rFonts w:ascii="Arial Bold" w:hAnsi="Arial Bold" w:cs="Arial"/>
                    <w:b/>
                    <w:bCs/>
                    <w:i/>
                    <w:iCs/>
                    <w:shadow/>
                    <w:sz w:val="28"/>
                    <w:szCs w:val="28"/>
                  </w:rPr>
                  <w:t>GENERAL REQUIREMENTS</w:t>
                </w:r>
              </w:p>
            </w:txbxContent>
          </v:textbox>
          <w10:wrap anchorx="page" anchory="margin"/>
        </v:shape>
      </w:pict>
    </w:r>
    <w:r w:rsidR="00E756E7" w:rsidRPr="00841945">
      <w:t xml:space="preserve">Revision </w:t>
    </w:r>
    <w:r w:rsidR="00E756E7">
      <w:t>2</w:t>
    </w:r>
    <w:r w:rsidR="00E756E7" w:rsidRPr="00841945">
      <w:t xml:space="preserve">.0 – </w:t>
    </w:r>
    <w:r w:rsidR="008B547B" w:rsidRPr="008B547B">
      <w:t>March 2021</w:t>
    </w:r>
    <w:r w:rsidR="000C6284">
      <w:tab/>
    </w:r>
    <w:r w:rsidR="000C6284">
      <w:tab/>
    </w:r>
    <w:r w:rsidR="00295AB8">
      <w:fldChar w:fldCharType="begin"/>
    </w:r>
    <w:r w:rsidR="00295AB8">
      <w:instrText xml:space="preserve"> PAGE   \* MERGEFORMAT </w:instrText>
    </w:r>
    <w:r w:rsidR="00295AB8">
      <w:fldChar w:fldCharType="separate"/>
    </w:r>
    <w:r w:rsidR="00295AB8">
      <w:rPr>
        <w:noProof/>
      </w:rPr>
      <w:t>1</w:t>
    </w:r>
    <w:r w:rsidR="00295AB8">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AC9C9" w14:textId="57823B48" w:rsidR="00295AB8" w:rsidRDefault="00552D02" w:rsidP="000C6284">
    <w:pPr>
      <w:pStyle w:val="Footer"/>
      <w:rPr>
        <w:rStyle w:val="PageNumber"/>
        <w:b w:val="0"/>
        <w:i w:val="0"/>
        <w:sz w:val="20"/>
      </w:rPr>
    </w:pPr>
    <w:r>
      <w:rPr>
        <w:noProof/>
        <w:sz w:val="18"/>
      </w:rPr>
      <w:pict w14:anchorId="45DFA232">
        <v:shapetype id="_x0000_t202" coordsize="21600,21600" o:spt="202" path="m,l,21600r21600,l21600,xe">
          <v:stroke joinstyle="miter"/>
          <v:path gradientshapeok="t" o:connecttype="rect"/>
        </v:shapetype>
        <v:shape id="_x0000_s2090" type="#_x0000_t202" style="position:absolute;left:0;text-align:left;margin-left:427.75pt;margin-top:626.35pt;width:278.1pt;height:21.25pt;rotation:-5921140fd;z-index:251660288;visibility:visible;mso-position-horizontal:absolute;mso-position-horizontal-relative:page;mso-position-vertical-relative:page" filled="f" stroked="f">
          <v:stroke joinstyle="round"/>
          <o:lock v:ext="edit" shapetype="t"/>
          <v:textbox style="layout-flow:vertical;mso-layout-flow-alt:bottom-to-top;mso-next-textbox:#_x0000_s2090">
            <w:txbxContent>
              <w:p w14:paraId="2F5E3680" w14:textId="77777777" w:rsidR="00295AB8" w:rsidRPr="003A2444" w:rsidRDefault="00295AB8" w:rsidP="00841945">
                <w:pPr>
                  <w:pStyle w:val="NormalWeb"/>
                  <w:rPr>
                    <w:rFonts w:ascii="Arial Bold" w:hAnsi="Arial Bold"/>
                    <w:shadow/>
                    <w:sz w:val="28"/>
                    <w:szCs w:val="28"/>
                  </w:rPr>
                </w:pPr>
                <w:r w:rsidRPr="00841945">
                  <w:rPr>
                    <w:rFonts w:ascii="Arial Bold" w:hAnsi="Arial Bold" w:cs="Arial"/>
                    <w:b/>
                    <w:bCs/>
                    <w:i/>
                    <w:iCs/>
                    <w:shadow/>
                    <w:sz w:val="28"/>
                    <w:szCs w:val="28"/>
                  </w:rPr>
                  <w:t>S1</w:t>
                </w:r>
                <w:r>
                  <w:rPr>
                    <w:rFonts w:ascii="Arial Bold" w:hAnsi="Arial Bold" w:cs="Arial"/>
                    <w:b/>
                    <w:bCs/>
                    <w:i/>
                    <w:iCs/>
                    <w:shadow/>
                    <w:sz w:val="28"/>
                    <w:szCs w:val="28"/>
                  </w:rPr>
                  <w:t>1</w:t>
                </w:r>
                <w:r w:rsidRPr="00841945">
                  <w:rPr>
                    <w:rFonts w:ascii="Arial Bold" w:hAnsi="Arial Bold" w:cs="Arial"/>
                    <w:b/>
                    <w:bCs/>
                    <w:i/>
                    <w:iCs/>
                    <w:shadow/>
                    <w:sz w:val="28"/>
                    <w:szCs w:val="28"/>
                  </w:rPr>
                  <w:t xml:space="preserve">0 </w:t>
                </w:r>
                <w:r>
                  <w:rPr>
                    <w:rFonts w:ascii="Arial Bold" w:hAnsi="Arial Bold" w:cs="Arial"/>
                    <w:b/>
                    <w:bCs/>
                    <w:i/>
                    <w:iCs/>
                    <w:shadow/>
                    <w:sz w:val="28"/>
                    <w:szCs w:val="28"/>
                  </w:rPr>
                  <w:t xml:space="preserve"> </w:t>
                </w:r>
                <w:r w:rsidRPr="00FF2E7F">
                  <w:rPr>
                    <w:rFonts w:ascii="Arial Bold" w:hAnsi="Arial Bold" w:cs="Arial"/>
                    <w:b/>
                    <w:bCs/>
                    <w:i/>
                    <w:iCs/>
                    <w:shadow/>
                    <w:sz w:val="28"/>
                    <w:szCs w:val="28"/>
                  </w:rPr>
                  <w:t>GENERAL REQUIREMENTS</w:t>
                </w:r>
              </w:p>
            </w:txbxContent>
          </v:textbox>
          <w10:wrap anchorx="page" anchory="margin"/>
        </v:shape>
      </w:pict>
    </w:r>
    <w:r w:rsidR="00295AB8" w:rsidRPr="00841945">
      <w:t xml:space="preserve">Revision </w:t>
    </w:r>
    <w:r w:rsidR="00295AB8">
      <w:t>2</w:t>
    </w:r>
    <w:r w:rsidR="00295AB8" w:rsidRPr="00841945">
      <w:t xml:space="preserve">.0 – </w:t>
    </w:r>
    <w:r w:rsidR="008B547B" w:rsidRPr="008B547B">
      <w:t>March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C4E5A" w14:textId="777E6B46" w:rsidR="00E756E7" w:rsidRPr="00290B24" w:rsidRDefault="00552D02" w:rsidP="000C6284">
    <w:pPr>
      <w:pStyle w:val="Footer"/>
      <w:rPr>
        <w:rStyle w:val="PageNumber"/>
        <w:sz w:val="18"/>
      </w:rPr>
    </w:pPr>
    <w:r>
      <w:pict w14:anchorId="433AD9DC">
        <v:shapetype id="_x0000_t202" coordsize="21600,21600" o:spt="202" path="m,l,21600r21600,l21600,xe">
          <v:stroke joinstyle="miter"/>
          <v:path gradientshapeok="t" o:connecttype="rect"/>
        </v:shapetype>
        <v:shape id="_x0000_s2088" type="#_x0000_t202" style="position:absolute;left:0;text-align:left;margin-left:427.75pt;margin-top:626.35pt;width:278.1pt;height:21.25pt;rotation:-5921140fd;z-index:251658240;visibility:visible;mso-position-horizontal:absolute;mso-position-horizontal-relative:page;mso-position-vertical-relative:page" filled="f" stroked="f">
          <v:stroke joinstyle="round"/>
          <o:lock v:ext="edit" shapetype="t"/>
          <v:textbox style="layout-flow:vertical;mso-layout-flow-alt:bottom-to-top;mso-next-textbox:#_x0000_s2088">
            <w:txbxContent>
              <w:p w14:paraId="43C4A437" w14:textId="77777777" w:rsidR="00E756E7" w:rsidRPr="003A2444" w:rsidRDefault="00E756E7" w:rsidP="00841945">
                <w:pPr>
                  <w:pStyle w:val="NormalWeb"/>
                  <w:rPr>
                    <w:rFonts w:ascii="Arial Bold" w:hAnsi="Arial Bold"/>
                    <w:shadow/>
                    <w:sz w:val="28"/>
                    <w:szCs w:val="28"/>
                  </w:rPr>
                </w:pPr>
                <w:r w:rsidRPr="00841945">
                  <w:rPr>
                    <w:rFonts w:ascii="Arial Bold" w:hAnsi="Arial Bold" w:cs="Arial"/>
                    <w:b/>
                    <w:bCs/>
                    <w:i/>
                    <w:iCs/>
                    <w:shadow/>
                    <w:sz w:val="28"/>
                    <w:szCs w:val="28"/>
                  </w:rPr>
                  <w:t>S1</w:t>
                </w:r>
                <w:r>
                  <w:rPr>
                    <w:rFonts w:ascii="Arial Bold" w:hAnsi="Arial Bold" w:cs="Arial"/>
                    <w:b/>
                    <w:bCs/>
                    <w:i/>
                    <w:iCs/>
                    <w:shadow/>
                    <w:sz w:val="28"/>
                    <w:szCs w:val="28"/>
                  </w:rPr>
                  <w:t>1</w:t>
                </w:r>
                <w:r w:rsidRPr="00841945">
                  <w:rPr>
                    <w:rFonts w:ascii="Arial Bold" w:hAnsi="Arial Bold" w:cs="Arial"/>
                    <w:b/>
                    <w:bCs/>
                    <w:i/>
                    <w:iCs/>
                    <w:shadow/>
                    <w:sz w:val="28"/>
                    <w:szCs w:val="28"/>
                  </w:rPr>
                  <w:t xml:space="preserve">0 </w:t>
                </w:r>
                <w:r>
                  <w:rPr>
                    <w:rFonts w:ascii="Arial Bold" w:hAnsi="Arial Bold" w:cs="Arial"/>
                    <w:b/>
                    <w:bCs/>
                    <w:i/>
                    <w:iCs/>
                    <w:shadow/>
                    <w:sz w:val="28"/>
                    <w:szCs w:val="28"/>
                  </w:rPr>
                  <w:t xml:space="preserve"> </w:t>
                </w:r>
                <w:r w:rsidRPr="00FF2E7F">
                  <w:rPr>
                    <w:rFonts w:ascii="Arial Bold" w:hAnsi="Arial Bold" w:cs="Arial"/>
                    <w:b/>
                    <w:bCs/>
                    <w:i/>
                    <w:iCs/>
                    <w:shadow/>
                    <w:sz w:val="28"/>
                    <w:szCs w:val="28"/>
                  </w:rPr>
                  <w:t>GENERAL REQUIREMENTS</w:t>
                </w:r>
              </w:p>
            </w:txbxContent>
          </v:textbox>
          <w10:wrap anchorx="page" anchory="margin"/>
        </v:shape>
      </w:pict>
    </w:r>
    <w:r w:rsidR="00E756E7" w:rsidRPr="00295AB8">
      <w:t xml:space="preserve">Revision 2.0 – </w:t>
    </w:r>
    <w:r w:rsidR="008B547B" w:rsidRPr="008B547B">
      <w:t xml:space="preserve">March </w:t>
    </w:r>
    <w:r w:rsidR="008B547B" w:rsidRPr="000C6284">
      <w:t>2021</w:t>
    </w:r>
    <w:r w:rsidR="00297633">
      <w:tab/>
    </w:r>
    <w:r w:rsidR="00297633">
      <w:tab/>
    </w:r>
    <w:r w:rsidR="00E756E7" w:rsidRPr="008B547B">
      <w:rPr>
        <w:rStyle w:val="PageNumber"/>
        <w:sz w:val="18"/>
      </w:rPr>
      <w:fldChar w:fldCharType="begin"/>
    </w:r>
    <w:r w:rsidR="00E756E7" w:rsidRPr="00290B24">
      <w:rPr>
        <w:rStyle w:val="PageNumber"/>
        <w:sz w:val="18"/>
      </w:rPr>
      <w:instrText xml:space="preserve"> PAGE   \* MERGEFORMAT </w:instrText>
    </w:r>
    <w:r w:rsidR="00E756E7" w:rsidRPr="008B547B">
      <w:rPr>
        <w:rStyle w:val="PageNumber"/>
        <w:sz w:val="18"/>
      </w:rPr>
      <w:fldChar w:fldCharType="separate"/>
    </w:r>
    <w:r w:rsidR="00E756E7" w:rsidRPr="00290B24">
      <w:rPr>
        <w:rStyle w:val="PageNumber"/>
        <w:sz w:val="18"/>
      </w:rPr>
      <w:t>1</w:t>
    </w:r>
    <w:r w:rsidR="00E756E7" w:rsidRPr="008B547B">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8CAB8" w14:textId="77777777" w:rsidR="000D63B1" w:rsidRDefault="000D63B1">
      <w:r>
        <w:separator/>
      </w:r>
    </w:p>
  </w:footnote>
  <w:footnote w:type="continuationSeparator" w:id="0">
    <w:p w14:paraId="461D2384" w14:textId="77777777" w:rsidR="000D63B1" w:rsidRDefault="000D6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62319" w14:textId="77777777" w:rsidR="00EC52BC" w:rsidRDefault="00552D02" w:rsidP="00297633">
    <w:pPr>
      <w:pStyle w:val="Header"/>
    </w:pPr>
    <w:r>
      <w:rPr>
        <w:noProof/>
      </w:rPr>
      <w:pict w14:anchorId="1272E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left:0;text-align:left;margin-left:303pt;margin-top:297.7pt;width:33pt;height:42.75pt;rotation:90;z-index:251655168" o:allowincell="f" fillcolor="black">
          <v:shadow color="#868686"/>
          <v:textpath style="font-family:&quot;Arial Narrow&quot;;v-rotate-letters:t;v-text-kern:t" trim="t" fitpath="t" string="14"/>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8F538" w14:textId="2326C2F6" w:rsidR="001E2027" w:rsidRDefault="00552D02" w:rsidP="00785BBE">
    <w:pPr>
      <w:pStyle w:val="Header"/>
    </w:pPr>
    <w:r>
      <w:pict w14:anchorId="242E6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57pt">
          <v:imagedata r:id="rId1" o:title="BCC Logo (Colour) Le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4E8A2" w14:textId="37C76B48" w:rsidR="00297633" w:rsidRDefault="00297633" w:rsidP="00297633">
    <w:pPr>
      <w:pStyle w:val="Header"/>
    </w:pPr>
    <w:r w:rsidRPr="00493468">
      <w:t>Brisbane City Council</w:t>
    </w:r>
    <w:r>
      <w:tab/>
    </w:r>
    <w:r>
      <w:tab/>
    </w:r>
    <w:r w:rsidRPr="008B547B">
      <w:t xml:space="preserve">Reference </w:t>
    </w:r>
    <w:r w:rsidRPr="00297633">
      <w:t>Specifications</w:t>
    </w:r>
    <w:r w:rsidRPr="008B547B">
      <w:t xml:space="preserve"> for Engineering Work</w:t>
    </w:r>
    <w:r w:rsidR="00633C4B">
      <w:t xml:space="preserve"> S110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3CA44" w14:textId="77777777" w:rsidR="00DE5937" w:rsidRDefault="00552D02" w:rsidP="00297633">
    <w:pPr>
      <w:pStyle w:val="Header"/>
    </w:pPr>
    <w:r>
      <w:rPr>
        <w:noProof/>
      </w:rPr>
      <w:pict w14:anchorId="1703C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303pt;margin-top:297.7pt;width:33pt;height:42.75pt;rotation:90;z-index:251654144" o:allowincell="f" fillcolor="black">
          <v:shadow color="#868686"/>
          <v:textpath style="font-family:&quot;Arial Narrow&quot;;v-rotate-letters:t;v-text-kern:t" trim="t" fitpath="t" string="14"/>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F294C" w14:textId="77777777" w:rsidR="00A34B4C" w:rsidRDefault="00552D02" w:rsidP="00297633">
    <w:pPr>
      <w:pStyle w:val="Header"/>
    </w:pPr>
    <w:r>
      <w:rPr>
        <w:noProof/>
      </w:rPr>
      <w:pict w14:anchorId="31ED51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9" type="#_x0000_t136" style="position:absolute;left:0;text-align:left;margin-left:303pt;margin-top:297.7pt;width:33pt;height:42.75pt;rotation:90;z-index:251659264" o:allowincell="f" fillcolor="black">
          <v:shadow color="#868686"/>
          <v:textpath style="font-family:&quot;Arial Narrow&quot;;v-rotate-letters:t;v-text-kern:t" trim="t" fitpath="t" string="14"/>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0CC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6E9C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74D1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3A23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10DF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4EDE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05C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7A79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6885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9CC3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54F5A"/>
    <w:multiLevelType w:val="multilevel"/>
    <w:tmpl w:val="71B6EA5A"/>
    <w:lvl w:ilvl="0">
      <w:start w:val="1"/>
      <w:numFmt w:val="decimal"/>
      <w:lvlText w:val="%1.0"/>
      <w:lvlJc w:val="left"/>
      <w:pPr>
        <w:tabs>
          <w:tab w:val="num" w:pos="720"/>
        </w:tabs>
        <w:ind w:left="720" w:hanging="720"/>
      </w:pPr>
      <w:rPr>
        <w:rFonts w:hint="default"/>
      </w:rPr>
    </w:lvl>
    <w:lvl w:ilvl="1">
      <w:start w:val="1"/>
      <w:numFmt w:val="decimal"/>
      <w:pStyle w:val="Heading3"/>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sz w:val="22"/>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1C841EC8"/>
    <w:multiLevelType w:val="multilevel"/>
    <w:tmpl w:val="AA343E2C"/>
    <w:lvl w:ilvl="0">
      <w:start w:val="1"/>
      <w:numFmt w:val="decimal"/>
      <w:pStyle w:val="Heading2"/>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3E9C358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AA3785D"/>
    <w:multiLevelType w:val="singleLevel"/>
    <w:tmpl w:val="E05607A6"/>
    <w:lvl w:ilvl="0">
      <w:start w:val="1"/>
      <w:numFmt w:val="decimal"/>
      <w:lvlText w:val="%1.0"/>
      <w:lvlJc w:val="left"/>
      <w:pPr>
        <w:tabs>
          <w:tab w:val="num" w:pos="720"/>
        </w:tabs>
        <w:ind w:left="360" w:hanging="360"/>
      </w:pPr>
    </w:lvl>
  </w:abstractNum>
  <w:abstractNum w:abstractNumId="14" w15:restartNumberingAfterBreak="0">
    <w:nsid w:val="72876B54"/>
    <w:multiLevelType w:val="singleLevel"/>
    <w:tmpl w:val="56381E54"/>
    <w:lvl w:ilvl="0">
      <w:start w:val="1"/>
      <w:numFmt w:val="bullet"/>
      <w:pStyle w:val="BodyTextIndentDot"/>
      <w:lvlText w:val=""/>
      <w:lvlJc w:val="left"/>
      <w:pPr>
        <w:ind w:left="720" w:hanging="360"/>
      </w:pPr>
      <w:rPr>
        <w:rFonts w:ascii="Wingdings" w:hAnsi="Wingdings" w:hint="default"/>
      </w:rPr>
    </w:lvl>
  </w:abstractNum>
  <w:num w:numId="1">
    <w:abstractNumId w:val="11"/>
  </w:num>
  <w:num w:numId="2">
    <w:abstractNumId w:val="13"/>
  </w:num>
  <w:num w:numId="3">
    <w:abstractNumId w:val="1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readOnly" w:formatting="1" w:enforcement="0"/>
  <w:defaultTabStop w:val="709"/>
  <w:displayHorizontalDrawingGridEvery w:val="0"/>
  <w:displayVerticalDrawingGridEvery w:val="0"/>
  <w:doNotUseMarginsForDrawingGridOrigin/>
  <w:noPunctuationKerning/>
  <w:characterSpacingControl w:val="doNotCompress"/>
  <w:hdrShapeDefaults>
    <o:shapedefaults v:ext="edit" spidmax="210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001D"/>
    <w:rsid w:val="000205ED"/>
    <w:rsid w:val="0007602B"/>
    <w:rsid w:val="000B5432"/>
    <w:rsid w:val="000C6284"/>
    <w:rsid w:val="000D63B1"/>
    <w:rsid w:val="00187B8B"/>
    <w:rsid w:val="001A02E6"/>
    <w:rsid w:val="001E2027"/>
    <w:rsid w:val="0020427B"/>
    <w:rsid w:val="002737E2"/>
    <w:rsid w:val="00290B24"/>
    <w:rsid w:val="00295AB8"/>
    <w:rsid w:val="00297633"/>
    <w:rsid w:val="002C3856"/>
    <w:rsid w:val="002D48D5"/>
    <w:rsid w:val="003005C1"/>
    <w:rsid w:val="003206AA"/>
    <w:rsid w:val="003663F1"/>
    <w:rsid w:val="003A4F76"/>
    <w:rsid w:val="004150E2"/>
    <w:rsid w:val="004B5D80"/>
    <w:rsid w:val="004E2EEB"/>
    <w:rsid w:val="00514446"/>
    <w:rsid w:val="00540DDF"/>
    <w:rsid w:val="00552D02"/>
    <w:rsid w:val="005A7C49"/>
    <w:rsid w:val="005F13B1"/>
    <w:rsid w:val="00607B7E"/>
    <w:rsid w:val="00623553"/>
    <w:rsid w:val="00633C4B"/>
    <w:rsid w:val="0064001D"/>
    <w:rsid w:val="00662E15"/>
    <w:rsid w:val="00674F29"/>
    <w:rsid w:val="00684DA2"/>
    <w:rsid w:val="00785BBE"/>
    <w:rsid w:val="007B1691"/>
    <w:rsid w:val="00800379"/>
    <w:rsid w:val="00814C8D"/>
    <w:rsid w:val="00840254"/>
    <w:rsid w:val="008B547B"/>
    <w:rsid w:val="008E0523"/>
    <w:rsid w:val="008E18AA"/>
    <w:rsid w:val="00912885"/>
    <w:rsid w:val="009F4CF3"/>
    <w:rsid w:val="00A34B4C"/>
    <w:rsid w:val="00A75767"/>
    <w:rsid w:val="00B04F46"/>
    <w:rsid w:val="00B163AE"/>
    <w:rsid w:val="00C815F6"/>
    <w:rsid w:val="00C920DE"/>
    <w:rsid w:val="00CC79C1"/>
    <w:rsid w:val="00CF0CD0"/>
    <w:rsid w:val="00D06600"/>
    <w:rsid w:val="00DB1596"/>
    <w:rsid w:val="00DC620B"/>
    <w:rsid w:val="00DD7BF1"/>
    <w:rsid w:val="00DE094A"/>
    <w:rsid w:val="00DE5937"/>
    <w:rsid w:val="00E33556"/>
    <w:rsid w:val="00E66864"/>
    <w:rsid w:val="00E738D0"/>
    <w:rsid w:val="00E756E7"/>
    <w:rsid w:val="00E7787C"/>
    <w:rsid w:val="00EB3AC5"/>
    <w:rsid w:val="00EC52BC"/>
    <w:rsid w:val="00ED130C"/>
    <w:rsid w:val="00EF39E6"/>
    <w:rsid w:val="00F3124F"/>
    <w:rsid w:val="00F624B7"/>
    <w:rsid w:val="00F77614"/>
    <w:rsid w:val="00F83D6C"/>
    <w:rsid w:val="00FA2323"/>
    <w:rsid w:val="00FB4FB6"/>
    <w:rsid w:val="00FF2E7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1"/>
    <o:shapelayout v:ext="edit">
      <o:idmap v:ext="edit" data="1"/>
    </o:shapelayout>
  </w:shapeDefaults>
  <w:decimalSymbol w:val="."/>
  <w:listSeparator w:val=","/>
  <w14:docId w14:val="1703C9D1"/>
  <w15:docId w15:val="{582F3528-44CA-475B-9688-78783D35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6E7"/>
    <w:rPr>
      <w:rFonts w:ascii="Arial" w:hAnsi="Arial"/>
    </w:rPr>
  </w:style>
  <w:style w:type="paragraph" w:styleId="Heading1">
    <w:name w:val="heading 1"/>
    <w:basedOn w:val="Normal"/>
    <w:next w:val="Normal"/>
    <w:qFormat/>
    <w:rsid w:val="004150E2"/>
    <w:pPr>
      <w:keepNext/>
      <w:spacing w:before="200" w:after="80"/>
      <w:outlineLvl w:val="0"/>
    </w:pPr>
    <w:rPr>
      <w:b/>
      <w:caps/>
      <w:kern w:val="28"/>
      <w:sz w:val="24"/>
    </w:rPr>
  </w:style>
  <w:style w:type="paragraph" w:styleId="Heading2">
    <w:name w:val="heading 2"/>
    <w:basedOn w:val="Normal"/>
    <w:next w:val="Normal"/>
    <w:qFormat/>
    <w:rsid w:val="00E738D0"/>
    <w:pPr>
      <w:keepNext/>
      <w:numPr>
        <w:numId w:val="1"/>
      </w:numPr>
      <w:spacing w:before="240" w:after="60"/>
      <w:outlineLvl w:val="1"/>
    </w:pPr>
    <w:rPr>
      <w:b/>
      <w:caps/>
      <w:sz w:val="28"/>
    </w:rPr>
  </w:style>
  <w:style w:type="paragraph" w:styleId="Heading3">
    <w:name w:val="heading 3"/>
    <w:basedOn w:val="Normal"/>
    <w:next w:val="Normal"/>
    <w:qFormat/>
    <w:rsid w:val="00623553"/>
    <w:pPr>
      <w:keepNext/>
      <w:numPr>
        <w:ilvl w:val="1"/>
        <w:numId w:val="15"/>
      </w:numPr>
      <w:tabs>
        <w:tab w:val="clear" w:pos="1440"/>
        <w:tab w:val="num" w:pos="709"/>
      </w:tabs>
      <w:spacing w:before="160" w:after="60"/>
      <w:ind w:left="709" w:hanging="709"/>
      <w:outlineLvl w:val="2"/>
    </w:pPr>
    <w:rPr>
      <w:b/>
      <w:caps/>
      <w:sz w:val="24"/>
    </w:rPr>
  </w:style>
  <w:style w:type="paragraph" w:styleId="Heading4">
    <w:name w:val="heading 4"/>
    <w:basedOn w:val="Normal"/>
    <w:next w:val="Normal"/>
    <w:pPr>
      <w:keepNext/>
      <w:spacing w:before="240" w:after="60"/>
      <w:outlineLvl w:val="3"/>
    </w:pPr>
    <w:rPr>
      <w:b/>
      <w:sz w:val="24"/>
    </w:rPr>
  </w:style>
  <w:style w:type="paragraph" w:styleId="Heading5">
    <w:name w:val="heading 5"/>
    <w:basedOn w:val="Normal"/>
    <w:next w:val="Normal"/>
    <w:pPr>
      <w:spacing w:before="240" w:after="60"/>
      <w:outlineLvl w:val="4"/>
    </w:pPr>
    <w:rPr>
      <w:sz w:val="22"/>
    </w:rPr>
  </w:style>
  <w:style w:type="paragraph" w:styleId="Heading6">
    <w:name w:val="heading 6"/>
    <w:basedOn w:val="Normal"/>
    <w:next w:val="Normal"/>
    <w:pPr>
      <w:spacing w:before="240" w:after="60"/>
      <w:outlineLvl w:val="5"/>
    </w:pPr>
    <w:rPr>
      <w:i/>
      <w:sz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style>
  <w:style w:type="paragraph" w:styleId="Header">
    <w:name w:val="header"/>
    <w:basedOn w:val="Normal"/>
    <w:semiHidden/>
    <w:rsid w:val="002737E2"/>
    <w:pPr>
      <w:pBdr>
        <w:bottom w:val="single" w:sz="2" w:space="5" w:color="auto"/>
      </w:pBdr>
      <w:tabs>
        <w:tab w:val="center" w:pos="4678"/>
        <w:tab w:val="right" w:pos="9354"/>
      </w:tabs>
      <w:spacing w:before="20" w:after="20"/>
      <w:jc w:val="both"/>
    </w:pPr>
    <w:rPr>
      <w:i/>
      <w:sz w:val="16"/>
    </w:rPr>
  </w:style>
  <w:style w:type="paragraph" w:styleId="Footer">
    <w:name w:val="footer"/>
    <w:basedOn w:val="Normal"/>
    <w:semiHidden/>
    <w:rsid w:val="000C6284"/>
    <w:pPr>
      <w:pBdr>
        <w:top w:val="single" w:sz="4" w:space="3" w:color="auto"/>
      </w:pBdr>
      <w:tabs>
        <w:tab w:val="center" w:pos="4153"/>
        <w:tab w:val="right" w:pos="9354"/>
      </w:tabs>
      <w:jc w:val="both"/>
    </w:pPr>
    <w:rPr>
      <w:b/>
      <w:i/>
      <w:sz w:val="16"/>
    </w:rPr>
  </w:style>
  <w:style w:type="character" w:styleId="PageNumber">
    <w:name w:val="page number"/>
    <w:semiHidden/>
    <w:rPr>
      <w:rFonts w:ascii="Arial" w:hAnsi="Arial"/>
      <w:sz w:val="16"/>
    </w:rPr>
  </w:style>
  <w:style w:type="paragraph" w:styleId="BodyText">
    <w:name w:val="Body Text"/>
    <w:basedOn w:val="Normal"/>
    <w:link w:val="BodyTextChar"/>
    <w:semiHidden/>
    <w:pPr>
      <w:spacing w:line="302" w:lineRule="exact"/>
      <w:ind w:left="737"/>
      <w:jc w:val="both"/>
    </w:pPr>
  </w:style>
  <w:style w:type="paragraph" w:styleId="Caption">
    <w:name w:val="caption"/>
    <w:basedOn w:val="Normal"/>
    <w:next w:val="Normal"/>
    <w:pPr>
      <w:spacing w:before="120" w:after="120"/>
    </w:pPr>
    <w:rPr>
      <w:b/>
    </w:rPr>
  </w:style>
  <w:style w:type="paragraph" w:styleId="BodyText2">
    <w:name w:val="Body Text 2"/>
    <w:basedOn w:val="Normal"/>
    <w:semiHidden/>
    <w:pPr>
      <w:jc w:val="center"/>
    </w:pPr>
    <w:rPr>
      <w:b/>
      <w:sz w:val="24"/>
    </w:rPr>
  </w:style>
  <w:style w:type="paragraph" w:styleId="BodyText3">
    <w:name w:val="Body Text 3"/>
    <w:basedOn w:val="Normal"/>
    <w:semiHidden/>
    <w:pPr>
      <w:spacing w:before="4" w:line="211" w:lineRule="exact"/>
      <w:jc w:val="both"/>
    </w:pPr>
  </w:style>
  <w:style w:type="paragraph" w:styleId="BodyTextIndent">
    <w:name w:val="Body Text Indent"/>
    <w:basedOn w:val="Normal"/>
    <w:link w:val="BodyTextIndentChar"/>
    <w:semiHidden/>
    <w:qFormat/>
    <w:rsid w:val="002C3856"/>
    <w:pPr>
      <w:spacing w:before="60" w:after="60"/>
      <w:ind w:left="709"/>
      <w:jc w:val="both"/>
    </w:pPr>
  </w:style>
  <w:style w:type="paragraph" w:styleId="TOC1">
    <w:name w:val="toc 1"/>
    <w:basedOn w:val="Normal"/>
    <w:next w:val="Normal"/>
    <w:autoRedefine/>
    <w:uiPriority w:val="39"/>
    <w:rsid w:val="0007602B"/>
    <w:pPr>
      <w:tabs>
        <w:tab w:val="left" w:pos="567"/>
        <w:tab w:val="right" w:leader="dot" w:pos="9354"/>
      </w:tabs>
      <w:spacing w:before="120" w:after="120"/>
      <w:ind w:left="567" w:hanging="567"/>
    </w:pPr>
    <w:rPr>
      <w:b/>
      <w:caps/>
      <w:sz w:val="24"/>
    </w:rPr>
  </w:style>
  <w:style w:type="paragraph" w:styleId="TOC2">
    <w:name w:val="toc 2"/>
    <w:basedOn w:val="Normal"/>
    <w:next w:val="Normal"/>
    <w:autoRedefine/>
    <w:uiPriority w:val="39"/>
    <w:rsid w:val="0007602B"/>
    <w:pPr>
      <w:tabs>
        <w:tab w:val="left" w:pos="1134"/>
        <w:tab w:val="right" w:leader="dot" w:pos="9354"/>
      </w:tabs>
      <w:ind w:left="1134" w:hanging="567"/>
    </w:pPr>
    <w:rPr>
      <w:rFonts w:ascii="Arial Bold" w:hAnsi="Arial Bold"/>
      <w:b/>
      <w:bCs/>
      <w:smallCaps/>
      <w:noProof/>
      <w:sz w:val="22"/>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customStyle="1" w:styleId="hdg1">
    <w:name w:val="hdg 1"/>
    <w:basedOn w:val="Normal"/>
    <w:next w:val="hdg2"/>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hdg3"/>
    <w:pPr>
      <w:keepNext/>
      <w:keepLines/>
      <w:spacing w:before="240" w:after="240"/>
    </w:pPr>
    <w:rPr>
      <w:rFonts w:ascii="MarkingPenHeavy" w:hAnsi="MarkingPenHeavy"/>
      <w:i/>
      <w:caps/>
      <w:snapToGrid w:val="0"/>
      <w:color w:val="808080"/>
      <w:kern w:val="32"/>
      <w:sz w:val="32"/>
      <w:lang w:eastAsia="en-US"/>
    </w:rPr>
  </w:style>
  <w:style w:type="paragraph" w:customStyle="1" w:styleId="hdg3">
    <w:name w:val="hdg 3"/>
    <w:basedOn w:val="Normal"/>
    <w:next w:val="hdg4"/>
    <w:pPr>
      <w:keepNext/>
      <w:keepLines/>
      <w:spacing w:before="120" w:after="120"/>
    </w:pPr>
    <w:rPr>
      <w:rFonts w:ascii="CG Times" w:hAnsi="CG Times"/>
      <w:b/>
      <w:caps/>
      <w:snapToGrid w:val="0"/>
      <w:sz w:val="24"/>
      <w:lang w:eastAsia="en-US"/>
    </w:rPr>
  </w:style>
  <w:style w:type="paragraph" w:customStyle="1" w:styleId="hdg4">
    <w:name w:val="hdg 4"/>
    <w:basedOn w:val="Normal"/>
    <w:next w:val="BodyText"/>
    <w:pPr>
      <w:keepNext/>
      <w:keepLines/>
      <w:spacing w:before="60" w:after="60"/>
      <w:ind w:left="709"/>
    </w:pPr>
    <w:rPr>
      <w:b/>
      <w:snapToGrid w:val="0"/>
      <w:u w:val="single"/>
      <w:lang w:eastAsia="en-US"/>
    </w:rPr>
  </w:style>
  <w:style w:type="paragraph" w:customStyle="1" w:styleId="Notes">
    <w:name w:val="Notes"/>
    <w:basedOn w:val="Normal"/>
    <w:next w:val="Normal"/>
    <w:rPr>
      <w:rFonts w:ascii="CG Times" w:hAnsi="CG Times"/>
      <w:sz w:val="18"/>
    </w:rPr>
  </w:style>
  <w:style w:type="paragraph" w:styleId="BodyTextIndent2">
    <w:name w:val="Body Text Indent 2"/>
    <w:basedOn w:val="Normal"/>
    <w:semiHidden/>
    <w:pPr>
      <w:ind w:left="709"/>
    </w:pPr>
    <w:rPr>
      <w:color w:val="000000"/>
    </w:rPr>
  </w:style>
  <w:style w:type="paragraph" w:styleId="BodyTextIndent3">
    <w:name w:val="Body Text Indent 3"/>
    <w:basedOn w:val="Normal"/>
    <w:semiHidden/>
    <w:pPr>
      <w:ind w:left="709"/>
      <w:jc w:val="both"/>
    </w:pPr>
    <w:rPr>
      <w:color w:val="000000"/>
    </w:rPr>
  </w:style>
  <w:style w:type="paragraph" w:customStyle="1" w:styleId="BodyTextIndentBoldItalicCen">
    <w:name w:val="Body Text Indent Bold Italic Cen"/>
    <w:basedOn w:val="BodyTextIndent"/>
    <w:rsid w:val="00EC52BC"/>
    <w:pPr>
      <w:jc w:val="center"/>
    </w:pPr>
    <w:rPr>
      <w:b/>
      <w:i/>
    </w:rPr>
  </w:style>
  <w:style w:type="paragraph" w:customStyle="1" w:styleId="CoverHeading">
    <w:name w:val="Cover Heading"/>
    <w:basedOn w:val="Normal"/>
    <w:rsid w:val="00EC52BC"/>
    <w:pPr>
      <w:spacing w:before="240" w:after="120"/>
      <w:jc w:val="center"/>
      <w:outlineLvl w:val="0"/>
    </w:pPr>
    <w:rPr>
      <w:b/>
      <w:caps/>
      <w:sz w:val="24"/>
    </w:rPr>
  </w:style>
  <w:style w:type="paragraph" w:customStyle="1" w:styleId="TableHeadCen">
    <w:name w:val="Table Head Cen"/>
    <w:basedOn w:val="Normal"/>
    <w:rsid w:val="00EC52BC"/>
    <w:pPr>
      <w:spacing w:before="60" w:after="60"/>
      <w:jc w:val="center"/>
    </w:pPr>
    <w:rPr>
      <w:rFonts w:ascii="Arial Bold" w:hAnsi="Arial Bold"/>
      <w:b/>
      <w:sz w:val="18"/>
    </w:rPr>
  </w:style>
  <w:style w:type="paragraph" w:customStyle="1" w:styleId="Table">
    <w:name w:val="Table"/>
    <w:basedOn w:val="BodyTextIndent3"/>
    <w:qFormat/>
    <w:rsid w:val="00EC52BC"/>
    <w:pPr>
      <w:spacing w:before="40" w:after="40"/>
      <w:ind w:left="0"/>
      <w:jc w:val="left"/>
    </w:pPr>
    <w:rPr>
      <w:snapToGrid w:val="0"/>
      <w:color w:val="auto"/>
      <w:sz w:val="18"/>
      <w:lang w:eastAsia="en-US"/>
    </w:rPr>
  </w:style>
  <w:style w:type="paragraph" w:customStyle="1" w:styleId="TableCen">
    <w:name w:val="Table Cen"/>
    <w:basedOn w:val="Table"/>
    <w:rsid w:val="00EC52BC"/>
    <w:pPr>
      <w:jc w:val="center"/>
    </w:pPr>
  </w:style>
  <w:style w:type="paragraph" w:customStyle="1" w:styleId="TableHead">
    <w:name w:val="Table Head"/>
    <w:basedOn w:val="Normal"/>
    <w:rsid w:val="00EC52BC"/>
    <w:pPr>
      <w:spacing w:before="60" w:after="60"/>
    </w:pPr>
    <w:rPr>
      <w:b/>
      <w:sz w:val="18"/>
    </w:rPr>
  </w:style>
  <w:style w:type="paragraph" w:styleId="NormalWeb">
    <w:name w:val="Normal (Web)"/>
    <w:basedOn w:val="Normal"/>
    <w:uiPriority w:val="99"/>
    <w:semiHidden/>
    <w:unhideWhenUsed/>
    <w:rsid w:val="00EC52BC"/>
    <w:rPr>
      <w:rFonts w:ascii="Times New Roman" w:hAnsi="Times New Roman"/>
      <w:sz w:val="24"/>
      <w:szCs w:val="24"/>
    </w:rPr>
  </w:style>
  <w:style w:type="paragraph" w:styleId="BalloonText">
    <w:name w:val="Balloon Text"/>
    <w:basedOn w:val="Normal"/>
    <w:link w:val="BalloonTextChar"/>
    <w:uiPriority w:val="99"/>
    <w:semiHidden/>
    <w:unhideWhenUsed/>
    <w:rsid w:val="00E756E7"/>
    <w:rPr>
      <w:rFonts w:ascii="Segoe UI" w:hAnsi="Segoe UI" w:cs="Segoe UI"/>
      <w:sz w:val="18"/>
      <w:szCs w:val="18"/>
    </w:rPr>
  </w:style>
  <w:style w:type="character" w:customStyle="1" w:styleId="BodyTextChar">
    <w:name w:val="Body Text Char"/>
    <w:link w:val="BodyText"/>
    <w:semiHidden/>
    <w:rsid w:val="00E756E7"/>
    <w:rPr>
      <w:rFonts w:ascii="Arial" w:hAnsi="Arial"/>
    </w:rPr>
  </w:style>
  <w:style w:type="character" w:customStyle="1" w:styleId="BodyTextIndentChar">
    <w:name w:val="Body Text Indent Char"/>
    <w:link w:val="BodyTextIndent"/>
    <w:semiHidden/>
    <w:rsid w:val="002C3856"/>
    <w:rPr>
      <w:rFonts w:ascii="Arial" w:hAnsi="Arial"/>
      <w:lang w:eastAsia="en-AU" w:bidi="ar-SA"/>
    </w:rPr>
  </w:style>
  <w:style w:type="character" w:customStyle="1" w:styleId="BalloonTextChar">
    <w:name w:val="Balloon Text Char"/>
    <w:link w:val="BalloonText"/>
    <w:uiPriority w:val="99"/>
    <w:semiHidden/>
    <w:rsid w:val="00E756E7"/>
    <w:rPr>
      <w:rFonts w:ascii="Segoe UI" w:hAnsi="Segoe UI" w:cs="Segoe UI"/>
      <w:sz w:val="18"/>
      <w:szCs w:val="18"/>
    </w:rPr>
  </w:style>
  <w:style w:type="paragraph" w:customStyle="1" w:styleId="BodyTextIndentBoldUnderline">
    <w:name w:val="Body Text Indent Bold Underline"/>
    <w:basedOn w:val="BodyTextIndent"/>
    <w:qFormat/>
    <w:rsid w:val="00DC620B"/>
    <w:pPr>
      <w:spacing w:before="120"/>
    </w:pPr>
    <w:rPr>
      <w:b/>
      <w:bCs/>
      <w:u w:val="single"/>
    </w:rPr>
  </w:style>
  <w:style w:type="paragraph" w:customStyle="1" w:styleId="BodyTextIndentDot">
    <w:name w:val="Body Text Indent Dot"/>
    <w:basedOn w:val="BodyTextIndent"/>
    <w:qFormat/>
    <w:rsid w:val="00FB4FB6"/>
    <w:pPr>
      <w:numPr>
        <w:numId w:val="3"/>
      </w:numPr>
      <w:spacing w:before="40" w:after="40"/>
      <w:ind w:left="1134"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705A54-39AA-4A33-B154-4EB8D5E3CDE9}">
  <ds:schemaRefs>
    <ds:schemaRef ds:uri="http://schemas.microsoft.com/sharepoint/v3/contenttype/forms"/>
  </ds:schemaRefs>
</ds:datastoreItem>
</file>

<file path=customXml/itemProps2.xml><?xml version="1.0" encoding="utf-8"?>
<ds:datastoreItem xmlns:ds="http://schemas.openxmlformats.org/officeDocument/2006/customXml" ds:itemID="{7EE4832E-4973-48EF-9C51-459F07C2D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C9576-1F17-49C0-9314-BCF1EBC8BEA4}">
  <ds:schemaRefs>
    <ds:schemaRef ds:uri="http://schemas.microsoft.com/office/2006/metadata/properties"/>
    <ds:schemaRef ds:uri="http://schemas.microsoft.com/office/2006/documentManagement/types"/>
    <ds:schemaRef ds:uri="4f40705d-e7da-4f43-bdce-ad8c70b86017"/>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1aac26e5-4c41-468c-83b0-97e8e79a919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8</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Reference Specifications for Civil Engineering Work 2001</vt:lpstr>
    </vt:vector>
  </TitlesOfParts>
  <Manager>Bruce Hansen</Manager>
  <Company>Brisbane City Council</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S110 General Requirements</dc:subject>
  <dc:creator>Lucy Ting</dc:creator>
  <cp:keywords/>
  <dc:description/>
  <cp:lastModifiedBy>David Brady</cp:lastModifiedBy>
  <cp:revision>71</cp:revision>
  <cp:lastPrinted>2001-08-23T00:55:00Z</cp:lastPrinted>
  <dcterms:created xsi:type="dcterms:W3CDTF">2018-06-26T22:58:00Z</dcterms:created>
  <dcterms:modified xsi:type="dcterms:W3CDTF">2021-11-16T22:09:00Z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