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8502" w14:textId="6CFFCC4C" w:rsidR="00AC69BE" w:rsidRDefault="00AC69BE" w:rsidP="00D23670">
      <w:pPr>
        <w:pStyle w:val="Heading1"/>
      </w:pPr>
      <w:bookmarkStart w:id="0" w:name="_Toc197934562"/>
      <w:bookmarkStart w:id="1" w:name="_Toc197935081"/>
      <w:bookmarkStart w:id="2" w:name="_Toc197936723"/>
      <w:permStart w:id="927924998" w:edGrp="everyone"/>
      <w:r>
        <w:t>Brisbane City Council</w:t>
      </w:r>
    </w:p>
    <w:p w14:paraId="193085E1" w14:textId="77777777" w:rsidR="00AC69BE" w:rsidRDefault="00AC69BE" w:rsidP="00D23670">
      <w:pPr>
        <w:pStyle w:val="Heading1"/>
      </w:pPr>
      <w:r>
        <w:t>Reference Specifications for Engineering Work</w:t>
      </w:r>
    </w:p>
    <w:p w14:paraId="43DD2659" w14:textId="77777777" w:rsidR="00AC69BE" w:rsidRDefault="00AC69BE" w:rsidP="00D23670">
      <w:pPr>
        <w:pStyle w:val="Heading1"/>
      </w:pPr>
      <w:r>
        <w:t>S140 EarthworksB</w:t>
      </w:r>
    </w:p>
    <w:p w14:paraId="160E579D" w14:textId="2A9F7F23" w:rsidR="00FC0555" w:rsidRPr="00FC0555" w:rsidRDefault="00FC0555" w:rsidP="00FC0555">
      <w:pPr>
        <w:sectPr w:rsidR="00FC0555" w:rsidRPr="00FC0555" w:rsidSect="003B50E2">
          <w:headerReference w:type="even" r:id="rId11"/>
          <w:headerReference w:type="default" r:id="rId12"/>
          <w:footerReference w:type="default" r:id="rId13"/>
          <w:footerReference w:type="first" r:id="rId14"/>
          <w:pgSz w:w="11906" w:h="16838" w:code="9"/>
          <w:pgMar w:top="992" w:right="1418" w:bottom="992" w:left="1418" w:header="1134" w:footer="851" w:gutter="0"/>
          <w:pgNumType w:fmt="lowerRoman" w:start="1"/>
          <w:cols w:space="720"/>
          <w:docGrid w:linePitch="272"/>
        </w:sectPr>
      </w:pPr>
    </w:p>
    <w:permEnd w:id="927924998"/>
    <w:p w14:paraId="7861D22D" w14:textId="7EDA4176" w:rsidR="008F34C5" w:rsidRDefault="008F34C5" w:rsidP="00085A43">
      <w:pPr>
        <w:pStyle w:val="Heading2"/>
        <w:numPr>
          <w:ilvl w:val="0"/>
          <w:numId w:val="0"/>
        </w:numPr>
        <w:ind w:left="720" w:hanging="720"/>
      </w:pPr>
      <w:r>
        <w:lastRenderedPageBreak/>
        <w:t>Amendment Register</w:t>
      </w:r>
      <w:bookmarkEnd w:id="0"/>
      <w:bookmarkEnd w:id="1"/>
      <w:bookmarkEnd w:id="2"/>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4819"/>
        <w:gridCol w:w="1843"/>
      </w:tblGrid>
      <w:tr w:rsidR="008F34C5" w14:paraId="1DA0B97C" w14:textId="77777777" w:rsidTr="00094EF3">
        <w:trPr>
          <w:trHeight w:val="397"/>
        </w:trPr>
        <w:tc>
          <w:tcPr>
            <w:tcW w:w="1242" w:type="dxa"/>
            <w:tcBorders>
              <w:top w:val="single" w:sz="12" w:space="0" w:color="auto"/>
              <w:left w:val="nil"/>
              <w:bottom w:val="single" w:sz="12" w:space="0" w:color="auto"/>
              <w:right w:val="single" w:sz="6" w:space="0" w:color="auto"/>
            </w:tcBorders>
            <w:shd w:val="pct10" w:color="auto" w:fill="auto"/>
            <w:vAlign w:val="center"/>
          </w:tcPr>
          <w:p w14:paraId="5BC8F31E" w14:textId="77777777" w:rsidR="008F34C5" w:rsidRDefault="008F34C5" w:rsidP="00267887">
            <w:pPr>
              <w:pStyle w:val="TableHeadCen"/>
            </w:pPr>
            <w:r>
              <w:t>Ed/Rev Number</w:t>
            </w:r>
          </w:p>
        </w:tc>
        <w:tc>
          <w:tcPr>
            <w:tcW w:w="1310" w:type="dxa"/>
            <w:tcBorders>
              <w:top w:val="single" w:sz="12" w:space="0" w:color="auto"/>
              <w:left w:val="single" w:sz="6" w:space="0" w:color="auto"/>
              <w:bottom w:val="single" w:sz="12" w:space="0" w:color="auto"/>
              <w:right w:val="single" w:sz="6" w:space="0" w:color="auto"/>
            </w:tcBorders>
            <w:shd w:val="pct10" w:color="auto" w:fill="auto"/>
            <w:vAlign w:val="center"/>
          </w:tcPr>
          <w:p w14:paraId="4723BFF5" w14:textId="77777777" w:rsidR="008F34C5" w:rsidRDefault="008F34C5" w:rsidP="00267887">
            <w:pPr>
              <w:pStyle w:val="TableHeadCen"/>
            </w:pPr>
            <w:r>
              <w:t>Section Number</w:t>
            </w:r>
          </w:p>
        </w:tc>
        <w:tc>
          <w:tcPr>
            <w:tcW w:w="4819" w:type="dxa"/>
            <w:tcBorders>
              <w:top w:val="single" w:sz="12" w:space="0" w:color="auto"/>
              <w:left w:val="single" w:sz="6" w:space="0" w:color="auto"/>
              <w:bottom w:val="single" w:sz="12" w:space="0" w:color="auto"/>
              <w:right w:val="single" w:sz="6" w:space="0" w:color="auto"/>
            </w:tcBorders>
            <w:shd w:val="pct10" w:color="auto" w:fill="auto"/>
            <w:vAlign w:val="center"/>
          </w:tcPr>
          <w:p w14:paraId="4187EFB9" w14:textId="77777777" w:rsidR="008F34C5" w:rsidRDefault="008F34C5" w:rsidP="003B50E2">
            <w:pPr>
              <w:pStyle w:val="TableHead"/>
            </w:pPr>
            <w:r>
              <w:t>Description</w:t>
            </w:r>
          </w:p>
        </w:tc>
        <w:tc>
          <w:tcPr>
            <w:tcW w:w="1843" w:type="dxa"/>
            <w:tcBorders>
              <w:top w:val="single" w:sz="12" w:space="0" w:color="auto"/>
              <w:left w:val="single" w:sz="6" w:space="0" w:color="auto"/>
              <w:bottom w:val="single" w:sz="12" w:space="0" w:color="auto"/>
              <w:right w:val="nil"/>
            </w:tcBorders>
            <w:shd w:val="pct10" w:color="auto" w:fill="auto"/>
            <w:vAlign w:val="center"/>
          </w:tcPr>
          <w:p w14:paraId="17045E42" w14:textId="77777777" w:rsidR="008F34C5" w:rsidRDefault="008F34C5" w:rsidP="00267887">
            <w:pPr>
              <w:pStyle w:val="TableHeadCen"/>
            </w:pPr>
            <w:r>
              <w:t>Date</w:t>
            </w:r>
          </w:p>
        </w:tc>
      </w:tr>
      <w:tr w:rsidR="008F34C5" w14:paraId="11F8AF5B" w14:textId="77777777" w:rsidTr="00094EF3">
        <w:trPr>
          <w:trHeight w:val="340"/>
        </w:trPr>
        <w:tc>
          <w:tcPr>
            <w:tcW w:w="1242" w:type="dxa"/>
            <w:tcBorders>
              <w:top w:val="single" w:sz="12" w:space="0" w:color="auto"/>
              <w:left w:val="nil"/>
              <w:bottom w:val="single" w:sz="8" w:space="0" w:color="auto"/>
              <w:right w:val="single" w:sz="6" w:space="0" w:color="auto"/>
            </w:tcBorders>
            <w:vAlign w:val="center"/>
          </w:tcPr>
          <w:p w14:paraId="39F883AB" w14:textId="77777777" w:rsidR="008F34C5" w:rsidRDefault="008F34C5" w:rsidP="00267887">
            <w:pPr>
              <w:pStyle w:val="TableCen"/>
            </w:pPr>
            <w:r>
              <w:t>1.0</w:t>
            </w:r>
          </w:p>
        </w:tc>
        <w:tc>
          <w:tcPr>
            <w:tcW w:w="1310" w:type="dxa"/>
            <w:tcBorders>
              <w:top w:val="single" w:sz="12" w:space="0" w:color="auto"/>
              <w:left w:val="single" w:sz="6" w:space="0" w:color="auto"/>
              <w:bottom w:val="single" w:sz="8" w:space="0" w:color="auto"/>
              <w:right w:val="single" w:sz="6" w:space="0" w:color="auto"/>
            </w:tcBorders>
            <w:vAlign w:val="center"/>
          </w:tcPr>
          <w:p w14:paraId="0DE004C0" w14:textId="77777777" w:rsidR="008F34C5" w:rsidRDefault="008F34C5" w:rsidP="00267887">
            <w:pPr>
              <w:pStyle w:val="TableCen"/>
            </w:pPr>
          </w:p>
        </w:tc>
        <w:tc>
          <w:tcPr>
            <w:tcW w:w="4819" w:type="dxa"/>
            <w:tcBorders>
              <w:top w:val="single" w:sz="12" w:space="0" w:color="auto"/>
              <w:left w:val="single" w:sz="6" w:space="0" w:color="auto"/>
              <w:bottom w:val="single" w:sz="8" w:space="0" w:color="auto"/>
              <w:right w:val="single" w:sz="6" w:space="0" w:color="auto"/>
            </w:tcBorders>
            <w:vAlign w:val="center"/>
          </w:tcPr>
          <w:p w14:paraId="6622F41E" w14:textId="77777777" w:rsidR="008F34C5" w:rsidRDefault="008F34C5" w:rsidP="00267887">
            <w:pPr>
              <w:pStyle w:val="Table"/>
            </w:pPr>
            <w:r>
              <w:t>Original issue.</w:t>
            </w:r>
          </w:p>
        </w:tc>
        <w:tc>
          <w:tcPr>
            <w:tcW w:w="1843" w:type="dxa"/>
            <w:tcBorders>
              <w:top w:val="single" w:sz="12" w:space="0" w:color="auto"/>
              <w:left w:val="single" w:sz="6" w:space="0" w:color="auto"/>
              <w:bottom w:val="single" w:sz="8" w:space="0" w:color="auto"/>
              <w:right w:val="nil"/>
            </w:tcBorders>
            <w:vAlign w:val="center"/>
          </w:tcPr>
          <w:p w14:paraId="65FC0FD8" w14:textId="77777777" w:rsidR="008F34C5" w:rsidRDefault="008F34C5" w:rsidP="00267887">
            <w:pPr>
              <w:pStyle w:val="TableCen"/>
            </w:pPr>
            <w:r>
              <w:t>December 2001</w:t>
            </w:r>
          </w:p>
        </w:tc>
      </w:tr>
      <w:tr w:rsidR="003B50E2" w14:paraId="62A4AE16" w14:textId="77777777" w:rsidTr="00094EF3">
        <w:trPr>
          <w:trHeight w:val="340"/>
        </w:trPr>
        <w:tc>
          <w:tcPr>
            <w:tcW w:w="1242" w:type="dxa"/>
            <w:vMerge w:val="restart"/>
            <w:tcBorders>
              <w:top w:val="single" w:sz="8" w:space="0" w:color="auto"/>
              <w:left w:val="nil"/>
              <w:bottom w:val="single" w:sz="8" w:space="0" w:color="auto"/>
              <w:right w:val="single" w:sz="6" w:space="0" w:color="auto"/>
            </w:tcBorders>
            <w:vAlign w:val="center"/>
          </w:tcPr>
          <w:p w14:paraId="0C6C0064" w14:textId="77777777" w:rsidR="003B50E2" w:rsidRDefault="003B50E2" w:rsidP="003B50E2">
            <w:pPr>
              <w:pStyle w:val="TableCen"/>
            </w:pPr>
            <w:r>
              <w:t>2</w:t>
            </w:r>
          </w:p>
        </w:tc>
        <w:tc>
          <w:tcPr>
            <w:tcW w:w="1310" w:type="dxa"/>
            <w:tcBorders>
              <w:top w:val="single" w:sz="8" w:space="0" w:color="auto"/>
              <w:left w:val="single" w:sz="6" w:space="0" w:color="auto"/>
              <w:bottom w:val="single" w:sz="2" w:space="0" w:color="auto"/>
              <w:right w:val="single" w:sz="8" w:space="0" w:color="auto"/>
            </w:tcBorders>
            <w:vAlign w:val="center"/>
          </w:tcPr>
          <w:p w14:paraId="2657B700" w14:textId="77777777" w:rsidR="003B50E2" w:rsidRDefault="003B50E2" w:rsidP="00267887">
            <w:pPr>
              <w:pStyle w:val="TableCen"/>
            </w:pPr>
            <w:r>
              <w:t>1, 10, 11</w:t>
            </w:r>
          </w:p>
        </w:tc>
        <w:tc>
          <w:tcPr>
            <w:tcW w:w="4819" w:type="dxa"/>
            <w:tcBorders>
              <w:top w:val="single" w:sz="8" w:space="0" w:color="auto"/>
              <w:left w:val="single" w:sz="8" w:space="0" w:color="auto"/>
              <w:bottom w:val="single" w:sz="2" w:space="0" w:color="auto"/>
              <w:right w:val="single" w:sz="6" w:space="0" w:color="auto"/>
            </w:tcBorders>
            <w:vAlign w:val="center"/>
          </w:tcPr>
          <w:p w14:paraId="0E143719" w14:textId="12BBA958" w:rsidR="003B50E2" w:rsidRDefault="003B50E2" w:rsidP="005C54EC">
            <w:pPr>
              <w:pStyle w:val="Table"/>
            </w:pPr>
            <w:r>
              <w:t>Trench Requirements Reviewed and moveto Reference Specification for Civil Engineering Works S145 Utility Trenched</w:t>
            </w:r>
          </w:p>
        </w:tc>
        <w:tc>
          <w:tcPr>
            <w:tcW w:w="1843" w:type="dxa"/>
            <w:vMerge w:val="restart"/>
            <w:tcBorders>
              <w:top w:val="single" w:sz="8" w:space="0" w:color="auto"/>
              <w:left w:val="single" w:sz="6" w:space="0" w:color="auto"/>
              <w:bottom w:val="single" w:sz="8" w:space="0" w:color="auto"/>
              <w:right w:val="nil"/>
            </w:tcBorders>
            <w:vAlign w:val="center"/>
          </w:tcPr>
          <w:p w14:paraId="3892611F" w14:textId="77777777" w:rsidR="003B50E2" w:rsidRPr="00E21DAA" w:rsidRDefault="003B50E2" w:rsidP="00267887">
            <w:pPr>
              <w:pStyle w:val="TableCen"/>
            </w:pPr>
            <w:r>
              <w:t>Apr 2014</w:t>
            </w:r>
          </w:p>
        </w:tc>
      </w:tr>
      <w:tr w:rsidR="003B50E2" w14:paraId="3AFA5192" w14:textId="77777777" w:rsidTr="00094EF3">
        <w:trPr>
          <w:trHeight w:val="340"/>
        </w:trPr>
        <w:tc>
          <w:tcPr>
            <w:tcW w:w="1242" w:type="dxa"/>
            <w:vMerge/>
            <w:tcBorders>
              <w:left w:val="nil"/>
              <w:bottom w:val="single" w:sz="8" w:space="0" w:color="auto"/>
              <w:right w:val="single" w:sz="6" w:space="0" w:color="auto"/>
            </w:tcBorders>
            <w:vAlign w:val="center"/>
          </w:tcPr>
          <w:p w14:paraId="62B77B4D" w14:textId="77777777" w:rsidR="003B50E2" w:rsidRDefault="003B50E2" w:rsidP="00267887">
            <w:pPr>
              <w:pStyle w:val="TableCen"/>
            </w:pPr>
          </w:p>
        </w:tc>
        <w:tc>
          <w:tcPr>
            <w:tcW w:w="1310" w:type="dxa"/>
            <w:tcBorders>
              <w:top w:val="single" w:sz="2" w:space="0" w:color="auto"/>
              <w:left w:val="single" w:sz="6" w:space="0" w:color="auto"/>
              <w:bottom w:val="single" w:sz="8" w:space="0" w:color="auto"/>
              <w:right w:val="single" w:sz="8" w:space="0" w:color="auto"/>
            </w:tcBorders>
            <w:vAlign w:val="center"/>
          </w:tcPr>
          <w:p w14:paraId="340215BC" w14:textId="77777777" w:rsidR="003B50E2" w:rsidRDefault="003B50E2" w:rsidP="00267887">
            <w:pPr>
              <w:pStyle w:val="TableCen"/>
            </w:pPr>
            <w:r>
              <w:t>17</w:t>
            </w:r>
          </w:p>
        </w:tc>
        <w:tc>
          <w:tcPr>
            <w:tcW w:w="4819" w:type="dxa"/>
            <w:tcBorders>
              <w:top w:val="single" w:sz="2" w:space="0" w:color="auto"/>
              <w:left w:val="single" w:sz="8" w:space="0" w:color="auto"/>
              <w:bottom w:val="single" w:sz="8" w:space="0" w:color="auto"/>
              <w:right w:val="single" w:sz="6" w:space="0" w:color="auto"/>
            </w:tcBorders>
            <w:vAlign w:val="center"/>
          </w:tcPr>
          <w:p w14:paraId="4F08A231" w14:textId="77777777" w:rsidR="003B50E2" w:rsidRDefault="003B50E2" w:rsidP="00267887">
            <w:pPr>
              <w:pStyle w:val="Table"/>
            </w:pPr>
            <w:r>
              <w:t>Reference changed to Department of Transport and Main Roads</w:t>
            </w:r>
          </w:p>
        </w:tc>
        <w:tc>
          <w:tcPr>
            <w:tcW w:w="1843" w:type="dxa"/>
            <w:vMerge/>
            <w:tcBorders>
              <w:left w:val="single" w:sz="6" w:space="0" w:color="auto"/>
              <w:bottom w:val="single" w:sz="8" w:space="0" w:color="auto"/>
              <w:right w:val="nil"/>
            </w:tcBorders>
            <w:vAlign w:val="center"/>
          </w:tcPr>
          <w:p w14:paraId="194303ED" w14:textId="77777777" w:rsidR="003B50E2" w:rsidDel="00A70E4D" w:rsidRDefault="003B50E2" w:rsidP="00267887">
            <w:pPr>
              <w:pStyle w:val="TableCen"/>
            </w:pPr>
          </w:p>
        </w:tc>
      </w:tr>
      <w:tr w:rsidR="00151468" w14:paraId="53AF1B5A" w14:textId="77777777" w:rsidTr="00094EF3">
        <w:trPr>
          <w:trHeight w:val="340"/>
        </w:trPr>
        <w:tc>
          <w:tcPr>
            <w:tcW w:w="1242" w:type="dxa"/>
            <w:vMerge w:val="restart"/>
            <w:tcBorders>
              <w:top w:val="single" w:sz="8" w:space="0" w:color="auto"/>
              <w:left w:val="nil"/>
              <w:bottom w:val="single" w:sz="8" w:space="0" w:color="auto"/>
              <w:right w:val="single" w:sz="6" w:space="0" w:color="auto"/>
            </w:tcBorders>
            <w:vAlign w:val="center"/>
          </w:tcPr>
          <w:p w14:paraId="301829E7" w14:textId="77777777" w:rsidR="00151468" w:rsidRDefault="00151468" w:rsidP="00267887">
            <w:pPr>
              <w:pStyle w:val="TableCen"/>
            </w:pPr>
            <w:r>
              <w:t>3.0</w:t>
            </w:r>
          </w:p>
        </w:tc>
        <w:tc>
          <w:tcPr>
            <w:tcW w:w="1310" w:type="dxa"/>
            <w:tcBorders>
              <w:top w:val="single" w:sz="8" w:space="0" w:color="auto"/>
              <w:left w:val="single" w:sz="6" w:space="0" w:color="auto"/>
              <w:bottom w:val="single" w:sz="2" w:space="0" w:color="auto"/>
              <w:right w:val="single" w:sz="8" w:space="0" w:color="auto"/>
            </w:tcBorders>
            <w:vAlign w:val="center"/>
          </w:tcPr>
          <w:p w14:paraId="2A0C50EC" w14:textId="77777777" w:rsidR="00151468" w:rsidRDefault="00151468" w:rsidP="00267887">
            <w:pPr>
              <w:pStyle w:val="TableCen"/>
            </w:pPr>
            <w:r>
              <w:t>General</w:t>
            </w:r>
          </w:p>
        </w:tc>
        <w:tc>
          <w:tcPr>
            <w:tcW w:w="4819" w:type="dxa"/>
            <w:tcBorders>
              <w:top w:val="single" w:sz="8" w:space="0" w:color="auto"/>
              <w:left w:val="single" w:sz="8" w:space="0" w:color="auto"/>
              <w:bottom w:val="single" w:sz="2" w:space="0" w:color="auto"/>
              <w:right w:val="single" w:sz="6" w:space="0" w:color="auto"/>
            </w:tcBorders>
            <w:vAlign w:val="center"/>
          </w:tcPr>
          <w:p w14:paraId="35892495" w14:textId="77777777" w:rsidR="00151468" w:rsidRDefault="00151468" w:rsidP="00267887">
            <w:pPr>
              <w:pStyle w:val="Table"/>
            </w:pPr>
            <w:r w:rsidRPr="00151468">
              <w:t>External References Updated and Corrected</w:t>
            </w:r>
          </w:p>
        </w:tc>
        <w:tc>
          <w:tcPr>
            <w:tcW w:w="1843" w:type="dxa"/>
            <w:vMerge w:val="restart"/>
            <w:tcBorders>
              <w:top w:val="single" w:sz="8" w:space="0" w:color="auto"/>
              <w:left w:val="single" w:sz="6" w:space="0" w:color="auto"/>
              <w:bottom w:val="single" w:sz="8" w:space="0" w:color="auto"/>
              <w:right w:val="nil"/>
            </w:tcBorders>
            <w:vAlign w:val="center"/>
          </w:tcPr>
          <w:p w14:paraId="694D4078" w14:textId="77777777" w:rsidR="00151468" w:rsidDel="00A70E4D" w:rsidRDefault="00151468" w:rsidP="00267887">
            <w:pPr>
              <w:pStyle w:val="TableCen"/>
            </w:pPr>
            <w:r>
              <w:t>May 2016</w:t>
            </w:r>
          </w:p>
        </w:tc>
      </w:tr>
      <w:tr w:rsidR="00151468" w14:paraId="0233D640" w14:textId="77777777" w:rsidTr="00094EF3">
        <w:trPr>
          <w:trHeight w:val="340"/>
        </w:trPr>
        <w:tc>
          <w:tcPr>
            <w:tcW w:w="1242" w:type="dxa"/>
            <w:vMerge/>
            <w:tcBorders>
              <w:left w:val="nil"/>
              <w:bottom w:val="single" w:sz="8" w:space="0" w:color="auto"/>
              <w:right w:val="single" w:sz="6" w:space="0" w:color="auto"/>
            </w:tcBorders>
            <w:vAlign w:val="center"/>
          </w:tcPr>
          <w:p w14:paraId="7FB92AC7" w14:textId="77777777" w:rsidR="00151468" w:rsidRDefault="00151468" w:rsidP="00267887">
            <w:pPr>
              <w:pStyle w:val="TableCen"/>
            </w:pPr>
          </w:p>
        </w:tc>
        <w:tc>
          <w:tcPr>
            <w:tcW w:w="1310" w:type="dxa"/>
            <w:tcBorders>
              <w:top w:val="single" w:sz="2" w:space="0" w:color="auto"/>
              <w:left w:val="single" w:sz="6" w:space="0" w:color="auto"/>
              <w:bottom w:val="single" w:sz="8" w:space="0" w:color="auto"/>
              <w:right w:val="single" w:sz="8" w:space="0" w:color="auto"/>
            </w:tcBorders>
            <w:vAlign w:val="center"/>
          </w:tcPr>
          <w:p w14:paraId="7DAB0163" w14:textId="77777777" w:rsidR="00151468" w:rsidRDefault="00151468" w:rsidP="00267887">
            <w:pPr>
              <w:pStyle w:val="TableCen"/>
            </w:pPr>
            <w:r>
              <w:t>1.2</w:t>
            </w:r>
          </w:p>
        </w:tc>
        <w:tc>
          <w:tcPr>
            <w:tcW w:w="4819" w:type="dxa"/>
            <w:tcBorders>
              <w:top w:val="single" w:sz="2" w:space="0" w:color="auto"/>
              <w:left w:val="single" w:sz="8" w:space="0" w:color="auto"/>
              <w:bottom w:val="single" w:sz="8" w:space="0" w:color="auto"/>
              <w:right w:val="single" w:sz="6" w:space="0" w:color="auto"/>
            </w:tcBorders>
            <w:vAlign w:val="center"/>
          </w:tcPr>
          <w:p w14:paraId="24611ECA" w14:textId="77777777" w:rsidR="00151468" w:rsidRDefault="00151468" w:rsidP="00267887">
            <w:pPr>
              <w:pStyle w:val="Table"/>
            </w:pPr>
            <w:r>
              <w:t>Reference list expanded to show all referenced documents</w:t>
            </w:r>
          </w:p>
        </w:tc>
        <w:tc>
          <w:tcPr>
            <w:tcW w:w="1843" w:type="dxa"/>
            <w:vMerge/>
            <w:tcBorders>
              <w:left w:val="single" w:sz="6" w:space="0" w:color="auto"/>
              <w:bottom w:val="single" w:sz="8" w:space="0" w:color="auto"/>
              <w:right w:val="nil"/>
            </w:tcBorders>
            <w:vAlign w:val="center"/>
          </w:tcPr>
          <w:p w14:paraId="3CE6ED8C" w14:textId="77777777" w:rsidR="00151468" w:rsidDel="00A70E4D" w:rsidRDefault="00151468" w:rsidP="00267887">
            <w:pPr>
              <w:pStyle w:val="TableCen"/>
            </w:pPr>
          </w:p>
        </w:tc>
      </w:tr>
      <w:tr w:rsidR="00BC5891" w14:paraId="4611A670" w14:textId="77777777" w:rsidTr="00094EF3">
        <w:trPr>
          <w:trHeight w:val="340"/>
        </w:trPr>
        <w:tc>
          <w:tcPr>
            <w:tcW w:w="1242" w:type="dxa"/>
            <w:vMerge w:val="restart"/>
            <w:tcBorders>
              <w:left w:val="nil"/>
              <w:right w:val="single" w:sz="6" w:space="0" w:color="auto"/>
            </w:tcBorders>
            <w:vAlign w:val="center"/>
          </w:tcPr>
          <w:p w14:paraId="19AF062E" w14:textId="77777777" w:rsidR="00BC5891" w:rsidRDefault="00BC5891" w:rsidP="00BC5891">
            <w:pPr>
              <w:pStyle w:val="TableCen"/>
            </w:pPr>
            <w:r>
              <w:t>4.0</w:t>
            </w:r>
          </w:p>
        </w:tc>
        <w:tc>
          <w:tcPr>
            <w:tcW w:w="1310" w:type="dxa"/>
            <w:tcBorders>
              <w:top w:val="single" w:sz="8" w:space="0" w:color="auto"/>
              <w:left w:val="nil"/>
              <w:bottom w:val="single" w:sz="2" w:space="0" w:color="auto"/>
              <w:right w:val="single" w:sz="8" w:space="0" w:color="auto"/>
            </w:tcBorders>
            <w:shd w:val="clear" w:color="auto" w:fill="auto"/>
            <w:vAlign w:val="center"/>
          </w:tcPr>
          <w:p w14:paraId="6A8CDDA4" w14:textId="77777777" w:rsidR="00BC5891" w:rsidRDefault="00BC5891" w:rsidP="00BC5891">
            <w:pPr>
              <w:pStyle w:val="TableCen"/>
            </w:pPr>
            <w:r>
              <w:t>1.2</w:t>
            </w:r>
          </w:p>
        </w:tc>
        <w:tc>
          <w:tcPr>
            <w:tcW w:w="4819" w:type="dxa"/>
            <w:tcBorders>
              <w:top w:val="single" w:sz="8" w:space="0" w:color="auto"/>
              <w:left w:val="single" w:sz="8" w:space="0" w:color="auto"/>
              <w:bottom w:val="single" w:sz="2" w:space="0" w:color="auto"/>
              <w:right w:val="nil"/>
            </w:tcBorders>
            <w:shd w:val="clear" w:color="auto" w:fill="auto"/>
            <w:vAlign w:val="center"/>
          </w:tcPr>
          <w:p w14:paraId="391FBFA2" w14:textId="77777777" w:rsidR="00BC5891" w:rsidRDefault="00BC5891" w:rsidP="00BC5891">
            <w:pPr>
              <w:pStyle w:val="Table"/>
            </w:pPr>
            <w:r>
              <w:t>Australian Standards reference list updated</w:t>
            </w:r>
          </w:p>
        </w:tc>
        <w:tc>
          <w:tcPr>
            <w:tcW w:w="1843" w:type="dxa"/>
            <w:vMerge w:val="restart"/>
            <w:tcBorders>
              <w:left w:val="single" w:sz="6" w:space="0" w:color="auto"/>
              <w:right w:val="nil"/>
            </w:tcBorders>
            <w:vAlign w:val="center"/>
          </w:tcPr>
          <w:p w14:paraId="120788A4" w14:textId="77777777" w:rsidR="00BC5891" w:rsidRDefault="00C36630" w:rsidP="00BC5891">
            <w:pPr>
              <w:pStyle w:val="TableCen"/>
            </w:pPr>
            <w:r>
              <w:t>Nov</w:t>
            </w:r>
            <w:r w:rsidR="00BC5891">
              <w:t xml:space="preserve"> 2018</w:t>
            </w:r>
          </w:p>
        </w:tc>
      </w:tr>
      <w:tr w:rsidR="00BC5891" w14:paraId="3BDD3EBA" w14:textId="77777777" w:rsidTr="00094EF3">
        <w:trPr>
          <w:trHeight w:val="340"/>
        </w:trPr>
        <w:tc>
          <w:tcPr>
            <w:tcW w:w="1242" w:type="dxa"/>
            <w:vMerge/>
            <w:tcBorders>
              <w:left w:val="nil"/>
              <w:right w:val="single" w:sz="6" w:space="0" w:color="auto"/>
            </w:tcBorders>
            <w:vAlign w:val="center"/>
          </w:tcPr>
          <w:p w14:paraId="2E2AECA2" w14:textId="77777777" w:rsidR="00BC5891" w:rsidRDefault="00BC5891" w:rsidP="00BC589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3FC4C371" w14:textId="77777777" w:rsidR="00BC5891" w:rsidRDefault="00BC5891" w:rsidP="00BC5891">
            <w:pPr>
              <w:pStyle w:val="TableCen"/>
            </w:pPr>
            <w:r>
              <w:t>1.3, 13.1, 14.0, 15.0</w:t>
            </w:r>
          </w:p>
        </w:tc>
        <w:tc>
          <w:tcPr>
            <w:tcW w:w="4819" w:type="dxa"/>
            <w:tcBorders>
              <w:top w:val="single" w:sz="2" w:space="0" w:color="auto"/>
              <w:left w:val="single" w:sz="8" w:space="0" w:color="auto"/>
              <w:bottom w:val="single" w:sz="2" w:space="0" w:color="auto"/>
              <w:right w:val="single" w:sz="6" w:space="0" w:color="auto"/>
            </w:tcBorders>
            <w:vAlign w:val="center"/>
          </w:tcPr>
          <w:p w14:paraId="7A8A8F8D" w14:textId="77777777" w:rsidR="00BC5891" w:rsidRDefault="00BC5891" w:rsidP="00BC5891">
            <w:pPr>
              <w:pStyle w:val="Table"/>
            </w:pPr>
            <w:r>
              <w:t>Deleted DTMR Test Methods removed</w:t>
            </w:r>
          </w:p>
        </w:tc>
        <w:tc>
          <w:tcPr>
            <w:tcW w:w="1843" w:type="dxa"/>
            <w:vMerge/>
            <w:tcBorders>
              <w:left w:val="single" w:sz="6" w:space="0" w:color="auto"/>
              <w:right w:val="nil"/>
            </w:tcBorders>
            <w:vAlign w:val="center"/>
          </w:tcPr>
          <w:p w14:paraId="30B21BB2" w14:textId="77777777" w:rsidR="00BC5891" w:rsidDel="00A70E4D" w:rsidRDefault="00BC5891" w:rsidP="00BC5891">
            <w:pPr>
              <w:pStyle w:val="TableCen"/>
            </w:pPr>
          </w:p>
        </w:tc>
      </w:tr>
      <w:tr w:rsidR="007854E1" w14:paraId="394D65E0" w14:textId="77777777" w:rsidTr="00094EF3">
        <w:trPr>
          <w:trHeight w:val="340"/>
        </w:trPr>
        <w:tc>
          <w:tcPr>
            <w:tcW w:w="1242" w:type="dxa"/>
            <w:vMerge/>
            <w:tcBorders>
              <w:left w:val="nil"/>
              <w:right w:val="single" w:sz="6" w:space="0" w:color="auto"/>
            </w:tcBorders>
            <w:vAlign w:val="center"/>
          </w:tcPr>
          <w:p w14:paraId="31BC2EDA" w14:textId="77777777" w:rsidR="007854E1" w:rsidRDefault="007854E1" w:rsidP="007854E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1B5E2D66" w14:textId="77777777" w:rsidR="007854E1" w:rsidRDefault="007854E1" w:rsidP="007854E1">
            <w:pPr>
              <w:pStyle w:val="TableCen"/>
            </w:pPr>
            <w:r>
              <w:t>1.3, 3.2</w:t>
            </w:r>
          </w:p>
        </w:tc>
        <w:tc>
          <w:tcPr>
            <w:tcW w:w="4819" w:type="dxa"/>
            <w:tcBorders>
              <w:top w:val="single" w:sz="2" w:space="0" w:color="auto"/>
              <w:left w:val="single" w:sz="8" w:space="0" w:color="auto"/>
              <w:bottom w:val="single" w:sz="2" w:space="0" w:color="auto"/>
              <w:right w:val="single" w:sz="6" w:space="0" w:color="auto"/>
            </w:tcBorders>
            <w:vAlign w:val="center"/>
          </w:tcPr>
          <w:p w14:paraId="0700717C" w14:textId="77777777" w:rsidR="007854E1" w:rsidRDefault="007854E1" w:rsidP="007854E1">
            <w:pPr>
              <w:pStyle w:val="Table"/>
            </w:pPr>
            <w:r>
              <w:t xml:space="preserve">Reference to BCC </w:t>
            </w:r>
            <w:r w:rsidRPr="0040742A">
              <w:t>Procedure</w:t>
            </w:r>
            <w:r>
              <w:t xml:space="preserve"> </w:t>
            </w:r>
            <w:r w:rsidRPr="00E15B65">
              <w:t>OS21</w:t>
            </w:r>
          </w:p>
        </w:tc>
        <w:tc>
          <w:tcPr>
            <w:tcW w:w="1843" w:type="dxa"/>
            <w:vMerge/>
            <w:tcBorders>
              <w:left w:val="single" w:sz="6" w:space="0" w:color="auto"/>
              <w:right w:val="nil"/>
            </w:tcBorders>
            <w:vAlign w:val="center"/>
          </w:tcPr>
          <w:p w14:paraId="370E43D7" w14:textId="77777777" w:rsidR="007854E1" w:rsidDel="00A70E4D" w:rsidRDefault="007854E1" w:rsidP="007854E1">
            <w:pPr>
              <w:pStyle w:val="TableCen"/>
            </w:pPr>
          </w:p>
        </w:tc>
      </w:tr>
      <w:tr w:rsidR="007854E1" w14:paraId="71331DE0" w14:textId="77777777" w:rsidTr="00094EF3">
        <w:trPr>
          <w:trHeight w:val="340"/>
        </w:trPr>
        <w:tc>
          <w:tcPr>
            <w:tcW w:w="1242" w:type="dxa"/>
            <w:vMerge/>
            <w:tcBorders>
              <w:left w:val="nil"/>
              <w:right w:val="single" w:sz="6" w:space="0" w:color="auto"/>
            </w:tcBorders>
            <w:vAlign w:val="center"/>
          </w:tcPr>
          <w:p w14:paraId="694A02E3" w14:textId="77777777" w:rsidR="007854E1" w:rsidRDefault="007854E1" w:rsidP="007854E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575DA75D" w14:textId="77777777" w:rsidR="007854E1" w:rsidRDefault="007854E1" w:rsidP="007854E1">
            <w:pPr>
              <w:pStyle w:val="TableCen"/>
            </w:pPr>
            <w:r>
              <w:t>2.1</w:t>
            </w:r>
          </w:p>
        </w:tc>
        <w:tc>
          <w:tcPr>
            <w:tcW w:w="4819" w:type="dxa"/>
            <w:tcBorders>
              <w:top w:val="single" w:sz="2" w:space="0" w:color="auto"/>
              <w:left w:val="single" w:sz="8" w:space="0" w:color="auto"/>
              <w:bottom w:val="single" w:sz="2" w:space="0" w:color="auto"/>
              <w:right w:val="single" w:sz="6" w:space="0" w:color="auto"/>
            </w:tcBorders>
            <w:vAlign w:val="center"/>
          </w:tcPr>
          <w:p w14:paraId="3EEA8003" w14:textId="77777777" w:rsidR="007854E1" w:rsidRDefault="007854E1" w:rsidP="007854E1">
            <w:pPr>
              <w:pStyle w:val="Table"/>
            </w:pPr>
            <w:r>
              <w:t>Hold point for proof rolling of subgrade added</w:t>
            </w:r>
          </w:p>
        </w:tc>
        <w:tc>
          <w:tcPr>
            <w:tcW w:w="1843" w:type="dxa"/>
            <w:vMerge/>
            <w:tcBorders>
              <w:left w:val="single" w:sz="6" w:space="0" w:color="auto"/>
              <w:right w:val="nil"/>
            </w:tcBorders>
            <w:vAlign w:val="center"/>
          </w:tcPr>
          <w:p w14:paraId="453DDC24" w14:textId="77777777" w:rsidR="007854E1" w:rsidDel="00A70E4D" w:rsidRDefault="007854E1" w:rsidP="007854E1">
            <w:pPr>
              <w:pStyle w:val="TableCen"/>
            </w:pPr>
          </w:p>
        </w:tc>
      </w:tr>
      <w:tr w:rsidR="007854E1" w14:paraId="5E77CAD7" w14:textId="77777777" w:rsidTr="00094EF3">
        <w:trPr>
          <w:trHeight w:val="340"/>
        </w:trPr>
        <w:tc>
          <w:tcPr>
            <w:tcW w:w="1242" w:type="dxa"/>
            <w:vMerge/>
            <w:tcBorders>
              <w:left w:val="nil"/>
              <w:right w:val="single" w:sz="6" w:space="0" w:color="auto"/>
            </w:tcBorders>
            <w:vAlign w:val="center"/>
          </w:tcPr>
          <w:p w14:paraId="510E218B" w14:textId="77777777" w:rsidR="007854E1" w:rsidRDefault="007854E1" w:rsidP="007854E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2629C569" w14:textId="77777777" w:rsidR="007854E1" w:rsidRDefault="007854E1" w:rsidP="007854E1">
            <w:pPr>
              <w:pStyle w:val="TableCen"/>
            </w:pPr>
            <w:r>
              <w:t>2.3</w:t>
            </w:r>
          </w:p>
        </w:tc>
        <w:tc>
          <w:tcPr>
            <w:tcW w:w="4819" w:type="dxa"/>
            <w:tcBorders>
              <w:top w:val="single" w:sz="2" w:space="0" w:color="auto"/>
              <w:left w:val="single" w:sz="8" w:space="0" w:color="auto"/>
              <w:bottom w:val="single" w:sz="2" w:space="0" w:color="auto"/>
              <w:right w:val="single" w:sz="6" w:space="0" w:color="auto"/>
            </w:tcBorders>
            <w:vAlign w:val="center"/>
          </w:tcPr>
          <w:p w14:paraId="2B8726E9" w14:textId="77777777" w:rsidR="007854E1" w:rsidRDefault="007854E1" w:rsidP="007854E1">
            <w:pPr>
              <w:pStyle w:val="Table"/>
            </w:pPr>
            <w:r>
              <w:t>Requirement for E</w:t>
            </w:r>
            <w:r w:rsidRPr="009B4A91">
              <w:t xml:space="preserve">ngineer's certificate </w:t>
            </w:r>
            <w:r>
              <w:t>for c</w:t>
            </w:r>
            <w:r w:rsidRPr="009B4A91">
              <w:t>rib wa</w:t>
            </w:r>
            <w:r>
              <w:t>lls</w:t>
            </w:r>
          </w:p>
        </w:tc>
        <w:tc>
          <w:tcPr>
            <w:tcW w:w="1843" w:type="dxa"/>
            <w:vMerge/>
            <w:tcBorders>
              <w:left w:val="single" w:sz="6" w:space="0" w:color="auto"/>
              <w:right w:val="nil"/>
            </w:tcBorders>
            <w:vAlign w:val="center"/>
          </w:tcPr>
          <w:p w14:paraId="7AEC8358" w14:textId="77777777" w:rsidR="007854E1" w:rsidRDefault="007854E1" w:rsidP="007854E1">
            <w:pPr>
              <w:pStyle w:val="TableCen"/>
            </w:pPr>
          </w:p>
        </w:tc>
      </w:tr>
      <w:tr w:rsidR="007854E1" w14:paraId="2FFE82A8" w14:textId="77777777" w:rsidTr="00094EF3">
        <w:trPr>
          <w:trHeight w:val="340"/>
        </w:trPr>
        <w:tc>
          <w:tcPr>
            <w:tcW w:w="1242" w:type="dxa"/>
            <w:vMerge/>
            <w:tcBorders>
              <w:left w:val="nil"/>
              <w:right w:val="single" w:sz="6" w:space="0" w:color="auto"/>
            </w:tcBorders>
            <w:vAlign w:val="center"/>
          </w:tcPr>
          <w:p w14:paraId="34AD8E52" w14:textId="77777777" w:rsidR="007854E1" w:rsidRDefault="007854E1" w:rsidP="007854E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0139AF11" w14:textId="77777777" w:rsidR="007854E1" w:rsidRDefault="007854E1" w:rsidP="007854E1">
            <w:pPr>
              <w:pStyle w:val="TableCen"/>
            </w:pPr>
            <w:r>
              <w:t>3.4</w:t>
            </w:r>
          </w:p>
        </w:tc>
        <w:tc>
          <w:tcPr>
            <w:tcW w:w="4819" w:type="dxa"/>
            <w:tcBorders>
              <w:top w:val="single" w:sz="2" w:space="0" w:color="auto"/>
              <w:left w:val="single" w:sz="8" w:space="0" w:color="auto"/>
              <w:bottom w:val="single" w:sz="2" w:space="0" w:color="auto"/>
              <w:right w:val="single" w:sz="6" w:space="0" w:color="auto"/>
            </w:tcBorders>
            <w:vAlign w:val="center"/>
          </w:tcPr>
          <w:p w14:paraId="1CFDD966" w14:textId="77777777" w:rsidR="007854E1" w:rsidRDefault="007854E1" w:rsidP="007854E1">
            <w:pPr>
              <w:pStyle w:val="Table"/>
            </w:pPr>
            <w:r>
              <w:t>Requirement to protect existing services</w:t>
            </w:r>
          </w:p>
        </w:tc>
        <w:tc>
          <w:tcPr>
            <w:tcW w:w="1843" w:type="dxa"/>
            <w:vMerge/>
            <w:tcBorders>
              <w:left w:val="single" w:sz="6" w:space="0" w:color="auto"/>
              <w:right w:val="nil"/>
            </w:tcBorders>
            <w:vAlign w:val="center"/>
          </w:tcPr>
          <w:p w14:paraId="5189D6B3" w14:textId="77777777" w:rsidR="007854E1" w:rsidRDefault="007854E1" w:rsidP="007854E1">
            <w:pPr>
              <w:pStyle w:val="TableCen"/>
            </w:pPr>
          </w:p>
        </w:tc>
      </w:tr>
      <w:tr w:rsidR="007854E1" w14:paraId="71685301" w14:textId="77777777" w:rsidTr="00094EF3">
        <w:trPr>
          <w:trHeight w:val="340"/>
        </w:trPr>
        <w:tc>
          <w:tcPr>
            <w:tcW w:w="1242" w:type="dxa"/>
            <w:vMerge/>
            <w:tcBorders>
              <w:left w:val="nil"/>
              <w:right w:val="single" w:sz="6" w:space="0" w:color="auto"/>
            </w:tcBorders>
            <w:vAlign w:val="center"/>
          </w:tcPr>
          <w:p w14:paraId="51E73F4C" w14:textId="77777777" w:rsidR="007854E1" w:rsidRDefault="007854E1" w:rsidP="007854E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2F741F67" w14:textId="77777777" w:rsidR="007854E1" w:rsidRDefault="007854E1" w:rsidP="007854E1">
            <w:pPr>
              <w:pStyle w:val="TableCen"/>
            </w:pPr>
            <w:r>
              <w:t>8.1</w:t>
            </w:r>
          </w:p>
        </w:tc>
        <w:tc>
          <w:tcPr>
            <w:tcW w:w="4819" w:type="dxa"/>
            <w:tcBorders>
              <w:top w:val="single" w:sz="2" w:space="0" w:color="auto"/>
              <w:left w:val="single" w:sz="8" w:space="0" w:color="auto"/>
              <w:bottom w:val="single" w:sz="2" w:space="0" w:color="auto"/>
              <w:right w:val="single" w:sz="6" w:space="0" w:color="auto"/>
            </w:tcBorders>
            <w:vAlign w:val="center"/>
          </w:tcPr>
          <w:p w14:paraId="14E56F43" w14:textId="77777777" w:rsidR="007854E1" w:rsidRDefault="007854E1" w:rsidP="007854E1">
            <w:pPr>
              <w:pStyle w:val="Table"/>
            </w:pPr>
            <w:r>
              <w:t>Recycled materials included as fill material</w:t>
            </w:r>
          </w:p>
        </w:tc>
        <w:tc>
          <w:tcPr>
            <w:tcW w:w="1843" w:type="dxa"/>
            <w:vMerge/>
            <w:tcBorders>
              <w:left w:val="single" w:sz="6" w:space="0" w:color="auto"/>
              <w:right w:val="nil"/>
            </w:tcBorders>
            <w:vAlign w:val="center"/>
          </w:tcPr>
          <w:p w14:paraId="40EA23B3" w14:textId="77777777" w:rsidR="007854E1" w:rsidRDefault="007854E1" w:rsidP="007854E1">
            <w:pPr>
              <w:pStyle w:val="TableCen"/>
            </w:pPr>
          </w:p>
        </w:tc>
      </w:tr>
      <w:tr w:rsidR="007854E1" w14:paraId="24A6F3DC" w14:textId="77777777" w:rsidTr="00094EF3">
        <w:trPr>
          <w:trHeight w:val="340"/>
        </w:trPr>
        <w:tc>
          <w:tcPr>
            <w:tcW w:w="1242" w:type="dxa"/>
            <w:vMerge/>
            <w:tcBorders>
              <w:left w:val="nil"/>
              <w:right w:val="single" w:sz="6" w:space="0" w:color="auto"/>
            </w:tcBorders>
            <w:vAlign w:val="center"/>
          </w:tcPr>
          <w:p w14:paraId="4A454A6B" w14:textId="77777777" w:rsidR="007854E1" w:rsidRDefault="007854E1" w:rsidP="007854E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5F44CADA" w14:textId="77777777" w:rsidR="007854E1" w:rsidRDefault="007854E1" w:rsidP="007854E1">
            <w:pPr>
              <w:pStyle w:val="TableCen"/>
            </w:pPr>
            <w:r>
              <w:t>8.3</w:t>
            </w:r>
          </w:p>
        </w:tc>
        <w:tc>
          <w:tcPr>
            <w:tcW w:w="4819" w:type="dxa"/>
            <w:tcBorders>
              <w:top w:val="single" w:sz="2" w:space="0" w:color="auto"/>
              <w:left w:val="single" w:sz="8" w:space="0" w:color="auto"/>
              <w:bottom w:val="single" w:sz="2" w:space="0" w:color="auto"/>
              <w:right w:val="single" w:sz="6" w:space="0" w:color="auto"/>
            </w:tcBorders>
            <w:vAlign w:val="center"/>
          </w:tcPr>
          <w:p w14:paraId="6D27012F" w14:textId="77777777" w:rsidR="007854E1" w:rsidRDefault="007854E1" w:rsidP="007854E1">
            <w:pPr>
              <w:pStyle w:val="Table"/>
            </w:pPr>
            <w:r>
              <w:t>New section for Geogrids included</w:t>
            </w:r>
          </w:p>
        </w:tc>
        <w:tc>
          <w:tcPr>
            <w:tcW w:w="1843" w:type="dxa"/>
            <w:vMerge/>
            <w:tcBorders>
              <w:left w:val="single" w:sz="6" w:space="0" w:color="auto"/>
              <w:right w:val="nil"/>
            </w:tcBorders>
            <w:vAlign w:val="center"/>
          </w:tcPr>
          <w:p w14:paraId="0C6548CF" w14:textId="77777777" w:rsidR="007854E1" w:rsidRDefault="007854E1" w:rsidP="007854E1">
            <w:pPr>
              <w:pStyle w:val="TableCen"/>
            </w:pPr>
          </w:p>
        </w:tc>
      </w:tr>
      <w:tr w:rsidR="007854E1" w14:paraId="61B1E936" w14:textId="77777777" w:rsidTr="00094EF3">
        <w:trPr>
          <w:trHeight w:val="340"/>
        </w:trPr>
        <w:tc>
          <w:tcPr>
            <w:tcW w:w="1242" w:type="dxa"/>
            <w:vMerge/>
            <w:tcBorders>
              <w:left w:val="nil"/>
              <w:right w:val="single" w:sz="6" w:space="0" w:color="auto"/>
            </w:tcBorders>
            <w:vAlign w:val="center"/>
          </w:tcPr>
          <w:p w14:paraId="33E5FD6A" w14:textId="77777777" w:rsidR="007854E1" w:rsidRDefault="007854E1" w:rsidP="007854E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193791B8" w14:textId="77777777" w:rsidR="007854E1" w:rsidRDefault="007854E1" w:rsidP="007854E1">
            <w:pPr>
              <w:pStyle w:val="TableCen"/>
            </w:pPr>
            <w:r>
              <w:t>8.4</w:t>
            </w:r>
          </w:p>
        </w:tc>
        <w:tc>
          <w:tcPr>
            <w:tcW w:w="4819" w:type="dxa"/>
            <w:tcBorders>
              <w:top w:val="single" w:sz="2" w:space="0" w:color="auto"/>
              <w:left w:val="single" w:sz="8" w:space="0" w:color="auto"/>
              <w:bottom w:val="single" w:sz="2" w:space="0" w:color="auto"/>
              <w:right w:val="single" w:sz="6" w:space="0" w:color="auto"/>
            </w:tcBorders>
            <w:vAlign w:val="center"/>
          </w:tcPr>
          <w:p w14:paraId="03DDFAE4" w14:textId="38D5B957" w:rsidR="007854E1" w:rsidRDefault="007854E1" w:rsidP="007854E1">
            <w:pPr>
              <w:pStyle w:val="Table"/>
            </w:pPr>
            <w:r>
              <w:t>Previous Section</w:t>
            </w:r>
            <w:r w:rsidR="005764C7">
              <w:t> </w:t>
            </w:r>
            <w:r>
              <w:t>8.3 renumbered to Section</w:t>
            </w:r>
            <w:r w:rsidR="005764C7">
              <w:t> </w:t>
            </w:r>
            <w:r>
              <w:t>8.4</w:t>
            </w:r>
          </w:p>
        </w:tc>
        <w:tc>
          <w:tcPr>
            <w:tcW w:w="1843" w:type="dxa"/>
            <w:vMerge/>
            <w:tcBorders>
              <w:left w:val="single" w:sz="6" w:space="0" w:color="auto"/>
              <w:right w:val="nil"/>
            </w:tcBorders>
            <w:vAlign w:val="center"/>
          </w:tcPr>
          <w:p w14:paraId="75EEB565" w14:textId="77777777" w:rsidR="007854E1" w:rsidRDefault="007854E1" w:rsidP="007854E1">
            <w:pPr>
              <w:pStyle w:val="TableCen"/>
            </w:pPr>
          </w:p>
        </w:tc>
      </w:tr>
      <w:tr w:rsidR="007854E1" w14:paraId="2069E510" w14:textId="77777777" w:rsidTr="00094EF3">
        <w:trPr>
          <w:trHeight w:val="340"/>
        </w:trPr>
        <w:tc>
          <w:tcPr>
            <w:tcW w:w="1242" w:type="dxa"/>
            <w:vMerge/>
            <w:tcBorders>
              <w:left w:val="nil"/>
              <w:right w:val="single" w:sz="6" w:space="0" w:color="auto"/>
            </w:tcBorders>
            <w:vAlign w:val="center"/>
          </w:tcPr>
          <w:p w14:paraId="014CB0D6" w14:textId="77777777" w:rsidR="007854E1" w:rsidRDefault="007854E1" w:rsidP="007854E1">
            <w:pPr>
              <w:pStyle w:val="TableCen"/>
            </w:pPr>
          </w:p>
        </w:tc>
        <w:tc>
          <w:tcPr>
            <w:tcW w:w="1310" w:type="dxa"/>
            <w:tcBorders>
              <w:top w:val="single" w:sz="2" w:space="0" w:color="auto"/>
              <w:left w:val="single" w:sz="6" w:space="0" w:color="auto"/>
              <w:bottom w:val="single" w:sz="2" w:space="0" w:color="auto"/>
              <w:right w:val="single" w:sz="8" w:space="0" w:color="auto"/>
            </w:tcBorders>
            <w:vAlign w:val="center"/>
          </w:tcPr>
          <w:p w14:paraId="7628AAA6" w14:textId="77777777" w:rsidR="007854E1" w:rsidRDefault="007854E1" w:rsidP="007854E1">
            <w:pPr>
              <w:pStyle w:val="TableCen"/>
            </w:pPr>
            <w:r>
              <w:t>9.0</w:t>
            </w:r>
          </w:p>
        </w:tc>
        <w:tc>
          <w:tcPr>
            <w:tcW w:w="4819" w:type="dxa"/>
            <w:tcBorders>
              <w:top w:val="single" w:sz="2" w:space="0" w:color="auto"/>
              <w:left w:val="single" w:sz="8" w:space="0" w:color="auto"/>
              <w:bottom w:val="single" w:sz="2" w:space="0" w:color="auto"/>
              <w:right w:val="single" w:sz="6" w:space="0" w:color="auto"/>
            </w:tcBorders>
            <w:vAlign w:val="center"/>
          </w:tcPr>
          <w:p w14:paraId="1127A941" w14:textId="77777777" w:rsidR="007854E1" w:rsidRDefault="007854E1" w:rsidP="007854E1">
            <w:pPr>
              <w:pStyle w:val="Table"/>
            </w:pPr>
            <w:r>
              <w:t>Proof rolling requirements updated</w:t>
            </w:r>
          </w:p>
        </w:tc>
        <w:tc>
          <w:tcPr>
            <w:tcW w:w="1843" w:type="dxa"/>
            <w:vMerge/>
            <w:tcBorders>
              <w:left w:val="single" w:sz="6" w:space="0" w:color="auto"/>
              <w:right w:val="nil"/>
            </w:tcBorders>
            <w:vAlign w:val="center"/>
          </w:tcPr>
          <w:p w14:paraId="3994E6E0" w14:textId="77777777" w:rsidR="007854E1" w:rsidRDefault="007854E1" w:rsidP="007854E1">
            <w:pPr>
              <w:pStyle w:val="TableCen"/>
            </w:pPr>
          </w:p>
        </w:tc>
      </w:tr>
      <w:tr w:rsidR="007854E1" w14:paraId="7969C316" w14:textId="77777777" w:rsidTr="00094EF3">
        <w:trPr>
          <w:trHeight w:val="340"/>
        </w:trPr>
        <w:tc>
          <w:tcPr>
            <w:tcW w:w="1242" w:type="dxa"/>
            <w:vMerge/>
            <w:tcBorders>
              <w:left w:val="nil"/>
              <w:bottom w:val="single" w:sz="8" w:space="0" w:color="auto"/>
              <w:right w:val="single" w:sz="6" w:space="0" w:color="auto"/>
            </w:tcBorders>
            <w:vAlign w:val="center"/>
          </w:tcPr>
          <w:p w14:paraId="19854772" w14:textId="77777777" w:rsidR="007854E1" w:rsidRDefault="007854E1" w:rsidP="007854E1">
            <w:pPr>
              <w:pStyle w:val="TableCen"/>
            </w:pPr>
          </w:p>
        </w:tc>
        <w:tc>
          <w:tcPr>
            <w:tcW w:w="1310" w:type="dxa"/>
            <w:tcBorders>
              <w:top w:val="single" w:sz="2" w:space="0" w:color="auto"/>
              <w:left w:val="single" w:sz="6" w:space="0" w:color="auto"/>
              <w:bottom w:val="single" w:sz="8" w:space="0" w:color="auto"/>
              <w:right w:val="single" w:sz="8" w:space="0" w:color="auto"/>
            </w:tcBorders>
            <w:vAlign w:val="center"/>
          </w:tcPr>
          <w:p w14:paraId="29128F79" w14:textId="77777777" w:rsidR="007854E1" w:rsidRDefault="007854E1" w:rsidP="007854E1">
            <w:pPr>
              <w:pStyle w:val="TableCen"/>
            </w:pPr>
            <w:r>
              <w:t>18.1</w:t>
            </w:r>
          </w:p>
        </w:tc>
        <w:tc>
          <w:tcPr>
            <w:tcW w:w="4819" w:type="dxa"/>
            <w:tcBorders>
              <w:top w:val="single" w:sz="2" w:space="0" w:color="auto"/>
              <w:left w:val="single" w:sz="8" w:space="0" w:color="auto"/>
              <w:bottom w:val="single" w:sz="8" w:space="0" w:color="auto"/>
              <w:right w:val="single" w:sz="6" w:space="0" w:color="auto"/>
            </w:tcBorders>
            <w:vAlign w:val="center"/>
          </w:tcPr>
          <w:p w14:paraId="4816CB21" w14:textId="77777777" w:rsidR="007854E1" w:rsidRDefault="007854E1" w:rsidP="00C36630">
            <w:pPr>
              <w:pStyle w:val="Table"/>
            </w:pPr>
            <w:r>
              <w:t xml:space="preserve">Reference changed to </w:t>
            </w:r>
            <w:r w:rsidRPr="00C36630">
              <w:rPr>
                <w:i/>
              </w:rPr>
              <w:t>AS</w:t>
            </w:r>
            <w:r w:rsidR="00C36630" w:rsidRPr="00C36630">
              <w:rPr>
                <w:i/>
              </w:rPr>
              <w:t> </w:t>
            </w:r>
            <w:r w:rsidRPr="00C36630">
              <w:rPr>
                <w:i/>
              </w:rPr>
              <w:t>4678</w:t>
            </w:r>
            <w:r>
              <w:t xml:space="preserve"> and </w:t>
            </w:r>
            <w:r w:rsidR="00C36630" w:rsidRPr="00C36630">
              <w:rPr>
                <w:i/>
              </w:rPr>
              <w:t>AS </w:t>
            </w:r>
            <w:r w:rsidRPr="00C36630">
              <w:rPr>
                <w:i/>
              </w:rPr>
              <w:t>5100.3</w:t>
            </w:r>
          </w:p>
        </w:tc>
        <w:tc>
          <w:tcPr>
            <w:tcW w:w="1843" w:type="dxa"/>
            <w:vMerge/>
            <w:tcBorders>
              <w:left w:val="single" w:sz="6" w:space="0" w:color="auto"/>
              <w:bottom w:val="single" w:sz="8" w:space="0" w:color="auto"/>
              <w:right w:val="nil"/>
            </w:tcBorders>
            <w:vAlign w:val="center"/>
          </w:tcPr>
          <w:p w14:paraId="2D7B9757" w14:textId="77777777" w:rsidR="007854E1" w:rsidRDefault="007854E1" w:rsidP="007854E1">
            <w:pPr>
              <w:pStyle w:val="TableCen"/>
            </w:pPr>
          </w:p>
        </w:tc>
      </w:tr>
      <w:tr w:rsidR="00491846" w14:paraId="585D30D1" w14:textId="77777777" w:rsidTr="00094EF3">
        <w:trPr>
          <w:trHeight w:val="340"/>
        </w:trPr>
        <w:tc>
          <w:tcPr>
            <w:tcW w:w="1242" w:type="dxa"/>
            <w:tcBorders>
              <w:top w:val="single" w:sz="8" w:space="0" w:color="auto"/>
              <w:left w:val="nil"/>
              <w:bottom w:val="single" w:sz="12" w:space="0" w:color="auto"/>
              <w:right w:val="single" w:sz="6" w:space="0" w:color="auto"/>
            </w:tcBorders>
            <w:vAlign w:val="center"/>
          </w:tcPr>
          <w:p w14:paraId="696E2511" w14:textId="77777777" w:rsidR="00491846" w:rsidRDefault="00491846" w:rsidP="007854E1">
            <w:pPr>
              <w:pStyle w:val="TableCen"/>
            </w:pPr>
            <w:r>
              <w:t>5.0</w:t>
            </w:r>
          </w:p>
        </w:tc>
        <w:tc>
          <w:tcPr>
            <w:tcW w:w="1310" w:type="dxa"/>
            <w:tcBorders>
              <w:top w:val="single" w:sz="8" w:space="0" w:color="auto"/>
              <w:left w:val="single" w:sz="6" w:space="0" w:color="auto"/>
              <w:bottom w:val="single" w:sz="12" w:space="0" w:color="auto"/>
              <w:right w:val="single" w:sz="8" w:space="0" w:color="auto"/>
            </w:tcBorders>
            <w:vAlign w:val="center"/>
          </w:tcPr>
          <w:p w14:paraId="4190E39A" w14:textId="77777777" w:rsidR="00491846" w:rsidRDefault="00491846" w:rsidP="007854E1">
            <w:pPr>
              <w:pStyle w:val="TableCen"/>
            </w:pPr>
            <w:r>
              <w:t>General</w:t>
            </w:r>
          </w:p>
        </w:tc>
        <w:tc>
          <w:tcPr>
            <w:tcW w:w="4819" w:type="dxa"/>
            <w:tcBorders>
              <w:top w:val="single" w:sz="8" w:space="0" w:color="auto"/>
              <w:left w:val="single" w:sz="8" w:space="0" w:color="auto"/>
              <w:bottom w:val="single" w:sz="12" w:space="0" w:color="auto"/>
              <w:right w:val="single" w:sz="6" w:space="0" w:color="auto"/>
            </w:tcBorders>
            <w:vAlign w:val="center"/>
          </w:tcPr>
          <w:p w14:paraId="6E787065" w14:textId="77777777" w:rsidR="00491846" w:rsidRDefault="00491846" w:rsidP="00491846">
            <w:pPr>
              <w:pStyle w:val="Table"/>
            </w:pPr>
            <w:r>
              <w:t>Document name changed from ‘</w:t>
            </w:r>
            <w:r w:rsidRPr="00491846">
              <w:rPr>
                <w:i/>
              </w:rPr>
              <w:t>Reference Specifications for Civil Engineering Work</w:t>
            </w:r>
            <w:r>
              <w:t>’ to ‘</w:t>
            </w:r>
            <w:r w:rsidRPr="00491846">
              <w:rPr>
                <w:i/>
              </w:rPr>
              <w:t>Reference Specifications for Engineering Work</w:t>
            </w:r>
            <w:r>
              <w:t>’</w:t>
            </w:r>
          </w:p>
        </w:tc>
        <w:tc>
          <w:tcPr>
            <w:tcW w:w="1843" w:type="dxa"/>
            <w:tcBorders>
              <w:top w:val="single" w:sz="8" w:space="0" w:color="auto"/>
              <w:left w:val="single" w:sz="6" w:space="0" w:color="auto"/>
              <w:bottom w:val="single" w:sz="12" w:space="0" w:color="auto"/>
              <w:right w:val="nil"/>
            </w:tcBorders>
            <w:vAlign w:val="center"/>
          </w:tcPr>
          <w:p w14:paraId="1D7CD0A6" w14:textId="07F32A4F" w:rsidR="00491846" w:rsidRDefault="00491846" w:rsidP="007854E1">
            <w:pPr>
              <w:pStyle w:val="TableCen"/>
            </w:pPr>
            <w:r>
              <w:t>Ma</w:t>
            </w:r>
            <w:r w:rsidR="00C955CF">
              <w:t>r</w:t>
            </w:r>
            <w:r>
              <w:t xml:space="preserve"> 202</w:t>
            </w:r>
            <w:r w:rsidR="00C955CF">
              <w:t>1</w:t>
            </w:r>
          </w:p>
        </w:tc>
      </w:tr>
    </w:tbl>
    <w:p w14:paraId="0A26AAD4" w14:textId="77777777" w:rsidR="008F34C5" w:rsidRDefault="008F34C5">
      <w:pPr>
        <w:jc w:val="center"/>
      </w:pPr>
    </w:p>
    <w:p w14:paraId="2A76CBB5" w14:textId="77777777" w:rsidR="008F34C5" w:rsidRDefault="008F34C5">
      <w:pPr>
        <w:jc w:val="center"/>
        <w:sectPr w:rsidR="008F34C5" w:rsidSect="003B50E2">
          <w:headerReference w:type="default" r:id="rId15"/>
          <w:footerReference w:type="default" r:id="rId16"/>
          <w:pgSz w:w="11906" w:h="16838" w:code="9"/>
          <w:pgMar w:top="992" w:right="1418" w:bottom="992" w:left="1418" w:header="1134" w:footer="851" w:gutter="0"/>
          <w:pgNumType w:fmt="lowerRoman" w:start="1"/>
          <w:cols w:space="720"/>
          <w:docGrid w:linePitch="272"/>
        </w:sectPr>
      </w:pPr>
    </w:p>
    <w:p w14:paraId="2A71B6F2" w14:textId="77777777" w:rsidR="008F34C5" w:rsidRPr="00497413" w:rsidRDefault="008F34C5" w:rsidP="007854E1">
      <w:pPr>
        <w:pStyle w:val="BodyTextIndentBoldItalicCen"/>
      </w:pPr>
      <w:r w:rsidRPr="00497413">
        <w:lastRenderedPageBreak/>
        <w:t>(This page left intentionally blank)</w:t>
      </w:r>
    </w:p>
    <w:p w14:paraId="678433BC" w14:textId="77777777" w:rsidR="008F34C5" w:rsidRDefault="008F34C5">
      <w:pPr>
        <w:jc w:val="center"/>
        <w:sectPr w:rsidR="008F34C5" w:rsidSect="007E6EA5">
          <w:pgSz w:w="11906" w:h="16838" w:code="9"/>
          <w:pgMar w:top="992" w:right="1418" w:bottom="992" w:left="1418" w:header="1134" w:footer="851" w:gutter="0"/>
          <w:pgNumType w:fmt="lowerRoman" w:start="1"/>
          <w:cols w:space="720"/>
          <w:vAlign w:val="center"/>
          <w:docGrid w:linePitch="272"/>
        </w:sectPr>
      </w:pPr>
    </w:p>
    <w:p w14:paraId="55C19A9F" w14:textId="77777777" w:rsidR="00456E0A" w:rsidRDefault="00456E0A" w:rsidP="00085A43">
      <w:pPr>
        <w:pStyle w:val="Heading2"/>
        <w:numPr>
          <w:ilvl w:val="0"/>
          <w:numId w:val="0"/>
        </w:numPr>
        <w:ind w:left="720" w:hanging="720"/>
      </w:pPr>
      <w:r>
        <w:lastRenderedPageBreak/>
        <w:t>TABLE OF CONTENTS</w:t>
      </w:r>
    </w:p>
    <w:bookmarkStart w:id="3" w:name="_Toc493942064"/>
    <w:bookmarkStart w:id="4" w:name="_Toc493986903"/>
    <w:p w14:paraId="5037E3D1" w14:textId="3CFCD6FE" w:rsidR="0081263D" w:rsidRDefault="0081263D">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\t "Heading 2,1,Heading 3,2" </w:instrText>
      </w:r>
      <w:r>
        <w:rPr>
          <w:b w:val="0"/>
          <w:caps w:val="0"/>
        </w:rPr>
        <w:fldChar w:fldCharType="separate"/>
      </w:r>
      <w:r>
        <w:rPr>
          <w:noProof/>
        </w:rPr>
        <w:t>1.0</w:t>
      </w:r>
      <w:r>
        <w:rPr>
          <w:rFonts w:asciiTheme="minorHAnsi" w:eastAsiaTheme="minorEastAsia" w:hAnsiTheme="minorHAnsi" w:cstheme="minorBidi"/>
          <w:b w:val="0"/>
          <w:caps w:val="0"/>
          <w:noProof/>
          <w:sz w:val="22"/>
          <w:szCs w:val="22"/>
        </w:rPr>
        <w:tab/>
      </w:r>
      <w:r>
        <w:rPr>
          <w:noProof/>
        </w:rPr>
        <w:t>GENERAL</w:t>
      </w:r>
      <w:r>
        <w:rPr>
          <w:noProof/>
        </w:rPr>
        <w:tab/>
      </w:r>
      <w:r>
        <w:rPr>
          <w:noProof/>
        </w:rPr>
        <w:fldChar w:fldCharType="begin"/>
      </w:r>
      <w:r>
        <w:rPr>
          <w:noProof/>
        </w:rPr>
        <w:instrText xml:space="preserve"> PAGEREF _Toc76022180 \h </w:instrText>
      </w:r>
      <w:r>
        <w:rPr>
          <w:noProof/>
        </w:rPr>
      </w:r>
      <w:r>
        <w:rPr>
          <w:noProof/>
        </w:rPr>
        <w:fldChar w:fldCharType="separate"/>
      </w:r>
      <w:r w:rsidR="004C70DB">
        <w:rPr>
          <w:noProof/>
        </w:rPr>
        <w:t>1</w:t>
      </w:r>
      <w:r>
        <w:rPr>
          <w:noProof/>
        </w:rPr>
        <w:fldChar w:fldCharType="end"/>
      </w:r>
    </w:p>
    <w:p w14:paraId="0B2BA2FE" w14:textId="4107DB21" w:rsidR="0081263D" w:rsidRDefault="0081263D">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sidRPr="0096640A">
        <w:rPr>
          <w:noProof/>
        </w:rPr>
        <w:t>SECTION CONTENT</w:t>
      </w:r>
      <w:r>
        <w:rPr>
          <w:noProof/>
        </w:rPr>
        <w:tab/>
      </w:r>
      <w:r>
        <w:rPr>
          <w:noProof/>
        </w:rPr>
        <w:fldChar w:fldCharType="begin"/>
      </w:r>
      <w:r>
        <w:rPr>
          <w:noProof/>
        </w:rPr>
        <w:instrText xml:space="preserve"> PAGEREF _Toc76022181 \h </w:instrText>
      </w:r>
      <w:r>
        <w:rPr>
          <w:noProof/>
        </w:rPr>
      </w:r>
      <w:r>
        <w:rPr>
          <w:noProof/>
        </w:rPr>
        <w:fldChar w:fldCharType="separate"/>
      </w:r>
      <w:r w:rsidR="004C70DB">
        <w:rPr>
          <w:noProof/>
        </w:rPr>
        <w:t>1</w:t>
      </w:r>
      <w:r>
        <w:rPr>
          <w:noProof/>
        </w:rPr>
        <w:fldChar w:fldCharType="end"/>
      </w:r>
    </w:p>
    <w:p w14:paraId="2418AA7D" w14:textId="57EC8E2D" w:rsidR="0081263D" w:rsidRDefault="0081263D">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_Toc76022182 \h </w:instrText>
      </w:r>
      <w:r>
        <w:rPr>
          <w:noProof/>
        </w:rPr>
      </w:r>
      <w:r>
        <w:rPr>
          <w:noProof/>
        </w:rPr>
        <w:fldChar w:fldCharType="separate"/>
      </w:r>
      <w:r w:rsidR="004C70DB">
        <w:rPr>
          <w:noProof/>
        </w:rPr>
        <w:t>1</w:t>
      </w:r>
      <w:r>
        <w:rPr>
          <w:noProof/>
        </w:rPr>
        <w:fldChar w:fldCharType="end"/>
      </w:r>
    </w:p>
    <w:p w14:paraId="61514A6F" w14:textId="7922DB4E" w:rsidR="0081263D" w:rsidRDefault="0081263D">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_Toc76022183 \h </w:instrText>
      </w:r>
      <w:r>
        <w:rPr>
          <w:noProof/>
        </w:rPr>
      </w:r>
      <w:r>
        <w:rPr>
          <w:noProof/>
        </w:rPr>
        <w:fldChar w:fldCharType="separate"/>
      </w:r>
      <w:r w:rsidR="004C70DB">
        <w:rPr>
          <w:noProof/>
        </w:rPr>
        <w:t>2</w:t>
      </w:r>
      <w:r>
        <w:rPr>
          <w:noProof/>
        </w:rPr>
        <w:fldChar w:fldCharType="end"/>
      </w:r>
    </w:p>
    <w:p w14:paraId="06A17A0A" w14:textId="59354F17" w:rsidR="0081263D" w:rsidRDefault="0081263D">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Definitions</w:t>
      </w:r>
      <w:r>
        <w:rPr>
          <w:noProof/>
        </w:rPr>
        <w:tab/>
      </w:r>
      <w:r>
        <w:rPr>
          <w:noProof/>
        </w:rPr>
        <w:fldChar w:fldCharType="begin"/>
      </w:r>
      <w:r>
        <w:rPr>
          <w:noProof/>
        </w:rPr>
        <w:instrText xml:space="preserve"> PAGEREF _Toc76022184 \h </w:instrText>
      </w:r>
      <w:r>
        <w:rPr>
          <w:noProof/>
        </w:rPr>
      </w:r>
      <w:r>
        <w:rPr>
          <w:noProof/>
        </w:rPr>
        <w:fldChar w:fldCharType="separate"/>
      </w:r>
      <w:r w:rsidR="004C70DB">
        <w:rPr>
          <w:noProof/>
        </w:rPr>
        <w:t>2</w:t>
      </w:r>
      <w:r>
        <w:rPr>
          <w:noProof/>
        </w:rPr>
        <w:fldChar w:fldCharType="end"/>
      </w:r>
    </w:p>
    <w:p w14:paraId="7BD392D1" w14:textId="33928609" w:rsidR="0081263D" w:rsidRDefault="0081263D">
      <w:pPr>
        <w:pStyle w:val="TOC2"/>
        <w:rPr>
          <w:rFonts w:asciiTheme="minorHAnsi" w:eastAsiaTheme="minorEastAsia" w:hAnsiTheme="minorHAnsi" w:cstheme="minorBidi"/>
          <w:b w:val="0"/>
          <w:smallCaps w:val="0"/>
          <w:noProof/>
          <w:szCs w:val="22"/>
        </w:rPr>
      </w:pPr>
      <w:r>
        <w:rPr>
          <w:noProof/>
        </w:rPr>
        <w:t>1.5</w:t>
      </w:r>
      <w:r>
        <w:rPr>
          <w:rFonts w:asciiTheme="minorHAnsi" w:eastAsiaTheme="minorEastAsia" w:hAnsiTheme="minorHAnsi" w:cstheme="minorBidi"/>
          <w:b w:val="0"/>
          <w:smallCaps w:val="0"/>
          <w:noProof/>
          <w:szCs w:val="22"/>
        </w:rPr>
        <w:tab/>
      </w:r>
      <w:r>
        <w:rPr>
          <w:noProof/>
        </w:rPr>
        <w:t>Measurement</w:t>
      </w:r>
      <w:r>
        <w:rPr>
          <w:noProof/>
        </w:rPr>
        <w:tab/>
      </w:r>
      <w:r>
        <w:rPr>
          <w:noProof/>
        </w:rPr>
        <w:fldChar w:fldCharType="begin"/>
      </w:r>
      <w:r>
        <w:rPr>
          <w:noProof/>
        </w:rPr>
        <w:instrText xml:space="preserve"> PAGEREF _Toc76022185 \h </w:instrText>
      </w:r>
      <w:r>
        <w:rPr>
          <w:noProof/>
        </w:rPr>
      </w:r>
      <w:r>
        <w:rPr>
          <w:noProof/>
        </w:rPr>
        <w:fldChar w:fldCharType="separate"/>
      </w:r>
      <w:r w:rsidR="004C70DB">
        <w:rPr>
          <w:noProof/>
        </w:rPr>
        <w:t>3</w:t>
      </w:r>
      <w:r>
        <w:rPr>
          <w:noProof/>
        </w:rPr>
        <w:fldChar w:fldCharType="end"/>
      </w:r>
    </w:p>
    <w:p w14:paraId="7EB45D2C" w14:textId="2C102B86" w:rsidR="0081263D" w:rsidRDefault="0081263D">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_Toc76022186 \h </w:instrText>
      </w:r>
      <w:r>
        <w:rPr>
          <w:noProof/>
        </w:rPr>
      </w:r>
      <w:r>
        <w:rPr>
          <w:noProof/>
        </w:rPr>
        <w:fldChar w:fldCharType="separate"/>
      </w:r>
      <w:r w:rsidR="004C70DB">
        <w:rPr>
          <w:noProof/>
        </w:rPr>
        <w:t>3</w:t>
      </w:r>
      <w:r>
        <w:rPr>
          <w:noProof/>
        </w:rPr>
        <w:fldChar w:fldCharType="end"/>
      </w:r>
    </w:p>
    <w:p w14:paraId="68676DEC" w14:textId="73A01E3B" w:rsidR="0081263D" w:rsidRDefault="0081263D">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_Toc76022187 \h </w:instrText>
      </w:r>
      <w:r>
        <w:rPr>
          <w:noProof/>
        </w:rPr>
      </w:r>
      <w:r>
        <w:rPr>
          <w:noProof/>
        </w:rPr>
        <w:fldChar w:fldCharType="separate"/>
      </w:r>
      <w:r w:rsidR="004C70DB">
        <w:rPr>
          <w:noProof/>
        </w:rPr>
        <w:t>3</w:t>
      </w:r>
      <w:r>
        <w:rPr>
          <w:noProof/>
        </w:rPr>
        <w:fldChar w:fldCharType="end"/>
      </w:r>
    </w:p>
    <w:p w14:paraId="62F0EA32" w14:textId="106EACE1" w:rsidR="0081263D" w:rsidRDefault="0081263D">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Samples</w:t>
      </w:r>
      <w:r>
        <w:rPr>
          <w:noProof/>
        </w:rPr>
        <w:tab/>
      </w:r>
      <w:r>
        <w:rPr>
          <w:noProof/>
        </w:rPr>
        <w:fldChar w:fldCharType="begin"/>
      </w:r>
      <w:r>
        <w:rPr>
          <w:noProof/>
        </w:rPr>
        <w:instrText xml:space="preserve"> PAGEREF _Toc76022188 \h </w:instrText>
      </w:r>
      <w:r>
        <w:rPr>
          <w:noProof/>
        </w:rPr>
      </w:r>
      <w:r>
        <w:rPr>
          <w:noProof/>
        </w:rPr>
        <w:fldChar w:fldCharType="separate"/>
      </w:r>
      <w:r w:rsidR="004C70DB">
        <w:rPr>
          <w:noProof/>
        </w:rPr>
        <w:t>3</w:t>
      </w:r>
      <w:r>
        <w:rPr>
          <w:noProof/>
        </w:rPr>
        <w:fldChar w:fldCharType="end"/>
      </w:r>
    </w:p>
    <w:p w14:paraId="4F557CD8" w14:textId="5027C9F8" w:rsidR="0081263D" w:rsidRDefault="0081263D">
      <w:pPr>
        <w:pStyle w:val="TOC2"/>
        <w:rPr>
          <w:rFonts w:asciiTheme="minorHAnsi" w:eastAsiaTheme="minorEastAsia" w:hAnsiTheme="minorHAnsi" w:cstheme="minorBidi"/>
          <w:b w:val="0"/>
          <w:smallCaps w:val="0"/>
          <w:noProof/>
          <w:szCs w:val="22"/>
        </w:rPr>
      </w:pPr>
      <w:r>
        <w:rPr>
          <w:noProof/>
        </w:rPr>
        <w:t>2.3</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_Toc76022189 \h </w:instrText>
      </w:r>
      <w:r>
        <w:rPr>
          <w:noProof/>
        </w:rPr>
      </w:r>
      <w:r>
        <w:rPr>
          <w:noProof/>
        </w:rPr>
        <w:fldChar w:fldCharType="separate"/>
      </w:r>
      <w:r w:rsidR="004C70DB">
        <w:rPr>
          <w:noProof/>
        </w:rPr>
        <w:t>4</w:t>
      </w:r>
      <w:r>
        <w:rPr>
          <w:noProof/>
        </w:rPr>
        <w:fldChar w:fldCharType="end"/>
      </w:r>
    </w:p>
    <w:p w14:paraId="1DA34DE7" w14:textId="2F302D4C" w:rsidR="0081263D" w:rsidRDefault="0081263D">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SITE MANAGEMENT</w:t>
      </w:r>
      <w:r>
        <w:rPr>
          <w:noProof/>
        </w:rPr>
        <w:tab/>
      </w:r>
      <w:r>
        <w:rPr>
          <w:noProof/>
        </w:rPr>
        <w:fldChar w:fldCharType="begin"/>
      </w:r>
      <w:r>
        <w:rPr>
          <w:noProof/>
        </w:rPr>
        <w:instrText xml:space="preserve"> PAGEREF _Toc76022190 \h </w:instrText>
      </w:r>
      <w:r>
        <w:rPr>
          <w:noProof/>
        </w:rPr>
      </w:r>
      <w:r>
        <w:rPr>
          <w:noProof/>
        </w:rPr>
        <w:fldChar w:fldCharType="separate"/>
      </w:r>
      <w:r w:rsidR="004C70DB">
        <w:rPr>
          <w:noProof/>
        </w:rPr>
        <w:t>4</w:t>
      </w:r>
      <w:r>
        <w:rPr>
          <w:noProof/>
        </w:rPr>
        <w:fldChar w:fldCharType="end"/>
      </w:r>
    </w:p>
    <w:p w14:paraId="1CF04BD2" w14:textId="3A9F6720" w:rsidR="0081263D" w:rsidRDefault="0081263D">
      <w:pPr>
        <w:pStyle w:val="TOC2"/>
        <w:rPr>
          <w:rFonts w:asciiTheme="minorHAnsi" w:eastAsiaTheme="minorEastAsia" w:hAnsiTheme="minorHAnsi" w:cstheme="minorBidi"/>
          <w:b w:val="0"/>
          <w:smallCaps w:val="0"/>
          <w:noProof/>
          <w:szCs w:val="22"/>
        </w:rPr>
      </w:pPr>
      <w:r>
        <w:rPr>
          <w:noProof/>
        </w:rPr>
        <w:t>3.1</w:t>
      </w:r>
      <w:r>
        <w:rPr>
          <w:rFonts w:asciiTheme="minorHAnsi" w:eastAsiaTheme="minorEastAsia" w:hAnsiTheme="minorHAnsi" w:cstheme="minorBidi"/>
          <w:b w:val="0"/>
          <w:smallCaps w:val="0"/>
          <w:noProof/>
          <w:szCs w:val="22"/>
        </w:rPr>
        <w:tab/>
      </w:r>
      <w:r>
        <w:rPr>
          <w:noProof/>
        </w:rPr>
        <w:t>Tree Protection</w:t>
      </w:r>
      <w:r>
        <w:rPr>
          <w:noProof/>
        </w:rPr>
        <w:tab/>
      </w:r>
      <w:r>
        <w:rPr>
          <w:noProof/>
        </w:rPr>
        <w:fldChar w:fldCharType="begin"/>
      </w:r>
      <w:r>
        <w:rPr>
          <w:noProof/>
        </w:rPr>
        <w:instrText xml:space="preserve"> PAGEREF _Toc76022191 \h </w:instrText>
      </w:r>
      <w:r>
        <w:rPr>
          <w:noProof/>
        </w:rPr>
      </w:r>
      <w:r>
        <w:rPr>
          <w:noProof/>
        </w:rPr>
        <w:fldChar w:fldCharType="separate"/>
      </w:r>
      <w:r w:rsidR="004C70DB">
        <w:rPr>
          <w:noProof/>
        </w:rPr>
        <w:t>4</w:t>
      </w:r>
      <w:r>
        <w:rPr>
          <w:noProof/>
        </w:rPr>
        <w:fldChar w:fldCharType="end"/>
      </w:r>
    </w:p>
    <w:p w14:paraId="499973E8" w14:textId="1E15F875" w:rsidR="0081263D" w:rsidRDefault="0081263D">
      <w:pPr>
        <w:pStyle w:val="TOC2"/>
        <w:rPr>
          <w:rFonts w:asciiTheme="minorHAnsi" w:eastAsiaTheme="minorEastAsia" w:hAnsiTheme="minorHAnsi" w:cstheme="minorBidi"/>
          <w:b w:val="0"/>
          <w:smallCaps w:val="0"/>
          <w:noProof/>
          <w:szCs w:val="22"/>
        </w:rPr>
      </w:pPr>
      <w:r>
        <w:rPr>
          <w:noProof/>
        </w:rPr>
        <w:t>3.2</w:t>
      </w:r>
      <w:r>
        <w:rPr>
          <w:rFonts w:asciiTheme="minorHAnsi" w:eastAsiaTheme="minorEastAsia" w:hAnsiTheme="minorHAnsi" w:cstheme="minorBidi"/>
          <w:b w:val="0"/>
          <w:smallCaps w:val="0"/>
          <w:noProof/>
          <w:szCs w:val="22"/>
        </w:rPr>
        <w:tab/>
      </w:r>
      <w:r>
        <w:rPr>
          <w:noProof/>
        </w:rPr>
        <w:t>Trees to Be Retained</w:t>
      </w:r>
      <w:r>
        <w:rPr>
          <w:noProof/>
        </w:rPr>
        <w:tab/>
      </w:r>
      <w:r>
        <w:rPr>
          <w:noProof/>
        </w:rPr>
        <w:fldChar w:fldCharType="begin"/>
      </w:r>
      <w:r>
        <w:rPr>
          <w:noProof/>
        </w:rPr>
        <w:instrText xml:space="preserve"> PAGEREF _Toc76022192 \h </w:instrText>
      </w:r>
      <w:r>
        <w:rPr>
          <w:noProof/>
        </w:rPr>
      </w:r>
      <w:r>
        <w:rPr>
          <w:noProof/>
        </w:rPr>
        <w:fldChar w:fldCharType="separate"/>
      </w:r>
      <w:r w:rsidR="004C70DB">
        <w:rPr>
          <w:noProof/>
        </w:rPr>
        <w:t>4</w:t>
      </w:r>
      <w:r>
        <w:rPr>
          <w:noProof/>
        </w:rPr>
        <w:fldChar w:fldCharType="end"/>
      </w:r>
    </w:p>
    <w:p w14:paraId="1F006319" w14:textId="52DFC37E" w:rsidR="0081263D" w:rsidRDefault="0081263D">
      <w:pPr>
        <w:pStyle w:val="TOC2"/>
        <w:rPr>
          <w:rFonts w:asciiTheme="minorHAnsi" w:eastAsiaTheme="minorEastAsia" w:hAnsiTheme="minorHAnsi" w:cstheme="minorBidi"/>
          <w:b w:val="0"/>
          <w:smallCaps w:val="0"/>
          <w:noProof/>
          <w:szCs w:val="22"/>
        </w:rPr>
      </w:pPr>
      <w:r>
        <w:rPr>
          <w:noProof/>
        </w:rPr>
        <w:t>3.3</w:t>
      </w:r>
      <w:r>
        <w:rPr>
          <w:rFonts w:asciiTheme="minorHAnsi" w:eastAsiaTheme="minorEastAsia" w:hAnsiTheme="minorHAnsi" w:cstheme="minorBidi"/>
          <w:b w:val="0"/>
          <w:smallCaps w:val="0"/>
          <w:noProof/>
          <w:szCs w:val="22"/>
        </w:rPr>
        <w:tab/>
      </w:r>
      <w:r>
        <w:rPr>
          <w:noProof/>
        </w:rPr>
        <w:t>Work Near Trees</w:t>
      </w:r>
      <w:r>
        <w:rPr>
          <w:noProof/>
        </w:rPr>
        <w:tab/>
      </w:r>
      <w:r>
        <w:rPr>
          <w:noProof/>
        </w:rPr>
        <w:fldChar w:fldCharType="begin"/>
      </w:r>
      <w:r>
        <w:rPr>
          <w:noProof/>
        </w:rPr>
        <w:instrText xml:space="preserve"> PAGEREF _Toc76022193 \h </w:instrText>
      </w:r>
      <w:r>
        <w:rPr>
          <w:noProof/>
        </w:rPr>
      </w:r>
      <w:r>
        <w:rPr>
          <w:noProof/>
        </w:rPr>
        <w:fldChar w:fldCharType="separate"/>
      </w:r>
      <w:r w:rsidR="004C70DB">
        <w:rPr>
          <w:noProof/>
        </w:rPr>
        <w:t>5</w:t>
      </w:r>
      <w:r>
        <w:rPr>
          <w:noProof/>
        </w:rPr>
        <w:fldChar w:fldCharType="end"/>
      </w:r>
    </w:p>
    <w:p w14:paraId="6CE68B6C" w14:textId="6B8D744B" w:rsidR="0081263D" w:rsidRDefault="0081263D">
      <w:pPr>
        <w:pStyle w:val="TOC2"/>
        <w:rPr>
          <w:rFonts w:asciiTheme="minorHAnsi" w:eastAsiaTheme="minorEastAsia" w:hAnsiTheme="minorHAnsi" w:cstheme="minorBidi"/>
          <w:b w:val="0"/>
          <w:smallCaps w:val="0"/>
          <w:noProof/>
          <w:szCs w:val="22"/>
        </w:rPr>
      </w:pPr>
      <w:r>
        <w:rPr>
          <w:noProof/>
        </w:rPr>
        <w:t>3.4</w:t>
      </w:r>
      <w:r>
        <w:rPr>
          <w:rFonts w:asciiTheme="minorHAnsi" w:eastAsiaTheme="minorEastAsia" w:hAnsiTheme="minorHAnsi" w:cstheme="minorBidi"/>
          <w:b w:val="0"/>
          <w:smallCaps w:val="0"/>
          <w:noProof/>
          <w:szCs w:val="22"/>
        </w:rPr>
        <w:tab/>
      </w:r>
      <w:r>
        <w:rPr>
          <w:noProof/>
        </w:rPr>
        <w:t>Existing Services</w:t>
      </w:r>
      <w:r>
        <w:rPr>
          <w:noProof/>
        </w:rPr>
        <w:tab/>
      </w:r>
      <w:r>
        <w:rPr>
          <w:noProof/>
        </w:rPr>
        <w:fldChar w:fldCharType="begin"/>
      </w:r>
      <w:r>
        <w:rPr>
          <w:noProof/>
        </w:rPr>
        <w:instrText xml:space="preserve"> PAGEREF _Toc76022194 \h </w:instrText>
      </w:r>
      <w:r>
        <w:rPr>
          <w:noProof/>
        </w:rPr>
      </w:r>
      <w:r>
        <w:rPr>
          <w:noProof/>
        </w:rPr>
        <w:fldChar w:fldCharType="separate"/>
      </w:r>
      <w:r w:rsidR="004C70DB">
        <w:rPr>
          <w:noProof/>
        </w:rPr>
        <w:t>5</w:t>
      </w:r>
      <w:r>
        <w:rPr>
          <w:noProof/>
        </w:rPr>
        <w:fldChar w:fldCharType="end"/>
      </w:r>
    </w:p>
    <w:p w14:paraId="637FAA2A" w14:textId="7663E4E7" w:rsidR="0081263D" w:rsidRDefault="0081263D">
      <w:pPr>
        <w:pStyle w:val="TOC2"/>
        <w:rPr>
          <w:rFonts w:asciiTheme="minorHAnsi" w:eastAsiaTheme="minorEastAsia" w:hAnsiTheme="minorHAnsi" w:cstheme="minorBidi"/>
          <w:b w:val="0"/>
          <w:smallCaps w:val="0"/>
          <w:noProof/>
          <w:szCs w:val="22"/>
        </w:rPr>
      </w:pPr>
      <w:r>
        <w:rPr>
          <w:noProof/>
        </w:rPr>
        <w:t>3.5</w:t>
      </w:r>
      <w:r>
        <w:rPr>
          <w:rFonts w:asciiTheme="minorHAnsi" w:eastAsiaTheme="minorEastAsia" w:hAnsiTheme="minorHAnsi" w:cstheme="minorBidi"/>
          <w:b w:val="0"/>
          <w:smallCaps w:val="0"/>
          <w:noProof/>
          <w:szCs w:val="22"/>
        </w:rPr>
        <w:tab/>
      </w:r>
      <w:r>
        <w:rPr>
          <w:noProof/>
        </w:rPr>
        <w:t>Dewatering</w:t>
      </w:r>
      <w:r>
        <w:rPr>
          <w:noProof/>
        </w:rPr>
        <w:tab/>
      </w:r>
      <w:r>
        <w:rPr>
          <w:noProof/>
        </w:rPr>
        <w:fldChar w:fldCharType="begin"/>
      </w:r>
      <w:r>
        <w:rPr>
          <w:noProof/>
        </w:rPr>
        <w:instrText xml:space="preserve"> PAGEREF _Toc76022195 \h </w:instrText>
      </w:r>
      <w:r>
        <w:rPr>
          <w:noProof/>
        </w:rPr>
      </w:r>
      <w:r>
        <w:rPr>
          <w:noProof/>
        </w:rPr>
        <w:fldChar w:fldCharType="separate"/>
      </w:r>
      <w:r w:rsidR="004C70DB">
        <w:rPr>
          <w:noProof/>
        </w:rPr>
        <w:t>5</w:t>
      </w:r>
      <w:r>
        <w:rPr>
          <w:noProof/>
        </w:rPr>
        <w:fldChar w:fldCharType="end"/>
      </w:r>
    </w:p>
    <w:p w14:paraId="33AFF7E2" w14:textId="5D0F7B85" w:rsidR="0081263D" w:rsidRDefault="0081263D">
      <w:pPr>
        <w:pStyle w:val="TOC2"/>
        <w:rPr>
          <w:rFonts w:asciiTheme="minorHAnsi" w:eastAsiaTheme="minorEastAsia" w:hAnsiTheme="minorHAnsi" w:cstheme="minorBidi"/>
          <w:b w:val="0"/>
          <w:smallCaps w:val="0"/>
          <w:noProof/>
          <w:szCs w:val="22"/>
        </w:rPr>
      </w:pPr>
      <w:r>
        <w:rPr>
          <w:noProof/>
        </w:rPr>
        <w:t>3.6</w:t>
      </w:r>
      <w:r>
        <w:rPr>
          <w:rFonts w:asciiTheme="minorHAnsi" w:eastAsiaTheme="minorEastAsia" w:hAnsiTheme="minorHAnsi" w:cstheme="minorBidi"/>
          <w:b w:val="0"/>
          <w:smallCaps w:val="0"/>
          <w:noProof/>
          <w:szCs w:val="22"/>
        </w:rPr>
        <w:tab/>
      </w:r>
      <w:r>
        <w:rPr>
          <w:noProof/>
        </w:rPr>
        <w:t>Site Restoration</w:t>
      </w:r>
      <w:r>
        <w:rPr>
          <w:noProof/>
        </w:rPr>
        <w:tab/>
      </w:r>
      <w:r>
        <w:rPr>
          <w:noProof/>
        </w:rPr>
        <w:fldChar w:fldCharType="begin"/>
      </w:r>
      <w:r>
        <w:rPr>
          <w:noProof/>
        </w:rPr>
        <w:instrText xml:space="preserve"> PAGEREF _Toc76022196 \h </w:instrText>
      </w:r>
      <w:r>
        <w:rPr>
          <w:noProof/>
        </w:rPr>
      </w:r>
      <w:r>
        <w:rPr>
          <w:noProof/>
        </w:rPr>
        <w:fldChar w:fldCharType="separate"/>
      </w:r>
      <w:r w:rsidR="004C70DB">
        <w:rPr>
          <w:noProof/>
        </w:rPr>
        <w:t>6</w:t>
      </w:r>
      <w:r>
        <w:rPr>
          <w:noProof/>
        </w:rPr>
        <w:fldChar w:fldCharType="end"/>
      </w:r>
    </w:p>
    <w:p w14:paraId="00C55ECA" w14:textId="1BDADA94" w:rsidR="0081263D" w:rsidRDefault="0081263D">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SITE CLEARING</w:t>
      </w:r>
      <w:r>
        <w:rPr>
          <w:noProof/>
        </w:rPr>
        <w:tab/>
      </w:r>
      <w:r>
        <w:rPr>
          <w:noProof/>
        </w:rPr>
        <w:fldChar w:fldCharType="begin"/>
      </w:r>
      <w:r>
        <w:rPr>
          <w:noProof/>
        </w:rPr>
        <w:instrText xml:space="preserve"> PAGEREF _Toc76022197 \h </w:instrText>
      </w:r>
      <w:r>
        <w:rPr>
          <w:noProof/>
        </w:rPr>
      </w:r>
      <w:r>
        <w:rPr>
          <w:noProof/>
        </w:rPr>
        <w:fldChar w:fldCharType="separate"/>
      </w:r>
      <w:r w:rsidR="004C70DB">
        <w:rPr>
          <w:noProof/>
        </w:rPr>
        <w:t>6</w:t>
      </w:r>
      <w:r>
        <w:rPr>
          <w:noProof/>
        </w:rPr>
        <w:fldChar w:fldCharType="end"/>
      </w:r>
    </w:p>
    <w:p w14:paraId="2ED21C03" w14:textId="3F5E9B9F" w:rsidR="0081263D" w:rsidRDefault="0081263D">
      <w:pPr>
        <w:pStyle w:val="TOC2"/>
        <w:rPr>
          <w:rFonts w:asciiTheme="minorHAnsi" w:eastAsiaTheme="minorEastAsia" w:hAnsiTheme="minorHAnsi" w:cstheme="minorBidi"/>
          <w:b w:val="0"/>
          <w:smallCaps w:val="0"/>
          <w:noProof/>
          <w:szCs w:val="22"/>
        </w:rPr>
      </w:pPr>
      <w:r>
        <w:rPr>
          <w:noProof/>
        </w:rPr>
        <w:t>4.1</w:t>
      </w:r>
      <w:r>
        <w:rPr>
          <w:rFonts w:asciiTheme="minorHAnsi" w:eastAsiaTheme="minorEastAsia" w:hAnsiTheme="minorHAnsi" w:cstheme="minorBidi"/>
          <w:b w:val="0"/>
          <w:smallCaps w:val="0"/>
          <w:noProof/>
          <w:szCs w:val="22"/>
        </w:rPr>
        <w:tab/>
      </w:r>
      <w:r>
        <w:rPr>
          <w:noProof/>
        </w:rPr>
        <w:t>Site Clearing</w:t>
      </w:r>
      <w:r>
        <w:rPr>
          <w:noProof/>
        </w:rPr>
        <w:tab/>
      </w:r>
      <w:r>
        <w:rPr>
          <w:noProof/>
        </w:rPr>
        <w:fldChar w:fldCharType="begin"/>
      </w:r>
      <w:r>
        <w:rPr>
          <w:noProof/>
        </w:rPr>
        <w:instrText xml:space="preserve"> PAGEREF _Toc76022198 \h </w:instrText>
      </w:r>
      <w:r>
        <w:rPr>
          <w:noProof/>
        </w:rPr>
      </w:r>
      <w:r>
        <w:rPr>
          <w:noProof/>
        </w:rPr>
        <w:fldChar w:fldCharType="separate"/>
      </w:r>
      <w:r w:rsidR="004C70DB">
        <w:rPr>
          <w:noProof/>
        </w:rPr>
        <w:t>6</w:t>
      </w:r>
      <w:r>
        <w:rPr>
          <w:noProof/>
        </w:rPr>
        <w:fldChar w:fldCharType="end"/>
      </w:r>
    </w:p>
    <w:p w14:paraId="4D897482" w14:textId="2887E9DC" w:rsidR="0081263D" w:rsidRDefault="0081263D">
      <w:pPr>
        <w:pStyle w:val="TOC2"/>
        <w:rPr>
          <w:rFonts w:asciiTheme="minorHAnsi" w:eastAsiaTheme="minorEastAsia" w:hAnsiTheme="minorHAnsi" w:cstheme="minorBidi"/>
          <w:b w:val="0"/>
          <w:smallCaps w:val="0"/>
          <w:noProof/>
          <w:szCs w:val="22"/>
        </w:rPr>
      </w:pPr>
      <w:r>
        <w:rPr>
          <w:noProof/>
        </w:rPr>
        <w:t>4.2</w:t>
      </w:r>
      <w:r>
        <w:rPr>
          <w:rFonts w:asciiTheme="minorHAnsi" w:eastAsiaTheme="minorEastAsia" w:hAnsiTheme="minorHAnsi" w:cstheme="minorBidi"/>
          <w:b w:val="0"/>
          <w:smallCaps w:val="0"/>
          <w:noProof/>
          <w:szCs w:val="22"/>
        </w:rPr>
        <w:tab/>
      </w:r>
      <w:r>
        <w:rPr>
          <w:noProof/>
        </w:rPr>
        <w:t>Removal Of Topsoil</w:t>
      </w:r>
      <w:r>
        <w:rPr>
          <w:noProof/>
        </w:rPr>
        <w:tab/>
      </w:r>
      <w:r>
        <w:rPr>
          <w:noProof/>
        </w:rPr>
        <w:fldChar w:fldCharType="begin"/>
      </w:r>
      <w:r>
        <w:rPr>
          <w:noProof/>
        </w:rPr>
        <w:instrText xml:space="preserve"> PAGEREF _Toc76022199 \h </w:instrText>
      </w:r>
      <w:r>
        <w:rPr>
          <w:noProof/>
        </w:rPr>
      </w:r>
      <w:r>
        <w:rPr>
          <w:noProof/>
        </w:rPr>
        <w:fldChar w:fldCharType="separate"/>
      </w:r>
      <w:r w:rsidR="004C70DB">
        <w:rPr>
          <w:noProof/>
        </w:rPr>
        <w:t>6</w:t>
      </w:r>
      <w:r>
        <w:rPr>
          <w:noProof/>
        </w:rPr>
        <w:fldChar w:fldCharType="end"/>
      </w:r>
    </w:p>
    <w:p w14:paraId="2D478744" w14:textId="45EF46C6" w:rsidR="0081263D" w:rsidRDefault="0081263D">
      <w:pPr>
        <w:pStyle w:val="TOC2"/>
        <w:rPr>
          <w:rFonts w:asciiTheme="minorHAnsi" w:eastAsiaTheme="minorEastAsia" w:hAnsiTheme="minorHAnsi" w:cstheme="minorBidi"/>
          <w:b w:val="0"/>
          <w:smallCaps w:val="0"/>
          <w:noProof/>
          <w:szCs w:val="22"/>
        </w:rPr>
      </w:pPr>
      <w:r>
        <w:rPr>
          <w:noProof/>
        </w:rPr>
        <w:t>4.3</w:t>
      </w:r>
      <w:r>
        <w:rPr>
          <w:rFonts w:asciiTheme="minorHAnsi" w:eastAsiaTheme="minorEastAsia" w:hAnsiTheme="minorHAnsi" w:cstheme="minorBidi"/>
          <w:b w:val="0"/>
          <w:smallCaps w:val="0"/>
          <w:noProof/>
          <w:szCs w:val="22"/>
        </w:rPr>
        <w:tab/>
      </w:r>
      <w:r>
        <w:rPr>
          <w:noProof/>
        </w:rPr>
        <w:t>Stockpiles</w:t>
      </w:r>
      <w:r>
        <w:rPr>
          <w:noProof/>
        </w:rPr>
        <w:tab/>
      </w:r>
      <w:r>
        <w:rPr>
          <w:noProof/>
        </w:rPr>
        <w:fldChar w:fldCharType="begin"/>
      </w:r>
      <w:r>
        <w:rPr>
          <w:noProof/>
        </w:rPr>
        <w:instrText xml:space="preserve"> PAGEREF _Toc76022200 \h </w:instrText>
      </w:r>
      <w:r>
        <w:rPr>
          <w:noProof/>
        </w:rPr>
      </w:r>
      <w:r>
        <w:rPr>
          <w:noProof/>
        </w:rPr>
        <w:fldChar w:fldCharType="separate"/>
      </w:r>
      <w:r w:rsidR="004C70DB">
        <w:rPr>
          <w:noProof/>
        </w:rPr>
        <w:t>6</w:t>
      </w:r>
      <w:r>
        <w:rPr>
          <w:noProof/>
        </w:rPr>
        <w:fldChar w:fldCharType="end"/>
      </w:r>
    </w:p>
    <w:p w14:paraId="2C1D0A61" w14:textId="139EA16E" w:rsidR="0081263D" w:rsidRDefault="0081263D">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TOLERANCES</w:t>
      </w:r>
      <w:r>
        <w:rPr>
          <w:noProof/>
        </w:rPr>
        <w:tab/>
      </w:r>
      <w:r>
        <w:rPr>
          <w:noProof/>
        </w:rPr>
        <w:fldChar w:fldCharType="begin"/>
      </w:r>
      <w:r>
        <w:rPr>
          <w:noProof/>
        </w:rPr>
        <w:instrText xml:space="preserve"> PAGEREF _Toc76022201 \h </w:instrText>
      </w:r>
      <w:r>
        <w:rPr>
          <w:noProof/>
        </w:rPr>
      </w:r>
      <w:r>
        <w:rPr>
          <w:noProof/>
        </w:rPr>
        <w:fldChar w:fldCharType="separate"/>
      </w:r>
      <w:r w:rsidR="004C70DB">
        <w:rPr>
          <w:noProof/>
        </w:rPr>
        <w:t>6</w:t>
      </w:r>
      <w:r>
        <w:rPr>
          <w:noProof/>
        </w:rPr>
        <w:fldChar w:fldCharType="end"/>
      </w:r>
    </w:p>
    <w:p w14:paraId="7123FA6F" w14:textId="6C8E3CB2" w:rsidR="0081263D" w:rsidRDefault="0081263D">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Compaction</w:t>
      </w:r>
      <w:r>
        <w:rPr>
          <w:noProof/>
        </w:rPr>
        <w:tab/>
      </w:r>
      <w:r>
        <w:rPr>
          <w:noProof/>
        </w:rPr>
        <w:fldChar w:fldCharType="begin"/>
      </w:r>
      <w:r>
        <w:rPr>
          <w:noProof/>
        </w:rPr>
        <w:instrText xml:space="preserve"> PAGEREF _Toc76022202 \h </w:instrText>
      </w:r>
      <w:r>
        <w:rPr>
          <w:noProof/>
        </w:rPr>
      </w:r>
      <w:r>
        <w:rPr>
          <w:noProof/>
        </w:rPr>
        <w:fldChar w:fldCharType="separate"/>
      </w:r>
      <w:r w:rsidR="004C70DB">
        <w:rPr>
          <w:noProof/>
        </w:rPr>
        <w:t>7</w:t>
      </w:r>
      <w:r>
        <w:rPr>
          <w:noProof/>
        </w:rPr>
        <w:fldChar w:fldCharType="end"/>
      </w:r>
    </w:p>
    <w:p w14:paraId="0C4B744E" w14:textId="59CBBFDA" w:rsidR="0081263D" w:rsidRDefault="0081263D">
      <w:pPr>
        <w:pStyle w:val="TOC2"/>
        <w:rPr>
          <w:rFonts w:asciiTheme="minorHAnsi" w:eastAsiaTheme="minorEastAsia" w:hAnsiTheme="minorHAnsi" w:cstheme="minorBidi"/>
          <w:b w:val="0"/>
          <w:smallCaps w:val="0"/>
          <w:noProof/>
          <w:szCs w:val="22"/>
        </w:rPr>
      </w:pPr>
      <w:r>
        <w:rPr>
          <w:noProof/>
        </w:rPr>
        <w:t>6.1</w:t>
      </w:r>
      <w:r>
        <w:rPr>
          <w:rFonts w:asciiTheme="minorHAnsi" w:eastAsiaTheme="minorEastAsia" w:hAnsiTheme="minorHAnsi" w:cstheme="minorBidi"/>
          <w:b w:val="0"/>
          <w:smallCaps w:val="0"/>
          <w:noProof/>
          <w:szCs w:val="22"/>
        </w:rPr>
        <w:tab/>
      </w:r>
      <w:r>
        <w:rPr>
          <w:noProof/>
        </w:rPr>
        <w:t>Method of Compaction and Testing</w:t>
      </w:r>
      <w:r>
        <w:rPr>
          <w:noProof/>
        </w:rPr>
        <w:tab/>
      </w:r>
      <w:r>
        <w:rPr>
          <w:noProof/>
        </w:rPr>
        <w:fldChar w:fldCharType="begin"/>
      </w:r>
      <w:r>
        <w:rPr>
          <w:noProof/>
        </w:rPr>
        <w:instrText xml:space="preserve"> PAGEREF _Toc76022203 \h </w:instrText>
      </w:r>
      <w:r>
        <w:rPr>
          <w:noProof/>
        </w:rPr>
      </w:r>
      <w:r>
        <w:rPr>
          <w:noProof/>
        </w:rPr>
        <w:fldChar w:fldCharType="separate"/>
      </w:r>
      <w:r w:rsidR="004C70DB">
        <w:rPr>
          <w:noProof/>
        </w:rPr>
        <w:t>7</w:t>
      </w:r>
      <w:r>
        <w:rPr>
          <w:noProof/>
        </w:rPr>
        <w:fldChar w:fldCharType="end"/>
      </w:r>
    </w:p>
    <w:p w14:paraId="45B9911A" w14:textId="2B120A47" w:rsidR="0081263D" w:rsidRDefault="0081263D">
      <w:pPr>
        <w:pStyle w:val="TOC2"/>
        <w:rPr>
          <w:rFonts w:asciiTheme="minorHAnsi" w:eastAsiaTheme="minorEastAsia" w:hAnsiTheme="minorHAnsi" w:cstheme="minorBidi"/>
          <w:b w:val="0"/>
          <w:smallCaps w:val="0"/>
          <w:noProof/>
          <w:szCs w:val="22"/>
        </w:rPr>
      </w:pPr>
      <w:r>
        <w:rPr>
          <w:noProof/>
        </w:rPr>
        <w:t>6.2</w:t>
      </w:r>
      <w:r>
        <w:rPr>
          <w:rFonts w:asciiTheme="minorHAnsi" w:eastAsiaTheme="minorEastAsia" w:hAnsiTheme="minorHAnsi" w:cstheme="minorBidi"/>
          <w:b w:val="0"/>
          <w:smallCaps w:val="0"/>
          <w:noProof/>
          <w:szCs w:val="22"/>
        </w:rPr>
        <w:tab/>
      </w:r>
      <w:r>
        <w:rPr>
          <w:noProof/>
        </w:rPr>
        <w:t>Compacted Layer Method Of Construction</w:t>
      </w:r>
      <w:r>
        <w:rPr>
          <w:noProof/>
        </w:rPr>
        <w:tab/>
      </w:r>
      <w:r>
        <w:rPr>
          <w:noProof/>
        </w:rPr>
        <w:fldChar w:fldCharType="begin"/>
      </w:r>
      <w:r>
        <w:rPr>
          <w:noProof/>
        </w:rPr>
        <w:instrText xml:space="preserve"> PAGEREF _Toc76022204 \h </w:instrText>
      </w:r>
      <w:r>
        <w:rPr>
          <w:noProof/>
        </w:rPr>
      </w:r>
      <w:r>
        <w:rPr>
          <w:noProof/>
        </w:rPr>
        <w:fldChar w:fldCharType="separate"/>
      </w:r>
      <w:r w:rsidR="004C70DB">
        <w:rPr>
          <w:noProof/>
        </w:rPr>
        <w:t>7</w:t>
      </w:r>
      <w:r>
        <w:rPr>
          <w:noProof/>
        </w:rPr>
        <w:fldChar w:fldCharType="end"/>
      </w:r>
    </w:p>
    <w:p w14:paraId="7B007832" w14:textId="0696A93C" w:rsidR="0081263D" w:rsidRDefault="0081263D">
      <w:pPr>
        <w:pStyle w:val="TOC2"/>
        <w:rPr>
          <w:rFonts w:asciiTheme="minorHAnsi" w:eastAsiaTheme="minorEastAsia" w:hAnsiTheme="minorHAnsi" w:cstheme="minorBidi"/>
          <w:b w:val="0"/>
          <w:smallCaps w:val="0"/>
          <w:noProof/>
          <w:szCs w:val="22"/>
        </w:rPr>
      </w:pPr>
      <w:r>
        <w:rPr>
          <w:noProof/>
        </w:rPr>
        <w:t>6.3</w:t>
      </w:r>
      <w:r>
        <w:rPr>
          <w:rFonts w:asciiTheme="minorHAnsi" w:eastAsiaTheme="minorEastAsia" w:hAnsiTheme="minorHAnsi" w:cstheme="minorBidi"/>
          <w:b w:val="0"/>
          <w:smallCaps w:val="0"/>
          <w:noProof/>
          <w:szCs w:val="22"/>
        </w:rPr>
        <w:tab/>
      </w:r>
      <w:r>
        <w:rPr>
          <w:noProof/>
        </w:rPr>
        <w:t>Mechanical Interlock Method Of Construction</w:t>
      </w:r>
      <w:r>
        <w:rPr>
          <w:noProof/>
        </w:rPr>
        <w:tab/>
      </w:r>
      <w:r>
        <w:rPr>
          <w:noProof/>
        </w:rPr>
        <w:fldChar w:fldCharType="begin"/>
      </w:r>
      <w:r>
        <w:rPr>
          <w:noProof/>
        </w:rPr>
        <w:instrText xml:space="preserve"> PAGEREF _Toc76022205 \h </w:instrText>
      </w:r>
      <w:r>
        <w:rPr>
          <w:noProof/>
        </w:rPr>
      </w:r>
      <w:r>
        <w:rPr>
          <w:noProof/>
        </w:rPr>
        <w:fldChar w:fldCharType="separate"/>
      </w:r>
      <w:r w:rsidR="004C70DB">
        <w:rPr>
          <w:noProof/>
        </w:rPr>
        <w:t>8</w:t>
      </w:r>
      <w:r>
        <w:rPr>
          <w:noProof/>
        </w:rPr>
        <w:fldChar w:fldCharType="end"/>
      </w:r>
    </w:p>
    <w:p w14:paraId="5C1009A1" w14:textId="2A763446" w:rsidR="0081263D" w:rsidRDefault="0081263D">
      <w:pPr>
        <w:pStyle w:val="TOC2"/>
        <w:rPr>
          <w:rFonts w:asciiTheme="minorHAnsi" w:eastAsiaTheme="minorEastAsia" w:hAnsiTheme="minorHAnsi" w:cstheme="minorBidi"/>
          <w:b w:val="0"/>
          <w:smallCaps w:val="0"/>
          <w:noProof/>
          <w:szCs w:val="22"/>
        </w:rPr>
      </w:pPr>
      <w:r>
        <w:rPr>
          <w:noProof/>
        </w:rPr>
        <w:t>6.4</w:t>
      </w:r>
      <w:r>
        <w:rPr>
          <w:rFonts w:asciiTheme="minorHAnsi" w:eastAsiaTheme="minorEastAsia" w:hAnsiTheme="minorHAnsi" w:cstheme="minorBidi"/>
          <w:b w:val="0"/>
          <w:smallCaps w:val="0"/>
          <w:noProof/>
          <w:szCs w:val="22"/>
        </w:rPr>
        <w:tab/>
      </w:r>
      <w:r>
        <w:rPr>
          <w:noProof/>
        </w:rPr>
        <w:t>Density and Moisture Requirements</w:t>
      </w:r>
      <w:r>
        <w:rPr>
          <w:noProof/>
        </w:rPr>
        <w:tab/>
      </w:r>
      <w:r>
        <w:rPr>
          <w:noProof/>
        </w:rPr>
        <w:fldChar w:fldCharType="begin"/>
      </w:r>
      <w:r>
        <w:rPr>
          <w:noProof/>
        </w:rPr>
        <w:instrText xml:space="preserve"> PAGEREF _Toc76022206 \h </w:instrText>
      </w:r>
      <w:r>
        <w:rPr>
          <w:noProof/>
        </w:rPr>
      </w:r>
      <w:r>
        <w:rPr>
          <w:noProof/>
        </w:rPr>
        <w:fldChar w:fldCharType="separate"/>
      </w:r>
      <w:r w:rsidR="004C70DB">
        <w:rPr>
          <w:noProof/>
        </w:rPr>
        <w:t>8</w:t>
      </w:r>
      <w:r>
        <w:rPr>
          <w:noProof/>
        </w:rPr>
        <w:fldChar w:fldCharType="end"/>
      </w:r>
    </w:p>
    <w:p w14:paraId="6E4E3BE1" w14:textId="4D0581E6" w:rsidR="0081263D" w:rsidRDefault="0081263D">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EXCAVATION</w:t>
      </w:r>
      <w:r>
        <w:rPr>
          <w:noProof/>
        </w:rPr>
        <w:tab/>
      </w:r>
      <w:r>
        <w:rPr>
          <w:noProof/>
        </w:rPr>
        <w:fldChar w:fldCharType="begin"/>
      </w:r>
      <w:r>
        <w:rPr>
          <w:noProof/>
        </w:rPr>
        <w:instrText xml:space="preserve"> PAGEREF _Toc76022207 \h </w:instrText>
      </w:r>
      <w:r>
        <w:rPr>
          <w:noProof/>
        </w:rPr>
      </w:r>
      <w:r>
        <w:rPr>
          <w:noProof/>
        </w:rPr>
        <w:fldChar w:fldCharType="separate"/>
      </w:r>
      <w:r w:rsidR="004C70DB">
        <w:rPr>
          <w:noProof/>
        </w:rPr>
        <w:t>9</w:t>
      </w:r>
      <w:r>
        <w:rPr>
          <w:noProof/>
        </w:rPr>
        <w:fldChar w:fldCharType="end"/>
      </w:r>
    </w:p>
    <w:p w14:paraId="4A5C1123" w14:textId="49ED29D8" w:rsidR="0081263D" w:rsidRDefault="0081263D">
      <w:pPr>
        <w:pStyle w:val="TOC2"/>
        <w:rPr>
          <w:rFonts w:asciiTheme="minorHAnsi" w:eastAsiaTheme="minorEastAsia" w:hAnsiTheme="minorHAnsi" w:cstheme="minorBidi"/>
          <w:b w:val="0"/>
          <w:smallCaps w:val="0"/>
          <w:noProof/>
          <w:szCs w:val="22"/>
        </w:rPr>
      </w:pPr>
      <w:r>
        <w:rPr>
          <w:noProof/>
        </w:rPr>
        <w:t>7.1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_Toc76022208 \h </w:instrText>
      </w:r>
      <w:r>
        <w:rPr>
          <w:noProof/>
        </w:rPr>
      </w:r>
      <w:r>
        <w:rPr>
          <w:noProof/>
        </w:rPr>
        <w:fldChar w:fldCharType="separate"/>
      </w:r>
      <w:r w:rsidR="004C70DB">
        <w:rPr>
          <w:noProof/>
        </w:rPr>
        <w:t>9</w:t>
      </w:r>
      <w:r>
        <w:rPr>
          <w:noProof/>
        </w:rPr>
        <w:fldChar w:fldCharType="end"/>
      </w:r>
    </w:p>
    <w:p w14:paraId="490A42DB" w14:textId="6D864C62" w:rsidR="0081263D" w:rsidRDefault="0081263D">
      <w:pPr>
        <w:pStyle w:val="TOC2"/>
        <w:rPr>
          <w:rFonts w:asciiTheme="minorHAnsi" w:eastAsiaTheme="minorEastAsia" w:hAnsiTheme="minorHAnsi" w:cstheme="minorBidi"/>
          <w:b w:val="0"/>
          <w:smallCaps w:val="0"/>
          <w:noProof/>
          <w:szCs w:val="22"/>
        </w:rPr>
      </w:pPr>
      <w:r>
        <w:rPr>
          <w:noProof/>
        </w:rPr>
        <w:t>7.2</w:t>
      </w:r>
      <w:r>
        <w:rPr>
          <w:rFonts w:asciiTheme="minorHAnsi" w:eastAsiaTheme="minorEastAsia" w:hAnsiTheme="minorHAnsi" w:cstheme="minorBidi"/>
          <w:b w:val="0"/>
          <w:smallCaps w:val="0"/>
          <w:noProof/>
          <w:szCs w:val="22"/>
        </w:rPr>
        <w:tab/>
      </w:r>
      <w:r>
        <w:rPr>
          <w:noProof/>
        </w:rPr>
        <w:t>Surface Drainage</w:t>
      </w:r>
      <w:r>
        <w:rPr>
          <w:noProof/>
        </w:rPr>
        <w:tab/>
      </w:r>
      <w:r>
        <w:rPr>
          <w:noProof/>
        </w:rPr>
        <w:fldChar w:fldCharType="begin"/>
      </w:r>
      <w:r>
        <w:rPr>
          <w:noProof/>
        </w:rPr>
        <w:instrText xml:space="preserve"> PAGEREF _Toc76022209 \h </w:instrText>
      </w:r>
      <w:r>
        <w:rPr>
          <w:noProof/>
        </w:rPr>
      </w:r>
      <w:r>
        <w:rPr>
          <w:noProof/>
        </w:rPr>
        <w:fldChar w:fldCharType="separate"/>
      </w:r>
      <w:r w:rsidR="004C70DB">
        <w:rPr>
          <w:noProof/>
        </w:rPr>
        <w:t>10</w:t>
      </w:r>
      <w:r>
        <w:rPr>
          <w:noProof/>
        </w:rPr>
        <w:fldChar w:fldCharType="end"/>
      </w:r>
    </w:p>
    <w:p w14:paraId="29B3AEEA" w14:textId="64892035" w:rsidR="0081263D" w:rsidRDefault="0081263D">
      <w:pPr>
        <w:pStyle w:val="TOC2"/>
        <w:rPr>
          <w:rFonts w:asciiTheme="minorHAnsi" w:eastAsiaTheme="minorEastAsia" w:hAnsiTheme="minorHAnsi" w:cstheme="minorBidi"/>
          <w:b w:val="0"/>
          <w:smallCaps w:val="0"/>
          <w:noProof/>
          <w:szCs w:val="22"/>
        </w:rPr>
      </w:pPr>
      <w:r>
        <w:rPr>
          <w:noProof/>
        </w:rPr>
        <w:t>7.3</w:t>
      </w:r>
      <w:r>
        <w:rPr>
          <w:rFonts w:asciiTheme="minorHAnsi" w:eastAsiaTheme="minorEastAsia" w:hAnsiTheme="minorHAnsi" w:cstheme="minorBidi"/>
          <w:b w:val="0"/>
          <w:smallCaps w:val="0"/>
          <w:noProof/>
          <w:szCs w:val="22"/>
        </w:rPr>
        <w:tab/>
      </w:r>
      <w:r>
        <w:rPr>
          <w:noProof/>
        </w:rPr>
        <w:t>Provisional Depths</w:t>
      </w:r>
      <w:r>
        <w:rPr>
          <w:noProof/>
        </w:rPr>
        <w:tab/>
      </w:r>
      <w:r>
        <w:rPr>
          <w:noProof/>
        </w:rPr>
        <w:fldChar w:fldCharType="begin"/>
      </w:r>
      <w:r>
        <w:rPr>
          <w:noProof/>
        </w:rPr>
        <w:instrText xml:space="preserve"> PAGEREF _Toc76022210 \h </w:instrText>
      </w:r>
      <w:r>
        <w:rPr>
          <w:noProof/>
        </w:rPr>
      </w:r>
      <w:r>
        <w:rPr>
          <w:noProof/>
        </w:rPr>
        <w:fldChar w:fldCharType="separate"/>
      </w:r>
      <w:r w:rsidR="004C70DB">
        <w:rPr>
          <w:noProof/>
        </w:rPr>
        <w:t>10</w:t>
      </w:r>
      <w:r>
        <w:rPr>
          <w:noProof/>
        </w:rPr>
        <w:fldChar w:fldCharType="end"/>
      </w:r>
    </w:p>
    <w:p w14:paraId="6D4A1B4D" w14:textId="17434447" w:rsidR="0081263D" w:rsidRDefault="0081263D">
      <w:pPr>
        <w:pStyle w:val="TOC2"/>
        <w:rPr>
          <w:rFonts w:asciiTheme="minorHAnsi" w:eastAsiaTheme="minorEastAsia" w:hAnsiTheme="minorHAnsi" w:cstheme="minorBidi"/>
          <w:b w:val="0"/>
          <w:smallCaps w:val="0"/>
          <w:noProof/>
          <w:szCs w:val="22"/>
        </w:rPr>
      </w:pPr>
      <w:r>
        <w:rPr>
          <w:noProof/>
        </w:rPr>
        <w:t>7.4</w:t>
      </w:r>
      <w:r>
        <w:rPr>
          <w:rFonts w:asciiTheme="minorHAnsi" w:eastAsiaTheme="minorEastAsia" w:hAnsiTheme="minorHAnsi" w:cstheme="minorBidi"/>
          <w:b w:val="0"/>
          <w:smallCaps w:val="0"/>
          <w:noProof/>
          <w:szCs w:val="22"/>
        </w:rPr>
        <w:tab/>
      </w:r>
      <w:r>
        <w:rPr>
          <w:noProof/>
        </w:rPr>
        <w:t>Explosives</w:t>
      </w:r>
      <w:r>
        <w:rPr>
          <w:noProof/>
        </w:rPr>
        <w:tab/>
      </w:r>
      <w:r>
        <w:rPr>
          <w:noProof/>
        </w:rPr>
        <w:fldChar w:fldCharType="begin"/>
      </w:r>
      <w:r>
        <w:rPr>
          <w:noProof/>
        </w:rPr>
        <w:instrText xml:space="preserve"> PAGEREF _Toc76022211 \h </w:instrText>
      </w:r>
      <w:r>
        <w:rPr>
          <w:noProof/>
        </w:rPr>
      </w:r>
      <w:r>
        <w:rPr>
          <w:noProof/>
        </w:rPr>
        <w:fldChar w:fldCharType="separate"/>
      </w:r>
      <w:r w:rsidR="004C70DB">
        <w:rPr>
          <w:noProof/>
        </w:rPr>
        <w:t>10</w:t>
      </w:r>
      <w:r>
        <w:rPr>
          <w:noProof/>
        </w:rPr>
        <w:fldChar w:fldCharType="end"/>
      </w:r>
    </w:p>
    <w:p w14:paraId="4F064013" w14:textId="136BDD23" w:rsidR="0081263D" w:rsidRDefault="0081263D">
      <w:pPr>
        <w:pStyle w:val="TOC2"/>
        <w:rPr>
          <w:rFonts w:asciiTheme="minorHAnsi" w:eastAsiaTheme="minorEastAsia" w:hAnsiTheme="minorHAnsi" w:cstheme="minorBidi"/>
          <w:b w:val="0"/>
          <w:smallCaps w:val="0"/>
          <w:noProof/>
          <w:szCs w:val="22"/>
        </w:rPr>
      </w:pPr>
      <w:r>
        <w:rPr>
          <w:noProof/>
        </w:rPr>
        <w:t>7.5</w:t>
      </w:r>
      <w:r>
        <w:rPr>
          <w:rFonts w:asciiTheme="minorHAnsi" w:eastAsiaTheme="minorEastAsia" w:hAnsiTheme="minorHAnsi" w:cstheme="minorBidi"/>
          <w:b w:val="0"/>
          <w:smallCaps w:val="0"/>
          <w:noProof/>
          <w:szCs w:val="22"/>
        </w:rPr>
        <w:tab/>
      </w:r>
      <w:r>
        <w:rPr>
          <w:noProof/>
        </w:rPr>
        <w:t>Bearing Surfaces</w:t>
      </w:r>
      <w:r>
        <w:rPr>
          <w:noProof/>
        </w:rPr>
        <w:tab/>
      </w:r>
      <w:r>
        <w:rPr>
          <w:noProof/>
        </w:rPr>
        <w:fldChar w:fldCharType="begin"/>
      </w:r>
      <w:r>
        <w:rPr>
          <w:noProof/>
        </w:rPr>
        <w:instrText xml:space="preserve"> PAGEREF _Toc76022212 \h </w:instrText>
      </w:r>
      <w:r>
        <w:rPr>
          <w:noProof/>
        </w:rPr>
      </w:r>
      <w:r>
        <w:rPr>
          <w:noProof/>
        </w:rPr>
        <w:fldChar w:fldCharType="separate"/>
      </w:r>
      <w:r w:rsidR="004C70DB">
        <w:rPr>
          <w:noProof/>
        </w:rPr>
        <w:t>10</w:t>
      </w:r>
      <w:r>
        <w:rPr>
          <w:noProof/>
        </w:rPr>
        <w:fldChar w:fldCharType="end"/>
      </w:r>
    </w:p>
    <w:p w14:paraId="3DD4F058" w14:textId="60670C93" w:rsidR="0081263D" w:rsidRDefault="0081263D">
      <w:pPr>
        <w:pStyle w:val="TOC2"/>
        <w:rPr>
          <w:rFonts w:asciiTheme="minorHAnsi" w:eastAsiaTheme="minorEastAsia" w:hAnsiTheme="minorHAnsi" w:cstheme="minorBidi"/>
          <w:b w:val="0"/>
          <w:smallCaps w:val="0"/>
          <w:noProof/>
          <w:szCs w:val="22"/>
        </w:rPr>
      </w:pPr>
      <w:r>
        <w:rPr>
          <w:noProof/>
        </w:rPr>
        <w:t>7.6</w:t>
      </w:r>
      <w:r>
        <w:rPr>
          <w:rFonts w:asciiTheme="minorHAnsi" w:eastAsiaTheme="minorEastAsia" w:hAnsiTheme="minorHAnsi" w:cstheme="minorBidi"/>
          <w:b w:val="0"/>
          <w:smallCaps w:val="0"/>
          <w:noProof/>
          <w:szCs w:val="22"/>
        </w:rPr>
        <w:tab/>
      </w:r>
      <w:r>
        <w:rPr>
          <w:noProof/>
        </w:rPr>
        <w:t>Reinstatement of Excavation</w:t>
      </w:r>
      <w:r>
        <w:rPr>
          <w:noProof/>
        </w:rPr>
        <w:tab/>
      </w:r>
      <w:r>
        <w:rPr>
          <w:noProof/>
        </w:rPr>
        <w:fldChar w:fldCharType="begin"/>
      </w:r>
      <w:r>
        <w:rPr>
          <w:noProof/>
        </w:rPr>
        <w:instrText xml:space="preserve"> PAGEREF _Toc76022213 \h </w:instrText>
      </w:r>
      <w:r>
        <w:rPr>
          <w:noProof/>
        </w:rPr>
      </w:r>
      <w:r>
        <w:rPr>
          <w:noProof/>
        </w:rPr>
        <w:fldChar w:fldCharType="separate"/>
      </w:r>
      <w:r w:rsidR="004C70DB">
        <w:rPr>
          <w:noProof/>
        </w:rPr>
        <w:t>10</w:t>
      </w:r>
      <w:r>
        <w:rPr>
          <w:noProof/>
        </w:rPr>
        <w:fldChar w:fldCharType="end"/>
      </w:r>
    </w:p>
    <w:p w14:paraId="2D1538D6" w14:textId="5D877E36" w:rsidR="0081263D" w:rsidRDefault="0081263D">
      <w:pPr>
        <w:pStyle w:val="TOC2"/>
        <w:rPr>
          <w:rFonts w:asciiTheme="minorHAnsi" w:eastAsiaTheme="minorEastAsia" w:hAnsiTheme="minorHAnsi" w:cstheme="minorBidi"/>
          <w:b w:val="0"/>
          <w:smallCaps w:val="0"/>
          <w:noProof/>
          <w:szCs w:val="22"/>
        </w:rPr>
      </w:pPr>
      <w:r>
        <w:rPr>
          <w:noProof/>
        </w:rPr>
        <w:t>7.7</w:t>
      </w:r>
      <w:r>
        <w:rPr>
          <w:rFonts w:asciiTheme="minorHAnsi" w:eastAsiaTheme="minorEastAsia" w:hAnsiTheme="minorHAnsi" w:cstheme="minorBidi"/>
          <w:b w:val="0"/>
          <w:smallCaps w:val="0"/>
          <w:noProof/>
          <w:szCs w:val="22"/>
        </w:rPr>
        <w:tab/>
      </w:r>
      <w:r>
        <w:rPr>
          <w:noProof/>
        </w:rPr>
        <w:t>Adjacent Structures</w:t>
      </w:r>
      <w:r>
        <w:rPr>
          <w:noProof/>
        </w:rPr>
        <w:tab/>
      </w:r>
      <w:r>
        <w:rPr>
          <w:noProof/>
        </w:rPr>
        <w:fldChar w:fldCharType="begin"/>
      </w:r>
      <w:r>
        <w:rPr>
          <w:noProof/>
        </w:rPr>
        <w:instrText xml:space="preserve"> PAGEREF _Toc76022214 \h </w:instrText>
      </w:r>
      <w:r>
        <w:rPr>
          <w:noProof/>
        </w:rPr>
      </w:r>
      <w:r>
        <w:rPr>
          <w:noProof/>
        </w:rPr>
        <w:fldChar w:fldCharType="separate"/>
      </w:r>
      <w:r w:rsidR="004C70DB">
        <w:rPr>
          <w:noProof/>
        </w:rPr>
        <w:t>11</w:t>
      </w:r>
      <w:r>
        <w:rPr>
          <w:noProof/>
        </w:rPr>
        <w:fldChar w:fldCharType="end"/>
      </w:r>
    </w:p>
    <w:p w14:paraId="22322D8E" w14:textId="07FBC8C4" w:rsidR="0081263D" w:rsidRDefault="0081263D">
      <w:pPr>
        <w:pStyle w:val="TOC2"/>
        <w:rPr>
          <w:rFonts w:asciiTheme="minorHAnsi" w:eastAsiaTheme="minorEastAsia" w:hAnsiTheme="minorHAnsi" w:cstheme="minorBidi"/>
          <w:b w:val="0"/>
          <w:smallCaps w:val="0"/>
          <w:noProof/>
          <w:szCs w:val="22"/>
        </w:rPr>
      </w:pPr>
      <w:r>
        <w:rPr>
          <w:noProof/>
        </w:rPr>
        <w:t>7.8</w:t>
      </w:r>
      <w:r>
        <w:rPr>
          <w:rFonts w:asciiTheme="minorHAnsi" w:eastAsiaTheme="minorEastAsia" w:hAnsiTheme="minorHAnsi" w:cstheme="minorBidi"/>
          <w:b w:val="0"/>
          <w:smallCaps w:val="0"/>
          <w:noProof/>
          <w:szCs w:val="22"/>
        </w:rPr>
        <w:tab/>
      </w:r>
      <w:r>
        <w:rPr>
          <w:noProof/>
        </w:rPr>
        <w:t>Non-Rippable Material</w:t>
      </w:r>
      <w:r>
        <w:rPr>
          <w:noProof/>
        </w:rPr>
        <w:tab/>
      </w:r>
      <w:r>
        <w:rPr>
          <w:noProof/>
        </w:rPr>
        <w:fldChar w:fldCharType="begin"/>
      </w:r>
      <w:r>
        <w:rPr>
          <w:noProof/>
        </w:rPr>
        <w:instrText xml:space="preserve"> PAGEREF _Toc76022215 \h </w:instrText>
      </w:r>
      <w:r>
        <w:rPr>
          <w:noProof/>
        </w:rPr>
      </w:r>
      <w:r>
        <w:rPr>
          <w:noProof/>
        </w:rPr>
        <w:fldChar w:fldCharType="separate"/>
      </w:r>
      <w:r w:rsidR="004C70DB">
        <w:rPr>
          <w:noProof/>
        </w:rPr>
        <w:t>11</w:t>
      </w:r>
      <w:r>
        <w:rPr>
          <w:noProof/>
        </w:rPr>
        <w:fldChar w:fldCharType="end"/>
      </w:r>
    </w:p>
    <w:p w14:paraId="7A0A62D2" w14:textId="15964C5B" w:rsidR="0081263D" w:rsidRDefault="0081263D">
      <w:pPr>
        <w:pStyle w:val="TOC1"/>
        <w:rPr>
          <w:rFonts w:asciiTheme="minorHAnsi" w:eastAsiaTheme="minorEastAsia" w:hAnsiTheme="minorHAnsi" w:cstheme="minorBidi"/>
          <w:b w:val="0"/>
          <w:caps w:val="0"/>
          <w:noProof/>
          <w:sz w:val="22"/>
          <w:szCs w:val="22"/>
        </w:rPr>
      </w:pPr>
      <w:r>
        <w:rPr>
          <w:noProof/>
        </w:rPr>
        <w:t>8.0</w:t>
      </w:r>
      <w:r>
        <w:rPr>
          <w:rFonts w:asciiTheme="minorHAnsi" w:eastAsiaTheme="minorEastAsia" w:hAnsiTheme="minorHAnsi" w:cstheme="minorBidi"/>
          <w:b w:val="0"/>
          <w:caps w:val="0"/>
          <w:noProof/>
          <w:sz w:val="22"/>
          <w:szCs w:val="22"/>
        </w:rPr>
        <w:tab/>
      </w:r>
      <w:r>
        <w:rPr>
          <w:noProof/>
        </w:rPr>
        <w:t>FILLING</w:t>
      </w:r>
      <w:r>
        <w:rPr>
          <w:noProof/>
        </w:rPr>
        <w:tab/>
      </w:r>
      <w:r>
        <w:rPr>
          <w:noProof/>
        </w:rPr>
        <w:fldChar w:fldCharType="begin"/>
      </w:r>
      <w:r>
        <w:rPr>
          <w:noProof/>
        </w:rPr>
        <w:instrText xml:space="preserve"> PAGEREF _Toc76022216 \h </w:instrText>
      </w:r>
      <w:r>
        <w:rPr>
          <w:noProof/>
        </w:rPr>
      </w:r>
      <w:r>
        <w:rPr>
          <w:noProof/>
        </w:rPr>
        <w:fldChar w:fldCharType="separate"/>
      </w:r>
      <w:r w:rsidR="004C70DB">
        <w:rPr>
          <w:noProof/>
        </w:rPr>
        <w:t>12</w:t>
      </w:r>
      <w:r>
        <w:rPr>
          <w:noProof/>
        </w:rPr>
        <w:fldChar w:fldCharType="end"/>
      </w:r>
    </w:p>
    <w:p w14:paraId="7B7E0201" w14:textId="788BCF56" w:rsidR="0081263D" w:rsidRDefault="0081263D">
      <w:pPr>
        <w:pStyle w:val="TOC2"/>
        <w:rPr>
          <w:rFonts w:asciiTheme="minorHAnsi" w:eastAsiaTheme="minorEastAsia" w:hAnsiTheme="minorHAnsi" w:cstheme="minorBidi"/>
          <w:b w:val="0"/>
          <w:smallCaps w:val="0"/>
          <w:noProof/>
          <w:szCs w:val="22"/>
        </w:rPr>
      </w:pPr>
      <w:r>
        <w:rPr>
          <w:noProof/>
        </w:rPr>
        <w:t>8.1</w:t>
      </w:r>
      <w:r>
        <w:rPr>
          <w:rFonts w:asciiTheme="minorHAnsi" w:eastAsiaTheme="minorEastAsia" w:hAnsiTheme="minorHAnsi" w:cstheme="minorBidi"/>
          <w:b w:val="0"/>
          <w:smallCaps w:val="0"/>
          <w:noProof/>
          <w:szCs w:val="22"/>
        </w:rPr>
        <w:tab/>
      </w:r>
      <w:r>
        <w:rPr>
          <w:noProof/>
        </w:rPr>
        <w:t>Fill Material</w:t>
      </w:r>
      <w:r>
        <w:rPr>
          <w:noProof/>
        </w:rPr>
        <w:tab/>
      </w:r>
      <w:r>
        <w:rPr>
          <w:noProof/>
        </w:rPr>
        <w:fldChar w:fldCharType="begin"/>
      </w:r>
      <w:r>
        <w:rPr>
          <w:noProof/>
        </w:rPr>
        <w:instrText xml:space="preserve"> PAGEREF _Toc76022217 \h </w:instrText>
      </w:r>
      <w:r>
        <w:rPr>
          <w:noProof/>
        </w:rPr>
      </w:r>
      <w:r>
        <w:rPr>
          <w:noProof/>
        </w:rPr>
        <w:fldChar w:fldCharType="separate"/>
      </w:r>
      <w:r w:rsidR="004C70DB">
        <w:rPr>
          <w:noProof/>
        </w:rPr>
        <w:t>12</w:t>
      </w:r>
      <w:r>
        <w:rPr>
          <w:noProof/>
        </w:rPr>
        <w:fldChar w:fldCharType="end"/>
      </w:r>
    </w:p>
    <w:p w14:paraId="2C1FD9F9" w14:textId="19122DB3" w:rsidR="0081263D" w:rsidRDefault="0081263D">
      <w:pPr>
        <w:pStyle w:val="TOC2"/>
        <w:rPr>
          <w:rFonts w:asciiTheme="minorHAnsi" w:eastAsiaTheme="minorEastAsia" w:hAnsiTheme="minorHAnsi" w:cstheme="minorBidi"/>
          <w:b w:val="0"/>
          <w:smallCaps w:val="0"/>
          <w:noProof/>
          <w:szCs w:val="22"/>
        </w:rPr>
      </w:pPr>
      <w:r>
        <w:rPr>
          <w:noProof/>
        </w:rPr>
        <w:t>8.2</w:t>
      </w:r>
      <w:r>
        <w:rPr>
          <w:rFonts w:asciiTheme="minorHAnsi" w:eastAsiaTheme="minorEastAsia" w:hAnsiTheme="minorHAnsi" w:cstheme="minorBidi"/>
          <w:b w:val="0"/>
          <w:smallCaps w:val="0"/>
          <w:noProof/>
          <w:szCs w:val="22"/>
        </w:rPr>
        <w:tab/>
      </w:r>
      <w:r>
        <w:rPr>
          <w:noProof/>
        </w:rPr>
        <w:t>Preparation for Filling</w:t>
      </w:r>
      <w:r>
        <w:rPr>
          <w:noProof/>
        </w:rPr>
        <w:tab/>
      </w:r>
      <w:r>
        <w:rPr>
          <w:noProof/>
        </w:rPr>
        <w:fldChar w:fldCharType="begin"/>
      </w:r>
      <w:r>
        <w:rPr>
          <w:noProof/>
        </w:rPr>
        <w:instrText xml:space="preserve"> PAGEREF _Toc76022218 \h </w:instrText>
      </w:r>
      <w:r>
        <w:rPr>
          <w:noProof/>
        </w:rPr>
      </w:r>
      <w:r>
        <w:rPr>
          <w:noProof/>
        </w:rPr>
        <w:fldChar w:fldCharType="separate"/>
      </w:r>
      <w:r w:rsidR="004C70DB">
        <w:rPr>
          <w:noProof/>
        </w:rPr>
        <w:t>12</w:t>
      </w:r>
      <w:r>
        <w:rPr>
          <w:noProof/>
        </w:rPr>
        <w:fldChar w:fldCharType="end"/>
      </w:r>
    </w:p>
    <w:p w14:paraId="5CF9F7CD" w14:textId="055C7857" w:rsidR="0081263D" w:rsidRDefault="0081263D">
      <w:pPr>
        <w:pStyle w:val="TOC2"/>
        <w:rPr>
          <w:rFonts w:asciiTheme="minorHAnsi" w:eastAsiaTheme="minorEastAsia" w:hAnsiTheme="minorHAnsi" w:cstheme="minorBidi"/>
          <w:b w:val="0"/>
          <w:smallCaps w:val="0"/>
          <w:noProof/>
          <w:szCs w:val="22"/>
        </w:rPr>
      </w:pPr>
      <w:r>
        <w:rPr>
          <w:noProof/>
        </w:rPr>
        <w:t>8.3</w:t>
      </w:r>
      <w:r>
        <w:rPr>
          <w:rFonts w:asciiTheme="minorHAnsi" w:eastAsiaTheme="minorEastAsia" w:hAnsiTheme="minorHAnsi" w:cstheme="minorBidi"/>
          <w:b w:val="0"/>
          <w:smallCaps w:val="0"/>
          <w:noProof/>
          <w:szCs w:val="22"/>
        </w:rPr>
        <w:tab/>
      </w:r>
      <w:r>
        <w:rPr>
          <w:noProof/>
        </w:rPr>
        <w:t>Geogrids</w:t>
      </w:r>
      <w:r>
        <w:rPr>
          <w:noProof/>
        </w:rPr>
        <w:tab/>
      </w:r>
      <w:r>
        <w:rPr>
          <w:noProof/>
        </w:rPr>
        <w:fldChar w:fldCharType="begin"/>
      </w:r>
      <w:r>
        <w:rPr>
          <w:noProof/>
        </w:rPr>
        <w:instrText xml:space="preserve"> PAGEREF _Toc76022219 \h </w:instrText>
      </w:r>
      <w:r>
        <w:rPr>
          <w:noProof/>
        </w:rPr>
      </w:r>
      <w:r>
        <w:rPr>
          <w:noProof/>
        </w:rPr>
        <w:fldChar w:fldCharType="separate"/>
      </w:r>
      <w:r w:rsidR="004C70DB">
        <w:rPr>
          <w:noProof/>
        </w:rPr>
        <w:t>13</w:t>
      </w:r>
      <w:r>
        <w:rPr>
          <w:noProof/>
        </w:rPr>
        <w:fldChar w:fldCharType="end"/>
      </w:r>
    </w:p>
    <w:p w14:paraId="7CA46536" w14:textId="45F20C16" w:rsidR="0081263D" w:rsidRDefault="0081263D">
      <w:pPr>
        <w:pStyle w:val="TOC2"/>
        <w:rPr>
          <w:rFonts w:asciiTheme="minorHAnsi" w:eastAsiaTheme="minorEastAsia" w:hAnsiTheme="minorHAnsi" w:cstheme="minorBidi"/>
          <w:b w:val="0"/>
          <w:smallCaps w:val="0"/>
          <w:noProof/>
          <w:szCs w:val="22"/>
        </w:rPr>
      </w:pPr>
      <w:r>
        <w:rPr>
          <w:noProof/>
        </w:rPr>
        <w:t>8.4</w:t>
      </w:r>
      <w:r>
        <w:rPr>
          <w:rFonts w:asciiTheme="minorHAnsi" w:eastAsiaTheme="minorEastAsia" w:hAnsiTheme="minorHAnsi" w:cstheme="minorBidi"/>
          <w:b w:val="0"/>
          <w:smallCaps w:val="0"/>
          <w:noProof/>
          <w:szCs w:val="22"/>
        </w:rPr>
        <w:tab/>
      </w:r>
      <w:r>
        <w:rPr>
          <w:noProof/>
        </w:rPr>
        <w:t>Placing Fill</w:t>
      </w:r>
      <w:r>
        <w:rPr>
          <w:noProof/>
        </w:rPr>
        <w:tab/>
      </w:r>
      <w:r>
        <w:rPr>
          <w:noProof/>
        </w:rPr>
        <w:fldChar w:fldCharType="begin"/>
      </w:r>
      <w:r>
        <w:rPr>
          <w:noProof/>
        </w:rPr>
        <w:instrText xml:space="preserve"> PAGEREF _Toc76022220 \h </w:instrText>
      </w:r>
      <w:r>
        <w:rPr>
          <w:noProof/>
        </w:rPr>
      </w:r>
      <w:r>
        <w:rPr>
          <w:noProof/>
        </w:rPr>
        <w:fldChar w:fldCharType="separate"/>
      </w:r>
      <w:r w:rsidR="004C70DB">
        <w:rPr>
          <w:noProof/>
        </w:rPr>
        <w:t>13</w:t>
      </w:r>
      <w:r>
        <w:rPr>
          <w:noProof/>
        </w:rPr>
        <w:fldChar w:fldCharType="end"/>
      </w:r>
    </w:p>
    <w:p w14:paraId="49CBBE7B" w14:textId="69DF5DFC" w:rsidR="0081263D" w:rsidRDefault="0081263D">
      <w:pPr>
        <w:pStyle w:val="TOC1"/>
        <w:rPr>
          <w:rFonts w:asciiTheme="minorHAnsi" w:eastAsiaTheme="minorEastAsia" w:hAnsiTheme="minorHAnsi" w:cstheme="minorBidi"/>
          <w:b w:val="0"/>
          <w:caps w:val="0"/>
          <w:noProof/>
          <w:sz w:val="22"/>
          <w:szCs w:val="22"/>
        </w:rPr>
      </w:pPr>
      <w:r>
        <w:rPr>
          <w:noProof/>
        </w:rPr>
        <w:t>9.0</w:t>
      </w:r>
      <w:r>
        <w:rPr>
          <w:rFonts w:asciiTheme="minorHAnsi" w:eastAsiaTheme="minorEastAsia" w:hAnsiTheme="minorHAnsi" w:cstheme="minorBidi"/>
          <w:b w:val="0"/>
          <w:caps w:val="0"/>
          <w:noProof/>
          <w:sz w:val="22"/>
          <w:szCs w:val="22"/>
        </w:rPr>
        <w:tab/>
      </w:r>
      <w:r>
        <w:rPr>
          <w:noProof/>
        </w:rPr>
        <w:t>SUBGRADE PREPARATION</w:t>
      </w:r>
      <w:r>
        <w:rPr>
          <w:noProof/>
        </w:rPr>
        <w:tab/>
      </w:r>
      <w:r>
        <w:rPr>
          <w:noProof/>
        </w:rPr>
        <w:fldChar w:fldCharType="begin"/>
      </w:r>
      <w:r>
        <w:rPr>
          <w:noProof/>
        </w:rPr>
        <w:instrText xml:space="preserve"> PAGEREF _Toc76022221 \h </w:instrText>
      </w:r>
      <w:r>
        <w:rPr>
          <w:noProof/>
        </w:rPr>
      </w:r>
      <w:r>
        <w:rPr>
          <w:noProof/>
        </w:rPr>
        <w:fldChar w:fldCharType="separate"/>
      </w:r>
      <w:r w:rsidR="004C70DB">
        <w:rPr>
          <w:noProof/>
        </w:rPr>
        <w:t>13</w:t>
      </w:r>
      <w:r>
        <w:rPr>
          <w:noProof/>
        </w:rPr>
        <w:fldChar w:fldCharType="end"/>
      </w:r>
    </w:p>
    <w:p w14:paraId="285743E2" w14:textId="6EBE08A1" w:rsidR="0081263D" w:rsidRDefault="0081263D">
      <w:pPr>
        <w:pStyle w:val="TOC1"/>
        <w:rPr>
          <w:rFonts w:asciiTheme="minorHAnsi" w:eastAsiaTheme="minorEastAsia" w:hAnsiTheme="minorHAnsi" w:cstheme="minorBidi"/>
          <w:b w:val="0"/>
          <w:caps w:val="0"/>
          <w:noProof/>
          <w:sz w:val="22"/>
          <w:szCs w:val="22"/>
        </w:rPr>
      </w:pPr>
      <w:r>
        <w:rPr>
          <w:noProof/>
        </w:rPr>
        <w:t>10.0</w:t>
      </w:r>
      <w:r>
        <w:rPr>
          <w:rFonts w:asciiTheme="minorHAnsi" w:eastAsiaTheme="minorEastAsia" w:hAnsiTheme="minorHAnsi" w:cstheme="minorBidi"/>
          <w:b w:val="0"/>
          <w:caps w:val="0"/>
          <w:noProof/>
          <w:sz w:val="22"/>
          <w:szCs w:val="22"/>
        </w:rPr>
        <w:tab/>
      </w:r>
      <w:r>
        <w:rPr>
          <w:noProof/>
        </w:rPr>
        <w:t>DRAINAGE AND OTHER SERVICE</w:t>
      </w:r>
      <w:r w:rsidRPr="0096640A">
        <w:rPr>
          <w:rFonts w:ascii="Times New Roman" w:hAnsi="Times New Roman"/>
          <w:i/>
          <w:noProof/>
        </w:rPr>
        <w:t xml:space="preserve"> </w:t>
      </w:r>
      <w:r>
        <w:rPr>
          <w:noProof/>
        </w:rPr>
        <w:t>TRENCHES</w:t>
      </w:r>
      <w:r>
        <w:rPr>
          <w:noProof/>
        </w:rPr>
        <w:tab/>
      </w:r>
      <w:r>
        <w:rPr>
          <w:noProof/>
        </w:rPr>
        <w:fldChar w:fldCharType="begin"/>
      </w:r>
      <w:r>
        <w:rPr>
          <w:noProof/>
        </w:rPr>
        <w:instrText xml:space="preserve"> PAGEREF _Toc76022222 \h </w:instrText>
      </w:r>
      <w:r>
        <w:rPr>
          <w:noProof/>
        </w:rPr>
      </w:r>
      <w:r>
        <w:rPr>
          <w:noProof/>
        </w:rPr>
        <w:fldChar w:fldCharType="separate"/>
      </w:r>
      <w:r w:rsidR="004C70DB">
        <w:rPr>
          <w:noProof/>
        </w:rPr>
        <w:t>14</w:t>
      </w:r>
      <w:r>
        <w:rPr>
          <w:noProof/>
        </w:rPr>
        <w:fldChar w:fldCharType="end"/>
      </w:r>
    </w:p>
    <w:p w14:paraId="36D40EB7" w14:textId="2F3B9A2C" w:rsidR="0081263D" w:rsidRDefault="0081263D">
      <w:pPr>
        <w:pStyle w:val="TOC1"/>
        <w:rPr>
          <w:rFonts w:asciiTheme="minorHAnsi" w:eastAsiaTheme="minorEastAsia" w:hAnsiTheme="minorHAnsi" w:cstheme="minorBidi"/>
          <w:b w:val="0"/>
          <w:caps w:val="0"/>
          <w:noProof/>
          <w:sz w:val="22"/>
          <w:szCs w:val="22"/>
        </w:rPr>
      </w:pPr>
      <w:r>
        <w:rPr>
          <w:noProof/>
        </w:rPr>
        <w:t>11.0</w:t>
      </w:r>
      <w:r>
        <w:rPr>
          <w:rFonts w:asciiTheme="minorHAnsi" w:eastAsiaTheme="minorEastAsia" w:hAnsiTheme="minorHAnsi" w:cstheme="minorBidi"/>
          <w:b w:val="0"/>
          <w:caps w:val="0"/>
          <w:noProof/>
          <w:sz w:val="22"/>
          <w:szCs w:val="22"/>
        </w:rPr>
        <w:tab/>
      </w:r>
      <w:r>
        <w:rPr>
          <w:noProof/>
        </w:rPr>
        <w:t>service conduit installation</w:t>
      </w:r>
      <w:r>
        <w:rPr>
          <w:noProof/>
        </w:rPr>
        <w:tab/>
      </w:r>
      <w:r>
        <w:rPr>
          <w:noProof/>
        </w:rPr>
        <w:fldChar w:fldCharType="begin"/>
      </w:r>
      <w:r>
        <w:rPr>
          <w:noProof/>
        </w:rPr>
        <w:instrText xml:space="preserve"> PAGEREF _Toc76022223 \h </w:instrText>
      </w:r>
      <w:r>
        <w:rPr>
          <w:noProof/>
        </w:rPr>
      </w:r>
      <w:r>
        <w:rPr>
          <w:noProof/>
        </w:rPr>
        <w:fldChar w:fldCharType="separate"/>
      </w:r>
      <w:r w:rsidR="004C70DB">
        <w:rPr>
          <w:noProof/>
        </w:rPr>
        <w:t>14</w:t>
      </w:r>
      <w:r>
        <w:rPr>
          <w:noProof/>
        </w:rPr>
        <w:fldChar w:fldCharType="end"/>
      </w:r>
    </w:p>
    <w:p w14:paraId="0045659D" w14:textId="4FBFCFFD" w:rsidR="0081263D" w:rsidRDefault="0081263D">
      <w:pPr>
        <w:pStyle w:val="TOC1"/>
        <w:rPr>
          <w:rFonts w:asciiTheme="minorHAnsi" w:eastAsiaTheme="minorEastAsia" w:hAnsiTheme="minorHAnsi" w:cstheme="minorBidi"/>
          <w:b w:val="0"/>
          <w:caps w:val="0"/>
          <w:noProof/>
          <w:sz w:val="22"/>
          <w:szCs w:val="22"/>
        </w:rPr>
      </w:pPr>
      <w:r>
        <w:rPr>
          <w:noProof/>
        </w:rPr>
        <w:lastRenderedPageBreak/>
        <w:t>12.0</w:t>
      </w:r>
      <w:r>
        <w:rPr>
          <w:rFonts w:asciiTheme="minorHAnsi" w:eastAsiaTheme="minorEastAsia" w:hAnsiTheme="minorHAnsi" w:cstheme="minorBidi"/>
          <w:b w:val="0"/>
          <w:caps w:val="0"/>
          <w:noProof/>
          <w:sz w:val="22"/>
          <w:szCs w:val="22"/>
        </w:rPr>
        <w:tab/>
      </w:r>
      <w:r>
        <w:rPr>
          <w:noProof/>
        </w:rPr>
        <w:t>Geotextiles</w:t>
      </w:r>
      <w:r>
        <w:rPr>
          <w:noProof/>
        </w:rPr>
        <w:tab/>
      </w:r>
      <w:r>
        <w:rPr>
          <w:noProof/>
        </w:rPr>
        <w:fldChar w:fldCharType="begin"/>
      </w:r>
      <w:r>
        <w:rPr>
          <w:noProof/>
        </w:rPr>
        <w:instrText xml:space="preserve"> PAGEREF _Toc76022224 \h </w:instrText>
      </w:r>
      <w:r>
        <w:rPr>
          <w:noProof/>
        </w:rPr>
      </w:r>
      <w:r>
        <w:rPr>
          <w:noProof/>
        </w:rPr>
        <w:fldChar w:fldCharType="separate"/>
      </w:r>
      <w:r w:rsidR="004C70DB">
        <w:rPr>
          <w:noProof/>
        </w:rPr>
        <w:t>14</w:t>
      </w:r>
      <w:r>
        <w:rPr>
          <w:noProof/>
        </w:rPr>
        <w:fldChar w:fldCharType="end"/>
      </w:r>
    </w:p>
    <w:p w14:paraId="0157F76E" w14:textId="310A0923" w:rsidR="0081263D" w:rsidRDefault="0081263D">
      <w:pPr>
        <w:pStyle w:val="TOC1"/>
        <w:rPr>
          <w:rFonts w:asciiTheme="minorHAnsi" w:eastAsiaTheme="minorEastAsia" w:hAnsiTheme="minorHAnsi" w:cstheme="minorBidi"/>
          <w:b w:val="0"/>
          <w:caps w:val="0"/>
          <w:noProof/>
          <w:sz w:val="22"/>
          <w:szCs w:val="22"/>
        </w:rPr>
      </w:pPr>
      <w:r>
        <w:rPr>
          <w:noProof/>
        </w:rPr>
        <w:t>13.0</w:t>
      </w:r>
      <w:r>
        <w:rPr>
          <w:rFonts w:asciiTheme="minorHAnsi" w:eastAsiaTheme="minorEastAsia" w:hAnsiTheme="minorHAnsi" w:cstheme="minorBidi"/>
          <w:b w:val="0"/>
          <w:caps w:val="0"/>
          <w:noProof/>
          <w:sz w:val="22"/>
          <w:szCs w:val="22"/>
        </w:rPr>
        <w:tab/>
      </w:r>
      <w:r>
        <w:rPr>
          <w:noProof/>
        </w:rPr>
        <w:t>GABIONS AND MATTRESSES</w:t>
      </w:r>
      <w:r>
        <w:rPr>
          <w:noProof/>
        </w:rPr>
        <w:tab/>
      </w:r>
      <w:r>
        <w:rPr>
          <w:noProof/>
        </w:rPr>
        <w:fldChar w:fldCharType="begin"/>
      </w:r>
      <w:r>
        <w:rPr>
          <w:noProof/>
        </w:rPr>
        <w:instrText xml:space="preserve"> PAGEREF _Toc76022225 \h </w:instrText>
      </w:r>
      <w:r>
        <w:rPr>
          <w:noProof/>
        </w:rPr>
      </w:r>
      <w:r>
        <w:rPr>
          <w:noProof/>
        </w:rPr>
        <w:fldChar w:fldCharType="separate"/>
      </w:r>
      <w:r w:rsidR="004C70DB">
        <w:rPr>
          <w:noProof/>
        </w:rPr>
        <w:t>16</w:t>
      </w:r>
      <w:r>
        <w:rPr>
          <w:noProof/>
        </w:rPr>
        <w:fldChar w:fldCharType="end"/>
      </w:r>
    </w:p>
    <w:p w14:paraId="26BBDDB4" w14:textId="3F8BD09D" w:rsidR="0081263D" w:rsidRDefault="0081263D">
      <w:pPr>
        <w:pStyle w:val="TOC2"/>
        <w:rPr>
          <w:rFonts w:asciiTheme="minorHAnsi" w:eastAsiaTheme="minorEastAsia" w:hAnsiTheme="minorHAnsi" w:cstheme="minorBidi"/>
          <w:b w:val="0"/>
          <w:smallCaps w:val="0"/>
          <w:noProof/>
          <w:szCs w:val="22"/>
        </w:rPr>
      </w:pPr>
      <w:r>
        <w:rPr>
          <w:noProof/>
        </w:rPr>
        <w:t>13.1</w:t>
      </w:r>
      <w:r>
        <w:rPr>
          <w:rFonts w:asciiTheme="minorHAnsi" w:eastAsiaTheme="minorEastAsia" w:hAnsiTheme="minorHAnsi" w:cstheme="minorBidi"/>
          <w:b w:val="0"/>
          <w:smallCaps w:val="0"/>
          <w:noProof/>
          <w:szCs w:val="22"/>
        </w:rPr>
        <w:tab/>
      </w:r>
      <w:r>
        <w:rPr>
          <w:noProof/>
        </w:rPr>
        <w:t>Materials</w:t>
      </w:r>
      <w:r>
        <w:rPr>
          <w:noProof/>
        </w:rPr>
        <w:tab/>
      </w:r>
      <w:r>
        <w:rPr>
          <w:noProof/>
        </w:rPr>
        <w:fldChar w:fldCharType="begin"/>
      </w:r>
      <w:r>
        <w:rPr>
          <w:noProof/>
        </w:rPr>
        <w:instrText xml:space="preserve"> PAGEREF _Toc76022226 \h </w:instrText>
      </w:r>
      <w:r>
        <w:rPr>
          <w:noProof/>
        </w:rPr>
      </w:r>
      <w:r>
        <w:rPr>
          <w:noProof/>
        </w:rPr>
        <w:fldChar w:fldCharType="separate"/>
      </w:r>
      <w:r w:rsidR="004C70DB">
        <w:rPr>
          <w:noProof/>
        </w:rPr>
        <w:t>16</w:t>
      </w:r>
      <w:r>
        <w:rPr>
          <w:noProof/>
        </w:rPr>
        <w:fldChar w:fldCharType="end"/>
      </w:r>
    </w:p>
    <w:p w14:paraId="103500B9" w14:textId="2A7A38DE" w:rsidR="0081263D" w:rsidRDefault="0081263D">
      <w:pPr>
        <w:pStyle w:val="TOC2"/>
        <w:rPr>
          <w:rFonts w:asciiTheme="minorHAnsi" w:eastAsiaTheme="minorEastAsia" w:hAnsiTheme="minorHAnsi" w:cstheme="minorBidi"/>
          <w:b w:val="0"/>
          <w:smallCaps w:val="0"/>
          <w:noProof/>
          <w:szCs w:val="22"/>
        </w:rPr>
      </w:pPr>
      <w:r>
        <w:rPr>
          <w:noProof/>
        </w:rPr>
        <w:t>13.2</w:t>
      </w:r>
      <w:r>
        <w:rPr>
          <w:rFonts w:asciiTheme="minorHAnsi" w:eastAsiaTheme="minorEastAsia" w:hAnsiTheme="minorHAnsi" w:cstheme="minorBidi"/>
          <w:b w:val="0"/>
          <w:smallCaps w:val="0"/>
          <w:noProof/>
          <w:szCs w:val="22"/>
        </w:rPr>
        <w:tab/>
      </w:r>
      <w:r>
        <w:rPr>
          <w:noProof/>
        </w:rPr>
        <w:t>Execution</w:t>
      </w:r>
      <w:r>
        <w:rPr>
          <w:noProof/>
        </w:rPr>
        <w:tab/>
      </w:r>
      <w:r>
        <w:rPr>
          <w:noProof/>
        </w:rPr>
        <w:fldChar w:fldCharType="begin"/>
      </w:r>
      <w:r>
        <w:rPr>
          <w:noProof/>
        </w:rPr>
        <w:instrText xml:space="preserve"> PAGEREF _Toc76022227 \h </w:instrText>
      </w:r>
      <w:r>
        <w:rPr>
          <w:noProof/>
        </w:rPr>
      </w:r>
      <w:r>
        <w:rPr>
          <w:noProof/>
        </w:rPr>
        <w:fldChar w:fldCharType="separate"/>
      </w:r>
      <w:r w:rsidR="004C70DB">
        <w:rPr>
          <w:noProof/>
        </w:rPr>
        <w:t>16</w:t>
      </w:r>
      <w:r>
        <w:rPr>
          <w:noProof/>
        </w:rPr>
        <w:fldChar w:fldCharType="end"/>
      </w:r>
    </w:p>
    <w:p w14:paraId="5C696616" w14:textId="2F9FB6B9" w:rsidR="0081263D" w:rsidRDefault="0081263D">
      <w:pPr>
        <w:pStyle w:val="TOC1"/>
        <w:rPr>
          <w:rFonts w:asciiTheme="minorHAnsi" w:eastAsiaTheme="minorEastAsia" w:hAnsiTheme="minorHAnsi" w:cstheme="minorBidi"/>
          <w:b w:val="0"/>
          <w:caps w:val="0"/>
          <w:noProof/>
          <w:sz w:val="22"/>
          <w:szCs w:val="22"/>
        </w:rPr>
      </w:pPr>
      <w:r>
        <w:rPr>
          <w:noProof/>
        </w:rPr>
        <w:t>14.0</w:t>
      </w:r>
      <w:r>
        <w:rPr>
          <w:rFonts w:asciiTheme="minorHAnsi" w:eastAsiaTheme="minorEastAsia" w:hAnsiTheme="minorHAnsi" w:cstheme="minorBidi"/>
          <w:b w:val="0"/>
          <w:caps w:val="0"/>
          <w:noProof/>
          <w:sz w:val="22"/>
          <w:szCs w:val="22"/>
        </w:rPr>
        <w:tab/>
      </w:r>
      <w:r>
        <w:rPr>
          <w:noProof/>
        </w:rPr>
        <w:t>ROCK SCOUR PROTECTION</w:t>
      </w:r>
      <w:r>
        <w:rPr>
          <w:noProof/>
        </w:rPr>
        <w:tab/>
      </w:r>
      <w:r>
        <w:rPr>
          <w:noProof/>
        </w:rPr>
        <w:fldChar w:fldCharType="begin"/>
      </w:r>
      <w:r>
        <w:rPr>
          <w:noProof/>
        </w:rPr>
        <w:instrText xml:space="preserve"> PAGEREF _Toc76022228 \h </w:instrText>
      </w:r>
      <w:r>
        <w:rPr>
          <w:noProof/>
        </w:rPr>
      </w:r>
      <w:r>
        <w:rPr>
          <w:noProof/>
        </w:rPr>
        <w:fldChar w:fldCharType="separate"/>
      </w:r>
      <w:r w:rsidR="004C70DB">
        <w:rPr>
          <w:noProof/>
        </w:rPr>
        <w:t>17</w:t>
      </w:r>
      <w:r>
        <w:rPr>
          <w:noProof/>
        </w:rPr>
        <w:fldChar w:fldCharType="end"/>
      </w:r>
    </w:p>
    <w:p w14:paraId="527E52A0" w14:textId="146801CC" w:rsidR="0081263D" w:rsidRDefault="0081263D">
      <w:pPr>
        <w:pStyle w:val="TOC1"/>
        <w:rPr>
          <w:rFonts w:asciiTheme="minorHAnsi" w:eastAsiaTheme="minorEastAsia" w:hAnsiTheme="minorHAnsi" w:cstheme="minorBidi"/>
          <w:b w:val="0"/>
          <w:caps w:val="0"/>
          <w:noProof/>
          <w:sz w:val="22"/>
          <w:szCs w:val="22"/>
        </w:rPr>
      </w:pPr>
      <w:r>
        <w:rPr>
          <w:noProof/>
        </w:rPr>
        <w:t>15.0</w:t>
      </w:r>
      <w:r>
        <w:rPr>
          <w:rFonts w:asciiTheme="minorHAnsi" w:eastAsiaTheme="minorEastAsia" w:hAnsiTheme="minorHAnsi" w:cstheme="minorBidi"/>
          <w:b w:val="0"/>
          <w:caps w:val="0"/>
          <w:noProof/>
          <w:sz w:val="22"/>
          <w:szCs w:val="22"/>
        </w:rPr>
        <w:tab/>
      </w:r>
      <w:r>
        <w:rPr>
          <w:noProof/>
        </w:rPr>
        <w:t>ROCK FILLING</w:t>
      </w:r>
      <w:r>
        <w:rPr>
          <w:noProof/>
        </w:rPr>
        <w:tab/>
      </w:r>
      <w:r>
        <w:rPr>
          <w:noProof/>
        </w:rPr>
        <w:fldChar w:fldCharType="begin"/>
      </w:r>
      <w:r>
        <w:rPr>
          <w:noProof/>
        </w:rPr>
        <w:instrText xml:space="preserve"> PAGEREF _Toc76022229 \h </w:instrText>
      </w:r>
      <w:r>
        <w:rPr>
          <w:noProof/>
        </w:rPr>
      </w:r>
      <w:r>
        <w:rPr>
          <w:noProof/>
        </w:rPr>
        <w:fldChar w:fldCharType="separate"/>
      </w:r>
      <w:r w:rsidR="004C70DB">
        <w:rPr>
          <w:noProof/>
        </w:rPr>
        <w:t>17</w:t>
      </w:r>
      <w:r>
        <w:rPr>
          <w:noProof/>
        </w:rPr>
        <w:fldChar w:fldCharType="end"/>
      </w:r>
    </w:p>
    <w:p w14:paraId="5334AEE6" w14:textId="72E3ED25" w:rsidR="0081263D" w:rsidRDefault="0081263D">
      <w:pPr>
        <w:pStyle w:val="TOC1"/>
        <w:rPr>
          <w:rFonts w:asciiTheme="minorHAnsi" w:eastAsiaTheme="minorEastAsia" w:hAnsiTheme="minorHAnsi" w:cstheme="minorBidi"/>
          <w:b w:val="0"/>
          <w:caps w:val="0"/>
          <w:noProof/>
          <w:sz w:val="22"/>
          <w:szCs w:val="22"/>
        </w:rPr>
      </w:pPr>
      <w:r>
        <w:rPr>
          <w:noProof/>
        </w:rPr>
        <w:t>16.0</w:t>
      </w:r>
      <w:r>
        <w:rPr>
          <w:rFonts w:asciiTheme="minorHAnsi" w:eastAsiaTheme="minorEastAsia" w:hAnsiTheme="minorHAnsi" w:cstheme="minorBidi"/>
          <w:b w:val="0"/>
          <w:caps w:val="0"/>
          <w:noProof/>
          <w:sz w:val="22"/>
          <w:szCs w:val="22"/>
        </w:rPr>
        <w:tab/>
      </w:r>
      <w:r>
        <w:rPr>
          <w:noProof/>
        </w:rPr>
        <w:t>Barriers and membranes</w:t>
      </w:r>
      <w:r>
        <w:rPr>
          <w:noProof/>
        </w:rPr>
        <w:tab/>
      </w:r>
      <w:r>
        <w:rPr>
          <w:noProof/>
        </w:rPr>
        <w:fldChar w:fldCharType="begin"/>
      </w:r>
      <w:r>
        <w:rPr>
          <w:noProof/>
        </w:rPr>
        <w:instrText xml:space="preserve"> PAGEREF _Toc76022230 \h </w:instrText>
      </w:r>
      <w:r>
        <w:rPr>
          <w:noProof/>
        </w:rPr>
      </w:r>
      <w:r>
        <w:rPr>
          <w:noProof/>
        </w:rPr>
        <w:fldChar w:fldCharType="separate"/>
      </w:r>
      <w:r w:rsidR="004C70DB">
        <w:rPr>
          <w:noProof/>
        </w:rPr>
        <w:t>18</w:t>
      </w:r>
      <w:r>
        <w:rPr>
          <w:noProof/>
        </w:rPr>
        <w:fldChar w:fldCharType="end"/>
      </w:r>
    </w:p>
    <w:p w14:paraId="2726812D" w14:textId="7E3BADA7" w:rsidR="0081263D" w:rsidRDefault="0081263D">
      <w:pPr>
        <w:pStyle w:val="TOC1"/>
        <w:rPr>
          <w:rFonts w:asciiTheme="minorHAnsi" w:eastAsiaTheme="minorEastAsia" w:hAnsiTheme="minorHAnsi" w:cstheme="minorBidi"/>
          <w:b w:val="0"/>
          <w:caps w:val="0"/>
          <w:noProof/>
          <w:sz w:val="22"/>
          <w:szCs w:val="22"/>
        </w:rPr>
      </w:pPr>
      <w:r>
        <w:rPr>
          <w:noProof/>
        </w:rPr>
        <w:t>17.0</w:t>
      </w:r>
      <w:r>
        <w:rPr>
          <w:rFonts w:asciiTheme="minorHAnsi" w:eastAsiaTheme="minorEastAsia" w:hAnsiTheme="minorHAnsi" w:cstheme="minorBidi"/>
          <w:b w:val="0"/>
          <w:caps w:val="0"/>
          <w:noProof/>
          <w:sz w:val="22"/>
          <w:szCs w:val="22"/>
        </w:rPr>
        <w:tab/>
      </w:r>
      <w:r>
        <w:rPr>
          <w:noProof/>
        </w:rPr>
        <w:t>RETAINING WALLS</w:t>
      </w:r>
      <w:r>
        <w:rPr>
          <w:noProof/>
        </w:rPr>
        <w:tab/>
      </w:r>
      <w:r>
        <w:rPr>
          <w:noProof/>
        </w:rPr>
        <w:fldChar w:fldCharType="begin"/>
      </w:r>
      <w:r>
        <w:rPr>
          <w:noProof/>
        </w:rPr>
        <w:instrText xml:space="preserve"> PAGEREF _Toc76022231 \h </w:instrText>
      </w:r>
      <w:r>
        <w:rPr>
          <w:noProof/>
        </w:rPr>
      </w:r>
      <w:r>
        <w:rPr>
          <w:noProof/>
        </w:rPr>
        <w:fldChar w:fldCharType="separate"/>
      </w:r>
      <w:r w:rsidR="004C70DB">
        <w:rPr>
          <w:noProof/>
        </w:rPr>
        <w:t>18</w:t>
      </w:r>
      <w:r>
        <w:rPr>
          <w:noProof/>
        </w:rPr>
        <w:fldChar w:fldCharType="end"/>
      </w:r>
    </w:p>
    <w:p w14:paraId="0B366A1A" w14:textId="5A25EEF7" w:rsidR="0081263D" w:rsidRDefault="0081263D">
      <w:pPr>
        <w:pStyle w:val="TOC2"/>
        <w:rPr>
          <w:rFonts w:asciiTheme="minorHAnsi" w:eastAsiaTheme="minorEastAsia" w:hAnsiTheme="minorHAnsi" w:cstheme="minorBidi"/>
          <w:b w:val="0"/>
          <w:smallCaps w:val="0"/>
          <w:noProof/>
          <w:szCs w:val="22"/>
        </w:rPr>
      </w:pPr>
      <w:r>
        <w:rPr>
          <w:noProof/>
        </w:rPr>
        <w:t>17.1</w:t>
      </w:r>
      <w:r>
        <w:rPr>
          <w:rFonts w:asciiTheme="minorHAnsi" w:eastAsiaTheme="minorEastAsia" w:hAnsiTheme="minorHAnsi" w:cstheme="minorBidi"/>
          <w:b w:val="0"/>
          <w:smallCaps w:val="0"/>
          <w:noProof/>
          <w:szCs w:val="22"/>
        </w:rPr>
        <w:tab/>
      </w:r>
      <w:r>
        <w:rPr>
          <w:noProof/>
        </w:rPr>
        <w:t>Crib Walls</w:t>
      </w:r>
      <w:r>
        <w:rPr>
          <w:noProof/>
        </w:rPr>
        <w:tab/>
      </w:r>
      <w:r>
        <w:rPr>
          <w:noProof/>
        </w:rPr>
        <w:fldChar w:fldCharType="begin"/>
      </w:r>
      <w:r>
        <w:rPr>
          <w:noProof/>
        </w:rPr>
        <w:instrText xml:space="preserve"> PAGEREF _Toc76022232 \h </w:instrText>
      </w:r>
      <w:r>
        <w:rPr>
          <w:noProof/>
        </w:rPr>
      </w:r>
      <w:r>
        <w:rPr>
          <w:noProof/>
        </w:rPr>
        <w:fldChar w:fldCharType="separate"/>
      </w:r>
      <w:r w:rsidR="004C70DB">
        <w:rPr>
          <w:noProof/>
        </w:rPr>
        <w:t>18</w:t>
      </w:r>
      <w:r>
        <w:rPr>
          <w:noProof/>
        </w:rPr>
        <w:fldChar w:fldCharType="end"/>
      </w:r>
    </w:p>
    <w:p w14:paraId="41911740" w14:textId="3D15FF04" w:rsidR="0081263D" w:rsidRDefault="0081263D">
      <w:pPr>
        <w:pStyle w:val="TOC2"/>
        <w:rPr>
          <w:rFonts w:asciiTheme="minorHAnsi" w:eastAsiaTheme="minorEastAsia" w:hAnsiTheme="minorHAnsi" w:cstheme="minorBidi"/>
          <w:b w:val="0"/>
          <w:smallCaps w:val="0"/>
          <w:noProof/>
          <w:szCs w:val="22"/>
        </w:rPr>
      </w:pPr>
      <w:r>
        <w:rPr>
          <w:noProof/>
        </w:rPr>
        <w:t>17.2</w:t>
      </w:r>
      <w:r>
        <w:rPr>
          <w:rFonts w:asciiTheme="minorHAnsi" w:eastAsiaTheme="minorEastAsia" w:hAnsiTheme="minorHAnsi" w:cstheme="minorBidi"/>
          <w:b w:val="0"/>
          <w:smallCaps w:val="0"/>
          <w:noProof/>
          <w:szCs w:val="22"/>
        </w:rPr>
        <w:tab/>
      </w:r>
      <w:r>
        <w:rPr>
          <w:noProof/>
        </w:rPr>
        <w:t>Earth Reinforcement</w:t>
      </w:r>
      <w:r>
        <w:rPr>
          <w:noProof/>
        </w:rPr>
        <w:tab/>
      </w:r>
      <w:r>
        <w:rPr>
          <w:noProof/>
        </w:rPr>
        <w:fldChar w:fldCharType="begin"/>
      </w:r>
      <w:r>
        <w:rPr>
          <w:noProof/>
        </w:rPr>
        <w:instrText xml:space="preserve"> PAGEREF _Toc76022233 \h </w:instrText>
      </w:r>
      <w:r>
        <w:rPr>
          <w:noProof/>
        </w:rPr>
      </w:r>
      <w:r>
        <w:rPr>
          <w:noProof/>
        </w:rPr>
        <w:fldChar w:fldCharType="separate"/>
      </w:r>
      <w:r w:rsidR="004C70DB">
        <w:rPr>
          <w:noProof/>
        </w:rPr>
        <w:t>18</w:t>
      </w:r>
      <w:r>
        <w:rPr>
          <w:noProof/>
        </w:rPr>
        <w:fldChar w:fldCharType="end"/>
      </w:r>
    </w:p>
    <w:p w14:paraId="7635C7BD" w14:textId="5F19F502" w:rsidR="0081263D" w:rsidRDefault="0081263D">
      <w:pPr>
        <w:pStyle w:val="TOC1"/>
        <w:rPr>
          <w:rFonts w:asciiTheme="minorHAnsi" w:eastAsiaTheme="minorEastAsia" w:hAnsiTheme="minorHAnsi" w:cstheme="minorBidi"/>
          <w:b w:val="0"/>
          <w:caps w:val="0"/>
          <w:noProof/>
          <w:sz w:val="22"/>
          <w:szCs w:val="22"/>
        </w:rPr>
      </w:pPr>
      <w:r>
        <w:rPr>
          <w:noProof/>
        </w:rPr>
        <w:t>18.0</w:t>
      </w:r>
      <w:r>
        <w:rPr>
          <w:rFonts w:asciiTheme="minorHAnsi" w:eastAsiaTheme="minorEastAsia" w:hAnsiTheme="minorHAnsi" w:cstheme="minorBidi"/>
          <w:b w:val="0"/>
          <w:caps w:val="0"/>
          <w:noProof/>
          <w:sz w:val="22"/>
          <w:szCs w:val="22"/>
        </w:rPr>
        <w:tab/>
      </w:r>
      <w:r>
        <w:rPr>
          <w:noProof/>
        </w:rPr>
        <w:t>GROUND ANCHORS</w:t>
      </w:r>
      <w:r>
        <w:rPr>
          <w:noProof/>
        </w:rPr>
        <w:tab/>
      </w:r>
      <w:r>
        <w:rPr>
          <w:noProof/>
        </w:rPr>
        <w:fldChar w:fldCharType="begin"/>
      </w:r>
      <w:r>
        <w:rPr>
          <w:noProof/>
        </w:rPr>
        <w:instrText xml:space="preserve"> PAGEREF _Toc76022234 \h </w:instrText>
      </w:r>
      <w:r>
        <w:rPr>
          <w:noProof/>
        </w:rPr>
      </w:r>
      <w:r>
        <w:rPr>
          <w:noProof/>
        </w:rPr>
        <w:fldChar w:fldCharType="separate"/>
      </w:r>
      <w:r w:rsidR="004C70DB">
        <w:rPr>
          <w:noProof/>
        </w:rPr>
        <w:t>19</w:t>
      </w:r>
      <w:r>
        <w:rPr>
          <w:noProof/>
        </w:rPr>
        <w:fldChar w:fldCharType="end"/>
      </w:r>
    </w:p>
    <w:p w14:paraId="083CA788" w14:textId="04792436" w:rsidR="0081263D" w:rsidRDefault="0081263D">
      <w:pPr>
        <w:pStyle w:val="TOC2"/>
        <w:rPr>
          <w:rFonts w:asciiTheme="minorHAnsi" w:eastAsiaTheme="minorEastAsia" w:hAnsiTheme="minorHAnsi" w:cstheme="minorBidi"/>
          <w:b w:val="0"/>
          <w:smallCaps w:val="0"/>
          <w:noProof/>
          <w:szCs w:val="22"/>
        </w:rPr>
      </w:pPr>
      <w:r>
        <w:rPr>
          <w:noProof/>
        </w:rPr>
        <w:t>18.1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_Toc76022235 \h </w:instrText>
      </w:r>
      <w:r>
        <w:rPr>
          <w:noProof/>
        </w:rPr>
      </w:r>
      <w:r>
        <w:rPr>
          <w:noProof/>
        </w:rPr>
        <w:fldChar w:fldCharType="separate"/>
      </w:r>
      <w:r w:rsidR="004C70DB">
        <w:rPr>
          <w:noProof/>
        </w:rPr>
        <w:t>19</w:t>
      </w:r>
      <w:r>
        <w:rPr>
          <w:noProof/>
        </w:rPr>
        <w:fldChar w:fldCharType="end"/>
      </w:r>
    </w:p>
    <w:p w14:paraId="19F3C847" w14:textId="56F5BE6F" w:rsidR="0081263D" w:rsidRDefault="0081263D">
      <w:pPr>
        <w:pStyle w:val="TOC2"/>
        <w:rPr>
          <w:rFonts w:asciiTheme="minorHAnsi" w:eastAsiaTheme="minorEastAsia" w:hAnsiTheme="minorHAnsi" w:cstheme="minorBidi"/>
          <w:b w:val="0"/>
          <w:smallCaps w:val="0"/>
          <w:noProof/>
          <w:szCs w:val="22"/>
        </w:rPr>
      </w:pPr>
      <w:r>
        <w:rPr>
          <w:noProof/>
        </w:rPr>
        <w:t>18.2</w:t>
      </w:r>
      <w:r>
        <w:rPr>
          <w:rFonts w:asciiTheme="minorHAnsi" w:eastAsiaTheme="minorEastAsia" w:hAnsiTheme="minorHAnsi" w:cstheme="minorBidi"/>
          <w:b w:val="0"/>
          <w:smallCaps w:val="0"/>
          <w:noProof/>
          <w:szCs w:val="22"/>
        </w:rPr>
        <w:tab/>
      </w:r>
      <w:r>
        <w:rPr>
          <w:noProof/>
        </w:rPr>
        <w:t>Execution</w:t>
      </w:r>
      <w:r>
        <w:rPr>
          <w:noProof/>
        </w:rPr>
        <w:tab/>
      </w:r>
      <w:r>
        <w:rPr>
          <w:noProof/>
        </w:rPr>
        <w:fldChar w:fldCharType="begin"/>
      </w:r>
      <w:r>
        <w:rPr>
          <w:noProof/>
        </w:rPr>
        <w:instrText xml:space="preserve"> PAGEREF _Toc76022236 \h </w:instrText>
      </w:r>
      <w:r>
        <w:rPr>
          <w:noProof/>
        </w:rPr>
      </w:r>
      <w:r>
        <w:rPr>
          <w:noProof/>
        </w:rPr>
        <w:fldChar w:fldCharType="separate"/>
      </w:r>
      <w:r w:rsidR="004C70DB">
        <w:rPr>
          <w:noProof/>
        </w:rPr>
        <w:t>19</w:t>
      </w:r>
      <w:r>
        <w:rPr>
          <w:noProof/>
        </w:rPr>
        <w:fldChar w:fldCharType="end"/>
      </w:r>
    </w:p>
    <w:p w14:paraId="383D0521" w14:textId="3857044A" w:rsidR="00456E0A" w:rsidRDefault="0081263D">
      <w:pPr>
        <w:rPr>
          <w:caps/>
          <w:sz w:val="22"/>
        </w:rPr>
      </w:pPr>
      <w:r>
        <w:rPr>
          <w:b/>
          <w:caps/>
          <w:sz w:val="24"/>
        </w:rPr>
        <w:fldChar w:fldCharType="end"/>
      </w:r>
    </w:p>
    <w:p w14:paraId="48362325" w14:textId="77777777" w:rsidR="008F34C5" w:rsidRDefault="008F34C5">
      <w:pPr>
        <w:sectPr w:rsidR="008F34C5" w:rsidSect="00D26416">
          <w:footerReference w:type="default" r:id="rId17"/>
          <w:pgSz w:w="11906" w:h="16838" w:code="9"/>
          <w:pgMar w:top="992" w:right="1418" w:bottom="992" w:left="1418" w:header="1134" w:footer="851" w:gutter="0"/>
          <w:pgNumType w:fmt="lowerRoman" w:start="1"/>
          <w:cols w:space="720"/>
          <w:docGrid w:linePitch="272"/>
        </w:sectPr>
      </w:pPr>
    </w:p>
    <w:p w14:paraId="5FEF0BB8" w14:textId="77777777" w:rsidR="00456E0A" w:rsidRPr="006A2600" w:rsidRDefault="00456E0A" w:rsidP="006A2600">
      <w:pPr>
        <w:pStyle w:val="Heading2"/>
      </w:pPr>
      <w:bookmarkStart w:id="5" w:name="_Toc493942071"/>
      <w:bookmarkStart w:id="6" w:name="_Toc493986910"/>
      <w:bookmarkStart w:id="7" w:name="_Toc76022180"/>
      <w:bookmarkEnd w:id="3"/>
      <w:bookmarkEnd w:id="4"/>
      <w:r w:rsidRPr="006A2600">
        <w:lastRenderedPageBreak/>
        <w:t>GENERAL</w:t>
      </w:r>
      <w:bookmarkEnd w:id="5"/>
      <w:bookmarkEnd w:id="6"/>
      <w:bookmarkEnd w:id="7"/>
    </w:p>
    <w:p w14:paraId="70A18468" w14:textId="62AE9C94" w:rsidR="00456E0A" w:rsidRPr="006A2600" w:rsidRDefault="006A2600" w:rsidP="006A2600">
      <w:pPr>
        <w:pStyle w:val="Heading3"/>
      </w:pPr>
      <w:bookmarkStart w:id="8" w:name="_Toc76022181"/>
      <w:r w:rsidRPr="006A2600">
        <w:rPr>
          <w:caps w:val="0"/>
        </w:rPr>
        <w:t>SECTION CONTENT</w:t>
      </w:r>
      <w:bookmarkEnd w:id="8"/>
    </w:p>
    <w:p w14:paraId="7F617F91" w14:textId="77777777" w:rsidR="00456E0A" w:rsidRDefault="00456E0A">
      <w:pPr>
        <w:pStyle w:val="BodyTextIndent2"/>
        <w:spacing w:after="0"/>
        <w:jc w:val="both"/>
      </w:pPr>
      <w:r>
        <w:t>Ground works generally, protection of trees, site clearing, excavation, placing and compacting fill, installation of geotextile, gabions and mattresses, sluiced rock fill, crib walls, earth reinforcement and ground anchors.</w:t>
      </w:r>
    </w:p>
    <w:p w14:paraId="5A67CC32" w14:textId="77777777" w:rsidR="00C70382" w:rsidRDefault="00C70382">
      <w:pPr>
        <w:pStyle w:val="BodyTextIndent2"/>
        <w:spacing w:after="0"/>
        <w:jc w:val="both"/>
      </w:pPr>
      <w:r>
        <w:t xml:space="preserve">Drainage and service trenches and installation of service conduits is now contained in </w:t>
      </w:r>
      <w:r>
        <w:rPr>
          <w:i/>
        </w:rPr>
        <w:t>S145 Installation and Maintenance of Utility Services</w:t>
      </w:r>
      <w:r>
        <w:t>,</w:t>
      </w:r>
    </w:p>
    <w:p w14:paraId="5B117101" w14:textId="77777777" w:rsidR="006D440F" w:rsidRDefault="006D440F" w:rsidP="006A2600">
      <w:pPr>
        <w:pStyle w:val="Heading3"/>
      </w:pPr>
      <w:bookmarkStart w:id="9" w:name="_Toc76022182"/>
      <w:r>
        <w:t>Standards</w:t>
      </w:r>
      <w:bookmarkEnd w:id="9"/>
    </w:p>
    <w:tbl>
      <w:tblPr>
        <w:tblW w:w="0" w:type="auto"/>
        <w:tblInd w:w="709" w:type="dxa"/>
        <w:tblLook w:val="0400" w:firstRow="0" w:lastRow="0" w:firstColumn="0" w:lastColumn="0" w:noHBand="0" w:noVBand="1"/>
      </w:tblPr>
      <w:tblGrid>
        <w:gridCol w:w="2193"/>
        <w:gridCol w:w="1684"/>
        <w:gridCol w:w="16"/>
        <w:gridCol w:w="4468"/>
      </w:tblGrid>
      <w:tr w:rsidR="009A1473" w:rsidRPr="009A1473" w14:paraId="0EBEC3C2" w14:textId="77777777" w:rsidTr="007725F7">
        <w:trPr>
          <w:trHeight w:val="340"/>
        </w:trPr>
        <w:tc>
          <w:tcPr>
            <w:tcW w:w="2193" w:type="dxa"/>
            <w:vAlign w:val="center"/>
          </w:tcPr>
          <w:p w14:paraId="47292135" w14:textId="77777777" w:rsidR="009A1473" w:rsidRPr="009A1473" w:rsidRDefault="009A1473" w:rsidP="009A1473">
            <w:pPr>
              <w:pStyle w:val="Table"/>
            </w:pPr>
            <w:r w:rsidRPr="009A1473">
              <w:t>Australian Standard</w:t>
            </w:r>
          </w:p>
        </w:tc>
        <w:tc>
          <w:tcPr>
            <w:tcW w:w="1684" w:type="dxa"/>
            <w:vAlign w:val="center"/>
          </w:tcPr>
          <w:p w14:paraId="0FEBD309" w14:textId="77777777" w:rsidR="009A1473" w:rsidRPr="009A1473" w:rsidRDefault="009A1473" w:rsidP="009A1473">
            <w:pPr>
              <w:pStyle w:val="TableCen"/>
            </w:pPr>
            <w:r>
              <w:t>AS 1141.22</w:t>
            </w:r>
          </w:p>
        </w:tc>
        <w:tc>
          <w:tcPr>
            <w:tcW w:w="4484" w:type="dxa"/>
            <w:gridSpan w:val="2"/>
            <w:vAlign w:val="center"/>
          </w:tcPr>
          <w:p w14:paraId="650BBF82" w14:textId="77777777" w:rsidR="009A1473" w:rsidRPr="009A1473" w:rsidRDefault="009A1473" w:rsidP="009A1473">
            <w:pPr>
              <w:pStyle w:val="Table"/>
            </w:pPr>
            <w:r>
              <w:t>Methods for sampling and testing aggregates - Wet/dry strength variation</w:t>
            </w:r>
          </w:p>
        </w:tc>
      </w:tr>
      <w:tr w:rsidR="009A1473" w:rsidRPr="009A1473" w14:paraId="12BAA925" w14:textId="77777777" w:rsidTr="007725F7">
        <w:trPr>
          <w:trHeight w:val="340"/>
        </w:trPr>
        <w:tc>
          <w:tcPr>
            <w:tcW w:w="2193" w:type="dxa"/>
            <w:vAlign w:val="center"/>
          </w:tcPr>
          <w:p w14:paraId="4768A1AC" w14:textId="77777777" w:rsidR="009A1473" w:rsidRPr="009A1473" w:rsidRDefault="009A1473" w:rsidP="009A1473">
            <w:pPr>
              <w:pStyle w:val="Table"/>
            </w:pPr>
            <w:r w:rsidRPr="009A1473">
              <w:t>Australian Standard</w:t>
            </w:r>
          </w:p>
        </w:tc>
        <w:tc>
          <w:tcPr>
            <w:tcW w:w="1684" w:type="dxa"/>
            <w:vAlign w:val="center"/>
          </w:tcPr>
          <w:p w14:paraId="140F262B" w14:textId="77777777" w:rsidR="009A1473" w:rsidRPr="009A1473" w:rsidRDefault="009A1473" w:rsidP="009A1473">
            <w:pPr>
              <w:pStyle w:val="TableCen"/>
            </w:pPr>
            <w:r>
              <w:t>AS 1289.5.8.1</w:t>
            </w:r>
          </w:p>
        </w:tc>
        <w:tc>
          <w:tcPr>
            <w:tcW w:w="4484" w:type="dxa"/>
            <w:gridSpan w:val="2"/>
            <w:vAlign w:val="center"/>
          </w:tcPr>
          <w:p w14:paraId="2437FB91" w14:textId="77777777" w:rsidR="009A1473" w:rsidRPr="009A1473" w:rsidRDefault="009A1473" w:rsidP="009A1473">
            <w:pPr>
              <w:pStyle w:val="Table"/>
            </w:pPr>
            <w:r>
              <w:t>Methods of testing soils for engineering purposes – Soil compaction and density tests – Determination of field density and field moisture content of a soil using a nuclear surface moisture – Density gauge – Direct transmission mode</w:t>
            </w:r>
          </w:p>
        </w:tc>
      </w:tr>
      <w:tr w:rsidR="009A1473" w:rsidRPr="009A1473" w14:paraId="04CFE795" w14:textId="77777777" w:rsidTr="007725F7">
        <w:trPr>
          <w:trHeight w:val="340"/>
        </w:trPr>
        <w:tc>
          <w:tcPr>
            <w:tcW w:w="2193" w:type="dxa"/>
            <w:vAlign w:val="center"/>
          </w:tcPr>
          <w:p w14:paraId="1DF79E26" w14:textId="77777777" w:rsidR="009A1473" w:rsidRPr="009A1473" w:rsidRDefault="009A1473" w:rsidP="009A1473">
            <w:pPr>
              <w:pStyle w:val="Table"/>
            </w:pPr>
            <w:r w:rsidRPr="009A1473">
              <w:t>Australian Standard</w:t>
            </w:r>
          </w:p>
        </w:tc>
        <w:tc>
          <w:tcPr>
            <w:tcW w:w="1684" w:type="dxa"/>
            <w:vAlign w:val="center"/>
          </w:tcPr>
          <w:p w14:paraId="3F7AEA00" w14:textId="77777777" w:rsidR="009A1473" w:rsidRPr="009A1473" w:rsidRDefault="009A1473" w:rsidP="009A1473">
            <w:pPr>
              <w:pStyle w:val="TableCen"/>
            </w:pPr>
            <w:r>
              <w:t>AS 1289.5.1.1</w:t>
            </w:r>
          </w:p>
        </w:tc>
        <w:tc>
          <w:tcPr>
            <w:tcW w:w="4484" w:type="dxa"/>
            <w:gridSpan w:val="2"/>
            <w:vAlign w:val="center"/>
          </w:tcPr>
          <w:p w14:paraId="696FE5CD" w14:textId="77777777" w:rsidR="009A1473" w:rsidRPr="009A1473" w:rsidRDefault="009A1473" w:rsidP="009A1473">
            <w:pPr>
              <w:pStyle w:val="Table"/>
            </w:pPr>
            <w:r>
              <w:t>Methods of testing soils for engineering purposes – Soil compaction and density tests – Determination of the dry density/moisture content relation of a soil using standard compactive effort</w:t>
            </w:r>
          </w:p>
        </w:tc>
      </w:tr>
      <w:tr w:rsidR="009A1473" w:rsidRPr="009A1473" w14:paraId="3F9F219B" w14:textId="77777777" w:rsidTr="007725F7">
        <w:trPr>
          <w:trHeight w:val="340"/>
        </w:trPr>
        <w:tc>
          <w:tcPr>
            <w:tcW w:w="2193" w:type="dxa"/>
            <w:vAlign w:val="center"/>
          </w:tcPr>
          <w:p w14:paraId="36F3E724" w14:textId="77777777" w:rsidR="009A1473" w:rsidRPr="009A1473" w:rsidRDefault="009A1473" w:rsidP="009A1473">
            <w:pPr>
              <w:pStyle w:val="Table"/>
            </w:pPr>
            <w:r w:rsidRPr="009A1473">
              <w:t>Australian Standard</w:t>
            </w:r>
          </w:p>
        </w:tc>
        <w:tc>
          <w:tcPr>
            <w:tcW w:w="1684" w:type="dxa"/>
            <w:vAlign w:val="center"/>
          </w:tcPr>
          <w:p w14:paraId="45F729C4" w14:textId="77777777" w:rsidR="009A1473" w:rsidRPr="009A1473" w:rsidRDefault="009A1473" w:rsidP="009A1473">
            <w:pPr>
              <w:pStyle w:val="TableCen"/>
            </w:pPr>
            <w:r>
              <w:t>AS 1289.5.3.5</w:t>
            </w:r>
          </w:p>
        </w:tc>
        <w:tc>
          <w:tcPr>
            <w:tcW w:w="4484" w:type="dxa"/>
            <w:gridSpan w:val="2"/>
            <w:vAlign w:val="center"/>
          </w:tcPr>
          <w:p w14:paraId="360A2E4D" w14:textId="77777777" w:rsidR="009A1473" w:rsidRPr="009A1473" w:rsidRDefault="009A1473" w:rsidP="009A1473">
            <w:pPr>
              <w:pStyle w:val="Table"/>
            </w:pPr>
            <w:r>
              <w:t>Methods of testing soils for engineering purposes – Soil compaction and density tests – Determination of the field dry density of a soil – Water replacement method</w:t>
            </w:r>
          </w:p>
        </w:tc>
      </w:tr>
      <w:tr w:rsidR="009A1473" w:rsidRPr="009A1473" w14:paraId="67F28FE2" w14:textId="77777777" w:rsidTr="007725F7">
        <w:trPr>
          <w:trHeight w:val="340"/>
        </w:trPr>
        <w:tc>
          <w:tcPr>
            <w:tcW w:w="2193" w:type="dxa"/>
            <w:vAlign w:val="center"/>
          </w:tcPr>
          <w:p w14:paraId="56D904C9" w14:textId="77777777" w:rsidR="009A1473" w:rsidRPr="009A1473" w:rsidRDefault="009A1473" w:rsidP="009A1473">
            <w:pPr>
              <w:pStyle w:val="Table"/>
            </w:pPr>
            <w:r w:rsidRPr="009A1473">
              <w:t>Australian Standard</w:t>
            </w:r>
          </w:p>
        </w:tc>
        <w:tc>
          <w:tcPr>
            <w:tcW w:w="1684" w:type="dxa"/>
            <w:vAlign w:val="center"/>
          </w:tcPr>
          <w:p w14:paraId="5E9965D0" w14:textId="77777777" w:rsidR="009A1473" w:rsidRPr="009A1473" w:rsidRDefault="009A1473" w:rsidP="009A1473">
            <w:pPr>
              <w:pStyle w:val="TableCen"/>
            </w:pPr>
            <w:r>
              <w:t>AS 1289.5.4.1</w:t>
            </w:r>
          </w:p>
        </w:tc>
        <w:tc>
          <w:tcPr>
            <w:tcW w:w="4484" w:type="dxa"/>
            <w:gridSpan w:val="2"/>
            <w:vAlign w:val="center"/>
          </w:tcPr>
          <w:p w14:paraId="3DE3D1C0" w14:textId="77777777" w:rsidR="009A1473" w:rsidRPr="009A1473" w:rsidRDefault="009A1473" w:rsidP="009A1473">
            <w:pPr>
              <w:pStyle w:val="Table"/>
            </w:pPr>
            <w:r>
              <w:t>Methods of testing soils for engineering purposes – Soil compaction and density tests – Compaction control test – Dry density ratio, moisture variation and moisture ratio</w:t>
            </w:r>
          </w:p>
        </w:tc>
      </w:tr>
      <w:tr w:rsidR="009A1473" w:rsidRPr="009A1473" w14:paraId="3DEEDB36" w14:textId="77777777" w:rsidTr="007725F7">
        <w:trPr>
          <w:trHeight w:val="340"/>
        </w:trPr>
        <w:tc>
          <w:tcPr>
            <w:tcW w:w="2193" w:type="dxa"/>
            <w:vAlign w:val="center"/>
          </w:tcPr>
          <w:p w14:paraId="5F86C8D6" w14:textId="77777777" w:rsidR="009A1473" w:rsidRPr="009A1473" w:rsidRDefault="009A1473" w:rsidP="009A1473">
            <w:pPr>
              <w:pStyle w:val="Table"/>
            </w:pPr>
            <w:r w:rsidRPr="009A1473">
              <w:t>Australian Standard</w:t>
            </w:r>
          </w:p>
        </w:tc>
        <w:tc>
          <w:tcPr>
            <w:tcW w:w="1684" w:type="dxa"/>
            <w:vAlign w:val="center"/>
          </w:tcPr>
          <w:p w14:paraId="50D39D9F" w14:textId="77777777" w:rsidR="009A1473" w:rsidRPr="009A1473" w:rsidRDefault="009A1473" w:rsidP="009A1473">
            <w:pPr>
              <w:pStyle w:val="TableCen"/>
            </w:pPr>
            <w:r>
              <w:t>AS 1289.5.5.1</w:t>
            </w:r>
          </w:p>
        </w:tc>
        <w:tc>
          <w:tcPr>
            <w:tcW w:w="4484" w:type="dxa"/>
            <w:gridSpan w:val="2"/>
            <w:vAlign w:val="center"/>
          </w:tcPr>
          <w:p w14:paraId="6152BB78" w14:textId="77777777" w:rsidR="009A1473" w:rsidRPr="009A1473" w:rsidRDefault="009A1473" w:rsidP="009A1473">
            <w:pPr>
              <w:pStyle w:val="Table"/>
            </w:pPr>
            <w:r>
              <w:t>Methods of testing soils for engineering purposes - Soil compaction and density tests – Determination of the minimum and maximum dry density of a cohesionless material – Standard method</w:t>
            </w:r>
          </w:p>
        </w:tc>
      </w:tr>
      <w:tr w:rsidR="009A1473" w:rsidRPr="009A1473" w14:paraId="4DAB167E" w14:textId="77777777" w:rsidTr="007725F7">
        <w:trPr>
          <w:trHeight w:val="340"/>
        </w:trPr>
        <w:tc>
          <w:tcPr>
            <w:tcW w:w="2193" w:type="dxa"/>
            <w:vAlign w:val="center"/>
          </w:tcPr>
          <w:p w14:paraId="0F5C80AF" w14:textId="77777777" w:rsidR="009A1473" w:rsidRPr="009A1473" w:rsidRDefault="009A1473" w:rsidP="009A1473">
            <w:pPr>
              <w:pStyle w:val="Table"/>
            </w:pPr>
            <w:r w:rsidRPr="009A1473">
              <w:t>Australian Standard</w:t>
            </w:r>
          </w:p>
        </w:tc>
        <w:tc>
          <w:tcPr>
            <w:tcW w:w="1684" w:type="dxa"/>
            <w:vAlign w:val="center"/>
          </w:tcPr>
          <w:p w14:paraId="6AC179C9" w14:textId="77777777" w:rsidR="009A1473" w:rsidRPr="009A1473" w:rsidRDefault="009A1473" w:rsidP="009A1473">
            <w:pPr>
              <w:pStyle w:val="TableCen"/>
            </w:pPr>
            <w:r>
              <w:t>AS 1289.5.6.1</w:t>
            </w:r>
          </w:p>
        </w:tc>
        <w:tc>
          <w:tcPr>
            <w:tcW w:w="4484" w:type="dxa"/>
            <w:gridSpan w:val="2"/>
            <w:vAlign w:val="center"/>
          </w:tcPr>
          <w:p w14:paraId="1B6A0769" w14:textId="77777777" w:rsidR="009A1473" w:rsidRPr="009A1473" w:rsidRDefault="009A1473" w:rsidP="009A1473">
            <w:pPr>
              <w:pStyle w:val="Table"/>
            </w:pPr>
            <w:r>
              <w:t>Methods of testing soils for engineering purposes – Soil compaction and density tests – Compaction control test – Density index method for a cohesionless material</w:t>
            </w:r>
          </w:p>
        </w:tc>
      </w:tr>
      <w:tr w:rsidR="009A1473" w:rsidRPr="009A1473" w14:paraId="00D9D8C7" w14:textId="77777777" w:rsidTr="007725F7">
        <w:trPr>
          <w:trHeight w:val="340"/>
        </w:trPr>
        <w:tc>
          <w:tcPr>
            <w:tcW w:w="2193" w:type="dxa"/>
            <w:vAlign w:val="center"/>
          </w:tcPr>
          <w:p w14:paraId="378AC753" w14:textId="77777777" w:rsidR="009A1473" w:rsidRPr="009A1473" w:rsidRDefault="009A1473" w:rsidP="009A1473">
            <w:pPr>
              <w:pStyle w:val="Table"/>
            </w:pPr>
            <w:r w:rsidRPr="009A1473">
              <w:t>Australian/New Zealand Standard</w:t>
            </w:r>
          </w:p>
        </w:tc>
        <w:tc>
          <w:tcPr>
            <w:tcW w:w="1684" w:type="dxa"/>
            <w:vAlign w:val="center"/>
          </w:tcPr>
          <w:p w14:paraId="620D960A" w14:textId="77777777" w:rsidR="009A1473" w:rsidRPr="009A1473" w:rsidRDefault="009A1473" w:rsidP="009A1473">
            <w:pPr>
              <w:pStyle w:val="TableCen"/>
            </w:pPr>
            <w:r>
              <w:t>AS 1289.5.8.4</w:t>
            </w:r>
          </w:p>
        </w:tc>
        <w:tc>
          <w:tcPr>
            <w:tcW w:w="4484" w:type="dxa"/>
            <w:gridSpan w:val="2"/>
            <w:vAlign w:val="center"/>
          </w:tcPr>
          <w:p w14:paraId="3E41E423" w14:textId="77777777" w:rsidR="009A1473" w:rsidRPr="009A1473" w:rsidRDefault="009A1473" w:rsidP="009A1473">
            <w:pPr>
              <w:pStyle w:val="Table"/>
            </w:pPr>
            <w:r>
              <w:t>Methods of testing soils for engineering purposes - Soil compaction and density tests - Nuclear surface moisture-density gauges - Calibration using standard blocks</w:t>
            </w:r>
          </w:p>
        </w:tc>
      </w:tr>
      <w:tr w:rsidR="009A1473" w:rsidRPr="009A1473" w14:paraId="55054380" w14:textId="77777777" w:rsidTr="007725F7">
        <w:trPr>
          <w:trHeight w:val="340"/>
        </w:trPr>
        <w:tc>
          <w:tcPr>
            <w:tcW w:w="2193" w:type="dxa"/>
            <w:vAlign w:val="center"/>
          </w:tcPr>
          <w:p w14:paraId="405DF766" w14:textId="77777777" w:rsidR="009A1473" w:rsidRPr="009A1473" w:rsidRDefault="009A1473" w:rsidP="009A1473">
            <w:pPr>
              <w:pStyle w:val="Table"/>
            </w:pPr>
            <w:r w:rsidRPr="009A1473">
              <w:t>Australian/New Zealand Standard</w:t>
            </w:r>
          </w:p>
        </w:tc>
        <w:tc>
          <w:tcPr>
            <w:tcW w:w="1684" w:type="dxa"/>
            <w:vAlign w:val="center"/>
          </w:tcPr>
          <w:p w14:paraId="6FE8EB3B" w14:textId="77777777" w:rsidR="009A1473" w:rsidRPr="009A1473" w:rsidRDefault="009A1473" w:rsidP="009A1473">
            <w:pPr>
              <w:pStyle w:val="TableCen"/>
            </w:pPr>
            <w:r>
              <w:t>AS/NZS 1594</w:t>
            </w:r>
          </w:p>
        </w:tc>
        <w:tc>
          <w:tcPr>
            <w:tcW w:w="4484" w:type="dxa"/>
            <w:gridSpan w:val="2"/>
            <w:vAlign w:val="center"/>
          </w:tcPr>
          <w:p w14:paraId="5595204E" w14:textId="77777777" w:rsidR="009A1473" w:rsidRPr="009A1473" w:rsidRDefault="009A1473" w:rsidP="009A1473">
            <w:pPr>
              <w:pStyle w:val="Table"/>
            </w:pPr>
            <w:r>
              <w:t>Hot-rolled steel flat products</w:t>
            </w:r>
          </w:p>
        </w:tc>
      </w:tr>
      <w:tr w:rsidR="009A1473" w:rsidRPr="009A1473" w14:paraId="72003327" w14:textId="77777777" w:rsidTr="007725F7">
        <w:trPr>
          <w:trHeight w:val="340"/>
        </w:trPr>
        <w:tc>
          <w:tcPr>
            <w:tcW w:w="2193" w:type="dxa"/>
            <w:vAlign w:val="center"/>
          </w:tcPr>
          <w:p w14:paraId="45FB664F" w14:textId="77777777" w:rsidR="009A1473" w:rsidRPr="009A1473" w:rsidRDefault="009A1473" w:rsidP="009A1473">
            <w:pPr>
              <w:pStyle w:val="Table"/>
            </w:pPr>
            <w:r w:rsidRPr="009A1473">
              <w:t>Australian Standard</w:t>
            </w:r>
          </w:p>
        </w:tc>
        <w:tc>
          <w:tcPr>
            <w:tcW w:w="1684" w:type="dxa"/>
            <w:vAlign w:val="center"/>
          </w:tcPr>
          <w:p w14:paraId="5890B240" w14:textId="77777777" w:rsidR="009A1473" w:rsidRPr="009A1473" w:rsidRDefault="009A1473" w:rsidP="009A1473">
            <w:pPr>
              <w:pStyle w:val="TableCen"/>
            </w:pPr>
            <w:r>
              <w:t>AS 1726</w:t>
            </w:r>
          </w:p>
        </w:tc>
        <w:tc>
          <w:tcPr>
            <w:tcW w:w="4484" w:type="dxa"/>
            <w:gridSpan w:val="2"/>
            <w:vAlign w:val="center"/>
          </w:tcPr>
          <w:p w14:paraId="42131B04" w14:textId="77777777" w:rsidR="009A1473" w:rsidRPr="009A1473" w:rsidRDefault="009A1473" w:rsidP="009A1473">
            <w:pPr>
              <w:pStyle w:val="Table"/>
            </w:pPr>
            <w:r>
              <w:t>Geotechnical site investigations</w:t>
            </w:r>
          </w:p>
        </w:tc>
      </w:tr>
      <w:tr w:rsidR="009A1473" w:rsidRPr="009A1473" w14:paraId="092CAA8B" w14:textId="77777777" w:rsidTr="007725F7">
        <w:trPr>
          <w:trHeight w:val="340"/>
        </w:trPr>
        <w:tc>
          <w:tcPr>
            <w:tcW w:w="2193" w:type="dxa"/>
            <w:vAlign w:val="center"/>
          </w:tcPr>
          <w:p w14:paraId="0CB7630C" w14:textId="77777777" w:rsidR="009A1473" w:rsidRPr="009A1473" w:rsidRDefault="009A1473" w:rsidP="009A1473">
            <w:pPr>
              <w:pStyle w:val="Table"/>
            </w:pPr>
            <w:r w:rsidRPr="009A1473">
              <w:t>Australian Standard</w:t>
            </w:r>
          </w:p>
        </w:tc>
        <w:tc>
          <w:tcPr>
            <w:tcW w:w="1684" w:type="dxa"/>
            <w:vAlign w:val="center"/>
          </w:tcPr>
          <w:p w14:paraId="725F6AD8" w14:textId="77777777" w:rsidR="009A1473" w:rsidRPr="009A1473" w:rsidRDefault="009A1473" w:rsidP="009A1473">
            <w:pPr>
              <w:pStyle w:val="TableCen"/>
            </w:pPr>
            <w:r>
              <w:t>AS 1744</w:t>
            </w:r>
          </w:p>
        </w:tc>
        <w:tc>
          <w:tcPr>
            <w:tcW w:w="4484" w:type="dxa"/>
            <w:gridSpan w:val="2"/>
            <w:vAlign w:val="center"/>
          </w:tcPr>
          <w:p w14:paraId="5192D61B" w14:textId="77777777" w:rsidR="009A1473" w:rsidRPr="009A1473" w:rsidRDefault="009A1473" w:rsidP="009A1473">
            <w:pPr>
              <w:pStyle w:val="Table"/>
            </w:pPr>
            <w:r>
              <w:t>Standard alphabets for road signs</w:t>
            </w:r>
          </w:p>
        </w:tc>
      </w:tr>
      <w:tr w:rsidR="009A1473" w:rsidRPr="009A1473" w14:paraId="4D2B192B" w14:textId="77777777" w:rsidTr="007725F7">
        <w:trPr>
          <w:trHeight w:val="340"/>
        </w:trPr>
        <w:tc>
          <w:tcPr>
            <w:tcW w:w="2193" w:type="dxa"/>
            <w:vAlign w:val="center"/>
          </w:tcPr>
          <w:p w14:paraId="11975D15" w14:textId="77777777" w:rsidR="009A1473" w:rsidRPr="009A1473" w:rsidRDefault="009A1473" w:rsidP="009A1473">
            <w:pPr>
              <w:pStyle w:val="Table"/>
            </w:pPr>
            <w:r w:rsidRPr="009A1473">
              <w:t>Australian Standard</w:t>
            </w:r>
          </w:p>
        </w:tc>
        <w:tc>
          <w:tcPr>
            <w:tcW w:w="1684" w:type="dxa"/>
            <w:vAlign w:val="center"/>
          </w:tcPr>
          <w:p w14:paraId="76DAA626" w14:textId="77777777" w:rsidR="009A1473" w:rsidRPr="009A1473" w:rsidRDefault="009A1473" w:rsidP="009A1473">
            <w:pPr>
              <w:pStyle w:val="TableCen"/>
            </w:pPr>
            <w:r>
              <w:t>AS 2423</w:t>
            </w:r>
          </w:p>
        </w:tc>
        <w:tc>
          <w:tcPr>
            <w:tcW w:w="4484" w:type="dxa"/>
            <w:gridSpan w:val="2"/>
            <w:vAlign w:val="center"/>
          </w:tcPr>
          <w:p w14:paraId="3D24F07F" w14:textId="77777777" w:rsidR="009A1473" w:rsidRPr="009A1473" w:rsidRDefault="009A1473" w:rsidP="009A1473">
            <w:pPr>
              <w:pStyle w:val="Table"/>
            </w:pPr>
            <w:r>
              <w:t>Coated steel wire fencing products for terrestrial, aquatic and general use</w:t>
            </w:r>
          </w:p>
        </w:tc>
      </w:tr>
      <w:tr w:rsidR="009A1473" w:rsidRPr="009A1473" w14:paraId="1D4A553A" w14:textId="77777777" w:rsidTr="007725F7">
        <w:trPr>
          <w:trHeight w:val="340"/>
        </w:trPr>
        <w:tc>
          <w:tcPr>
            <w:tcW w:w="2193" w:type="dxa"/>
            <w:vAlign w:val="center"/>
          </w:tcPr>
          <w:p w14:paraId="09716915" w14:textId="77777777" w:rsidR="009A1473" w:rsidRPr="009A1473" w:rsidRDefault="009A1473" w:rsidP="009A1473">
            <w:pPr>
              <w:pStyle w:val="Table"/>
            </w:pPr>
            <w:r w:rsidRPr="009A1473">
              <w:t>Australian Standard</w:t>
            </w:r>
          </w:p>
        </w:tc>
        <w:tc>
          <w:tcPr>
            <w:tcW w:w="1684" w:type="dxa"/>
            <w:vAlign w:val="center"/>
          </w:tcPr>
          <w:p w14:paraId="5ED8F1AA" w14:textId="77777777" w:rsidR="009A1473" w:rsidRPr="009A1473" w:rsidRDefault="009A1473" w:rsidP="009A1473">
            <w:pPr>
              <w:pStyle w:val="TableCen"/>
            </w:pPr>
            <w:r>
              <w:t>AS 2868</w:t>
            </w:r>
          </w:p>
        </w:tc>
        <w:tc>
          <w:tcPr>
            <w:tcW w:w="4484" w:type="dxa"/>
            <w:gridSpan w:val="2"/>
            <w:vAlign w:val="center"/>
          </w:tcPr>
          <w:p w14:paraId="43BBF8F3" w14:textId="77777777" w:rsidR="009A1473" w:rsidRPr="009A1473" w:rsidRDefault="009A1473" w:rsidP="009A1473">
            <w:pPr>
              <w:pStyle w:val="Table"/>
            </w:pPr>
            <w:r>
              <w:t>Classification of machinery for earthmoving, construction, surface mining and agricultural purposes</w:t>
            </w:r>
          </w:p>
        </w:tc>
      </w:tr>
      <w:tr w:rsidR="00E73106" w:rsidRPr="009A1473" w14:paraId="760C2F3D" w14:textId="77777777" w:rsidTr="007725F7">
        <w:trPr>
          <w:trHeight w:val="340"/>
        </w:trPr>
        <w:tc>
          <w:tcPr>
            <w:tcW w:w="2193" w:type="dxa"/>
            <w:vAlign w:val="center"/>
          </w:tcPr>
          <w:p w14:paraId="47B44878" w14:textId="77777777" w:rsidR="00E73106" w:rsidRPr="009A1473" w:rsidRDefault="00E73106" w:rsidP="009A1473">
            <w:pPr>
              <w:pStyle w:val="Table"/>
            </w:pPr>
            <w:r w:rsidRPr="009A1473">
              <w:t>Australian Standard</w:t>
            </w:r>
          </w:p>
        </w:tc>
        <w:tc>
          <w:tcPr>
            <w:tcW w:w="1684" w:type="dxa"/>
            <w:vAlign w:val="center"/>
          </w:tcPr>
          <w:p w14:paraId="6A4CF87C" w14:textId="77777777" w:rsidR="00E73106" w:rsidRPr="009A1473" w:rsidRDefault="00E73106" w:rsidP="009A1473">
            <w:pPr>
              <w:pStyle w:val="TableCen"/>
            </w:pPr>
            <w:r>
              <w:t>AS 3600</w:t>
            </w:r>
          </w:p>
        </w:tc>
        <w:tc>
          <w:tcPr>
            <w:tcW w:w="4484" w:type="dxa"/>
            <w:gridSpan w:val="2"/>
            <w:vAlign w:val="center"/>
          </w:tcPr>
          <w:p w14:paraId="25E5A589" w14:textId="77777777" w:rsidR="00E73106" w:rsidRPr="009A1473" w:rsidRDefault="00E73106" w:rsidP="009A1473">
            <w:pPr>
              <w:pStyle w:val="Table"/>
            </w:pPr>
            <w:r>
              <w:t>Concrete structures</w:t>
            </w:r>
          </w:p>
        </w:tc>
      </w:tr>
      <w:tr w:rsidR="00E73106" w:rsidRPr="009A1473" w14:paraId="5B2041D2" w14:textId="77777777" w:rsidTr="007725F7">
        <w:trPr>
          <w:trHeight w:val="340"/>
        </w:trPr>
        <w:tc>
          <w:tcPr>
            <w:tcW w:w="2193" w:type="dxa"/>
            <w:vAlign w:val="center"/>
          </w:tcPr>
          <w:p w14:paraId="4C7D3963" w14:textId="77777777" w:rsidR="00E73106" w:rsidRPr="009A1473" w:rsidRDefault="00E73106" w:rsidP="009A1473">
            <w:pPr>
              <w:pStyle w:val="Table"/>
            </w:pPr>
            <w:r w:rsidRPr="009A1473">
              <w:t>Australian Standard</w:t>
            </w:r>
          </w:p>
        </w:tc>
        <w:tc>
          <w:tcPr>
            <w:tcW w:w="1684" w:type="dxa"/>
            <w:vAlign w:val="center"/>
          </w:tcPr>
          <w:p w14:paraId="7B0F591D" w14:textId="77777777" w:rsidR="00E73106" w:rsidRPr="009A1473" w:rsidRDefault="00E73106" w:rsidP="009A1473">
            <w:pPr>
              <w:pStyle w:val="TableCen"/>
            </w:pPr>
            <w:r>
              <w:t>AS 3706</w:t>
            </w:r>
          </w:p>
        </w:tc>
        <w:tc>
          <w:tcPr>
            <w:tcW w:w="4484" w:type="dxa"/>
            <w:gridSpan w:val="2"/>
            <w:vAlign w:val="center"/>
          </w:tcPr>
          <w:p w14:paraId="16DA98AF" w14:textId="77777777" w:rsidR="00E73106" w:rsidRPr="009A1473" w:rsidRDefault="00E73106" w:rsidP="00B2227A">
            <w:pPr>
              <w:pStyle w:val="Table"/>
            </w:pPr>
            <w:r>
              <w:t>Geotextiles – Methods of test</w:t>
            </w:r>
          </w:p>
        </w:tc>
      </w:tr>
      <w:tr w:rsidR="00E73106" w:rsidRPr="009A1473" w14:paraId="45E0B6F3" w14:textId="77777777" w:rsidTr="007725F7">
        <w:trPr>
          <w:trHeight w:val="340"/>
        </w:trPr>
        <w:tc>
          <w:tcPr>
            <w:tcW w:w="2193" w:type="dxa"/>
            <w:vAlign w:val="center"/>
          </w:tcPr>
          <w:p w14:paraId="7F8A03BB" w14:textId="77777777" w:rsidR="00E73106" w:rsidRPr="009A1473" w:rsidRDefault="00E73106" w:rsidP="009A1473">
            <w:pPr>
              <w:pStyle w:val="Table"/>
            </w:pPr>
            <w:r w:rsidRPr="009A1473">
              <w:t>Australian/New Zealand Standard</w:t>
            </w:r>
          </w:p>
        </w:tc>
        <w:tc>
          <w:tcPr>
            <w:tcW w:w="1684" w:type="dxa"/>
            <w:vAlign w:val="center"/>
          </w:tcPr>
          <w:p w14:paraId="6CBE1318" w14:textId="77777777" w:rsidR="00E73106" w:rsidRPr="009A1473" w:rsidRDefault="00E73106" w:rsidP="009A1473">
            <w:pPr>
              <w:pStyle w:val="TableCen"/>
            </w:pPr>
            <w:r>
              <w:t>AS/NZS 4534</w:t>
            </w:r>
          </w:p>
        </w:tc>
        <w:tc>
          <w:tcPr>
            <w:tcW w:w="4484" w:type="dxa"/>
            <w:gridSpan w:val="2"/>
            <w:vAlign w:val="center"/>
          </w:tcPr>
          <w:p w14:paraId="52EF6ACA" w14:textId="77777777" w:rsidR="00E73106" w:rsidRPr="009A1473" w:rsidRDefault="00E73106" w:rsidP="009A1473">
            <w:pPr>
              <w:pStyle w:val="Table"/>
            </w:pPr>
            <w:r>
              <w:t>Zinc and zinc/aluminium-alloy coatings on steel wire</w:t>
            </w:r>
          </w:p>
        </w:tc>
      </w:tr>
      <w:tr w:rsidR="00A01405" w:rsidRPr="0040629E" w14:paraId="2B69D63E" w14:textId="77777777" w:rsidTr="007725F7">
        <w:trPr>
          <w:trHeight w:val="340"/>
        </w:trPr>
        <w:tc>
          <w:tcPr>
            <w:tcW w:w="2193" w:type="dxa"/>
            <w:shd w:val="clear" w:color="auto" w:fill="auto"/>
            <w:vAlign w:val="center"/>
          </w:tcPr>
          <w:p w14:paraId="58D773E0" w14:textId="77777777" w:rsidR="00A01405" w:rsidRPr="00C45D4C" w:rsidRDefault="00A01405" w:rsidP="009A1473">
            <w:pPr>
              <w:pStyle w:val="Table"/>
            </w:pPr>
            <w:r w:rsidRPr="00C45D4C">
              <w:t>Australian Standard</w:t>
            </w:r>
          </w:p>
        </w:tc>
        <w:tc>
          <w:tcPr>
            <w:tcW w:w="1684" w:type="dxa"/>
            <w:shd w:val="clear" w:color="auto" w:fill="auto"/>
            <w:vAlign w:val="center"/>
          </w:tcPr>
          <w:p w14:paraId="5C852BEB" w14:textId="77777777" w:rsidR="00A01405" w:rsidRPr="00C45D4C" w:rsidRDefault="00A01405" w:rsidP="00150D5F">
            <w:pPr>
              <w:pStyle w:val="TableCen"/>
            </w:pPr>
            <w:r w:rsidRPr="00C45D4C">
              <w:t>AS</w:t>
            </w:r>
            <w:r w:rsidR="00150D5F" w:rsidRPr="00C45D4C">
              <w:t> </w:t>
            </w:r>
            <w:r w:rsidRPr="00C45D4C">
              <w:t>4678</w:t>
            </w:r>
          </w:p>
        </w:tc>
        <w:tc>
          <w:tcPr>
            <w:tcW w:w="4484" w:type="dxa"/>
            <w:gridSpan w:val="2"/>
            <w:shd w:val="clear" w:color="auto" w:fill="auto"/>
            <w:vAlign w:val="center"/>
          </w:tcPr>
          <w:p w14:paraId="7BF2C483" w14:textId="77777777" w:rsidR="00A01405" w:rsidRPr="00C45D4C" w:rsidRDefault="00A01405" w:rsidP="009A1473">
            <w:pPr>
              <w:pStyle w:val="Table"/>
            </w:pPr>
            <w:r w:rsidRPr="00C45D4C">
              <w:t>Earth-retaining structures</w:t>
            </w:r>
          </w:p>
        </w:tc>
      </w:tr>
      <w:tr w:rsidR="00E73106" w:rsidRPr="009A1473" w14:paraId="78B1E2D8" w14:textId="77777777" w:rsidTr="007725F7">
        <w:trPr>
          <w:trHeight w:val="340"/>
        </w:trPr>
        <w:tc>
          <w:tcPr>
            <w:tcW w:w="2193" w:type="dxa"/>
            <w:shd w:val="clear" w:color="auto" w:fill="auto"/>
            <w:vAlign w:val="center"/>
          </w:tcPr>
          <w:p w14:paraId="164CDDB8" w14:textId="77777777" w:rsidR="00E73106" w:rsidRPr="00C45D4C" w:rsidRDefault="00E73106" w:rsidP="009A1473">
            <w:pPr>
              <w:pStyle w:val="Table"/>
            </w:pPr>
            <w:r w:rsidRPr="00C45D4C">
              <w:t>Australian Standard</w:t>
            </w:r>
          </w:p>
        </w:tc>
        <w:tc>
          <w:tcPr>
            <w:tcW w:w="1684" w:type="dxa"/>
            <w:shd w:val="clear" w:color="auto" w:fill="auto"/>
            <w:vAlign w:val="center"/>
          </w:tcPr>
          <w:p w14:paraId="1DE2A37A" w14:textId="77777777" w:rsidR="00E73106" w:rsidRPr="00C45D4C" w:rsidRDefault="00E73106" w:rsidP="009A1473">
            <w:pPr>
              <w:pStyle w:val="TableCen"/>
            </w:pPr>
            <w:r w:rsidRPr="00C45D4C">
              <w:t>AS 4680</w:t>
            </w:r>
          </w:p>
        </w:tc>
        <w:tc>
          <w:tcPr>
            <w:tcW w:w="4484" w:type="dxa"/>
            <w:gridSpan w:val="2"/>
            <w:shd w:val="clear" w:color="auto" w:fill="auto"/>
            <w:vAlign w:val="center"/>
          </w:tcPr>
          <w:p w14:paraId="1AA64BAD" w14:textId="77777777" w:rsidR="00E73106" w:rsidRPr="00C45D4C" w:rsidRDefault="00E73106" w:rsidP="009A1473">
            <w:pPr>
              <w:pStyle w:val="Table"/>
            </w:pPr>
            <w:r w:rsidRPr="00C45D4C">
              <w:t>Hot-dip galvanized (zinc) coatings on fabricated ferrous articles</w:t>
            </w:r>
          </w:p>
        </w:tc>
      </w:tr>
      <w:tr w:rsidR="00A01405" w:rsidRPr="009A1473" w14:paraId="3C13FAB2" w14:textId="77777777" w:rsidTr="007725F7">
        <w:trPr>
          <w:trHeight w:val="340"/>
        </w:trPr>
        <w:tc>
          <w:tcPr>
            <w:tcW w:w="2193" w:type="dxa"/>
            <w:shd w:val="clear" w:color="auto" w:fill="auto"/>
            <w:vAlign w:val="center"/>
          </w:tcPr>
          <w:p w14:paraId="5B585EBF" w14:textId="77777777" w:rsidR="00A01405" w:rsidRPr="00C45D4C" w:rsidRDefault="00A01405" w:rsidP="009A1473">
            <w:pPr>
              <w:pStyle w:val="Table"/>
            </w:pPr>
            <w:r w:rsidRPr="00C45D4C">
              <w:t>Australian Standard</w:t>
            </w:r>
          </w:p>
        </w:tc>
        <w:tc>
          <w:tcPr>
            <w:tcW w:w="1684" w:type="dxa"/>
            <w:shd w:val="clear" w:color="auto" w:fill="auto"/>
            <w:vAlign w:val="center"/>
          </w:tcPr>
          <w:p w14:paraId="68379CFA" w14:textId="77777777" w:rsidR="00A01405" w:rsidRPr="00C45D4C" w:rsidRDefault="00A01405" w:rsidP="00150D5F">
            <w:pPr>
              <w:pStyle w:val="TableCen"/>
            </w:pPr>
            <w:r w:rsidRPr="00C45D4C">
              <w:t>AS</w:t>
            </w:r>
            <w:r w:rsidR="00150D5F" w:rsidRPr="00C45D4C">
              <w:t> </w:t>
            </w:r>
            <w:r w:rsidRPr="00C45D4C">
              <w:t>5100.3</w:t>
            </w:r>
          </w:p>
        </w:tc>
        <w:tc>
          <w:tcPr>
            <w:tcW w:w="4484" w:type="dxa"/>
            <w:gridSpan w:val="2"/>
            <w:shd w:val="clear" w:color="auto" w:fill="auto"/>
            <w:vAlign w:val="center"/>
          </w:tcPr>
          <w:p w14:paraId="388E099F" w14:textId="77777777" w:rsidR="00A01405" w:rsidRPr="00C45D4C" w:rsidRDefault="00A01405" w:rsidP="00A01405">
            <w:pPr>
              <w:pStyle w:val="Table"/>
            </w:pPr>
            <w:r w:rsidRPr="00C45D4C">
              <w:t>Bridge design - Part 3: Foundation and soil-supporting structures</w:t>
            </w:r>
          </w:p>
        </w:tc>
      </w:tr>
      <w:tr w:rsidR="009A1473" w:rsidRPr="009A1473" w14:paraId="0F543047" w14:textId="77777777" w:rsidTr="007725F7">
        <w:trPr>
          <w:trHeight w:val="340"/>
        </w:trPr>
        <w:tc>
          <w:tcPr>
            <w:tcW w:w="2192" w:type="dxa"/>
            <w:vAlign w:val="center"/>
          </w:tcPr>
          <w:p w14:paraId="658541A6" w14:textId="77777777" w:rsidR="009A1473" w:rsidRPr="009A1473" w:rsidRDefault="009A1473" w:rsidP="009A1473">
            <w:pPr>
              <w:pStyle w:val="Table"/>
            </w:pPr>
            <w:r w:rsidRPr="009A1473">
              <w:lastRenderedPageBreak/>
              <w:t>Australian/New Zealand Standard, International Standards Organization</w:t>
            </w:r>
          </w:p>
        </w:tc>
        <w:tc>
          <w:tcPr>
            <w:tcW w:w="1700" w:type="dxa"/>
            <w:gridSpan w:val="2"/>
            <w:vAlign w:val="center"/>
          </w:tcPr>
          <w:p w14:paraId="443465FB" w14:textId="77777777" w:rsidR="009A1473" w:rsidRPr="009A1473" w:rsidRDefault="009A1473" w:rsidP="009A1473">
            <w:pPr>
              <w:pStyle w:val="TableCen"/>
            </w:pPr>
            <w:r w:rsidRPr="009A1473">
              <w:t>AS/NZS ISO 9001</w:t>
            </w:r>
          </w:p>
        </w:tc>
        <w:tc>
          <w:tcPr>
            <w:tcW w:w="4469" w:type="dxa"/>
            <w:vAlign w:val="center"/>
          </w:tcPr>
          <w:p w14:paraId="29391E82" w14:textId="77777777" w:rsidR="009A1473" w:rsidRPr="009A1473" w:rsidRDefault="009A1473" w:rsidP="009A1473">
            <w:pPr>
              <w:pStyle w:val="Table"/>
            </w:pPr>
            <w:r w:rsidRPr="009A1473">
              <w:t>Quality management systems – Requirements</w:t>
            </w:r>
          </w:p>
        </w:tc>
      </w:tr>
    </w:tbl>
    <w:p w14:paraId="2BCCDF79" w14:textId="77777777" w:rsidR="00456E0A" w:rsidRDefault="00B51E85" w:rsidP="007725F7">
      <w:pPr>
        <w:pStyle w:val="Heading3"/>
      </w:pPr>
      <w:bookmarkStart w:id="10" w:name="_Toc76022183"/>
      <w:r w:rsidRPr="002E6118">
        <w:t>References</w:t>
      </w:r>
      <w:bookmarkEnd w:id="10"/>
    </w:p>
    <w:tbl>
      <w:tblPr>
        <w:tblW w:w="8363" w:type="dxa"/>
        <w:tblInd w:w="709" w:type="dxa"/>
        <w:tblLayout w:type="fixed"/>
        <w:tblLook w:val="0400" w:firstRow="0" w:lastRow="0" w:firstColumn="0" w:lastColumn="0" w:noHBand="0" w:noVBand="1"/>
      </w:tblPr>
      <w:tblGrid>
        <w:gridCol w:w="2518"/>
        <w:gridCol w:w="1417"/>
        <w:gridCol w:w="1276"/>
        <w:gridCol w:w="3152"/>
      </w:tblGrid>
      <w:tr w:rsidR="00E73106" w:rsidRPr="00E73106" w14:paraId="1B3386AB" w14:textId="77777777" w:rsidTr="007725F7">
        <w:trPr>
          <w:trHeight w:val="340"/>
        </w:trPr>
        <w:tc>
          <w:tcPr>
            <w:tcW w:w="2518" w:type="dxa"/>
            <w:vAlign w:val="center"/>
          </w:tcPr>
          <w:p w14:paraId="6DA5E9F7" w14:textId="77777777" w:rsidR="00E73106" w:rsidRPr="00E73106" w:rsidRDefault="00E73106" w:rsidP="00E73106">
            <w:pPr>
              <w:pStyle w:val="Table"/>
            </w:pPr>
            <w:r w:rsidRPr="00E73106">
              <w:t>Queensland Department of Transport and Main Roads</w:t>
            </w:r>
          </w:p>
        </w:tc>
        <w:tc>
          <w:tcPr>
            <w:tcW w:w="1417" w:type="dxa"/>
            <w:vAlign w:val="center"/>
          </w:tcPr>
          <w:p w14:paraId="110D8DBD" w14:textId="77777777" w:rsidR="00E73106" w:rsidRPr="00E73106" w:rsidRDefault="00E73106" w:rsidP="00E73106">
            <w:pPr>
              <w:pStyle w:val="TableCen"/>
            </w:pPr>
            <w:r w:rsidRPr="00E73106">
              <w:t>Technical Specification</w:t>
            </w:r>
          </w:p>
        </w:tc>
        <w:tc>
          <w:tcPr>
            <w:tcW w:w="1276" w:type="dxa"/>
            <w:vAlign w:val="center"/>
          </w:tcPr>
          <w:p w14:paraId="50033971" w14:textId="77777777" w:rsidR="00E73106" w:rsidRPr="00E73106" w:rsidRDefault="00E73106" w:rsidP="00E73106">
            <w:pPr>
              <w:pStyle w:val="TableCen"/>
            </w:pPr>
            <w:r>
              <w:t>MRTS06</w:t>
            </w:r>
          </w:p>
        </w:tc>
        <w:tc>
          <w:tcPr>
            <w:tcW w:w="3152" w:type="dxa"/>
            <w:vAlign w:val="center"/>
          </w:tcPr>
          <w:p w14:paraId="26BF7D38" w14:textId="77777777" w:rsidR="00E73106" w:rsidRPr="00E73106" w:rsidRDefault="00E73106" w:rsidP="00E73106">
            <w:pPr>
              <w:pStyle w:val="Table"/>
            </w:pPr>
            <w:r>
              <w:t>Reinforced Soil Structures</w:t>
            </w:r>
          </w:p>
        </w:tc>
      </w:tr>
      <w:tr w:rsidR="009B4A91" w:rsidRPr="00E73106" w14:paraId="4E88D21F" w14:textId="77777777" w:rsidTr="007725F7">
        <w:trPr>
          <w:trHeight w:val="340"/>
        </w:trPr>
        <w:tc>
          <w:tcPr>
            <w:tcW w:w="2518" w:type="dxa"/>
            <w:vAlign w:val="center"/>
          </w:tcPr>
          <w:p w14:paraId="22C1FFE0" w14:textId="77777777" w:rsidR="009B4A91" w:rsidRPr="00E73106" w:rsidRDefault="009B4A91" w:rsidP="00E73106">
            <w:pPr>
              <w:pStyle w:val="Table"/>
            </w:pPr>
            <w:r w:rsidRPr="00E73106">
              <w:t>Queensland Department of Transport and Main Roads</w:t>
            </w:r>
          </w:p>
        </w:tc>
        <w:tc>
          <w:tcPr>
            <w:tcW w:w="1417" w:type="dxa"/>
            <w:vAlign w:val="center"/>
          </w:tcPr>
          <w:p w14:paraId="0781FF3B" w14:textId="77777777" w:rsidR="009B4A91" w:rsidRPr="00E73106" w:rsidRDefault="009B4A91" w:rsidP="00E73106">
            <w:pPr>
              <w:pStyle w:val="TableCen"/>
            </w:pPr>
            <w:r w:rsidRPr="00E73106">
              <w:t>Technical Specification</w:t>
            </w:r>
          </w:p>
        </w:tc>
        <w:tc>
          <w:tcPr>
            <w:tcW w:w="1276" w:type="dxa"/>
            <w:vAlign w:val="center"/>
          </w:tcPr>
          <w:p w14:paraId="21293F85" w14:textId="77777777" w:rsidR="009B4A91" w:rsidRDefault="009B4A91" w:rsidP="009B4A91">
            <w:pPr>
              <w:pStyle w:val="TableCen"/>
            </w:pPr>
            <w:r>
              <w:t>MRTS58</w:t>
            </w:r>
          </w:p>
        </w:tc>
        <w:tc>
          <w:tcPr>
            <w:tcW w:w="3152" w:type="dxa"/>
            <w:vAlign w:val="center"/>
          </w:tcPr>
          <w:p w14:paraId="467696ED" w14:textId="77777777" w:rsidR="009B4A91" w:rsidRDefault="00B2227A" w:rsidP="00E73106">
            <w:pPr>
              <w:pStyle w:val="Table"/>
            </w:pPr>
            <w:r w:rsidRPr="00B2227A">
              <w:t>Subgrade Reinforcement using Pavement Geosynthetics</w:t>
            </w:r>
          </w:p>
        </w:tc>
      </w:tr>
      <w:tr w:rsidR="00E73106" w:rsidRPr="00E73106" w14:paraId="50EC693B" w14:textId="77777777" w:rsidTr="007725F7">
        <w:trPr>
          <w:trHeight w:val="340"/>
        </w:trPr>
        <w:tc>
          <w:tcPr>
            <w:tcW w:w="2518" w:type="dxa"/>
            <w:vAlign w:val="center"/>
          </w:tcPr>
          <w:p w14:paraId="71F1C8CC" w14:textId="77777777" w:rsidR="00E73106" w:rsidRPr="00E73106" w:rsidRDefault="00E73106" w:rsidP="00E73106">
            <w:pPr>
              <w:pStyle w:val="Table"/>
            </w:pPr>
            <w:r w:rsidRPr="00151468">
              <w:t>Brisbane City Council</w:t>
            </w:r>
          </w:p>
        </w:tc>
        <w:tc>
          <w:tcPr>
            <w:tcW w:w="1417" w:type="dxa"/>
            <w:vAlign w:val="center"/>
          </w:tcPr>
          <w:p w14:paraId="63B13CA2" w14:textId="77777777" w:rsidR="00E73106" w:rsidRPr="00E73106" w:rsidRDefault="00E73106" w:rsidP="00E73106">
            <w:pPr>
              <w:pStyle w:val="TableCen"/>
            </w:pPr>
          </w:p>
        </w:tc>
        <w:tc>
          <w:tcPr>
            <w:tcW w:w="1276" w:type="dxa"/>
            <w:vAlign w:val="center"/>
          </w:tcPr>
          <w:p w14:paraId="216FFCE1" w14:textId="77777777" w:rsidR="00E73106" w:rsidRPr="00E73106" w:rsidRDefault="00E73106" w:rsidP="00E73106">
            <w:pPr>
              <w:pStyle w:val="TableCen"/>
            </w:pPr>
          </w:p>
        </w:tc>
        <w:tc>
          <w:tcPr>
            <w:tcW w:w="3152" w:type="dxa"/>
            <w:vAlign w:val="center"/>
          </w:tcPr>
          <w:p w14:paraId="6044F809" w14:textId="77777777" w:rsidR="00E73106" w:rsidRPr="00E73106" w:rsidRDefault="00E73106" w:rsidP="00E73106">
            <w:pPr>
              <w:pStyle w:val="Table"/>
            </w:pPr>
            <w:r w:rsidRPr="00151468">
              <w:t>Standard Drawings;</w:t>
            </w:r>
          </w:p>
        </w:tc>
      </w:tr>
      <w:tr w:rsidR="00DF2B62" w:rsidRPr="00E73106" w14:paraId="28E31E64" w14:textId="77777777" w:rsidTr="007725F7">
        <w:trPr>
          <w:trHeight w:val="340"/>
        </w:trPr>
        <w:tc>
          <w:tcPr>
            <w:tcW w:w="2518" w:type="dxa"/>
            <w:vAlign w:val="center"/>
          </w:tcPr>
          <w:p w14:paraId="188DCEDC" w14:textId="77777777" w:rsidR="00DF2B62" w:rsidRPr="00C45D4C" w:rsidRDefault="00E464D1" w:rsidP="00E73106">
            <w:pPr>
              <w:pStyle w:val="Table"/>
            </w:pPr>
            <w:r w:rsidRPr="00C45D4C">
              <w:t>Brisbane City Council</w:t>
            </w:r>
          </w:p>
        </w:tc>
        <w:tc>
          <w:tcPr>
            <w:tcW w:w="1417" w:type="dxa"/>
            <w:vAlign w:val="center"/>
          </w:tcPr>
          <w:p w14:paraId="134579E8" w14:textId="77777777" w:rsidR="00DF2B62" w:rsidRPr="00C45D4C" w:rsidRDefault="00E464D1" w:rsidP="00E73106">
            <w:pPr>
              <w:pStyle w:val="TableCen"/>
            </w:pPr>
            <w:r w:rsidRPr="00C45D4C">
              <w:t>Procedure</w:t>
            </w:r>
          </w:p>
        </w:tc>
        <w:tc>
          <w:tcPr>
            <w:tcW w:w="1276" w:type="dxa"/>
            <w:vAlign w:val="center"/>
          </w:tcPr>
          <w:p w14:paraId="6B6284A8" w14:textId="77777777" w:rsidR="00DF2B62" w:rsidRPr="00C45D4C" w:rsidRDefault="00E464D1" w:rsidP="00E73106">
            <w:pPr>
              <w:pStyle w:val="TableCen"/>
            </w:pPr>
            <w:r w:rsidRPr="00C45D4C">
              <w:t>OS21</w:t>
            </w:r>
          </w:p>
        </w:tc>
        <w:tc>
          <w:tcPr>
            <w:tcW w:w="3152" w:type="dxa"/>
            <w:vAlign w:val="center"/>
          </w:tcPr>
          <w:p w14:paraId="3D8816E5" w14:textId="77777777" w:rsidR="00DF2B62" w:rsidRPr="00C45D4C" w:rsidRDefault="00E464D1" w:rsidP="00E73106">
            <w:pPr>
              <w:pStyle w:val="Table"/>
            </w:pPr>
            <w:r w:rsidRPr="00C45D4C">
              <w:t>Tree Removal and Replacement Procedure</w:t>
            </w:r>
          </w:p>
        </w:tc>
      </w:tr>
    </w:tbl>
    <w:p w14:paraId="2C11BBF2" w14:textId="43678BC3" w:rsidR="00456E0A" w:rsidRDefault="00456E0A" w:rsidP="00151468">
      <w:pPr>
        <w:pStyle w:val="BodyTextIndent"/>
      </w:pPr>
      <w:r>
        <w:t>Refer to the following other Reference Specifications</w:t>
      </w:r>
      <w:r w:rsidR="00151468" w:rsidRPr="00151468">
        <w:t xml:space="preserve"> for Engineering Work</w:t>
      </w:r>
      <w:r w:rsidR="00151468">
        <w:t>:</w:t>
      </w:r>
    </w:p>
    <w:tbl>
      <w:tblPr>
        <w:tblW w:w="8363" w:type="dxa"/>
        <w:tblInd w:w="709" w:type="dxa"/>
        <w:tblLook w:val="0400" w:firstRow="0" w:lastRow="0" w:firstColumn="0" w:lastColumn="0" w:noHBand="0" w:noVBand="1"/>
      </w:tblPr>
      <w:tblGrid>
        <w:gridCol w:w="1346"/>
        <w:gridCol w:w="7017"/>
      </w:tblGrid>
      <w:tr w:rsidR="00E73106" w:rsidRPr="00E73106" w14:paraId="1F138FD6" w14:textId="77777777" w:rsidTr="0081263D">
        <w:trPr>
          <w:trHeight w:val="340"/>
        </w:trPr>
        <w:tc>
          <w:tcPr>
            <w:tcW w:w="1346" w:type="dxa"/>
            <w:vAlign w:val="center"/>
          </w:tcPr>
          <w:p w14:paraId="3F63EFAE" w14:textId="77777777" w:rsidR="00E73106" w:rsidRPr="00E73106" w:rsidRDefault="00E73106" w:rsidP="00E73106">
            <w:pPr>
              <w:pStyle w:val="TableCen"/>
            </w:pPr>
            <w:r>
              <w:t>S110</w:t>
            </w:r>
          </w:p>
        </w:tc>
        <w:tc>
          <w:tcPr>
            <w:tcW w:w="7017" w:type="dxa"/>
            <w:vAlign w:val="center"/>
          </w:tcPr>
          <w:p w14:paraId="77EECBF6" w14:textId="77777777" w:rsidR="00E73106" w:rsidRPr="00E73106" w:rsidRDefault="00E73106" w:rsidP="00E73106">
            <w:pPr>
              <w:pStyle w:val="Table"/>
            </w:pPr>
            <w:r>
              <w:t>General Requirements</w:t>
            </w:r>
          </w:p>
        </w:tc>
      </w:tr>
      <w:tr w:rsidR="00E73106" w:rsidRPr="00E73106" w14:paraId="65D081DF" w14:textId="77777777" w:rsidTr="0081263D">
        <w:trPr>
          <w:trHeight w:val="340"/>
        </w:trPr>
        <w:tc>
          <w:tcPr>
            <w:tcW w:w="1346" w:type="dxa"/>
            <w:vAlign w:val="center"/>
          </w:tcPr>
          <w:p w14:paraId="4C81B4C5" w14:textId="77777777" w:rsidR="00E73106" w:rsidRPr="00E73106" w:rsidRDefault="00E73106" w:rsidP="00E73106">
            <w:pPr>
              <w:pStyle w:val="TableCen"/>
            </w:pPr>
            <w:r>
              <w:t>S120</w:t>
            </w:r>
          </w:p>
        </w:tc>
        <w:tc>
          <w:tcPr>
            <w:tcW w:w="7017" w:type="dxa"/>
            <w:vAlign w:val="center"/>
          </w:tcPr>
          <w:p w14:paraId="2700D3F7" w14:textId="77777777" w:rsidR="00E73106" w:rsidRPr="00E73106" w:rsidRDefault="00E73106" w:rsidP="00E73106">
            <w:pPr>
              <w:pStyle w:val="Table"/>
            </w:pPr>
            <w:r>
              <w:t>Quality: Process</w:t>
            </w:r>
          </w:p>
        </w:tc>
      </w:tr>
      <w:tr w:rsidR="00E73106" w:rsidRPr="00E73106" w14:paraId="606C9B27" w14:textId="77777777" w:rsidTr="0081263D">
        <w:trPr>
          <w:trHeight w:val="340"/>
        </w:trPr>
        <w:tc>
          <w:tcPr>
            <w:tcW w:w="1346" w:type="dxa"/>
            <w:vAlign w:val="center"/>
          </w:tcPr>
          <w:p w14:paraId="0B132B5F" w14:textId="77777777" w:rsidR="00E73106" w:rsidRPr="00E73106" w:rsidRDefault="00E73106" w:rsidP="00E73106">
            <w:pPr>
              <w:pStyle w:val="TableCen"/>
            </w:pPr>
            <w:r>
              <w:t>S145</w:t>
            </w:r>
          </w:p>
        </w:tc>
        <w:tc>
          <w:tcPr>
            <w:tcW w:w="7017" w:type="dxa"/>
            <w:vAlign w:val="center"/>
          </w:tcPr>
          <w:p w14:paraId="79738971" w14:textId="77777777" w:rsidR="00E73106" w:rsidRPr="00E73106" w:rsidRDefault="008753BB" w:rsidP="00E73106">
            <w:pPr>
              <w:pStyle w:val="Table"/>
            </w:pPr>
            <w:r>
              <w:t>Installation and Maintenance of Utility Services</w:t>
            </w:r>
          </w:p>
        </w:tc>
      </w:tr>
      <w:tr w:rsidR="008753BB" w:rsidRPr="00E73106" w14:paraId="71D594F1" w14:textId="77777777" w:rsidTr="0081263D">
        <w:trPr>
          <w:trHeight w:val="340"/>
        </w:trPr>
        <w:tc>
          <w:tcPr>
            <w:tcW w:w="1346" w:type="dxa"/>
            <w:vAlign w:val="center"/>
          </w:tcPr>
          <w:p w14:paraId="4188FE9C" w14:textId="77777777" w:rsidR="008753BB" w:rsidRPr="00E73106" w:rsidRDefault="008753BB" w:rsidP="008753BB">
            <w:pPr>
              <w:pStyle w:val="TableCen"/>
            </w:pPr>
            <w:r w:rsidRPr="00E73106">
              <w:t>S150</w:t>
            </w:r>
          </w:p>
        </w:tc>
        <w:tc>
          <w:tcPr>
            <w:tcW w:w="7017" w:type="dxa"/>
            <w:vAlign w:val="center"/>
          </w:tcPr>
          <w:p w14:paraId="3F9C7F8A" w14:textId="77777777" w:rsidR="008753BB" w:rsidRPr="00E73106" w:rsidRDefault="008753BB" w:rsidP="008753BB">
            <w:pPr>
              <w:pStyle w:val="Table"/>
            </w:pPr>
            <w:r w:rsidRPr="00E73106">
              <w:t>Roadworks</w:t>
            </w:r>
          </w:p>
        </w:tc>
      </w:tr>
      <w:tr w:rsidR="008753BB" w:rsidRPr="00E73106" w14:paraId="4A82FEDA" w14:textId="77777777" w:rsidTr="0081263D">
        <w:trPr>
          <w:trHeight w:val="340"/>
        </w:trPr>
        <w:tc>
          <w:tcPr>
            <w:tcW w:w="1346" w:type="dxa"/>
            <w:vAlign w:val="center"/>
          </w:tcPr>
          <w:p w14:paraId="29BFCA27" w14:textId="77777777" w:rsidR="008753BB" w:rsidRPr="00E73106" w:rsidRDefault="008753BB" w:rsidP="008753BB">
            <w:pPr>
              <w:pStyle w:val="TableCen"/>
            </w:pPr>
            <w:r>
              <w:t>S160</w:t>
            </w:r>
          </w:p>
        </w:tc>
        <w:tc>
          <w:tcPr>
            <w:tcW w:w="7017" w:type="dxa"/>
            <w:vAlign w:val="center"/>
          </w:tcPr>
          <w:p w14:paraId="3DBB0386" w14:textId="77777777" w:rsidR="008753BB" w:rsidRPr="00E73106" w:rsidRDefault="008753BB" w:rsidP="008753BB">
            <w:pPr>
              <w:pStyle w:val="Table"/>
            </w:pPr>
            <w:r>
              <w:t>Drainage</w:t>
            </w:r>
          </w:p>
        </w:tc>
      </w:tr>
      <w:tr w:rsidR="008753BB" w:rsidRPr="00E73106" w14:paraId="4A235D27" w14:textId="77777777" w:rsidTr="0081263D">
        <w:trPr>
          <w:trHeight w:val="340"/>
        </w:trPr>
        <w:tc>
          <w:tcPr>
            <w:tcW w:w="1346" w:type="dxa"/>
            <w:vAlign w:val="center"/>
          </w:tcPr>
          <w:p w14:paraId="1E77BC80" w14:textId="77777777" w:rsidR="008753BB" w:rsidRPr="00E73106" w:rsidRDefault="008753BB" w:rsidP="008753BB">
            <w:pPr>
              <w:pStyle w:val="TableCen"/>
            </w:pPr>
            <w:r>
              <w:t>S170</w:t>
            </w:r>
          </w:p>
        </w:tc>
        <w:tc>
          <w:tcPr>
            <w:tcW w:w="7017" w:type="dxa"/>
            <w:vAlign w:val="center"/>
          </w:tcPr>
          <w:p w14:paraId="72874307" w14:textId="77777777" w:rsidR="008753BB" w:rsidRPr="00E73106" w:rsidRDefault="008753BB" w:rsidP="008753BB">
            <w:pPr>
              <w:pStyle w:val="Table"/>
            </w:pPr>
            <w:r>
              <w:t>Stonework</w:t>
            </w:r>
          </w:p>
        </w:tc>
      </w:tr>
      <w:tr w:rsidR="008753BB" w:rsidRPr="00E73106" w14:paraId="65433E60" w14:textId="77777777" w:rsidTr="0081263D">
        <w:trPr>
          <w:trHeight w:val="340"/>
        </w:trPr>
        <w:tc>
          <w:tcPr>
            <w:tcW w:w="1346" w:type="dxa"/>
            <w:vAlign w:val="center"/>
          </w:tcPr>
          <w:p w14:paraId="49B97384" w14:textId="77777777" w:rsidR="008753BB" w:rsidRPr="00E73106" w:rsidRDefault="008753BB" w:rsidP="008753BB">
            <w:pPr>
              <w:pStyle w:val="TableCen"/>
            </w:pPr>
            <w:r>
              <w:t>S180</w:t>
            </w:r>
          </w:p>
        </w:tc>
        <w:tc>
          <w:tcPr>
            <w:tcW w:w="7017" w:type="dxa"/>
            <w:vAlign w:val="center"/>
          </w:tcPr>
          <w:p w14:paraId="6A915A54" w14:textId="77777777" w:rsidR="008753BB" w:rsidRPr="00E73106" w:rsidRDefault="008753BB" w:rsidP="008753BB">
            <w:pPr>
              <w:pStyle w:val="Table"/>
            </w:pPr>
            <w:r>
              <w:t>Unit Paving</w:t>
            </w:r>
          </w:p>
        </w:tc>
      </w:tr>
      <w:tr w:rsidR="008753BB" w:rsidRPr="00E73106" w14:paraId="29D22B37" w14:textId="77777777" w:rsidTr="0081263D">
        <w:trPr>
          <w:trHeight w:val="340"/>
        </w:trPr>
        <w:tc>
          <w:tcPr>
            <w:tcW w:w="1346" w:type="dxa"/>
            <w:vAlign w:val="center"/>
          </w:tcPr>
          <w:p w14:paraId="5FBCDE5C" w14:textId="77777777" w:rsidR="008753BB" w:rsidRPr="00E73106" w:rsidRDefault="008753BB" w:rsidP="008753BB">
            <w:pPr>
              <w:pStyle w:val="TableCen"/>
            </w:pPr>
            <w:r>
              <w:t>S190</w:t>
            </w:r>
          </w:p>
        </w:tc>
        <w:tc>
          <w:tcPr>
            <w:tcW w:w="7017" w:type="dxa"/>
            <w:vAlign w:val="center"/>
          </w:tcPr>
          <w:p w14:paraId="6BAB686E" w14:textId="77777777" w:rsidR="008753BB" w:rsidRPr="00E73106" w:rsidRDefault="008753BB" w:rsidP="008753BB">
            <w:pPr>
              <w:pStyle w:val="Table"/>
            </w:pPr>
            <w:r>
              <w:t>Landscaping</w:t>
            </w:r>
          </w:p>
        </w:tc>
      </w:tr>
      <w:tr w:rsidR="008753BB" w:rsidRPr="00E73106" w14:paraId="256FE0D5" w14:textId="77777777" w:rsidTr="0081263D">
        <w:trPr>
          <w:trHeight w:val="340"/>
        </w:trPr>
        <w:tc>
          <w:tcPr>
            <w:tcW w:w="1346" w:type="dxa"/>
            <w:vAlign w:val="center"/>
          </w:tcPr>
          <w:p w14:paraId="7ED09C24" w14:textId="77777777" w:rsidR="008753BB" w:rsidRPr="00E73106" w:rsidRDefault="008753BB" w:rsidP="008753BB">
            <w:pPr>
              <w:pStyle w:val="TableCen"/>
            </w:pPr>
            <w:r>
              <w:t>S200</w:t>
            </w:r>
          </w:p>
        </w:tc>
        <w:tc>
          <w:tcPr>
            <w:tcW w:w="7017" w:type="dxa"/>
            <w:vAlign w:val="center"/>
          </w:tcPr>
          <w:p w14:paraId="24031601" w14:textId="77777777" w:rsidR="008753BB" w:rsidRPr="00E73106" w:rsidRDefault="008753BB" w:rsidP="008753BB">
            <w:pPr>
              <w:pStyle w:val="Table"/>
            </w:pPr>
            <w:r>
              <w:t>Concrete Work</w:t>
            </w:r>
          </w:p>
        </w:tc>
      </w:tr>
      <w:tr w:rsidR="008753BB" w:rsidRPr="00E73106" w14:paraId="77F70321" w14:textId="77777777" w:rsidTr="0081263D">
        <w:trPr>
          <w:trHeight w:val="340"/>
        </w:trPr>
        <w:tc>
          <w:tcPr>
            <w:tcW w:w="1346" w:type="dxa"/>
            <w:vAlign w:val="center"/>
          </w:tcPr>
          <w:p w14:paraId="50111542" w14:textId="77777777" w:rsidR="008753BB" w:rsidRPr="00E73106" w:rsidRDefault="008753BB" w:rsidP="008753BB">
            <w:pPr>
              <w:pStyle w:val="TableCen"/>
            </w:pPr>
            <w:r w:rsidRPr="00E73106">
              <w:t>S300</w:t>
            </w:r>
          </w:p>
        </w:tc>
        <w:tc>
          <w:tcPr>
            <w:tcW w:w="7017" w:type="dxa"/>
            <w:vAlign w:val="center"/>
          </w:tcPr>
          <w:p w14:paraId="3A696290" w14:textId="77777777" w:rsidR="008753BB" w:rsidRPr="00E73106" w:rsidRDefault="008753BB" w:rsidP="008753BB">
            <w:pPr>
              <w:pStyle w:val="Table"/>
            </w:pPr>
            <w:r w:rsidRPr="00E73106">
              <w:t>Quarry Products</w:t>
            </w:r>
          </w:p>
        </w:tc>
      </w:tr>
    </w:tbl>
    <w:p w14:paraId="5A3FFA81" w14:textId="77777777" w:rsidR="00456E0A" w:rsidRDefault="00B51E85" w:rsidP="007725F7">
      <w:pPr>
        <w:pStyle w:val="Heading3"/>
      </w:pPr>
      <w:bookmarkStart w:id="11" w:name="_Toc76022184"/>
      <w:r w:rsidRPr="007D3F05">
        <w:t>Definitions</w:t>
      </w:r>
      <w:bookmarkEnd w:id="11"/>
    </w:p>
    <w:p w14:paraId="637A07E5" w14:textId="77777777" w:rsidR="00456E0A" w:rsidRDefault="00456E0A" w:rsidP="007D3F05">
      <w:pPr>
        <w:pStyle w:val="BodyTextIndent"/>
      </w:pPr>
      <w:r>
        <w:t xml:space="preserve">Description and classification of soils: To </w:t>
      </w:r>
      <w:r w:rsidRPr="00596427">
        <w:rPr>
          <w:i/>
        </w:rPr>
        <w:t>AS</w:t>
      </w:r>
      <w:r w:rsidR="00596427" w:rsidRPr="00596427">
        <w:rPr>
          <w:i/>
        </w:rPr>
        <w:t> </w:t>
      </w:r>
      <w:r w:rsidRPr="00596427">
        <w:rPr>
          <w:i/>
        </w:rPr>
        <w:t>1726</w:t>
      </w:r>
      <w:r>
        <w:t>.</w:t>
      </w:r>
    </w:p>
    <w:p w14:paraId="5B8DBEA5" w14:textId="77777777" w:rsidR="00456E0A" w:rsidRDefault="00456E0A" w:rsidP="007D3F05">
      <w:pPr>
        <w:pStyle w:val="BodyTextIndent"/>
      </w:pPr>
      <w:r>
        <w:t>Bad ground: Ground unsuitable for the purposes of the Works, including filling liable to subsidence; ground full of vegetative matter; ground containing cavities, faults or fissures; ground contaminated by harmful substances including oil, cement and chemicals; ground containing acid sulphate soil; or ground which is or becomes soft, wet and unstable; and the like.</w:t>
      </w:r>
    </w:p>
    <w:p w14:paraId="67D7B3B4" w14:textId="77777777" w:rsidR="00456E0A" w:rsidRDefault="00456E0A" w:rsidP="007D3F05">
      <w:pPr>
        <w:pStyle w:val="BodyTextIndent"/>
      </w:pPr>
      <w:r>
        <w:t xml:space="preserve">Non-rippable material: As defined in </w:t>
      </w:r>
      <w:r>
        <w:rPr>
          <w:i/>
        </w:rPr>
        <w:t>Clause</w:t>
      </w:r>
      <w:r w:rsidR="00596427">
        <w:t> </w:t>
      </w:r>
      <w:r>
        <w:rPr>
          <w:i/>
        </w:rPr>
        <w:t>7.8</w:t>
      </w:r>
      <w:r>
        <w:t>.</w:t>
      </w:r>
    </w:p>
    <w:p w14:paraId="5915F295" w14:textId="77777777" w:rsidR="00456E0A" w:rsidRDefault="00456E0A" w:rsidP="007D3F05">
      <w:pPr>
        <w:pStyle w:val="BodyTextIndent"/>
      </w:pPr>
      <w:r>
        <w:t>Line of influence: A line extending downward and outward from the bottom edge of a footing, slab or pavement and defining the extent of foundation material having influence on the stability or support of the footings, slab or pavement.</w:t>
      </w:r>
    </w:p>
    <w:p w14:paraId="3A081113" w14:textId="77777777" w:rsidR="00456E0A" w:rsidRDefault="00456E0A" w:rsidP="007D3F05">
      <w:pPr>
        <w:pStyle w:val="BodyTextIndent"/>
      </w:pPr>
      <w:r>
        <w:t>Subgrade: The prepared formation on which a pavement or slab is constructed or the top portion of earthworks immediately below the pavement or slab.  Subgrade is considered to be the top 150 mm in cuttings and the top 300 mm in embankment unless stated otherwise.</w:t>
      </w:r>
    </w:p>
    <w:p w14:paraId="6283E2A9" w14:textId="77777777" w:rsidR="00456E0A" w:rsidRDefault="00456E0A" w:rsidP="007D3F05">
      <w:pPr>
        <w:pStyle w:val="BodyTextIndent"/>
      </w:pPr>
      <w:r>
        <w:t>Subgrade level: The top surface of the prepared subgrade on which a pavement or slab is constructed.</w:t>
      </w:r>
    </w:p>
    <w:p w14:paraId="789B68A6" w14:textId="77777777" w:rsidR="00456E0A" w:rsidRDefault="00456E0A" w:rsidP="007D3F05">
      <w:pPr>
        <w:pStyle w:val="BodyTextIndent"/>
      </w:pPr>
      <w:r>
        <w:t>Relative compaction: The ratio between the field bulk density and the bulk density of the material when compacted in the laboratory.</w:t>
      </w:r>
    </w:p>
    <w:p w14:paraId="7D0AA0C9" w14:textId="77777777" w:rsidR="00456E0A" w:rsidRDefault="00456E0A" w:rsidP="007D3F05">
      <w:pPr>
        <w:pStyle w:val="BodyTextIndent"/>
      </w:pPr>
      <w:r>
        <w:t>Critical zone (trees): The area described by the greater of the vertical projection of the canopy or a radius of ten times the tree trunk diameter and extending to a depth of 750 mm below the ground.</w:t>
      </w:r>
    </w:p>
    <w:p w14:paraId="02789E57" w14:textId="77777777" w:rsidR="0081263D" w:rsidRDefault="0081263D" w:rsidP="0081263D">
      <w:pPr>
        <w:pStyle w:val="BodyText"/>
        <w:rPr>
          <w:sz w:val="24"/>
          <w:szCs w:val="24"/>
        </w:rPr>
      </w:pPr>
      <w:bookmarkStart w:id="12" w:name="_Toc76022185"/>
      <w:r>
        <w:br w:type="page"/>
      </w:r>
    </w:p>
    <w:p w14:paraId="1BC74239" w14:textId="2C6D91A1" w:rsidR="00456E0A" w:rsidRDefault="00B51E85" w:rsidP="007725F7">
      <w:pPr>
        <w:pStyle w:val="Heading3"/>
      </w:pPr>
      <w:r w:rsidRPr="007D3F05">
        <w:lastRenderedPageBreak/>
        <w:t>Measurement</w:t>
      </w:r>
      <w:bookmarkEnd w:id="12"/>
    </w:p>
    <w:p w14:paraId="46443A48" w14:textId="77777777" w:rsidR="00456E0A" w:rsidRPr="007D3F05" w:rsidRDefault="00456E0A" w:rsidP="007D3F05">
      <w:pPr>
        <w:pStyle w:val="BodyTextIndentBoldUnderline"/>
      </w:pPr>
      <w:r w:rsidRPr="007D3F05">
        <w:t>General</w:t>
      </w:r>
    </w:p>
    <w:p w14:paraId="427CB120" w14:textId="77777777" w:rsidR="00456E0A" w:rsidRDefault="00456E0A" w:rsidP="007D3F05">
      <w:pPr>
        <w:pStyle w:val="BodyTextIndent"/>
      </w:pPr>
      <w:r>
        <w:t>If provisional quantities are specified, or there have been variations to the contract dimensions of excavations, do not commence backfilling or place any permanent work in excavations until the quantities of excavation and backfilling have been agreed and recorded.</w:t>
      </w:r>
    </w:p>
    <w:p w14:paraId="44A3F1B7" w14:textId="77777777" w:rsidR="00456E0A" w:rsidRDefault="00456E0A" w:rsidP="007D3F05">
      <w:pPr>
        <w:pStyle w:val="BodyTextIndentBoldUnderline"/>
      </w:pPr>
      <w:r>
        <w:t>Measurement of non-rippable material</w:t>
      </w:r>
    </w:p>
    <w:p w14:paraId="607CD232" w14:textId="77777777" w:rsidR="00456E0A" w:rsidRDefault="00456E0A" w:rsidP="007D3F05">
      <w:pPr>
        <w:pStyle w:val="BodyTextIndent"/>
      </w:pPr>
      <w:r>
        <w:t>If payment is to be claimed for excavation in non-rippable material, do not remove the material until the level and (if applicable) class of material have been determined.</w:t>
      </w:r>
    </w:p>
    <w:p w14:paraId="2F98A467" w14:textId="77777777" w:rsidR="00456E0A" w:rsidRDefault="00456E0A" w:rsidP="007725F7">
      <w:pPr>
        <w:pStyle w:val="Heading2"/>
      </w:pPr>
      <w:bookmarkStart w:id="13" w:name="_Toc493942072"/>
      <w:bookmarkStart w:id="14" w:name="_Toc493986911"/>
      <w:bookmarkStart w:id="15" w:name="_Toc76022186"/>
      <w:r w:rsidRPr="007D3F05">
        <w:t>QUALITY</w:t>
      </w:r>
      <w:bookmarkEnd w:id="13"/>
      <w:bookmarkEnd w:id="14"/>
      <w:bookmarkEnd w:id="15"/>
    </w:p>
    <w:p w14:paraId="0DE7CDE6" w14:textId="77777777" w:rsidR="00456E0A" w:rsidRDefault="00497413" w:rsidP="007725F7">
      <w:pPr>
        <w:pStyle w:val="Heading3"/>
      </w:pPr>
      <w:bookmarkStart w:id="16" w:name="_Toc76022187"/>
      <w:r w:rsidRPr="007D3F05">
        <w:t>Inspection</w:t>
      </w:r>
      <w:bookmarkEnd w:id="16"/>
    </w:p>
    <w:p w14:paraId="10D2B92A" w14:textId="77777777" w:rsidR="00456E0A" w:rsidRDefault="00456E0A" w:rsidP="007D3F05">
      <w:pPr>
        <w:pStyle w:val="BodyTextIndentBoldUnderline"/>
        <w:rPr>
          <w:i/>
        </w:rPr>
      </w:pPr>
      <w:r>
        <w:t>Witness points</w:t>
      </w:r>
    </w:p>
    <w:p w14:paraId="7F16341B" w14:textId="77777777" w:rsidR="00456E0A" w:rsidRDefault="00456E0A" w:rsidP="007D3F05">
      <w:pPr>
        <w:pStyle w:val="BodyTextIndent"/>
      </w:pPr>
      <w:r>
        <w:rPr>
          <w:i/>
        </w:rPr>
        <w:t>Refer annexure</w:t>
      </w:r>
      <w:r>
        <w:t>.  Give sufficient notice so that inspection may be made of the following stages:</w:t>
      </w:r>
    </w:p>
    <w:p w14:paraId="11D9E453" w14:textId="77777777" w:rsidR="00456E0A" w:rsidRDefault="00456E0A" w:rsidP="007D3F05">
      <w:pPr>
        <w:pStyle w:val="BodyTextIndentDot"/>
      </w:pPr>
      <w:r>
        <w:t>Protection measures in place for trees to be retained.</w:t>
      </w:r>
    </w:p>
    <w:p w14:paraId="6F190902" w14:textId="77777777" w:rsidR="00456E0A" w:rsidRDefault="00456E0A" w:rsidP="007D3F05">
      <w:pPr>
        <w:pStyle w:val="BodyTextIndentDot"/>
      </w:pPr>
      <w:r>
        <w:t>Areas to be cleared and/or stripped of topsoil marked out.</w:t>
      </w:r>
    </w:p>
    <w:p w14:paraId="2E7B8F28" w14:textId="77777777" w:rsidR="00456E0A" w:rsidRDefault="00456E0A" w:rsidP="007D3F05">
      <w:pPr>
        <w:pStyle w:val="BodyTextIndentDot"/>
      </w:pPr>
      <w:r>
        <w:t>Excavation completed to contract levels or founding material.</w:t>
      </w:r>
    </w:p>
    <w:p w14:paraId="552FCE11" w14:textId="77777777" w:rsidR="00456E0A" w:rsidRDefault="00456E0A" w:rsidP="007D3F05">
      <w:pPr>
        <w:pStyle w:val="BodyTextIndentDot"/>
      </w:pPr>
      <w:r>
        <w:t>Subgrade material opened up so that its nature can be assessed.</w:t>
      </w:r>
    </w:p>
    <w:p w14:paraId="26014888" w14:textId="77777777" w:rsidR="00456E0A" w:rsidRDefault="00456E0A" w:rsidP="007D3F05">
      <w:pPr>
        <w:pStyle w:val="BodyTextIndentDot"/>
      </w:pPr>
      <w:r>
        <w:t>Geotextile in place prior to backfilling.</w:t>
      </w:r>
    </w:p>
    <w:p w14:paraId="1A484188" w14:textId="77777777" w:rsidR="00456E0A" w:rsidRDefault="00456E0A" w:rsidP="007D3F05">
      <w:pPr>
        <w:pStyle w:val="BodyTextIndentDot"/>
      </w:pPr>
      <w:r>
        <w:t>Reinforced earth wall faces at the factory ready for delivery to site.</w:t>
      </w:r>
    </w:p>
    <w:p w14:paraId="6106B3C1" w14:textId="77777777" w:rsidR="00456E0A" w:rsidRDefault="00456E0A" w:rsidP="007D3F05">
      <w:pPr>
        <w:pStyle w:val="BodyTextIndentDot"/>
      </w:pPr>
      <w:r>
        <w:t>At the commencement of installing reinforced earth wall faces.</w:t>
      </w:r>
    </w:p>
    <w:p w14:paraId="592AD98A" w14:textId="77777777" w:rsidR="00456E0A" w:rsidRDefault="00456E0A" w:rsidP="008F4E25">
      <w:pPr>
        <w:pStyle w:val="BodyTextIndent"/>
        <w:rPr>
          <w:i/>
        </w:rPr>
      </w:pPr>
      <w:r>
        <w:fldChar w:fldCharType="begin"/>
      </w:r>
      <w:r>
        <w:instrText>ADVANCE \d3</w:instrText>
      </w:r>
      <w:r>
        <w:fldChar w:fldCharType="end"/>
      </w:r>
      <w:r>
        <w:fldChar w:fldCharType="begin"/>
      </w:r>
      <w:r>
        <w:instrText>ADVANCE \u3</w:instrText>
      </w:r>
      <w:r>
        <w:fldChar w:fldCharType="end"/>
      </w:r>
      <w:r>
        <w:fldChar w:fldCharType="begin"/>
      </w:r>
      <w:r>
        <w:instrText>ADVANCE \d3</w:instrText>
      </w:r>
      <w:r>
        <w:fldChar w:fldCharType="end"/>
      </w:r>
      <w:r>
        <w:fldChar w:fldCharType="begin"/>
      </w:r>
      <w:r>
        <w:instrText>ADVANCE \u3</w:instrText>
      </w:r>
      <w:r>
        <w:fldChar w:fldCharType="end"/>
      </w:r>
      <w:r w:rsidRPr="00575230">
        <w:rPr>
          <w:b/>
          <w:u w:val="single"/>
        </w:rPr>
        <w:t>Hold points</w:t>
      </w:r>
    </w:p>
    <w:p w14:paraId="5BE86896" w14:textId="77777777" w:rsidR="00456E0A" w:rsidRDefault="00456E0A" w:rsidP="008F4E25">
      <w:pPr>
        <w:pStyle w:val="BodyTextIndent"/>
      </w:pPr>
      <w:r>
        <w:rPr>
          <w:i/>
        </w:rPr>
        <w:t>Refer annexure</w:t>
      </w:r>
      <w:r>
        <w:t>.  Do not proceed without approval.  Give sufficient notice so that inspection may be made at the following stages:</w:t>
      </w:r>
    </w:p>
    <w:p w14:paraId="7E011A14" w14:textId="77777777" w:rsidR="00456E0A" w:rsidRDefault="00456E0A" w:rsidP="008F4E25">
      <w:pPr>
        <w:pStyle w:val="BodyTextIndentDot"/>
      </w:pPr>
      <w:r>
        <w:t>Subgrade ready to receive sub base, base, working base, geotextile or membrane, as applicable.</w:t>
      </w:r>
    </w:p>
    <w:p w14:paraId="0B527E6F" w14:textId="77777777" w:rsidR="00575230" w:rsidRPr="00C45D4C" w:rsidRDefault="00575230" w:rsidP="00575230">
      <w:pPr>
        <w:pStyle w:val="BodyTextIndentDot"/>
      </w:pPr>
      <w:r w:rsidRPr="00C45D4C">
        <w:t xml:space="preserve">Proof rolling of the completed </w:t>
      </w:r>
      <w:r w:rsidR="003A18A0" w:rsidRPr="00C45D4C">
        <w:t>subgrade</w:t>
      </w:r>
      <w:r w:rsidRPr="00C45D4C">
        <w:t xml:space="preserve"> surface.</w:t>
      </w:r>
    </w:p>
    <w:p w14:paraId="76C923E4" w14:textId="77777777" w:rsidR="00456E0A" w:rsidRDefault="00456E0A" w:rsidP="008F4E25">
      <w:pPr>
        <w:pStyle w:val="BodyTextIndentBoldUnderline"/>
      </w:pPr>
      <w:r>
        <w:t>Immediate notice</w:t>
      </w:r>
    </w:p>
    <w:p w14:paraId="1D72CB2E" w14:textId="77777777" w:rsidR="00456E0A" w:rsidRDefault="00456E0A" w:rsidP="008F4E25">
      <w:pPr>
        <w:pStyle w:val="BodyTextIndent"/>
      </w:pPr>
      <w:r>
        <w:t>If rock or bad ground is encountered, give notice immediately and obtain instructions.</w:t>
      </w:r>
    </w:p>
    <w:p w14:paraId="3001843F" w14:textId="77777777" w:rsidR="00456E0A" w:rsidRDefault="00497413" w:rsidP="007725F7">
      <w:pPr>
        <w:pStyle w:val="Heading3"/>
      </w:pPr>
      <w:bookmarkStart w:id="17" w:name="_Toc76022188"/>
      <w:r>
        <w:t>Samples</w:t>
      </w:r>
      <w:bookmarkEnd w:id="17"/>
    </w:p>
    <w:p w14:paraId="453B2BB2" w14:textId="77777777" w:rsidR="00456E0A" w:rsidRDefault="00456E0A" w:rsidP="008F4E25">
      <w:pPr>
        <w:pStyle w:val="BodyTextIndentBoldUnderline"/>
      </w:pPr>
      <w:r>
        <w:t>General</w:t>
      </w:r>
    </w:p>
    <w:p w14:paraId="0A081818" w14:textId="77777777" w:rsidR="00456E0A" w:rsidRDefault="00456E0A" w:rsidP="008F4E25">
      <w:pPr>
        <w:pStyle w:val="BodyTextIndent"/>
      </w:pPr>
      <w:r>
        <w:rPr>
          <w:i/>
        </w:rPr>
        <w:t>Refer annexure</w:t>
      </w:r>
      <w:r>
        <w:t>.  Submit to the testing authority samples of the following:</w:t>
      </w:r>
    </w:p>
    <w:p w14:paraId="73910EAE" w14:textId="77777777" w:rsidR="00456E0A" w:rsidRDefault="00456E0A" w:rsidP="008F4E25">
      <w:pPr>
        <w:pStyle w:val="BodyTextIndentDot"/>
      </w:pPr>
      <w:r>
        <w:t>Each type of imported fill.</w:t>
      </w:r>
    </w:p>
    <w:p w14:paraId="1EED31BC" w14:textId="77777777" w:rsidR="00456E0A" w:rsidRDefault="00456E0A" w:rsidP="008F4E25">
      <w:pPr>
        <w:pStyle w:val="BodyTextIndentDot"/>
      </w:pPr>
      <w:r>
        <w:t>Each type of excavated material, which is to be re-used as select fill or embankment fill in the Works.</w:t>
      </w:r>
    </w:p>
    <w:p w14:paraId="0C99AAFA" w14:textId="77777777" w:rsidR="00456E0A" w:rsidRDefault="00456E0A" w:rsidP="008F4E25">
      <w:pPr>
        <w:pStyle w:val="BodyTextIndentBoldUnderline"/>
      </w:pPr>
      <w:r>
        <w:t>Identification</w:t>
      </w:r>
    </w:p>
    <w:p w14:paraId="7E40FCB4" w14:textId="77777777" w:rsidR="00456E0A" w:rsidRDefault="00456E0A" w:rsidP="008F4E25">
      <w:pPr>
        <w:pStyle w:val="BodyTextIndent"/>
      </w:pPr>
      <w:r>
        <w:t>Attach a tag to each sample showing relevant information including description, source and nominal size of material.</w:t>
      </w:r>
    </w:p>
    <w:p w14:paraId="1E2B74F6" w14:textId="77777777" w:rsidR="00456E0A" w:rsidRDefault="00456E0A" w:rsidP="008F4E25">
      <w:pPr>
        <w:pStyle w:val="BodyTextIndentBoldUnderline"/>
      </w:pPr>
      <w:r>
        <w:t>Earth reinforcement</w:t>
      </w:r>
    </w:p>
    <w:p w14:paraId="0432C6AE" w14:textId="77777777" w:rsidR="00456E0A" w:rsidRDefault="00456E0A" w:rsidP="008F4E25">
      <w:pPr>
        <w:pStyle w:val="BodyTextIndent"/>
      </w:pPr>
      <w:r>
        <w:t>Provide samples of the following, before fabrication commences:</w:t>
      </w:r>
    </w:p>
    <w:p w14:paraId="2AFCB55D" w14:textId="77777777" w:rsidR="00456E0A" w:rsidRPr="008F4E25" w:rsidRDefault="00456E0A" w:rsidP="008F4E25">
      <w:pPr>
        <w:pStyle w:val="BodyTextIndentDot"/>
      </w:pPr>
      <w:r w:rsidRPr="008F4E25">
        <w:t>Facing unit (at the approval of the Superintendent, facing units of the same design installed at a nearby project may be used in lieu of the facing unit sample).</w:t>
      </w:r>
    </w:p>
    <w:p w14:paraId="3BC67472" w14:textId="77777777" w:rsidR="00456E0A" w:rsidRDefault="00456E0A" w:rsidP="008F4E25">
      <w:pPr>
        <w:pStyle w:val="BodyTextIndentDot"/>
      </w:pPr>
      <w:r w:rsidRPr="008F4E25">
        <w:fldChar w:fldCharType="begin"/>
      </w:r>
      <w:r w:rsidRPr="008F4E25">
        <w:instrText>ADVANCE \d3</w:instrText>
      </w:r>
      <w:r w:rsidRPr="008F4E25">
        <w:fldChar w:fldCharType="end"/>
      </w:r>
      <w:r w:rsidRPr="008F4E25">
        <w:fldChar w:fldCharType="begin"/>
      </w:r>
      <w:r w:rsidRPr="008F4E25">
        <w:instrText>ADVANCE \u3</w:instrText>
      </w:r>
      <w:r w:rsidRPr="008F4E25">
        <w:fldChar w:fldCharType="end"/>
      </w:r>
      <w:r w:rsidRPr="008F4E25">
        <w:t>Reinforcing</w:t>
      </w:r>
      <w:r>
        <w:t xml:space="preserve"> anchor to facing unit joint</w:t>
      </w:r>
    </w:p>
    <w:p w14:paraId="476E1414" w14:textId="77777777" w:rsidR="00456E0A" w:rsidRDefault="00497413" w:rsidP="007725F7">
      <w:pPr>
        <w:pStyle w:val="Heading3"/>
      </w:pPr>
      <w:bookmarkStart w:id="18" w:name="_Toc76022189"/>
      <w:r w:rsidRPr="008F4E25">
        <w:lastRenderedPageBreak/>
        <w:t>Contractor</w:t>
      </w:r>
      <w:r w:rsidRPr="008F4E25">
        <w:rPr>
          <w:rFonts w:hint="eastAsia"/>
        </w:rPr>
        <w:t>’</w:t>
      </w:r>
      <w:r w:rsidRPr="008F4E25">
        <w:t>s</w:t>
      </w:r>
      <w:r>
        <w:t xml:space="preserve"> Submissions</w:t>
      </w:r>
      <w:bookmarkEnd w:id="18"/>
    </w:p>
    <w:p w14:paraId="650514DC" w14:textId="77777777" w:rsidR="00456E0A" w:rsidRDefault="00456E0A" w:rsidP="008F4E25">
      <w:pPr>
        <w:pStyle w:val="BodyTextIndentBoldUnderline"/>
      </w:pPr>
      <w:r>
        <w:t>Design</w:t>
      </w:r>
    </w:p>
    <w:p w14:paraId="0EFE34B6" w14:textId="77777777" w:rsidR="00456E0A" w:rsidRDefault="00456E0A" w:rsidP="008F4E25">
      <w:pPr>
        <w:pStyle w:val="BodyTextIndent"/>
      </w:pPr>
      <w:r>
        <w:t>Ground anchors: Submit all details of the proposed ground anchor system prior to commencement of work.</w:t>
      </w:r>
    </w:p>
    <w:p w14:paraId="4938D61A" w14:textId="77777777" w:rsidR="00B04D4A" w:rsidRDefault="00B04D4A" w:rsidP="00B04D4A">
      <w:pPr>
        <w:pStyle w:val="BodyTextIndent"/>
      </w:pPr>
      <w:r w:rsidRPr="00C45D4C">
        <w:t>Crib walls: Submit an engineer's certificate confirming stability of the completed design.</w:t>
      </w:r>
    </w:p>
    <w:p w14:paraId="247A6ED3" w14:textId="77777777" w:rsidR="00456E0A" w:rsidRDefault="00456E0A" w:rsidP="008F4E25">
      <w:pPr>
        <w:pStyle w:val="BodyTextIndent"/>
      </w:pPr>
      <w:r>
        <w:t xml:space="preserve">Earth reinforcement: Submit an engineer's certificate confirming compliance with Queensland Department of </w:t>
      </w:r>
      <w:r w:rsidR="00D96057">
        <w:t xml:space="preserve">Transport and </w:t>
      </w:r>
      <w:r>
        <w:t xml:space="preserve">Main Roads standard specification </w:t>
      </w:r>
      <w:r w:rsidR="003B50E2" w:rsidRPr="003B50E2">
        <w:rPr>
          <w:i/>
        </w:rPr>
        <w:t>MRTS</w:t>
      </w:r>
      <w:r w:rsidR="00596427">
        <w:t> </w:t>
      </w:r>
      <w:r w:rsidR="003B50E2" w:rsidRPr="003B50E2">
        <w:rPr>
          <w:i/>
        </w:rPr>
        <w:t>06 Reinforced Soil Structures</w:t>
      </w:r>
      <w:r>
        <w:t xml:space="preserve"> and this specification.</w:t>
      </w:r>
    </w:p>
    <w:p w14:paraId="07FA6428" w14:textId="77777777" w:rsidR="00456E0A" w:rsidRDefault="00456E0A" w:rsidP="008F4E25">
      <w:pPr>
        <w:pStyle w:val="BodyTextIndentBoldUnderline"/>
      </w:pPr>
      <w:r>
        <w:t>Materials</w:t>
      </w:r>
    </w:p>
    <w:p w14:paraId="2BE0FB4B" w14:textId="77777777" w:rsidR="00456E0A" w:rsidRDefault="00456E0A" w:rsidP="008F4E25">
      <w:pPr>
        <w:pStyle w:val="BodyTextIndent"/>
      </w:pPr>
      <w:r>
        <w:t>Imported materials: Notify the supplier, source and suppliers description of all imported materials.</w:t>
      </w:r>
    </w:p>
    <w:p w14:paraId="71153EE4" w14:textId="77777777" w:rsidR="00456E0A" w:rsidRDefault="00456E0A" w:rsidP="008F4E25">
      <w:pPr>
        <w:pStyle w:val="BodyTextIndent"/>
      </w:pPr>
      <w:r>
        <w:t>Recycled products: Notify the nature, source, proportions and method of incorporation of any added fillers or binders.</w:t>
      </w:r>
    </w:p>
    <w:p w14:paraId="571A9814" w14:textId="77777777" w:rsidR="00456E0A" w:rsidRDefault="00456E0A" w:rsidP="008F4E25">
      <w:pPr>
        <w:pStyle w:val="BodyTextIndent"/>
      </w:pPr>
      <w:r>
        <w:t>Imported fill: Submit certification or test results, which establish the compliance of imported fill.</w:t>
      </w:r>
    </w:p>
    <w:p w14:paraId="32491CCB" w14:textId="77777777" w:rsidR="00456E0A" w:rsidRDefault="00456E0A" w:rsidP="007725F7">
      <w:pPr>
        <w:pStyle w:val="Heading2"/>
      </w:pPr>
      <w:bookmarkStart w:id="19" w:name="_Toc493942073"/>
      <w:bookmarkStart w:id="20" w:name="_Toc493986912"/>
      <w:bookmarkStart w:id="21" w:name="_Toc76022190"/>
      <w:r>
        <w:t>SITE MANAGEMENT</w:t>
      </w:r>
      <w:bookmarkEnd w:id="19"/>
      <w:bookmarkEnd w:id="20"/>
      <w:bookmarkEnd w:id="21"/>
    </w:p>
    <w:p w14:paraId="39E2764E" w14:textId="77777777" w:rsidR="00456E0A" w:rsidRDefault="00497413" w:rsidP="007725F7">
      <w:pPr>
        <w:pStyle w:val="Heading3"/>
      </w:pPr>
      <w:bookmarkStart w:id="22" w:name="_Toc76022191"/>
      <w:r>
        <w:t xml:space="preserve">Tree </w:t>
      </w:r>
      <w:r w:rsidRPr="008F4E25">
        <w:t>Protection</w:t>
      </w:r>
      <w:bookmarkEnd w:id="22"/>
    </w:p>
    <w:p w14:paraId="3FE17104" w14:textId="77777777" w:rsidR="00456E0A" w:rsidRDefault="00456E0A" w:rsidP="008F4E25">
      <w:pPr>
        <w:pStyle w:val="BodyTextIndentBoldUnderline"/>
      </w:pPr>
      <w:r>
        <w:t>Warning sign</w:t>
      </w:r>
    </w:p>
    <w:p w14:paraId="46B988C2" w14:textId="77777777" w:rsidR="00456E0A" w:rsidRDefault="00456E0A" w:rsidP="008F4E25">
      <w:pPr>
        <w:pStyle w:val="BodyTextIndent"/>
      </w:pPr>
      <w:r>
        <w:t>General: Display a sign, in a prominent position at each entrance to the site, warning that trees and planting are to be protected during construction.  Remove on completion.</w:t>
      </w:r>
    </w:p>
    <w:p w14:paraId="56C0604E" w14:textId="77777777" w:rsidR="00456E0A" w:rsidRDefault="00456E0A" w:rsidP="008F4E25">
      <w:pPr>
        <w:pStyle w:val="BodyTextIndent"/>
      </w:pPr>
      <w:r>
        <w:t xml:space="preserve">Lettering: Road sign type sans serif letters, 100 mm high, in red on a white background, to </w:t>
      </w:r>
      <w:r w:rsidRPr="00013D39">
        <w:rPr>
          <w:i/>
        </w:rPr>
        <w:t>AS 1744</w:t>
      </w:r>
      <w:r>
        <w:t>.</w:t>
      </w:r>
    </w:p>
    <w:p w14:paraId="5A87BBFA" w14:textId="77777777" w:rsidR="00456E0A" w:rsidRDefault="00497413" w:rsidP="007725F7">
      <w:pPr>
        <w:pStyle w:val="Heading3"/>
      </w:pPr>
      <w:bookmarkStart w:id="23" w:name="_Toc76022192"/>
      <w:r>
        <w:t>Trees to Be Retained</w:t>
      </w:r>
      <w:bookmarkEnd w:id="23"/>
    </w:p>
    <w:p w14:paraId="244349A0" w14:textId="77777777" w:rsidR="00456E0A" w:rsidRDefault="00456E0A" w:rsidP="008F4E25">
      <w:pPr>
        <w:pStyle w:val="BodyTextIndentBoldUnderline"/>
      </w:pPr>
      <w:r>
        <w:t>Requirement</w:t>
      </w:r>
    </w:p>
    <w:p w14:paraId="446C56DE" w14:textId="77777777" w:rsidR="00456E0A" w:rsidRDefault="00456E0A" w:rsidP="008F4E25">
      <w:pPr>
        <w:pStyle w:val="BodyTextIndent"/>
      </w:pPr>
      <w:r>
        <w:t xml:space="preserve">Retain all trees outside the site.  Retain all trees within the site that are shown on the Drawings to be retained and any others that it is not necessary to remove.  </w:t>
      </w:r>
      <w:r>
        <w:rPr>
          <w:i/>
        </w:rPr>
        <w:t>Refer annexure</w:t>
      </w:r>
      <w:r>
        <w:t>.</w:t>
      </w:r>
    </w:p>
    <w:p w14:paraId="0B4D5107" w14:textId="77777777" w:rsidR="00456E0A" w:rsidRDefault="00456E0A" w:rsidP="008F4E25">
      <w:pPr>
        <w:pStyle w:val="BodyTextIndentBoldUnderline"/>
      </w:pPr>
      <w:r>
        <w:t>Marking</w:t>
      </w:r>
    </w:p>
    <w:p w14:paraId="302A2CDF" w14:textId="52DD728F" w:rsidR="00456E0A" w:rsidRDefault="00456E0A" w:rsidP="008F4E25">
      <w:pPr>
        <w:pStyle w:val="BodyTextIndent"/>
      </w:pPr>
      <w:r>
        <w:t xml:space="preserve">Mark trees to be retained within the site by visible, durable tags lettered to conform with the tree number (if any) on the Drawings.  Secure the tag to the tree by a loose band of yellow plastic </w:t>
      </w:r>
      <w:r w:rsidR="00C955CF">
        <w:t>“</w:t>
      </w:r>
      <w:r>
        <w:t>barrier tape</w:t>
      </w:r>
      <w:r w:rsidR="00C955CF">
        <w:t>”</w:t>
      </w:r>
      <w:r>
        <w:t>.  Remove the tags on completion.</w:t>
      </w:r>
    </w:p>
    <w:p w14:paraId="5D082ABF" w14:textId="77777777" w:rsidR="00456E0A" w:rsidRDefault="00456E0A" w:rsidP="008F4E25">
      <w:pPr>
        <w:pStyle w:val="BodyTextIndentBoldUnderline"/>
      </w:pPr>
      <w:r>
        <w:t>Protection and repair</w:t>
      </w:r>
    </w:p>
    <w:p w14:paraId="1D5CC305" w14:textId="77777777" w:rsidR="00456E0A" w:rsidRDefault="00456E0A" w:rsidP="008F4E25">
      <w:pPr>
        <w:pStyle w:val="BodyTextIndent"/>
      </w:pPr>
      <w:r>
        <w:t>Protection: Protect from damage the trees and shrubs that are to be retained, including those beyond the site area, both above and below ground.</w:t>
      </w:r>
    </w:p>
    <w:p w14:paraId="0AB2644C" w14:textId="77777777" w:rsidR="00456E0A" w:rsidRDefault="00456E0A" w:rsidP="008F4E25">
      <w:pPr>
        <w:pStyle w:val="BodyTextIndent"/>
      </w:pPr>
      <w:r>
        <w:t>Repair: Repair trees damaged during the work by a certified arborist.</w:t>
      </w:r>
    </w:p>
    <w:p w14:paraId="78BE640A" w14:textId="77777777" w:rsidR="00456E0A" w:rsidRDefault="00456E0A" w:rsidP="008F4E25">
      <w:pPr>
        <w:pStyle w:val="BodyTextIndentBoldUnderline"/>
      </w:pPr>
      <w:r>
        <w:t>Tree enclosure</w:t>
      </w:r>
    </w:p>
    <w:p w14:paraId="3B10C8D2" w14:textId="77777777" w:rsidR="00456E0A" w:rsidRDefault="00456E0A" w:rsidP="008F4E25">
      <w:pPr>
        <w:pStyle w:val="BodyTextIndent"/>
      </w:pPr>
      <w:r>
        <w:t>Location: Erect fence around trees to be retained within the site, and around trees outside the site but within the operating range of machinery.</w:t>
      </w:r>
    </w:p>
    <w:p w14:paraId="0DF4FD6E" w14:textId="77777777" w:rsidR="00456E0A" w:rsidRDefault="00456E0A" w:rsidP="008F4E25">
      <w:pPr>
        <w:pStyle w:val="BodyTextIndent"/>
      </w:pPr>
      <w:r>
        <w:t>Fencing: Provide a minimum 1.8 m high rigid fence.  Install protective device before commencement of work and remove on completion.</w:t>
      </w:r>
    </w:p>
    <w:p w14:paraId="0AAB0FF9" w14:textId="77777777" w:rsidR="00456E0A" w:rsidRDefault="00456E0A" w:rsidP="008F4E25">
      <w:pPr>
        <w:pStyle w:val="BodyTextIndent"/>
      </w:pPr>
      <w:r>
        <w:t>Large ovate tree canopy: Erect fence at the tree drip line perimeter.</w:t>
      </w:r>
    </w:p>
    <w:p w14:paraId="5F9080F9" w14:textId="77777777" w:rsidR="00456E0A" w:rsidRDefault="00456E0A" w:rsidP="008F4E25">
      <w:pPr>
        <w:pStyle w:val="BodyTextIndent"/>
      </w:pPr>
      <w:r>
        <w:t>Column type tree canopy: Erect fence at varying distances from the stem, depending on the tree diameter in terms of depth breast height.  Provide minimum clear distances of 3 m for tree diameter up to 30 cm, 4 m for tree diameter greater than 30 cm and up to 50 cm, and 5 m for diameter larger than 50 cm.</w:t>
      </w:r>
    </w:p>
    <w:p w14:paraId="0CB53A4C" w14:textId="77777777" w:rsidR="0081263D" w:rsidRDefault="0081263D" w:rsidP="0081263D">
      <w:pPr>
        <w:pStyle w:val="BodyText"/>
        <w:rPr>
          <w:u w:val="single"/>
        </w:rPr>
      </w:pPr>
      <w:r>
        <w:br w:type="page"/>
      </w:r>
    </w:p>
    <w:p w14:paraId="45B0AF2B" w14:textId="73B89EE9" w:rsidR="00456E0A" w:rsidRDefault="00456E0A" w:rsidP="001D057E">
      <w:pPr>
        <w:pStyle w:val="BodyTextIndentBoldUnderline"/>
      </w:pPr>
      <w:r>
        <w:lastRenderedPageBreak/>
        <w:t>Removal</w:t>
      </w:r>
    </w:p>
    <w:p w14:paraId="263CCEE0" w14:textId="77777777" w:rsidR="00456E0A" w:rsidRDefault="00456E0A" w:rsidP="001D057E">
      <w:pPr>
        <w:pStyle w:val="BodyTextIndent"/>
      </w:pPr>
      <w:r w:rsidRPr="00C45D4C">
        <w:t xml:space="preserve">If repair work is impracticable, or is attempted and is rejected, remove the tree (including the root system if directed), make good, and either replace the tree with a replacement tree of the same species and similar size, or pay damages.  </w:t>
      </w:r>
      <w:r w:rsidR="00E464D1" w:rsidRPr="00C45D4C">
        <w:t>Calculate t</w:t>
      </w:r>
      <w:r w:rsidRPr="00C45D4C">
        <w:t xml:space="preserve">he value of any tree removed in accordance with </w:t>
      </w:r>
      <w:r w:rsidR="005C6216" w:rsidRPr="00C45D4C">
        <w:t xml:space="preserve">Council’s </w:t>
      </w:r>
      <w:r w:rsidR="005C6216" w:rsidRPr="00C45D4C">
        <w:rPr>
          <w:i/>
        </w:rPr>
        <w:t>OS21 T</w:t>
      </w:r>
      <w:r w:rsidR="00E464D1" w:rsidRPr="00C45D4C">
        <w:rPr>
          <w:i/>
        </w:rPr>
        <w:t>ree</w:t>
      </w:r>
      <w:r w:rsidR="005C6216" w:rsidRPr="00C45D4C">
        <w:rPr>
          <w:i/>
        </w:rPr>
        <w:t xml:space="preserve"> R</w:t>
      </w:r>
      <w:r w:rsidR="00E464D1" w:rsidRPr="00C45D4C">
        <w:rPr>
          <w:i/>
        </w:rPr>
        <w:t>emoval</w:t>
      </w:r>
      <w:r w:rsidR="005C6216" w:rsidRPr="00C45D4C">
        <w:rPr>
          <w:i/>
        </w:rPr>
        <w:t xml:space="preserve"> </w:t>
      </w:r>
      <w:r w:rsidR="00E464D1" w:rsidRPr="00C45D4C">
        <w:rPr>
          <w:i/>
        </w:rPr>
        <w:t>and</w:t>
      </w:r>
      <w:r w:rsidR="005C6216" w:rsidRPr="00C45D4C">
        <w:rPr>
          <w:i/>
        </w:rPr>
        <w:t xml:space="preserve"> R</w:t>
      </w:r>
      <w:r w:rsidR="00E464D1" w:rsidRPr="00C45D4C">
        <w:rPr>
          <w:i/>
        </w:rPr>
        <w:t>eplacement</w:t>
      </w:r>
      <w:r w:rsidR="005C6216" w:rsidRPr="00C45D4C">
        <w:rPr>
          <w:i/>
        </w:rPr>
        <w:t xml:space="preserve"> P</w:t>
      </w:r>
      <w:r w:rsidR="00E464D1" w:rsidRPr="00C45D4C">
        <w:rPr>
          <w:i/>
        </w:rPr>
        <w:t>rocedure</w:t>
      </w:r>
      <w:r w:rsidR="00E464D1" w:rsidRPr="00C45D4C">
        <w:t>.</w:t>
      </w:r>
      <w:r w:rsidRPr="00C45D4C">
        <w:t xml:space="preserve">  </w:t>
      </w:r>
      <w:r w:rsidRPr="00C45D4C">
        <w:rPr>
          <w:i/>
        </w:rPr>
        <w:t>Refer annexure.</w:t>
      </w:r>
    </w:p>
    <w:p w14:paraId="05D94171" w14:textId="77777777" w:rsidR="00456E0A" w:rsidRDefault="00497413" w:rsidP="007725F7">
      <w:pPr>
        <w:pStyle w:val="Heading3"/>
      </w:pPr>
      <w:bookmarkStart w:id="24" w:name="_Toc76022193"/>
      <w:r>
        <w:t>Work Near Trees</w:t>
      </w:r>
      <w:bookmarkEnd w:id="24"/>
    </w:p>
    <w:p w14:paraId="7AB04C43" w14:textId="77777777" w:rsidR="00456E0A" w:rsidRDefault="00456E0A" w:rsidP="00D669E1">
      <w:pPr>
        <w:pStyle w:val="BodyTextIndentBoldUnderline"/>
      </w:pPr>
      <w:r>
        <w:t>Harmful materials</w:t>
      </w:r>
    </w:p>
    <w:p w14:paraId="586A99BA" w14:textId="77777777" w:rsidR="00456E0A" w:rsidRDefault="00456E0A" w:rsidP="00D669E1">
      <w:pPr>
        <w:pStyle w:val="BodyTextIndent"/>
      </w:pPr>
      <w:r>
        <w:t>Do not store or place harmful materials under or near trees.  Prevent wind-blown materials such as cement from harming trees and plants.</w:t>
      </w:r>
    </w:p>
    <w:p w14:paraId="0C986A49" w14:textId="77777777" w:rsidR="00456E0A" w:rsidRDefault="00456E0A" w:rsidP="00D669E1">
      <w:pPr>
        <w:pStyle w:val="BodyTextIndentBoldUnderline"/>
      </w:pPr>
      <w:r>
        <w:t>Damage</w:t>
      </w:r>
    </w:p>
    <w:p w14:paraId="4E3233B5" w14:textId="77777777" w:rsidR="00456E0A" w:rsidRDefault="00456E0A" w:rsidP="00D669E1">
      <w:pPr>
        <w:pStyle w:val="BodyTextIndent"/>
      </w:pPr>
      <w:r>
        <w:t>Prevent damage to tree bark.  Do not attach stays, guys and the like to trees.</w:t>
      </w:r>
    </w:p>
    <w:p w14:paraId="76F681A4" w14:textId="77777777" w:rsidR="00456E0A" w:rsidRDefault="00456E0A" w:rsidP="00D669E1">
      <w:pPr>
        <w:pStyle w:val="BodyTextIndentBoldUnderline"/>
      </w:pPr>
      <w:r>
        <w:t>Work under trees</w:t>
      </w:r>
    </w:p>
    <w:p w14:paraId="69D85714" w14:textId="77777777" w:rsidR="00456E0A" w:rsidRDefault="00456E0A" w:rsidP="00D669E1">
      <w:pPr>
        <w:pStyle w:val="BodyTextIndent"/>
      </w:pPr>
      <w:r>
        <w:t>General: Do not add or remove topsoil within the drip line of trees.  Do not</w:t>
      </w:r>
      <w:r w:rsidR="00637815">
        <w:t xml:space="preserve"> </w:t>
      </w:r>
      <w:r w:rsidR="00BF07BA">
        <w:t xml:space="preserve">place </w:t>
      </w:r>
      <w:r w:rsidR="00637815">
        <w:t>temporary</w:t>
      </w:r>
      <w:r>
        <w:t xml:space="preserve"> fill against tree trunks.</w:t>
      </w:r>
    </w:p>
    <w:p w14:paraId="2B9186B0" w14:textId="77777777" w:rsidR="00456E0A" w:rsidRDefault="00456E0A" w:rsidP="00D669E1">
      <w:pPr>
        <w:pStyle w:val="BodyTextIndent"/>
      </w:pPr>
      <w:r>
        <w:t>Excavation: Open up excavations under tree canopies for as short a period as possible.</w:t>
      </w:r>
    </w:p>
    <w:p w14:paraId="08E8E169" w14:textId="77777777" w:rsidR="00456E0A" w:rsidRDefault="00456E0A" w:rsidP="00D669E1">
      <w:pPr>
        <w:pStyle w:val="BodyTextIndent"/>
      </w:pPr>
      <w:r>
        <w:t>Hand methods: Use hand methods to locate, expose and cleanly remove the roots on the line of excavation.  If it is necessary to excavate within the critical zone, use hand methods such that root systems are preserved intact and undamaged.</w:t>
      </w:r>
    </w:p>
    <w:p w14:paraId="691C39F5" w14:textId="05B99B3E" w:rsidR="00456E0A" w:rsidRDefault="00456E0A" w:rsidP="00D669E1">
      <w:pPr>
        <w:pStyle w:val="BodyTextIndentBoldUnderline"/>
      </w:pPr>
      <w:r>
        <w:t>Roots</w:t>
      </w:r>
    </w:p>
    <w:p w14:paraId="7AE84A69" w14:textId="77777777" w:rsidR="00456E0A" w:rsidRDefault="00456E0A">
      <w:pPr>
        <w:pStyle w:val="BodyTextIndent2"/>
        <w:spacing w:after="0"/>
        <w:jc w:val="both"/>
      </w:pPr>
      <w:r>
        <w:t>Where it is necessary to cut tree roots in excess of 50 mm diameter, use means such that the cutting does not unduly disturb the remaining root system.  Immediately after cutting, apply a bituminous fungicidal sealant to the cut surface.</w:t>
      </w:r>
    </w:p>
    <w:p w14:paraId="3C7B9941" w14:textId="77777777" w:rsidR="00456E0A" w:rsidRDefault="00456E0A" w:rsidP="00D669E1">
      <w:pPr>
        <w:pStyle w:val="BodyTextIndentBoldUnderline"/>
      </w:pPr>
      <w:r>
        <w:t>Backfilling</w:t>
      </w:r>
    </w:p>
    <w:p w14:paraId="6CB316DF" w14:textId="77777777" w:rsidR="00456E0A" w:rsidRDefault="00456E0A" w:rsidP="00D669E1">
      <w:pPr>
        <w:pStyle w:val="BodyTextIndent"/>
      </w:pPr>
      <w:r>
        <w:t>Backfill excavations around tree roots with a mixture consisting of three parts</w:t>
      </w:r>
      <w:r w:rsidR="006B523F">
        <w:t xml:space="preserve"> (</w:t>
      </w:r>
      <w:r>
        <w:t>by volume</w:t>
      </w:r>
      <w:r w:rsidR="006B523F">
        <w:t>)</w:t>
      </w:r>
      <w:r>
        <w:t xml:space="preserve"> of topsoil and one part of well rotted compost with a neutral pH value, free from weed growth and harmful materials.  Place the backfill in layers each of 300 mm maximum depth and compact to a dry density similar to that of the surrounding soil.  Immediately after backfilling, thoroughly water the root zone surrounding the tree.</w:t>
      </w:r>
    </w:p>
    <w:p w14:paraId="2D81550F" w14:textId="77777777" w:rsidR="00456E0A" w:rsidRDefault="00456E0A" w:rsidP="00D669E1">
      <w:pPr>
        <w:pStyle w:val="BodyTextIndentBoldUnderline"/>
      </w:pPr>
      <w:r>
        <w:t>Compacted ground</w:t>
      </w:r>
    </w:p>
    <w:p w14:paraId="55A8F797" w14:textId="77777777" w:rsidR="00456E0A" w:rsidRDefault="00456E0A" w:rsidP="00D669E1">
      <w:pPr>
        <w:pStyle w:val="BodyTextIndent"/>
      </w:pPr>
      <w:r>
        <w:t>Avoid unnecessary compaction of the ground under trees.  Do not stockpile materials within the drip line.  Do not permit vehicles or machinery to be parked within the drip line.  Do not permit vehicles or machinery to pass under trees if practicable alternatives exist.  If compaction (of areas within the drip line but not occupied by the Works) nevertheless occurs, seek instructions.</w:t>
      </w:r>
    </w:p>
    <w:p w14:paraId="4E2F3F36" w14:textId="77777777" w:rsidR="00456E0A" w:rsidRDefault="00497413" w:rsidP="007725F7">
      <w:pPr>
        <w:pStyle w:val="Heading3"/>
      </w:pPr>
      <w:bookmarkStart w:id="25" w:name="_Toc76022194"/>
      <w:r>
        <w:t>Existing Services</w:t>
      </w:r>
      <w:bookmarkEnd w:id="25"/>
    </w:p>
    <w:p w14:paraId="0598CEEA" w14:textId="77777777" w:rsidR="005239FE" w:rsidRDefault="005239FE" w:rsidP="005239FE">
      <w:pPr>
        <w:pStyle w:val="BodyTextIndent"/>
      </w:pPr>
      <w:r>
        <w:t xml:space="preserve">Approval: Obtain approval from service owner to undertake excavation </w:t>
      </w:r>
      <w:r w:rsidR="00BF07BA">
        <w:t xml:space="preserve">near to </w:t>
      </w:r>
      <w:r>
        <w:t>their services.</w:t>
      </w:r>
    </w:p>
    <w:p w14:paraId="5246A7BF" w14:textId="77777777" w:rsidR="005239FE" w:rsidRDefault="005239FE" w:rsidP="005239FE">
      <w:pPr>
        <w:pStyle w:val="BodyTextIndent"/>
      </w:pPr>
      <w:r w:rsidRPr="00FF7E3B">
        <w:t>Marking</w:t>
      </w:r>
      <w:r>
        <w:t>:</w:t>
      </w:r>
      <w:r w:rsidRPr="00FF7E3B">
        <w:t xml:space="preserve"> </w:t>
      </w:r>
      <w:r>
        <w:t>Before commencing ground works, locate, mark and identify existing underground services in the areas that will be affected by the earthworks operations.  Hand excavation of trial holes may be necessary to determine the alignment and depth of services prior to excavating with machinery.</w:t>
      </w:r>
    </w:p>
    <w:p w14:paraId="7B9E21D3" w14:textId="77777777" w:rsidR="005239FE" w:rsidRDefault="005239FE" w:rsidP="005239FE">
      <w:pPr>
        <w:pStyle w:val="BodyTextIndent"/>
      </w:pPr>
      <w:r w:rsidRPr="00C45D4C">
        <w:t>Protection: Protect existing services from damage during the works.</w:t>
      </w:r>
    </w:p>
    <w:p w14:paraId="7C849AE1" w14:textId="77777777" w:rsidR="005239FE" w:rsidRDefault="005239FE" w:rsidP="005239FE">
      <w:pPr>
        <w:pStyle w:val="BodyTextIndent"/>
      </w:pPr>
      <w:r>
        <w:t>Completion: Prior to completion of surface reinstatement, remove any temporary marks (eg paint) used to locate, mark and identify underground services.</w:t>
      </w:r>
    </w:p>
    <w:p w14:paraId="06369411" w14:textId="77777777" w:rsidR="00456E0A" w:rsidRDefault="00497413" w:rsidP="006F0F12">
      <w:pPr>
        <w:pStyle w:val="Heading3"/>
      </w:pPr>
      <w:bookmarkStart w:id="26" w:name="_Toc76022195"/>
      <w:r w:rsidRPr="00D669E1">
        <w:t>Dewatering</w:t>
      </w:r>
      <w:bookmarkEnd w:id="26"/>
    </w:p>
    <w:p w14:paraId="76DAFA0F" w14:textId="77777777" w:rsidR="00456E0A" w:rsidRDefault="00456E0A" w:rsidP="00D669E1">
      <w:pPr>
        <w:pStyle w:val="BodyTextIndent"/>
      </w:pPr>
      <w:r>
        <w:t>Keep earthworks free of surface water.  Provide and maintain slopes, crowns and drains on excavations and embankments to ensure satisfactory drainage.  Place construction including filling, paving, structures and services, on ground from which surface water has been removed.  Protect freshly laid work from water damage.</w:t>
      </w:r>
    </w:p>
    <w:p w14:paraId="49B7FFE5" w14:textId="77777777" w:rsidR="00456E0A" w:rsidRDefault="00497413" w:rsidP="006F0F12">
      <w:pPr>
        <w:pStyle w:val="Heading3"/>
      </w:pPr>
      <w:bookmarkStart w:id="27" w:name="_Toc76022196"/>
      <w:r w:rsidRPr="00D669E1">
        <w:lastRenderedPageBreak/>
        <w:t>Site</w:t>
      </w:r>
      <w:r>
        <w:t xml:space="preserve"> Restoration</w:t>
      </w:r>
      <w:bookmarkEnd w:id="27"/>
    </w:p>
    <w:p w14:paraId="32E0C424" w14:textId="77777777" w:rsidR="00456E0A" w:rsidRDefault="00456E0A" w:rsidP="00D669E1">
      <w:pPr>
        <w:pStyle w:val="BodyTextIndentBoldUnderline"/>
      </w:pPr>
      <w:r>
        <w:t>Requirement</w:t>
      </w:r>
    </w:p>
    <w:p w14:paraId="73D16BA5" w14:textId="77777777" w:rsidR="00456E0A" w:rsidRDefault="00456E0A" w:rsidP="00D669E1">
      <w:pPr>
        <w:pStyle w:val="BodyTextIndent"/>
      </w:pPr>
      <w:r>
        <w:t>Where existing ground surfaces are not required to be varied as part of the Works, restore them to the condition existing at the commencement of the work under the Contract.</w:t>
      </w:r>
    </w:p>
    <w:p w14:paraId="441B9F96" w14:textId="77777777" w:rsidR="00456E0A" w:rsidRDefault="00456E0A" w:rsidP="006F0F12">
      <w:pPr>
        <w:pStyle w:val="Heading2"/>
      </w:pPr>
      <w:bookmarkStart w:id="28" w:name="_Toc493942074"/>
      <w:bookmarkStart w:id="29" w:name="_Toc493986913"/>
      <w:bookmarkStart w:id="30" w:name="_Toc76022197"/>
      <w:r w:rsidRPr="00D669E1">
        <w:t>SITE</w:t>
      </w:r>
      <w:r>
        <w:t xml:space="preserve"> CLEARING</w:t>
      </w:r>
      <w:bookmarkEnd w:id="28"/>
      <w:bookmarkEnd w:id="29"/>
      <w:bookmarkEnd w:id="30"/>
    </w:p>
    <w:p w14:paraId="72C62710" w14:textId="77777777" w:rsidR="00456E0A" w:rsidRDefault="00497413" w:rsidP="006F0F12">
      <w:pPr>
        <w:pStyle w:val="Heading3"/>
      </w:pPr>
      <w:bookmarkStart w:id="31" w:name="_Toc76022198"/>
      <w:r>
        <w:t>Site Clearing</w:t>
      </w:r>
      <w:bookmarkEnd w:id="31"/>
    </w:p>
    <w:p w14:paraId="36D58E65" w14:textId="77777777" w:rsidR="00456E0A" w:rsidRDefault="00456E0A" w:rsidP="00D669E1">
      <w:pPr>
        <w:pStyle w:val="BodyTextIndentBoldUnderline"/>
      </w:pPr>
      <w:r>
        <w:t>Timing</w:t>
      </w:r>
    </w:p>
    <w:p w14:paraId="39C47CA7" w14:textId="77777777" w:rsidR="00456E0A" w:rsidRDefault="00456E0A" w:rsidP="00D669E1">
      <w:pPr>
        <w:pStyle w:val="BodyTextIndent"/>
      </w:pPr>
      <w:r>
        <w:t>Do not clear any area until commencement of other work in the area is imminent.</w:t>
      </w:r>
    </w:p>
    <w:p w14:paraId="41EEE2D7" w14:textId="77777777" w:rsidR="00456E0A" w:rsidRDefault="00456E0A" w:rsidP="00D669E1">
      <w:pPr>
        <w:pStyle w:val="BodyTextIndentBoldUnderline"/>
      </w:pPr>
      <w:r>
        <w:t>Extent</w:t>
      </w:r>
    </w:p>
    <w:p w14:paraId="04813996" w14:textId="77777777" w:rsidR="00456E0A" w:rsidRDefault="00456E0A" w:rsidP="00D669E1">
      <w:pPr>
        <w:pStyle w:val="BodyTextIndent"/>
      </w:pPr>
      <w:r>
        <w:t>General: Clear only the site areas to be occupied or affected by the Works and any other areas that the Contract specifically requires to be cleared.</w:t>
      </w:r>
    </w:p>
    <w:p w14:paraId="6C8ADD0C" w14:textId="77777777" w:rsidR="00456E0A" w:rsidRDefault="00456E0A" w:rsidP="00D669E1">
      <w:pPr>
        <w:pStyle w:val="BodyTextIndent"/>
      </w:pPr>
      <w:r>
        <w:t>Contractor's site areas: If not included within the areas specified above, clear generally only to the extent necessary for the performance of the Works.</w:t>
      </w:r>
    </w:p>
    <w:p w14:paraId="264EFFFC" w14:textId="77777777" w:rsidR="00456E0A" w:rsidRDefault="00456E0A" w:rsidP="00D669E1">
      <w:pPr>
        <w:pStyle w:val="BodyTextIndentBoldUnderline"/>
      </w:pPr>
      <w:r>
        <w:t>Clearing operations</w:t>
      </w:r>
    </w:p>
    <w:p w14:paraId="3FBF2C4E" w14:textId="77777777" w:rsidR="00456E0A" w:rsidRDefault="00456E0A" w:rsidP="00D669E1">
      <w:pPr>
        <w:pStyle w:val="BodyTextIndent"/>
      </w:pPr>
      <w:r>
        <w:t>General clearing: Remove everything on or above the site surface, including rubbish, vegetable matter and organic debris, scrub, trees, timber, stumps, boulders and rubble.  Remove standing grass to a depth just sufficient to include the root zone.  Strip surface grasses with the topsoil.</w:t>
      </w:r>
    </w:p>
    <w:p w14:paraId="24138A4C" w14:textId="77777777" w:rsidR="00456E0A" w:rsidRDefault="00456E0A" w:rsidP="00D669E1">
      <w:pPr>
        <w:pStyle w:val="BodyTextIndent"/>
      </w:pPr>
      <w:r>
        <w:t xml:space="preserve">Grubbing: Grub out stumps and roots over 75 mm diameter to a minimum depth of 500 mm below subgrade </w:t>
      </w:r>
      <w:r w:rsidR="00BF07BA">
        <w:t>of</w:t>
      </w:r>
      <w:r>
        <w:t xml:space="preserve"> buildings and pavement, or 300 mm below finished surface in other areas.</w:t>
      </w:r>
    </w:p>
    <w:p w14:paraId="1CAD56E9" w14:textId="77777777" w:rsidR="00456E0A" w:rsidRDefault="00456E0A" w:rsidP="00D669E1">
      <w:pPr>
        <w:pStyle w:val="BodyTextIndent"/>
      </w:pPr>
      <w:r>
        <w:t>Old works: Remove old slabs, foundations, retaining walls, paving, abandoned services and the like to a depth of 300 mm below existing or finished surface or 500 mm below subgrade level (whichever is lower).</w:t>
      </w:r>
    </w:p>
    <w:p w14:paraId="40EBDF31" w14:textId="77777777" w:rsidR="00456E0A" w:rsidRDefault="00456E0A" w:rsidP="00D669E1">
      <w:pPr>
        <w:pStyle w:val="BodyTextIndent"/>
      </w:pPr>
      <w:r>
        <w:t>Refilling: Unless otherwise specified, refill grub holes and the like with material similar to the surrounding soil.</w:t>
      </w:r>
    </w:p>
    <w:p w14:paraId="33DE3DA2" w14:textId="77777777" w:rsidR="00456E0A" w:rsidRDefault="00497413" w:rsidP="006F0F12">
      <w:pPr>
        <w:pStyle w:val="Heading3"/>
      </w:pPr>
      <w:bookmarkStart w:id="32" w:name="_Toc76022199"/>
      <w:r w:rsidRPr="00D669E1">
        <w:t>Removal</w:t>
      </w:r>
      <w:r>
        <w:t xml:space="preserve"> Of Topsoil</w:t>
      </w:r>
      <w:bookmarkEnd w:id="32"/>
    </w:p>
    <w:p w14:paraId="6FEF39BA" w14:textId="77777777" w:rsidR="00456E0A" w:rsidRDefault="00456E0A" w:rsidP="00D669E1">
      <w:pPr>
        <w:pStyle w:val="BodyTextIndentBoldUnderline"/>
      </w:pPr>
      <w:r>
        <w:t>Extent</w:t>
      </w:r>
    </w:p>
    <w:p w14:paraId="47869885" w14:textId="77777777" w:rsidR="00456E0A" w:rsidRDefault="00456E0A" w:rsidP="00D669E1">
      <w:pPr>
        <w:pStyle w:val="BodyTextIndent"/>
      </w:pPr>
      <w:r>
        <w:t>Remove topsoil to a depth of 100 mm from site areas to be occupied or affected by Works such as structures, paving, excavations, embankments and regrading and any other areas the Contract requires.  If topsoil extends to a depth greater than 100 mm, obtain direction.</w:t>
      </w:r>
    </w:p>
    <w:p w14:paraId="1195FB37" w14:textId="77777777" w:rsidR="00456E0A" w:rsidRDefault="00497413" w:rsidP="006F0F12">
      <w:pPr>
        <w:pStyle w:val="Heading3"/>
      </w:pPr>
      <w:bookmarkStart w:id="33" w:name="_Toc76022200"/>
      <w:r w:rsidRPr="00D669E1">
        <w:t>Stockpiles</w:t>
      </w:r>
      <w:bookmarkEnd w:id="33"/>
    </w:p>
    <w:p w14:paraId="41D318BD" w14:textId="77777777" w:rsidR="00456E0A" w:rsidRDefault="00456E0A" w:rsidP="00D669E1">
      <w:pPr>
        <w:pStyle w:val="BodyTextIndent"/>
      </w:pPr>
      <w:r>
        <w:t>Wherever practical, transfer topsoil directly for use as planting media.  Where stockpiling of topsoil is required, establish stockpiles in approved locations, to heights not exceeding 1.5 m.  Provide adequate drainage and erosion protection.  Do not burn off to remove plant growth that may occur during storage.  Do not allow traffic on stockpiles.  If a stockpile of topsoil is to remain for more than four weeks, sow with temporary grass.</w:t>
      </w:r>
    </w:p>
    <w:p w14:paraId="5A68E77F" w14:textId="77777777" w:rsidR="00456E0A" w:rsidRDefault="00456E0A" w:rsidP="006F0F12">
      <w:pPr>
        <w:pStyle w:val="Heading2"/>
      </w:pPr>
      <w:bookmarkStart w:id="34" w:name="_Toc493942075"/>
      <w:bookmarkStart w:id="35" w:name="_Toc493986914"/>
      <w:bookmarkStart w:id="36" w:name="_Toc76022201"/>
      <w:r>
        <w:t>TOLERANCES</w:t>
      </w:r>
      <w:bookmarkEnd w:id="34"/>
      <w:bookmarkEnd w:id="35"/>
      <w:bookmarkEnd w:id="36"/>
    </w:p>
    <w:p w14:paraId="0585CF01" w14:textId="77777777" w:rsidR="00456E0A" w:rsidRDefault="00456E0A" w:rsidP="00D669E1">
      <w:pPr>
        <w:pStyle w:val="BodyTextIndentBoldUnderline"/>
      </w:pPr>
      <w:r>
        <w:t>Surface level</w:t>
      </w:r>
    </w:p>
    <w:p w14:paraId="796300FF" w14:textId="77777777" w:rsidR="00456E0A" w:rsidRDefault="00456E0A" w:rsidP="00D669E1">
      <w:pPr>
        <w:pStyle w:val="BodyTextIndent"/>
      </w:pPr>
      <w:r>
        <w:t>General: Provide finished subgrade that is evenly graded between level points, free draining and conform to the required tolerances.</w:t>
      </w:r>
    </w:p>
    <w:p w14:paraId="662A3A35" w14:textId="77777777" w:rsidR="00456E0A" w:rsidRDefault="00456E0A" w:rsidP="00D669E1">
      <w:pPr>
        <w:pStyle w:val="BodyTextIndent"/>
      </w:pPr>
      <w:r>
        <w:t>Smoothness: As normally produced by a grader blade (except for batters without topsoil).</w:t>
      </w:r>
    </w:p>
    <w:p w14:paraId="7D0801F4" w14:textId="77777777" w:rsidR="00456E0A" w:rsidRDefault="00456E0A" w:rsidP="00D669E1">
      <w:pPr>
        <w:pStyle w:val="BodyTextIndent"/>
      </w:pPr>
      <w:r>
        <w:t>Tolerances: The limits in the Table 5.1 apply to the finished surface unless overridden by the requirements for the finished level and thickness of the surfacing.</w:t>
      </w:r>
    </w:p>
    <w:p w14:paraId="13037AE8" w14:textId="77777777" w:rsidR="0081263D" w:rsidRDefault="0081263D" w:rsidP="0081263D">
      <w:pPr>
        <w:pStyle w:val="BodyText"/>
        <w:rPr>
          <w:sz w:val="18"/>
        </w:rPr>
      </w:pPr>
      <w:r>
        <w:br w:type="page"/>
      </w:r>
    </w:p>
    <w:p w14:paraId="373FF3C3" w14:textId="1F8A2D95" w:rsidR="00456E0A" w:rsidRPr="00D669E1" w:rsidRDefault="00456E0A" w:rsidP="00013D39">
      <w:pPr>
        <w:pStyle w:val="TableIDNum"/>
      </w:pPr>
      <w:r w:rsidRPr="00D669E1">
        <w:lastRenderedPageBreak/>
        <w:t>Table</w:t>
      </w:r>
      <w:r w:rsidR="00C955CF">
        <w:t> </w:t>
      </w:r>
      <w:r w:rsidRPr="00D669E1">
        <w:t xml:space="preserve">5.1 </w:t>
      </w:r>
      <w:r w:rsidR="00D669E1">
        <w:t>–</w:t>
      </w:r>
      <w:r w:rsidRPr="00D669E1">
        <w:t xml:space="preserve"> Tolerances</w:t>
      </w:r>
    </w:p>
    <w:tbl>
      <w:tblPr>
        <w:tblW w:w="8505" w:type="dxa"/>
        <w:tblInd w:w="709"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119"/>
        <w:gridCol w:w="2693"/>
        <w:gridCol w:w="2693"/>
      </w:tblGrid>
      <w:tr w:rsidR="00456E0A" w14:paraId="665F349E" w14:textId="77777777" w:rsidTr="00B83448">
        <w:trPr>
          <w:cantSplit/>
          <w:trHeight w:val="397"/>
          <w:tblHeader/>
        </w:trPr>
        <w:tc>
          <w:tcPr>
            <w:tcW w:w="3119" w:type="dxa"/>
            <w:vMerge w:val="restart"/>
            <w:tcBorders>
              <w:top w:val="single" w:sz="12" w:space="0" w:color="000000"/>
              <w:left w:val="nil"/>
              <w:bottom w:val="single" w:sz="12" w:space="0" w:color="000000"/>
            </w:tcBorders>
            <w:shd w:val="pct10" w:color="auto" w:fill="auto"/>
            <w:vAlign w:val="center"/>
          </w:tcPr>
          <w:p w14:paraId="2B775F13" w14:textId="77777777" w:rsidR="00456E0A" w:rsidRDefault="00456E0A" w:rsidP="00960607">
            <w:pPr>
              <w:pStyle w:val="TableHeadCen"/>
            </w:pPr>
            <w:r>
              <w:t>Item</w:t>
            </w:r>
          </w:p>
        </w:tc>
        <w:tc>
          <w:tcPr>
            <w:tcW w:w="5386" w:type="dxa"/>
            <w:gridSpan w:val="2"/>
            <w:tcBorders>
              <w:top w:val="single" w:sz="12" w:space="0" w:color="000000"/>
              <w:bottom w:val="nil"/>
              <w:right w:val="nil"/>
            </w:tcBorders>
            <w:shd w:val="pct10" w:color="auto" w:fill="auto"/>
            <w:vAlign w:val="center"/>
          </w:tcPr>
          <w:p w14:paraId="1D873093" w14:textId="77777777" w:rsidR="00456E0A" w:rsidRDefault="00456E0A" w:rsidP="00960607">
            <w:pPr>
              <w:pStyle w:val="TableHeadCen"/>
            </w:pPr>
            <w:r>
              <w:t>Level tolerance</w:t>
            </w:r>
          </w:p>
        </w:tc>
      </w:tr>
      <w:tr w:rsidR="00456E0A" w14:paraId="4097153B" w14:textId="77777777" w:rsidTr="00B83448">
        <w:trPr>
          <w:cantSplit/>
          <w:trHeight w:val="397"/>
          <w:tblHeader/>
        </w:trPr>
        <w:tc>
          <w:tcPr>
            <w:tcW w:w="3119" w:type="dxa"/>
            <w:vMerge/>
            <w:tcBorders>
              <w:top w:val="nil"/>
              <w:left w:val="nil"/>
              <w:bottom w:val="single" w:sz="12" w:space="0" w:color="000000"/>
            </w:tcBorders>
            <w:shd w:val="pct10" w:color="auto" w:fill="auto"/>
            <w:vAlign w:val="center"/>
          </w:tcPr>
          <w:p w14:paraId="6D727A98" w14:textId="77777777" w:rsidR="00456E0A" w:rsidRDefault="00456E0A" w:rsidP="00960607">
            <w:pPr>
              <w:pStyle w:val="TableHeadCen"/>
            </w:pPr>
          </w:p>
        </w:tc>
        <w:tc>
          <w:tcPr>
            <w:tcW w:w="2693" w:type="dxa"/>
            <w:tcBorders>
              <w:top w:val="single" w:sz="4" w:space="0" w:color="auto"/>
              <w:bottom w:val="single" w:sz="12" w:space="0" w:color="000000"/>
            </w:tcBorders>
            <w:shd w:val="pct10" w:color="auto" w:fill="auto"/>
            <w:vAlign w:val="center"/>
          </w:tcPr>
          <w:p w14:paraId="5BD61A52" w14:textId="77777777" w:rsidR="00456E0A" w:rsidRDefault="00456E0A" w:rsidP="00960607">
            <w:pPr>
              <w:pStyle w:val="TableHeadCen"/>
            </w:pPr>
            <w:r>
              <w:t>Absolute</w:t>
            </w:r>
          </w:p>
        </w:tc>
        <w:tc>
          <w:tcPr>
            <w:tcW w:w="2693" w:type="dxa"/>
            <w:tcBorders>
              <w:top w:val="single" w:sz="4" w:space="0" w:color="auto"/>
              <w:bottom w:val="single" w:sz="12" w:space="0" w:color="000000"/>
              <w:right w:val="nil"/>
            </w:tcBorders>
            <w:shd w:val="pct10" w:color="auto" w:fill="auto"/>
            <w:vAlign w:val="center"/>
          </w:tcPr>
          <w:p w14:paraId="3FBC946E" w14:textId="77777777" w:rsidR="00456E0A" w:rsidRDefault="00456E0A" w:rsidP="00960607">
            <w:pPr>
              <w:pStyle w:val="TableHeadCen"/>
            </w:pPr>
            <w:r>
              <w:t>Relative to a 3 m straightedge*</w:t>
            </w:r>
          </w:p>
        </w:tc>
      </w:tr>
      <w:tr w:rsidR="00456E0A" w14:paraId="7629727E" w14:textId="77777777" w:rsidTr="00B83448">
        <w:trPr>
          <w:cantSplit/>
          <w:trHeight w:val="340"/>
        </w:trPr>
        <w:tc>
          <w:tcPr>
            <w:tcW w:w="3119" w:type="dxa"/>
            <w:tcBorders>
              <w:top w:val="single" w:sz="12" w:space="0" w:color="000000"/>
              <w:bottom w:val="single" w:sz="6" w:space="0" w:color="000000"/>
            </w:tcBorders>
            <w:vAlign w:val="center"/>
          </w:tcPr>
          <w:p w14:paraId="7F164708" w14:textId="77777777" w:rsidR="00456E0A" w:rsidRDefault="00456E0A" w:rsidP="00D669E1">
            <w:pPr>
              <w:pStyle w:val="Table"/>
              <w:jc w:val="center"/>
            </w:pPr>
            <w:r>
              <w:t>Cut subgrade level in earth and fill subgrade level</w:t>
            </w:r>
          </w:p>
        </w:tc>
        <w:tc>
          <w:tcPr>
            <w:tcW w:w="2693" w:type="dxa"/>
            <w:tcBorders>
              <w:top w:val="single" w:sz="12" w:space="0" w:color="000000"/>
              <w:bottom w:val="single" w:sz="6" w:space="0" w:color="000000"/>
            </w:tcBorders>
            <w:vAlign w:val="center"/>
          </w:tcPr>
          <w:p w14:paraId="14AFEC81" w14:textId="2C9791FA" w:rsidR="00456E0A" w:rsidRDefault="00456E0A" w:rsidP="00D669E1">
            <w:pPr>
              <w:pStyle w:val="TableCen"/>
            </w:pPr>
            <w:r>
              <w:t>+0</w:t>
            </w:r>
            <w:r w:rsidR="00927024">
              <w:t> </w:t>
            </w:r>
            <w:r>
              <w:t>mm</w:t>
            </w:r>
          </w:p>
          <w:p w14:paraId="3C10C83C" w14:textId="4DC7DBA4" w:rsidR="00456E0A" w:rsidRDefault="00456E0A" w:rsidP="00927024">
            <w:pPr>
              <w:pStyle w:val="TableCen"/>
            </w:pPr>
            <w:r>
              <w:t>-50</w:t>
            </w:r>
            <w:r w:rsidR="00927024">
              <w:t> </w:t>
            </w:r>
            <w:r>
              <w:t>mm</w:t>
            </w:r>
          </w:p>
        </w:tc>
        <w:tc>
          <w:tcPr>
            <w:tcW w:w="2693" w:type="dxa"/>
            <w:tcBorders>
              <w:top w:val="single" w:sz="12" w:space="0" w:color="000000"/>
              <w:bottom w:val="single" w:sz="6" w:space="0" w:color="000000"/>
            </w:tcBorders>
            <w:vAlign w:val="center"/>
          </w:tcPr>
          <w:p w14:paraId="6ADE888D" w14:textId="77777777" w:rsidR="00456E0A" w:rsidRDefault="00456E0A" w:rsidP="00D669E1">
            <w:pPr>
              <w:pStyle w:val="TableCen"/>
            </w:pPr>
            <w:r>
              <w:t>15</w:t>
            </w:r>
            <w:r w:rsidR="00927024">
              <w:t> </w:t>
            </w:r>
            <w:r>
              <w:t>mm</w:t>
            </w:r>
          </w:p>
        </w:tc>
      </w:tr>
      <w:tr w:rsidR="00456E0A" w14:paraId="57836931" w14:textId="77777777" w:rsidTr="00B83448">
        <w:trPr>
          <w:cantSplit/>
          <w:trHeight w:val="340"/>
        </w:trPr>
        <w:tc>
          <w:tcPr>
            <w:tcW w:w="3119" w:type="dxa"/>
            <w:tcBorders>
              <w:top w:val="single" w:sz="6" w:space="0" w:color="000000"/>
            </w:tcBorders>
            <w:vAlign w:val="center"/>
          </w:tcPr>
          <w:p w14:paraId="2F1A53EB" w14:textId="77777777" w:rsidR="00456E0A" w:rsidRDefault="00456E0A" w:rsidP="00D669E1">
            <w:pPr>
              <w:pStyle w:val="Table"/>
              <w:jc w:val="center"/>
            </w:pPr>
            <w:r>
              <w:t>Cut subgrade in rock</w:t>
            </w:r>
          </w:p>
        </w:tc>
        <w:tc>
          <w:tcPr>
            <w:tcW w:w="2693" w:type="dxa"/>
            <w:tcBorders>
              <w:top w:val="single" w:sz="6" w:space="0" w:color="000000"/>
            </w:tcBorders>
            <w:vAlign w:val="center"/>
          </w:tcPr>
          <w:p w14:paraId="201239DC" w14:textId="074208C9" w:rsidR="00456E0A" w:rsidRDefault="00456E0A" w:rsidP="00D669E1">
            <w:pPr>
              <w:pStyle w:val="TableCen"/>
            </w:pPr>
            <w:r>
              <w:t>+0</w:t>
            </w:r>
            <w:r w:rsidR="00927024">
              <w:t> </w:t>
            </w:r>
            <w:r>
              <w:t>mm</w:t>
            </w:r>
          </w:p>
          <w:p w14:paraId="76427E71" w14:textId="0B57B135" w:rsidR="00456E0A" w:rsidRDefault="00456E0A" w:rsidP="00927024">
            <w:pPr>
              <w:pStyle w:val="TableCen"/>
            </w:pPr>
            <w:r>
              <w:t>-75</w:t>
            </w:r>
            <w:r w:rsidR="00927024">
              <w:t> </w:t>
            </w:r>
            <w:r>
              <w:t>mm</w:t>
            </w:r>
          </w:p>
        </w:tc>
        <w:tc>
          <w:tcPr>
            <w:tcW w:w="2693" w:type="dxa"/>
            <w:tcBorders>
              <w:top w:val="single" w:sz="6" w:space="0" w:color="000000"/>
            </w:tcBorders>
            <w:vAlign w:val="center"/>
          </w:tcPr>
          <w:p w14:paraId="6FF9A6DD" w14:textId="77777777" w:rsidR="00456E0A" w:rsidRDefault="00456E0A" w:rsidP="00D669E1">
            <w:pPr>
              <w:pStyle w:val="TableCen"/>
            </w:pPr>
            <w:r>
              <w:t>Unspecified</w:t>
            </w:r>
          </w:p>
        </w:tc>
      </w:tr>
    </w:tbl>
    <w:p w14:paraId="67674ED8" w14:textId="77777777" w:rsidR="00456E0A" w:rsidRPr="00960607" w:rsidRDefault="00456E0A" w:rsidP="00960607">
      <w:pPr>
        <w:pStyle w:val="BodyTextIndent9"/>
        <w:tabs>
          <w:tab w:val="left" w:pos="1134"/>
        </w:tabs>
        <w:ind w:left="1134" w:hanging="414"/>
      </w:pPr>
      <w:r w:rsidRPr="00960607">
        <w:t>*</w:t>
      </w:r>
      <w:r w:rsidR="00960607">
        <w:tab/>
      </w:r>
      <w:r w:rsidRPr="00960607">
        <w:t>Limits to incorporate due allowance for design shape where relevant</w:t>
      </w:r>
    </w:p>
    <w:p w14:paraId="0148B0B4" w14:textId="77777777" w:rsidR="00456E0A" w:rsidRDefault="00456E0A" w:rsidP="00960607">
      <w:pPr>
        <w:pStyle w:val="BodyTextIndentBoldUnderline"/>
      </w:pPr>
      <w:r>
        <w:t>Other ground surfaces</w:t>
      </w:r>
    </w:p>
    <w:p w14:paraId="5CAFA302" w14:textId="3E35FBD8" w:rsidR="00456E0A" w:rsidRDefault="00456E0A" w:rsidP="00960607">
      <w:pPr>
        <w:pStyle w:val="BodyTextIndent"/>
      </w:pPr>
      <w:r>
        <w:t xml:space="preserve">Absolute level tolerance: </w:t>
      </w:r>
      <w:r>
        <w:sym w:font="Symbol" w:char="F0B1"/>
      </w:r>
      <w:r>
        <w:t>50 mm, provided the area matches adjacent construction.</w:t>
      </w:r>
    </w:p>
    <w:p w14:paraId="590D77B7" w14:textId="77777777" w:rsidR="00456E0A" w:rsidRDefault="00456E0A" w:rsidP="00960607">
      <w:pPr>
        <w:pStyle w:val="BodyTextIndentBoldUnderline"/>
      </w:pPr>
      <w:r>
        <w:t>Horizontal surfaces</w:t>
      </w:r>
    </w:p>
    <w:p w14:paraId="74B693AD" w14:textId="380B7326" w:rsidR="00456E0A" w:rsidRDefault="00456E0A" w:rsidP="00960607">
      <w:pPr>
        <w:pStyle w:val="BodyTextIndent"/>
      </w:pPr>
      <w:r>
        <w:t xml:space="preserve">Absolute tolerance: </w:t>
      </w:r>
      <w:r>
        <w:sym w:font="Symbol" w:char="F0B1"/>
      </w:r>
      <w:r>
        <w:t>50</w:t>
      </w:r>
      <w:r w:rsidR="00927024">
        <w:t> </w:t>
      </w:r>
      <w:r>
        <w:t>mm, except where alignment with an existing road structure is necessary.  Join new construction to the existing work in a smooth manner.</w:t>
      </w:r>
    </w:p>
    <w:p w14:paraId="1B4C38C7" w14:textId="77777777" w:rsidR="00456E0A" w:rsidRDefault="00456E0A" w:rsidP="00960607">
      <w:pPr>
        <w:pStyle w:val="BodyTextIndentBoldUnderline"/>
      </w:pPr>
      <w:r>
        <w:t>Batters</w:t>
      </w:r>
    </w:p>
    <w:p w14:paraId="562AF78B" w14:textId="77777777" w:rsidR="00456E0A" w:rsidRDefault="00456E0A" w:rsidP="00960607">
      <w:pPr>
        <w:pStyle w:val="BodyTextIndent"/>
      </w:pPr>
      <w:r>
        <w:t>Slope: Average slope not steeper than shown on the Drawings nor more than 10</w:t>
      </w:r>
      <w:r>
        <w:rPr>
          <w:rFonts w:ascii="WP MathA" w:hAnsi="WP MathA"/>
        </w:rPr>
        <w:t></w:t>
      </w:r>
      <w:r>
        <w:t xml:space="preserve"> flatter, provided that flatter slopes do not encroach on abutting property.</w:t>
      </w:r>
    </w:p>
    <w:p w14:paraId="496773C0" w14:textId="707457A0" w:rsidR="00456E0A" w:rsidRDefault="00456E0A" w:rsidP="00960607">
      <w:pPr>
        <w:pStyle w:val="BodyTextIndent"/>
      </w:pPr>
      <w:r>
        <w:t xml:space="preserve">Absolute level tolerance: For cut batters in earth, </w:t>
      </w:r>
      <w:r>
        <w:sym w:font="Symbol" w:char="F0B1"/>
      </w:r>
      <w:r>
        <w:t>150</w:t>
      </w:r>
      <w:r w:rsidR="00927024">
        <w:t> </w:t>
      </w:r>
      <w:r>
        <w:t xml:space="preserve">mm and for cut batters in rock and for fill batters, </w:t>
      </w:r>
      <w:r>
        <w:sym w:font="Symbol" w:char="F0B1"/>
      </w:r>
      <w:r>
        <w:t>300 mm; both measured from the average slope plane.</w:t>
      </w:r>
    </w:p>
    <w:p w14:paraId="20D067F1" w14:textId="3A52782E" w:rsidR="00456E0A" w:rsidRDefault="00456E0A" w:rsidP="00960607">
      <w:pPr>
        <w:pStyle w:val="BodyTextIndent"/>
      </w:pPr>
      <w:r>
        <w:t xml:space="preserve">Topsoil to batters: Absolute level tolerance </w:t>
      </w:r>
      <w:r>
        <w:sym w:font="Symbol" w:char="F0B1"/>
      </w:r>
      <w:r>
        <w:t>50 mm, provided the area matches adjacent construction.</w:t>
      </w:r>
    </w:p>
    <w:p w14:paraId="76303E32" w14:textId="04119883" w:rsidR="00456E0A" w:rsidRDefault="003E551D" w:rsidP="0082501D">
      <w:pPr>
        <w:pStyle w:val="Heading2"/>
      </w:pPr>
      <w:bookmarkStart w:id="37" w:name="_Toc76022202"/>
      <w:r w:rsidRPr="00960607">
        <w:rPr>
          <w:caps w:val="0"/>
        </w:rPr>
        <w:t>COMPACTION</w:t>
      </w:r>
      <w:bookmarkEnd w:id="37"/>
    </w:p>
    <w:p w14:paraId="33CF0677" w14:textId="77777777" w:rsidR="00456E0A" w:rsidRDefault="00497413" w:rsidP="0082501D">
      <w:pPr>
        <w:pStyle w:val="Heading3"/>
      </w:pPr>
      <w:bookmarkStart w:id="38" w:name="_Toc76022203"/>
      <w:r w:rsidRPr="00960607">
        <w:t>Method</w:t>
      </w:r>
      <w:r>
        <w:t xml:space="preserve"> of Compaction and Testing</w:t>
      </w:r>
      <w:bookmarkEnd w:id="38"/>
    </w:p>
    <w:p w14:paraId="2837D847" w14:textId="77777777" w:rsidR="00456E0A" w:rsidRDefault="00456E0A" w:rsidP="00960607">
      <w:pPr>
        <w:pStyle w:val="BodyTextIndent"/>
      </w:pPr>
      <w:r>
        <w:t>Requirement: Select the methods of compaction and compliance testing to suit the material category listed in Table 6.1.</w:t>
      </w:r>
    </w:p>
    <w:p w14:paraId="0170D57E" w14:textId="2F0AB353" w:rsidR="00456E0A" w:rsidRDefault="00456E0A" w:rsidP="00013D39">
      <w:pPr>
        <w:pStyle w:val="TableIDNum"/>
      </w:pPr>
      <w:r>
        <w:t>Table</w:t>
      </w:r>
      <w:r w:rsidR="004D61D9">
        <w:t> </w:t>
      </w:r>
      <w:r>
        <w:t xml:space="preserve">6.1 </w:t>
      </w:r>
      <w:r w:rsidR="00013D39">
        <w:t>–</w:t>
      </w:r>
      <w:r>
        <w:t xml:space="preserve"> Compaction method</w:t>
      </w:r>
    </w:p>
    <w:tbl>
      <w:tblPr>
        <w:tblW w:w="8505"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3544"/>
        <w:gridCol w:w="1984"/>
        <w:gridCol w:w="2977"/>
      </w:tblGrid>
      <w:tr w:rsidR="00456E0A" w14:paraId="5BCFE8DE" w14:textId="77777777" w:rsidTr="00B83448">
        <w:trPr>
          <w:cantSplit/>
          <w:trHeight w:val="397"/>
        </w:trPr>
        <w:tc>
          <w:tcPr>
            <w:tcW w:w="3544" w:type="dxa"/>
            <w:tcBorders>
              <w:top w:val="single" w:sz="12" w:space="0" w:color="000000"/>
              <w:left w:val="nil"/>
              <w:bottom w:val="single" w:sz="12" w:space="0" w:color="000000"/>
              <w:right w:val="single" w:sz="2" w:space="0" w:color="000000"/>
            </w:tcBorders>
            <w:shd w:val="pct10" w:color="auto" w:fill="auto"/>
            <w:vAlign w:val="center"/>
          </w:tcPr>
          <w:p w14:paraId="60BAF101" w14:textId="77777777" w:rsidR="00456E0A" w:rsidRDefault="00456E0A" w:rsidP="002D2692">
            <w:pPr>
              <w:pStyle w:val="TableHead"/>
              <w:jc w:val="center"/>
            </w:pPr>
            <w:r>
              <w:t>Material category</w:t>
            </w:r>
          </w:p>
        </w:tc>
        <w:tc>
          <w:tcPr>
            <w:tcW w:w="1984" w:type="dxa"/>
            <w:tcBorders>
              <w:top w:val="single" w:sz="12" w:space="0" w:color="000000"/>
              <w:left w:val="single" w:sz="2" w:space="0" w:color="000000"/>
              <w:bottom w:val="single" w:sz="12" w:space="0" w:color="000000"/>
              <w:right w:val="single" w:sz="2" w:space="0" w:color="000000"/>
            </w:tcBorders>
            <w:shd w:val="pct10" w:color="auto" w:fill="auto"/>
            <w:vAlign w:val="center"/>
          </w:tcPr>
          <w:p w14:paraId="7EBC8FF9" w14:textId="77777777" w:rsidR="00456E0A" w:rsidRDefault="00456E0A" w:rsidP="002D2692">
            <w:pPr>
              <w:pStyle w:val="TableHeadCen"/>
            </w:pPr>
            <w:r>
              <w:t>Compaction method</w:t>
            </w:r>
          </w:p>
        </w:tc>
        <w:tc>
          <w:tcPr>
            <w:tcW w:w="2977" w:type="dxa"/>
            <w:tcBorders>
              <w:top w:val="single" w:sz="12" w:space="0" w:color="000000"/>
              <w:left w:val="single" w:sz="2" w:space="0" w:color="000000"/>
              <w:bottom w:val="single" w:sz="12" w:space="0" w:color="000000"/>
              <w:right w:val="nil"/>
            </w:tcBorders>
            <w:shd w:val="pct10" w:color="auto" w:fill="auto"/>
            <w:vAlign w:val="center"/>
          </w:tcPr>
          <w:p w14:paraId="22EC3C3E" w14:textId="77777777" w:rsidR="00456E0A" w:rsidRDefault="00456E0A" w:rsidP="002D2692">
            <w:pPr>
              <w:pStyle w:val="TableHeadCen"/>
            </w:pPr>
            <w:r>
              <w:t>Density compliance tests</w:t>
            </w:r>
          </w:p>
        </w:tc>
      </w:tr>
      <w:tr w:rsidR="00456E0A" w14:paraId="1A18D4BA" w14:textId="77777777" w:rsidTr="00B83448">
        <w:trPr>
          <w:cantSplit/>
        </w:trPr>
        <w:tc>
          <w:tcPr>
            <w:tcW w:w="3544" w:type="dxa"/>
            <w:tcBorders>
              <w:top w:val="single" w:sz="12" w:space="0" w:color="000000"/>
              <w:left w:val="nil"/>
              <w:bottom w:val="single" w:sz="2" w:space="0" w:color="000000"/>
              <w:right w:val="single" w:sz="2" w:space="0" w:color="000000"/>
            </w:tcBorders>
            <w:vAlign w:val="center"/>
          </w:tcPr>
          <w:p w14:paraId="52257E64" w14:textId="77777777" w:rsidR="00456E0A" w:rsidRDefault="00456E0A" w:rsidP="002D2692">
            <w:pPr>
              <w:pStyle w:val="TableNum"/>
            </w:pPr>
            <w:r>
              <w:t>Cohesionless sand</w:t>
            </w:r>
          </w:p>
        </w:tc>
        <w:tc>
          <w:tcPr>
            <w:tcW w:w="1984" w:type="dxa"/>
            <w:tcBorders>
              <w:top w:val="single" w:sz="12" w:space="0" w:color="000000"/>
              <w:left w:val="single" w:sz="2" w:space="0" w:color="000000"/>
              <w:bottom w:val="single" w:sz="2" w:space="0" w:color="000000"/>
              <w:right w:val="single" w:sz="2" w:space="0" w:color="000000"/>
            </w:tcBorders>
            <w:vAlign w:val="center"/>
          </w:tcPr>
          <w:p w14:paraId="036E91D5" w14:textId="77777777" w:rsidR="00456E0A" w:rsidRDefault="00456E0A" w:rsidP="002D2692">
            <w:pPr>
              <w:pStyle w:val="Table"/>
            </w:pPr>
            <w:r>
              <w:t>Compacted layer method</w:t>
            </w:r>
          </w:p>
        </w:tc>
        <w:tc>
          <w:tcPr>
            <w:tcW w:w="2977" w:type="dxa"/>
            <w:tcBorders>
              <w:top w:val="single" w:sz="12" w:space="0" w:color="000000"/>
              <w:left w:val="single" w:sz="2" w:space="0" w:color="000000"/>
              <w:bottom w:val="single" w:sz="2" w:space="0" w:color="000000"/>
              <w:right w:val="nil"/>
            </w:tcBorders>
            <w:vAlign w:val="center"/>
          </w:tcPr>
          <w:p w14:paraId="43DD4124" w14:textId="77777777" w:rsidR="00456E0A" w:rsidRDefault="00456E0A" w:rsidP="002D2692">
            <w:pPr>
              <w:pStyle w:val="Table"/>
            </w:pPr>
            <w:r>
              <w:t>Relative dry density or density index (if RDD gives meaningless answers)</w:t>
            </w:r>
          </w:p>
        </w:tc>
      </w:tr>
      <w:tr w:rsidR="00456E0A" w14:paraId="6DAAA321" w14:textId="77777777" w:rsidTr="00B83448">
        <w:trPr>
          <w:cantSplit/>
        </w:trPr>
        <w:tc>
          <w:tcPr>
            <w:tcW w:w="3544" w:type="dxa"/>
            <w:tcBorders>
              <w:top w:val="single" w:sz="2" w:space="0" w:color="000000"/>
              <w:left w:val="nil"/>
              <w:bottom w:val="single" w:sz="2" w:space="0" w:color="000000"/>
              <w:right w:val="single" w:sz="2" w:space="0" w:color="000000"/>
            </w:tcBorders>
            <w:vAlign w:val="center"/>
          </w:tcPr>
          <w:p w14:paraId="45A5A475" w14:textId="77777777" w:rsidR="00456E0A" w:rsidRDefault="00456E0A" w:rsidP="002D2692">
            <w:pPr>
              <w:pStyle w:val="TableNum"/>
            </w:pPr>
            <w:r>
              <w:t>Soils other than 1 above which, after compaction, have less than 20% of stone retained on the 37.5 mm sieve</w:t>
            </w:r>
          </w:p>
        </w:tc>
        <w:tc>
          <w:tcPr>
            <w:tcW w:w="1984" w:type="dxa"/>
            <w:tcBorders>
              <w:top w:val="single" w:sz="2" w:space="0" w:color="000000"/>
              <w:left w:val="single" w:sz="2" w:space="0" w:color="000000"/>
              <w:bottom w:val="single" w:sz="2" w:space="0" w:color="000000"/>
              <w:right w:val="single" w:sz="2" w:space="0" w:color="000000"/>
            </w:tcBorders>
            <w:vAlign w:val="center"/>
          </w:tcPr>
          <w:p w14:paraId="7EA301E1" w14:textId="77777777" w:rsidR="00456E0A" w:rsidRDefault="00456E0A" w:rsidP="002D2692">
            <w:pPr>
              <w:pStyle w:val="Table"/>
            </w:pPr>
            <w:r>
              <w:t>Compacted layer method</w:t>
            </w:r>
          </w:p>
        </w:tc>
        <w:tc>
          <w:tcPr>
            <w:tcW w:w="2977" w:type="dxa"/>
            <w:tcBorders>
              <w:top w:val="single" w:sz="2" w:space="0" w:color="000000"/>
              <w:left w:val="single" w:sz="2" w:space="0" w:color="000000"/>
              <w:bottom w:val="single" w:sz="2" w:space="0" w:color="000000"/>
              <w:right w:val="nil"/>
            </w:tcBorders>
            <w:vAlign w:val="center"/>
          </w:tcPr>
          <w:p w14:paraId="4E8C0BB9" w14:textId="77777777" w:rsidR="00456E0A" w:rsidRDefault="00456E0A" w:rsidP="002D2692">
            <w:pPr>
              <w:pStyle w:val="Table"/>
            </w:pPr>
            <w:r>
              <w:t>Relative dry density</w:t>
            </w:r>
          </w:p>
        </w:tc>
      </w:tr>
      <w:tr w:rsidR="00456E0A" w14:paraId="74A50267" w14:textId="77777777" w:rsidTr="00B83448">
        <w:trPr>
          <w:cantSplit/>
        </w:trPr>
        <w:tc>
          <w:tcPr>
            <w:tcW w:w="3544" w:type="dxa"/>
            <w:tcBorders>
              <w:top w:val="single" w:sz="2" w:space="0" w:color="000000"/>
              <w:left w:val="nil"/>
              <w:bottom w:val="single" w:sz="2" w:space="0" w:color="000000"/>
              <w:right w:val="single" w:sz="2" w:space="0" w:color="000000"/>
            </w:tcBorders>
            <w:vAlign w:val="center"/>
          </w:tcPr>
          <w:p w14:paraId="46410A8B" w14:textId="77777777" w:rsidR="00456E0A" w:rsidRDefault="00456E0A" w:rsidP="002D2692">
            <w:pPr>
              <w:pStyle w:val="TableNum"/>
            </w:pPr>
            <w:r>
              <w:t>Coarse granular soils with more than 70% of stone retained on the 37.5 mm sieve</w:t>
            </w:r>
          </w:p>
        </w:tc>
        <w:tc>
          <w:tcPr>
            <w:tcW w:w="1984" w:type="dxa"/>
            <w:tcBorders>
              <w:top w:val="single" w:sz="2" w:space="0" w:color="000000"/>
              <w:left w:val="single" w:sz="2" w:space="0" w:color="000000"/>
              <w:bottom w:val="single" w:sz="2" w:space="0" w:color="000000"/>
              <w:right w:val="single" w:sz="2" w:space="0" w:color="000000"/>
            </w:tcBorders>
            <w:vAlign w:val="center"/>
          </w:tcPr>
          <w:p w14:paraId="483E6384" w14:textId="77777777" w:rsidR="00456E0A" w:rsidRDefault="00456E0A" w:rsidP="002D2692">
            <w:pPr>
              <w:pStyle w:val="Table"/>
            </w:pPr>
            <w:r>
              <w:t>Mechanical interlock method</w:t>
            </w:r>
          </w:p>
        </w:tc>
        <w:tc>
          <w:tcPr>
            <w:tcW w:w="2977" w:type="dxa"/>
            <w:tcBorders>
              <w:top w:val="single" w:sz="2" w:space="0" w:color="000000"/>
              <w:left w:val="single" w:sz="2" w:space="0" w:color="000000"/>
              <w:bottom w:val="single" w:sz="2" w:space="0" w:color="000000"/>
              <w:right w:val="nil"/>
            </w:tcBorders>
            <w:vAlign w:val="center"/>
          </w:tcPr>
          <w:p w14:paraId="1C7CA3CF" w14:textId="77777777" w:rsidR="00456E0A" w:rsidRDefault="00456E0A" w:rsidP="002D2692">
            <w:pPr>
              <w:pStyle w:val="Table"/>
            </w:pPr>
            <w:r>
              <w:t>Nil on material in general</w:t>
            </w:r>
          </w:p>
        </w:tc>
      </w:tr>
      <w:tr w:rsidR="002D2692" w14:paraId="349FC80F" w14:textId="77777777" w:rsidTr="00B83448">
        <w:trPr>
          <w:cantSplit/>
          <w:trHeight w:val="482"/>
        </w:trPr>
        <w:tc>
          <w:tcPr>
            <w:tcW w:w="3544" w:type="dxa"/>
            <w:vMerge w:val="restart"/>
            <w:tcBorders>
              <w:top w:val="single" w:sz="2" w:space="0" w:color="000000"/>
              <w:left w:val="nil"/>
              <w:bottom w:val="nil"/>
              <w:right w:val="single" w:sz="2" w:space="0" w:color="000000"/>
            </w:tcBorders>
            <w:vAlign w:val="center"/>
          </w:tcPr>
          <w:p w14:paraId="795A312F" w14:textId="77777777" w:rsidR="002D2692" w:rsidRDefault="002D2692" w:rsidP="002D2692">
            <w:pPr>
              <w:pStyle w:val="TableNum"/>
            </w:pPr>
            <w:r>
              <w:t>Soils other than 3 above which, after compaction, have 20%-70% of stone retained on the 37.5 mm sieve</w:t>
            </w:r>
          </w:p>
        </w:tc>
        <w:tc>
          <w:tcPr>
            <w:tcW w:w="1984" w:type="dxa"/>
            <w:tcBorders>
              <w:top w:val="single" w:sz="2" w:space="0" w:color="000000"/>
              <w:left w:val="single" w:sz="2" w:space="0" w:color="000000"/>
              <w:bottom w:val="nil"/>
              <w:right w:val="single" w:sz="2" w:space="0" w:color="000000"/>
            </w:tcBorders>
            <w:vAlign w:val="center"/>
          </w:tcPr>
          <w:p w14:paraId="141DDD60" w14:textId="77777777" w:rsidR="002D2692" w:rsidRDefault="002D2692" w:rsidP="002D2692">
            <w:pPr>
              <w:pStyle w:val="Table"/>
            </w:pPr>
            <w:r>
              <w:t>Compacted layer method; or</w:t>
            </w:r>
          </w:p>
        </w:tc>
        <w:tc>
          <w:tcPr>
            <w:tcW w:w="2977" w:type="dxa"/>
            <w:tcBorders>
              <w:top w:val="single" w:sz="2" w:space="0" w:color="000000"/>
              <w:left w:val="single" w:sz="2" w:space="0" w:color="000000"/>
              <w:bottom w:val="nil"/>
              <w:right w:val="nil"/>
            </w:tcBorders>
            <w:shd w:val="clear" w:color="auto" w:fill="auto"/>
            <w:vAlign w:val="center"/>
          </w:tcPr>
          <w:p w14:paraId="58C264BF" w14:textId="77777777" w:rsidR="002D2692" w:rsidRDefault="002D2692" w:rsidP="002D2692">
            <w:pPr>
              <w:pStyle w:val="Table"/>
            </w:pPr>
            <w:r>
              <w:t>Relative dry density</w:t>
            </w:r>
          </w:p>
        </w:tc>
      </w:tr>
      <w:tr w:rsidR="002D2692" w14:paraId="4D432497" w14:textId="77777777" w:rsidTr="00B83448">
        <w:trPr>
          <w:cantSplit/>
          <w:trHeight w:val="803"/>
        </w:trPr>
        <w:tc>
          <w:tcPr>
            <w:tcW w:w="3544" w:type="dxa"/>
            <w:vMerge/>
            <w:tcBorders>
              <w:top w:val="nil"/>
              <w:left w:val="nil"/>
              <w:bottom w:val="single" w:sz="12" w:space="0" w:color="000000"/>
              <w:right w:val="single" w:sz="2" w:space="0" w:color="000000"/>
            </w:tcBorders>
            <w:vAlign w:val="center"/>
          </w:tcPr>
          <w:p w14:paraId="70CAA4AA" w14:textId="77777777" w:rsidR="002D2692" w:rsidRDefault="002D2692" w:rsidP="00927024">
            <w:pPr>
              <w:pStyle w:val="TableNum"/>
            </w:pPr>
          </w:p>
        </w:tc>
        <w:tc>
          <w:tcPr>
            <w:tcW w:w="1984" w:type="dxa"/>
            <w:tcBorders>
              <w:top w:val="nil"/>
              <w:left w:val="single" w:sz="2" w:space="0" w:color="000000"/>
              <w:bottom w:val="single" w:sz="12" w:space="0" w:color="000000"/>
              <w:right w:val="single" w:sz="2" w:space="0" w:color="000000"/>
            </w:tcBorders>
            <w:vAlign w:val="center"/>
          </w:tcPr>
          <w:p w14:paraId="291BF6F5" w14:textId="77777777" w:rsidR="002D2692" w:rsidRDefault="002D2692" w:rsidP="002D2692">
            <w:pPr>
              <w:pStyle w:val="Table"/>
            </w:pPr>
            <w:r>
              <w:t>Mechanical interlock method</w:t>
            </w:r>
          </w:p>
        </w:tc>
        <w:tc>
          <w:tcPr>
            <w:tcW w:w="2977" w:type="dxa"/>
            <w:tcBorders>
              <w:top w:val="nil"/>
              <w:left w:val="single" w:sz="2" w:space="0" w:color="000000"/>
              <w:bottom w:val="single" w:sz="12" w:space="0" w:color="000000"/>
              <w:right w:val="nil"/>
            </w:tcBorders>
            <w:shd w:val="clear" w:color="auto" w:fill="auto"/>
            <w:vAlign w:val="center"/>
          </w:tcPr>
          <w:p w14:paraId="30DDEFBE" w14:textId="77777777" w:rsidR="002D2692" w:rsidRDefault="002D2692" w:rsidP="002D2692">
            <w:pPr>
              <w:pStyle w:val="Table"/>
            </w:pPr>
            <w:r>
              <w:t>RDD where appropriate on the finer grained materials which completely fill the voids between rocks</w:t>
            </w:r>
          </w:p>
        </w:tc>
      </w:tr>
    </w:tbl>
    <w:p w14:paraId="23DF8328" w14:textId="77777777" w:rsidR="00456E0A" w:rsidRDefault="00497413" w:rsidP="0082501D">
      <w:pPr>
        <w:pStyle w:val="Heading3"/>
      </w:pPr>
      <w:bookmarkStart w:id="39" w:name="_Toc76022204"/>
      <w:r>
        <w:t xml:space="preserve">Compacted </w:t>
      </w:r>
      <w:r w:rsidRPr="002D2692">
        <w:t>Layer</w:t>
      </w:r>
      <w:r>
        <w:t xml:space="preserve"> Method Of Construction</w:t>
      </w:r>
      <w:bookmarkEnd w:id="39"/>
    </w:p>
    <w:p w14:paraId="50B76840" w14:textId="77777777" w:rsidR="00456E0A" w:rsidRDefault="00456E0A" w:rsidP="002D2692">
      <w:pPr>
        <w:pStyle w:val="BodyTextIndent"/>
      </w:pPr>
      <w:r>
        <w:t>Stone size: Limit stone size in fill material to less than two-thirds of the uncompacted layer depth.</w:t>
      </w:r>
    </w:p>
    <w:p w14:paraId="27274D79" w14:textId="77777777" w:rsidR="00456E0A" w:rsidRDefault="00456E0A" w:rsidP="002D2692">
      <w:pPr>
        <w:pStyle w:val="BodyTextIndent"/>
      </w:pPr>
      <w:r>
        <w:t>Execution: Place and compact fill material uniformly in layers.</w:t>
      </w:r>
    </w:p>
    <w:p w14:paraId="29D3D5DA" w14:textId="77777777" w:rsidR="00456E0A" w:rsidRDefault="00456E0A" w:rsidP="002D2692">
      <w:pPr>
        <w:pStyle w:val="BodyTextIndent"/>
      </w:pPr>
      <w:r>
        <w:lastRenderedPageBreak/>
        <w:t>Compaction layer thickness: Comply with Table 6.2 for the allowable loose layer thickness for the location and properties of the material being compacted.  Where the uncompacted thickness of a layer would otherwise be less than the specified minimum thickness, a lesser thickness of newly placed material may be employed by loosening the underlying material to give a total depth equal to the minimum thickness.</w:t>
      </w:r>
    </w:p>
    <w:p w14:paraId="3EBFDD31" w14:textId="71473E99" w:rsidR="00456E0A" w:rsidRDefault="00456E0A" w:rsidP="00013D39">
      <w:pPr>
        <w:pStyle w:val="TableIDNum"/>
      </w:pPr>
      <w:r>
        <w:t>Table</w:t>
      </w:r>
      <w:r w:rsidR="004D61D9">
        <w:t> </w:t>
      </w:r>
      <w:r>
        <w:t xml:space="preserve">6.2 </w:t>
      </w:r>
      <w:r w:rsidR="00267887">
        <w:t>–</w:t>
      </w:r>
      <w:r>
        <w:t xml:space="preserve"> Layer thickness for compaction</w:t>
      </w:r>
    </w:p>
    <w:tbl>
      <w:tblPr>
        <w:tblW w:w="8505"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4253"/>
        <w:gridCol w:w="2126"/>
        <w:gridCol w:w="2126"/>
      </w:tblGrid>
      <w:tr w:rsidR="00456E0A" w14:paraId="7BE1C9D9" w14:textId="77777777" w:rsidTr="00B83448">
        <w:trPr>
          <w:cantSplit/>
          <w:trHeight w:val="397"/>
        </w:trPr>
        <w:tc>
          <w:tcPr>
            <w:tcW w:w="4253" w:type="dxa"/>
            <w:vMerge w:val="restart"/>
            <w:tcBorders>
              <w:top w:val="single" w:sz="12" w:space="0" w:color="auto"/>
              <w:left w:val="nil"/>
              <w:bottom w:val="nil"/>
              <w:right w:val="nil"/>
            </w:tcBorders>
            <w:shd w:val="pct10" w:color="auto" w:fill="auto"/>
            <w:vAlign w:val="center"/>
          </w:tcPr>
          <w:p w14:paraId="61958833" w14:textId="77777777" w:rsidR="00456E0A" w:rsidRDefault="00456E0A" w:rsidP="00267887">
            <w:pPr>
              <w:pStyle w:val="TableHead"/>
            </w:pPr>
            <w:r>
              <w:t>Material/ location</w:t>
            </w:r>
          </w:p>
        </w:tc>
        <w:tc>
          <w:tcPr>
            <w:tcW w:w="4252" w:type="dxa"/>
            <w:gridSpan w:val="2"/>
            <w:tcBorders>
              <w:top w:val="single" w:sz="12" w:space="0" w:color="auto"/>
              <w:left w:val="nil"/>
              <w:bottom w:val="single" w:sz="2" w:space="0" w:color="auto"/>
              <w:right w:val="nil"/>
            </w:tcBorders>
            <w:shd w:val="pct10" w:color="auto" w:fill="auto"/>
            <w:vAlign w:val="center"/>
          </w:tcPr>
          <w:p w14:paraId="4096FFD8" w14:textId="77777777" w:rsidR="00456E0A" w:rsidRDefault="00456E0A" w:rsidP="00267887">
            <w:pPr>
              <w:pStyle w:val="TableHeadCen"/>
            </w:pPr>
            <w:r>
              <w:t>Loose layer thickness (mm)</w:t>
            </w:r>
          </w:p>
        </w:tc>
      </w:tr>
      <w:tr w:rsidR="00456E0A" w14:paraId="0237881D" w14:textId="77777777" w:rsidTr="00B83448">
        <w:trPr>
          <w:cantSplit/>
          <w:trHeight w:val="397"/>
        </w:trPr>
        <w:tc>
          <w:tcPr>
            <w:tcW w:w="4253" w:type="dxa"/>
            <w:vMerge/>
            <w:tcBorders>
              <w:top w:val="nil"/>
              <w:left w:val="nil"/>
              <w:bottom w:val="single" w:sz="12" w:space="0" w:color="auto"/>
              <w:right w:val="nil"/>
            </w:tcBorders>
            <w:shd w:val="pct10" w:color="auto" w:fill="auto"/>
            <w:vAlign w:val="center"/>
          </w:tcPr>
          <w:p w14:paraId="20097582" w14:textId="77777777" w:rsidR="00456E0A" w:rsidRDefault="00456E0A" w:rsidP="00267887">
            <w:pPr>
              <w:pStyle w:val="Notes"/>
              <w:rPr>
                <w:rFonts w:ascii="Arial" w:hAnsi="Arial"/>
              </w:rPr>
            </w:pPr>
          </w:p>
        </w:tc>
        <w:tc>
          <w:tcPr>
            <w:tcW w:w="2126" w:type="dxa"/>
            <w:tcBorders>
              <w:top w:val="single" w:sz="2" w:space="0" w:color="auto"/>
              <w:left w:val="nil"/>
              <w:bottom w:val="single" w:sz="12" w:space="0" w:color="auto"/>
              <w:right w:val="nil"/>
            </w:tcBorders>
            <w:shd w:val="pct10" w:color="auto" w:fill="auto"/>
            <w:vAlign w:val="center"/>
          </w:tcPr>
          <w:p w14:paraId="25EDB074" w14:textId="77777777" w:rsidR="00456E0A" w:rsidRDefault="00456E0A" w:rsidP="00267887">
            <w:pPr>
              <w:pStyle w:val="TableHeadCen"/>
            </w:pPr>
            <w:r>
              <w:t>Minimum</w:t>
            </w:r>
          </w:p>
        </w:tc>
        <w:tc>
          <w:tcPr>
            <w:tcW w:w="2126" w:type="dxa"/>
            <w:tcBorders>
              <w:top w:val="single" w:sz="2" w:space="0" w:color="auto"/>
              <w:left w:val="nil"/>
              <w:bottom w:val="single" w:sz="12" w:space="0" w:color="auto"/>
              <w:right w:val="nil"/>
            </w:tcBorders>
            <w:shd w:val="pct10" w:color="auto" w:fill="auto"/>
            <w:vAlign w:val="center"/>
          </w:tcPr>
          <w:p w14:paraId="2A971CC5" w14:textId="77777777" w:rsidR="00456E0A" w:rsidRDefault="00456E0A" w:rsidP="00267887">
            <w:pPr>
              <w:pStyle w:val="TableHeadCen"/>
            </w:pPr>
            <w:r>
              <w:t>Maximum</w:t>
            </w:r>
          </w:p>
        </w:tc>
      </w:tr>
      <w:tr w:rsidR="00456E0A" w14:paraId="09916AAB" w14:textId="77777777" w:rsidTr="00B83448">
        <w:trPr>
          <w:cantSplit/>
          <w:trHeight w:val="340"/>
        </w:trPr>
        <w:tc>
          <w:tcPr>
            <w:tcW w:w="4253" w:type="dxa"/>
            <w:tcBorders>
              <w:top w:val="single" w:sz="12" w:space="0" w:color="auto"/>
              <w:left w:val="nil"/>
              <w:bottom w:val="single" w:sz="2" w:space="0" w:color="000000"/>
              <w:right w:val="nil"/>
            </w:tcBorders>
            <w:vAlign w:val="center"/>
          </w:tcPr>
          <w:p w14:paraId="276D6C25" w14:textId="77777777" w:rsidR="00456E0A" w:rsidRDefault="00456E0A" w:rsidP="00267887">
            <w:pPr>
              <w:pStyle w:val="Table"/>
            </w:pPr>
            <w:r>
              <w:t>General fill in road embankment</w:t>
            </w:r>
          </w:p>
        </w:tc>
        <w:tc>
          <w:tcPr>
            <w:tcW w:w="2126" w:type="dxa"/>
            <w:tcBorders>
              <w:top w:val="single" w:sz="12" w:space="0" w:color="auto"/>
              <w:left w:val="nil"/>
              <w:bottom w:val="single" w:sz="2" w:space="0" w:color="000000"/>
              <w:right w:val="nil"/>
            </w:tcBorders>
            <w:vAlign w:val="center"/>
          </w:tcPr>
          <w:p w14:paraId="2BDA9658" w14:textId="77777777" w:rsidR="00456E0A" w:rsidRDefault="00456E0A" w:rsidP="00267887">
            <w:pPr>
              <w:pStyle w:val="TableCen"/>
            </w:pPr>
            <w:r>
              <w:t>150</w:t>
            </w:r>
          </w:p>
        </w:tc>
        <w:tc>
          <w:tcPr>
            <w:tcW w:w="2126" w:type="dxa"/>
            <w:tcBorders>
              <w:top w:val="single" w:sz="12" w:space="0" w:color="auto"/>
              <w:left w:val="nil"/>
              <w:bottom w:val="single" w:sz="2" w:space="0" w:color="000000"/>
              <w:right w:val="nil"/>
            </w:tcBorders>
            <w:vAlign w:val="center"/>
          </w:tcPr>
          <w:p w14:paraId="7BC682B6" w14:textId="77777777" w:rsidR="00456E0A" w:rsidRDefault="00456E0A" w:rsidP="00267887">
            <w:pPr>
              <w:pStyle w:val="TableCen"/>
            </w:pPr>
            <w:r>
              <w:t>300</w:t>
            </w:r>
          </w:p>
        </w:tc>
      </w:tr>
      <w:tr w:rsidR="00456E0A" w14:paraId="69048E68" w14:textId="77777777" w:rsidTr="00B83448">
        <w:trPr>
          <w:cantSplit/>
          <w:trHeight w:val="340"/>
        </w:trPr>
        <w:tc>
          <w:tcPr>
            <w:tcW w:w="4253" w:type="dxa"/>
            <w:tcBorders>
              <w:top w:val="single" w:sz="2" w:space="0" w:color="000000"/>
              <w:left w:val="nil"/>
              <w:bottom w:val="single" w:sz="2" w:space="0" w:color="000000"/>
              <w:right w:val="nil"/>
            </w:tcBorders>
            <w:vAlign w:val="center"/>
          </w:tcPr>
          <w:p w14:paraId="2AB5E0FD" w14:textId="77777777" w:rsidR="00456E0A" w:rsidRDefault="00456E0A" w:rsidP="00267887">
            <w:pPr>
              <w:pStyle w:val="Table"/>
            </w:pPr>
            <w:r>
              <w:t>Clay fill in water retaining structures</w:t>
            </w:r>
          </w:p>
        </w:tc>
        <w:tc>
          <w:tcPr>
            <w:tcW w:w="2126" w:type="dxa"/>
            <w:tcBorders>
              <w:top w:val="single" w:sz="2" w:space="0" w:color="000000"/>
              <w:left w:val="nil"/>
              <w:bottom w:val="single" w:sz="2" w:space="0" w:color="000000"/>
              <w:right w:val="nil"/>
            </w:tcBorders>
            <w:vAlign w:val="center"/>
          </w:tcPr>
          <w:p w14:paraId="1E850C99" w14:textId="77777777" w:rsidR="00456E0A" w:rsidRDefault="00456E0A" w:rsidP="00267887">
            <w:pPr>
              <w:pStyle w:val="TableCen"/>
            </w:pPr>
            <w:r>
              <w:t>150</w:t>
            </w:r>
          </w:p>
        </w:tc>
        <w:tc>
          <w:tcPr>
            <w:tcW w:w="2126" w:type="dxa"/>
            <w:tcBorders>
              <w:top w:val="single" w:sz="2" w:space="0" w:color="000000"/>
              <w:left w:val="nil"/>
              <w:bottom w:val="single" w:sz="2" w:space="0" w:color="000000"/>
              <w:right w:val="nil"/>
            </w:tcBorders>
            <w:vAlign w:val="center"/>
          </w:tcPr>
          <w:p w14:paraId="71411661" w14:textId="77777777" w:rsidR="00456E0A" w:rsidRDefault="00456E0A" w:rsidP="00267887">
            <w:pPr>
              <w:pStyle w:val="TableCen"/>
            </w:pPr>
            <w:r>
              <w:t>200</w:t>
            </w:r>
          </w:p>
        </w:tc>
      </w:tr>
      <w:tr w:rsidR="00456E0A" w14:paraId="56995615" w14:textId="77777777" w:rsidTr="00B83448">
        <w:trPr>
          <w:cantSplit/>
          <w:trHeight w:val="340"/>
        </w:trPr>
        <w:tc>
          <w:tcPr>
            <w:tcW w:w="4253" w:type="dxa"/>
            <w:tcBorders>
              <w:top w:val="single" w:sz="2" w:space="0" w:color="000000"/>
              <w:left w:val="nil"/>
              <w:bottom w:val="single" w:sz="2" w:space="0" w:color="000000"/>
              <w:right w:val="nil"/>
            </w:tcBorders>
            <w:vAlign w:val="center"/>
          </w:tcPr>
          <w:p w14:paraId="6ED81FB1" w14:textId="77777777" w:rsidR="00456E0A" w:rsidRDefault="00456E0A" w:rsidP="00267887">
            <w:pPr>
              <w:pStyle w:val="Table"/>
            </w:pPr>
            <w:r>
              <w:t>Subgrade</w:t>
            </w:r>
          </w:p>
        </w:tc>
        <w:tc>
          <w:tcPr>
            <w:tcW w:w="2126" w:type="dxa"/>
            <w:tcBorders>
              <w:top w:val="single" w:sz="2" w:space="0" w:color="000000"/>
              <w:left w:val="nil"/>
              <w:bottom w:val="single" w:sz="2" w:space="0" w:color="000000"/>
              <w:right w:val="nil"/>
            </w:tcBorders>
            <w:vAlign w:val="center"/>
          </w:tcPr>
          <w:p w14:paraId="7444C96D" w14:textId="77777777" w:rsidR="00456E0A" w:rsidRDefault="00456E0A" w:rsidP="00267887">
            <w:pPr>
              <w:pStyle w:val="TableCen"/>
            </w:pPr>
            <w:r>
              <w:t>100</w:t>
            </w:r>
          </w:p>
        </w:tc>
        <w:tc>
          <w:tcPr>
            <w:tcW w:w="2126" w:type="dxa"/>
            <w:tcBorders>
              <w:top w:val="single" w:sz="2" w:space="0" w:color="000000"/>
              <w:left w:val="nil"/>
              <w:bottom w:val="single" w:sz="2" w:space="0" w:color="000000"/>
              <w:right w:val="nil"/>
            </w:tcBorders>
            <w:vAlign w:val="center"/>
          </w:tcPr>
          <w:p w14:paraId="0DF04BD1" w14:textId="77777777" w:rsidR="00456E0A" w:rsidRDefault="00456E0A" w:rsidP="00267887">
            <w:pPr>
              <w:pStyle w:val="TableCen"/>
            </w:pPr>
            <w:r>
              <w:t>200</w:t>
            </w:r>
          </w:p>
        </w:tc>
      </w:tr>
      <w:tr w:rsidR="00456E0A" w14:paraId="02A122E0" w14:textId="77777777" w:rsidTr="00B83448">
        <w:trPr>
          <w:cantSplit/>
          <w:trHeight w:val="340"/>
        </w:trPr>
        <w:tc>
          <w:tcPr>
            <w:tcW w:w="4253" w:type="dxa"/>
            <w:tcBorders>
              <w:top w:val="single" w:sz="2" w:space="0" w:color="000000"/>
              <w:left w:val="nil"/>
              <w:bottom w:val="single" w:sz="2" w:space="0" w:color="000000"/>
              <w:right w:val="nil"/>
            </w:tcBorders>
            <w:vAlign w:val="center"/>
          </w:tcPr>
          <w:p w14:paraId="53885691" w14:textId="77777777" w:rsidR="00456E0A" w:rsidRDefault="00456E0A" w:rsidP="00267887">
            <w:pPr>
              <w:pStyle w:val="Table"/>
            </w:pPr>
            <w:r>
              <w:t>Backfill other than sand</w:t>
            </w:r>
          </w:p>
        </w:tc>
        <w:tc>
          <w:tcPr>
            <w:tcW w:w="2126" w:type="dxa"/>
            <w:tcBorders>
              <w:top w:val="single" w:sz="2" w:space="0" w:color="000000"/>
              <w:left w:val="nil"/>
              <w:bottom w:val="single" w:sz="2" w:space="0" w:color="000000"/>
              <w:right w:val="nil"/>
            </w:tcBorders>
            <w:vAlign w:val="center"/>
          </w:tcPr>
          <w:p w14:paraId="306DEAF1" w14:textId="77777777" w:rsidR="00456E0A" w:rsidRDefault="00456E0A" w:rsidP="00267887">
            <w:pPr>
              <w:pStyle w:val="TableCen"/>
            </w:pPr>
            <w:r>
              <w:t>-</w:t>
            </w:r>
          </w:p>
        </w:tc>
        <w:tc>
          <w:tcPr>
            <w:tcW w:w="2126" w:type="dxa"/>
            <w:tcBorders>
              <w:top w:val="single" w:sz="2" w:space="0" w:color="000000"/>
              <w:left w:val="nil"/>
              <w:bottom w:val="single" w:sz="2" w:space="0" w:color="000000"/>
              <w:right w:val="nil"/>
            </w:tcBorders>
            <w:vAlign w:val="center"/>
          </w:tcPr>
          <w:p w14:paraId="03DAF978" w14:textId="77777777" w:rsidR="00456E0A" w:rsidRDefault="00456E0A" w:rsidP="00267887">
            <w:pPr>
              <w:pStyle w:val="TableCen"/>
            </w:pPr>
            <w:r>
              <w:t>100</w:t>
            </w:r>
          </w:p>
        </w:tc>
      </w:tr>
      <w:tr w:rsidR="00456E0A" w14:paraId="700B01C9" w14:textId="77777777" w:rsidTr="00B83448">
        <w:trPr>
          <w:cantSplit/>
          <w:trHeight w:val="340"/>
        </w:trPr>
        <w:tc>
          <w:tcPr>
            <w:tcW w:w="4253" w:type="dxa"/>
            <w:tcBorders>
              <w:top w:val="single" w:sz="2" w:space="0" w:color="000000"/>
              <w:left w:val="nil"/>
              <w:bottom w:val="single" w:sz="12" w:space="0" w:color="000000"/>
              <w:right w:val="nil"/>
            </w:tcBorders>
            <w:vAlign w:val="center"/>
          </w:tcPr>
          <w:p w14:paraId="7AC39A47" w14:textId="77777777" w:rsidR="00456E0A" w:rsidRDefault="00456E0A" w:rsidP="00267887">
            <w:pPr>
              <w:pStyle w:val="Table"/>
            </w:pPr>
            <w:r>
              <w:t>Sand backfill</w:t>
            </w:r>
          </w:p>
        </w:tc>
        <w:tc>
          <w:tcPr>
            <w:tcW w:w="2126" w:type="dxa"/>
            <w:tcBorders>
              <w:top w:val="single" w:sz="2" w:space="0" w:color="000000"/>
              <w:left w:val="nil"/>
              <w:bottom w:val="single" w:sz="12" w:space="0" w:color="000000"/>
              <w:right w:val="nil"/>
            </w:tcBorders>
            <w:vAlign w:val="center"/>
          </w:tcPr>
          <w:p w14:paraId="3D028AC2" w14:textId="77777777" w:rsidR="00456E0A" w:rsidRDefault="00456E0A" w:rsidP="00267887">
            <w:pPr>
              <w:pStyle w:val="TableCen"/>
            </w:pPr>
            <w:r>
              <w:t>150</w:t>
            </w:r>
          </w:p>
        </w:tc>
        <w:tc>
          <w:tcPr>
            <w:tcW w:w="2126" w:type="dxa"/>
            <w:tcBorders>
              <w:top w:val="single" w:sz="2" w:space="0" w:color="000000"/>
              <w:left w:val="nil"/>
              <w:bottom w:val="single" w:sz="12" w:space="0" w:color="000000"/>
              <w:right w:val="nil"/>
            </w:tcBorders>
            <w:vAlign w:val="center"/>
          </w:tcPr>
          <w:p w14:paraId="259213B6" w14:textId="77777777" w:rsidR="00456E0A" w:rsidRDefault="00456E0A" w:rsidP="00267887">
            <w:pPr>
              <w:pStyle w:val="TableCen"/>
            </w:pPr>
            <w:r>
              <w:t>300</w:t>
            </w:r>
          </w:p>
        </w:tc>
      </w:tr>
    </w:tbl>
    <w:p w14:paraId="71505F99" w14:textId="77777777" w:rsidR="00456E0A" w:rsidRDefault="00497413" w:rsidP="0082501D">
      <w:pPr>
        <w:pStyle w:val="Heading3"/>
      </w:pPr>
      <w:bookmarkStart w:id="40" w:name="_Toc76022205"/>
      <w:r>
        <w:t>Mechanical Interlock Method Of Construction</w:t>
      </w:r>
      <w:bookmarkEnd w:id="40"/>
    </w:p>
    <w:p w14:paraId="337059DB" w14:textId="77777777" w:rsidR="00456E0A" w:rsidRDefault="00456E0A" w:rsidP="00267887">
      <w:pPr>
        <w:pStyle w:val="BodyTextIndent"/>
      </w:pPr>
      <w:r>
        <w:t>Execution: Place and compact coarse granular fill material uniformly in layers.  Roll each layer until no permanent visible lowering of the surface occurs.</w:t>
      </w:r>
    </w:p>
    <w:p w14:paraId="78340856" w14:textId="427FA25C" w:rsidR="00456E0A" w:rsidRDefault="00456E0A" w:rsidP="00267887">
      <w:pPr>
        <w:pStyle w:val="BodyTextIndent"/>
      </w:pPr>
      <w:r>
        <w:t>Minimum thickness of uncompacted layers: Greater of 150 mm or 1.5</w:t>
      </w:r>
      <w:r w:rsidR="004C70DB">
        <w:t> </w:t>
      </w:r>
      <w:r>
        <w:t>times the maximum rock size in the layer.</w:t>
      </w:r>
    </w:p>
    <w:p w14:paraId="7F30CD04" w14:textId="1B992B2F" w:rsidR="00456E0A" w:rsidRDefault="00456E0A" w:rsidP="00267887">
      <w:pPr>
        <w:pStyle w:val="BodyTextIndent"/>
      </w:pPr>
      <w:r>
        <w:t>Maximum thickness of uncompacted layers: Comply with Table</w:t>
      </w:r>
      <w:r w:rsidR="00A53EF7">
        <w:t> </w:t>
      </w:r>
      <w:r>
        <w:t>6.3 for the specified module weights, which apply to both drawn and self-propelled single drum rollers.  Interpolate layer thickness for module weights between the listed values.</w:t>
      </w:r>
    </w:p>
    <w:p w14:paraId="0E360360" w14:textId="15B49372" w:rsidR="00456E0A" w:rsidRDefault="00456E0A" w:rsidP="00013D39">
      <w:pPr>
        <w:pStyle w:val="TableIDNum"/>
      </w:pPr>
      <w:r>
        <w:t>Table</w:t>
      </w:r>
      <w:r w:rsidR="004D61D9">
        <w:t> </w:t>
      </w:r>
      <w:r>
        <w:t xml:space="preserve">6.3 </w:t>
      </w:r>
      <w:r w:rsidR="00267887">
        <w:t>–</w:t>
      </w:r>
      <w:r>
        <w:t xml:space="preserve"> Maximum thickness of uncompacted layers</w:t>
      </w:r>
    </w:p>
    <w:tbl>
      <w:tblPr>
        <w:tblW w:w="8505"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3260"/>
        <w:gridCol w:w="2622"/>
        <w:gridCol w:w="2623"/>
      </w:tblGrid>
      <w:tr w:rsidR="00456E0A" w14:paraId="69BD5968" w14:textId="77777777" w:rsidTr="00B83448">
        <w:trPr>
          <w:cantSplit/>
          <w:trHeight w:val="397"/>
        </w:trPr>
        <w:tc>
          <w:tcPr>
            <w:tcW w:w="3260" w:type="dxa"/>
            <w:vMerge w:val="restart"/>
            <w:tcBorders>
              <w:top w:val="single" w:sz="12" w:space="0" w:color="auto"/>
              <w:left w:val="nil"/>
              <w:bottom w:val="single" w:sz="2" w:space="0" w:color="auto"/>
              <w:right w:val="nil"/>
            </w:tcBorders>
            <w:shd w:val="pct10" w:color="auto" w:fill="auto"/>
            <w:vAlign w:val="center"/>
          </w:tcPr>
          <w:p w14:paraId="492C2329" w14:textId="77777777" w:rsidR="00456E0A" w:rsidRDefault="00456E0A" w:rsidP="00267887">
            <w:pPr>
              <w:pStyle w:val="TableHeadCen"/>
            </w:pPr>
            <w:r>
              <w:t>Static module weighty or vibrating drum equivalent (tonnes)</w:t>
            </w:r>
          </w:p>
        </w:tc>
        <w:tc>
          <w:tcPr>
            <w:tcW w:w="5245" w:type="dxa"/>
            <w:gridSpan w:val="2"/>
            <w:tcBorders>
              <w:top w:val="single" w:sz="12" w:space="0" w:color="auto"/>
              <w:left w:val="nil"/>
              <w:bottom w:val="single" w:sz="2" w:space="0" w:color="auto"/>
              <w:right w:val="nil"/>
            </w:tcBorders>
            <w:shd w:val="pct10" w:color="auto" w:fill="auto"/>
            <w:vAlign w:val="center"/>
          </w:tcPr>
          <w:p w14:paraId="3D4DB8F5" w14:textId="77777777" w:rsidR="00456E0A" w:rsidRDefault="00456E0A" w:rsidP="00267887">
            <w:pPr>
              <w:pStyle w:val="TableHeadCen"/>
            </w:pPr>
            <w:r>
              <w:t>Maximum thickness of uncompacted layer (mm)</w:t>
            </w:r>
          </w:p>
        </w:tc>
      </w:tr>
      <w:tr w:rsidR="00456E0A" w14:paraId="1AB88108" w14:textId="77777777" w:rsidTr="00B83448">
        <w:trPr>
          <w:cantSplit/>
          <w:trHeight w:val="397"/>
        </w:trPr>
        <w:tc>
          <w:tcPr>
            <w:tcW w:w="3260" w:type="dxa"/>
            <w:vMerge/>
            <w:tcBorders>
              <w:top w:val="single" w:sz="2" w:space="0" w:color="auto"/>
              <w:left w:val="nil"/>
              <w:bottom w:val="single" w:sz="12" w:space="0" w:color="auto"/>
              <w:right w:val="nil"/>
            </w:tcBorders>
            <w:shd w:val="pct10" w:color="auto" w:fill="auto"/>
            <w:vAlign w:val="center"/>
          </w:tcPr>
          <w:p w14:paraId="201BD2C9" w14:textId="77777777" w:rsidR="00456E0A" w:rsidRDefault="00456E0A" w:rsidP="00267887">
            <w:pPr>
              <w:pStyle w:val="TableHeadCen"/>
            </w:pPr>
          </w:p>
        </w:tc>
        <w:tc>
          <w:tcPr>
            <w:tcW w:w="2622" w:type="dxa"/>
            <w:tcBorders>
              <w:top w:val="single" w:sz="2" w:space="0" w:color="auto"/>
              <w:left w:val="nil"/>
              <w:bottom w:val="single" w:sz="12" w:space="0" w:color="auto"/>
              <w:right w:val="nil"/>
            </w:tcBorders>
            <w:shd w:val="pct10" w:color="auto" w:fill="auto"/>
            <w:vAlign w:val="center"/>
          </w:tcPr>
          <w:p w14:paraId="667220FD" w14:textId="77777777" w:rsidR="00456E0A" w:rsidRDefault="00456E0A" w:rsidP="00267887">
            <w:pPr>
              <w:pStyle w:val="TableHeadCen"/>
            </w:pPr>
            <w:r>
              <w:t>Voids not filled</w:t>
            </w:r>
          </w:p>
        </w:tc>
        <w:tc>
          <w:tcPr>
            <w:tcW w:w="2623" w:type="dxa"/>
            <w:tcBorders>
              <w:top w:val="single" w:sz="2" w:space="0" w:color="auto"/>
              <w:left w:val="nil"/>
              <w:bottom w:val="single" w:sz="12" w:space="0" w:color="auto"/>
              <w:right w:val="nil"/>
            </w:tcBorders>
            <w:shd w:val="pct10" w:color="auto" w:fill="auto"/>
            <w:vAlign w:val="center"/>
          </w:tcPr>
          <w:p w14:paraId="43687E0D" w14:textId="77777777" w:rsidR="00456E0A" w:rsidRDefault="00456E0A" w:rsidP="00267887">
            <w:pPr>
              <w:pStyle w:val="TableHeadCen"/>
            </w:pPr>
            <w:r>
              <w:t>Voids filled*</w:t>
            </w:r>
          </w:p>
        </w:tc>
      </w:tr>
      <w:tr w:rsidR="00456E0A" w14:paraId="3EF70A11" w14:textId="77777777" w:rsidTr="00B83448">
        <w:trPr>
          <w:cantSplit/>
          <w:trHeight w:val="340"/>
        </w:trPr>
        <w:tc>
          <w:tcPr>
            <w:tcW w:w="3260" w:type="dxa"/>
            <w:tcBorders>
              <w:top w:val="single" w:sz="12" w:space="0" w:color="auto"/>
              <w:left w:val="nil"/>
              <w:bottom w:val="nil"/>
              <w:right w:val="nil"/>
            </w:tcBorders>
            <w:vAlign w:val="center"/>
          </w:tcPr>
          <w:p w14:paraId="333ACE3F" w14:textId="77777777" w:rsidR="00456E0A" w:rsidRDefault="00456E0A" w:rsidP="00267887">
            <w:pPr>
              <w:pStyle w:val="TableCen"/>
            </w:pPr>
            <w:r>
              <w:t>5</w:t>
            </w:r>
          </w:p>
        </w:tc>
        <w:tc>
          <w:tcPr>
            <w:tcW w:w="2622" w:type="dxa"/>
            <w:tcBorders>
              <w:top w:val="single" w:sz="12" w:space="0" w:color="auto"/>
              <w:left w:val="nil"/>
              <w:bottom w:val="nil"/>
              <w:right w:val="nil"/>
            </w:tcBorders>
            <w:vAlign w:val="center"/>
          </w:tcPr>
          <w:p w14:paraId="72072585" w14:textId="77777777" w:rsidR="00456E0A" w:rsidRDefault="00456E0A" w:rsidP="00267887">
            <w:pPr>
              <w:pStyle w:val="TableCen"/>
            </w:pPr>
            <w:r>
              <w:t>400</w:t>
            </w:r>
          </w:p>
        </w:tc>
        <w:tc>
          <w:tcPr>
            <w:tcW w:w="2623" w:type="dxa"/>
            <w:tcBorders>
              <w:top w:val="single" w:sz="12" w:space="0" w:color="auto"/>
              <w:left w:val="nil"/>
              <w:bottom w:val="nil"/>
              <w:right w:val="nil"/>
            </w:tcBorders>
            <w:vAlign w:val="center"/>
          </w:tcPr>
          <w:p w14:paraId="173748F8" w14:textId="77777777" w:rsidR="00456E0A" w:rsidRDefault="00456E0A" w:rsidP="00267887">
            <w:pPr>
              <w:pStyle w:val="TableCen"/>
            </w:pPr>
            <w:r>
              <w:t>300</w:t>
            </w:r>
          </w:p>
        </w:tc>
      </w:tr>
      <w:tr w:rsidR="00456E0A" w14:paraId="24301309" w14:textId="77777777" w:rsidTr="00B83448">
        <w:trPr>
          <w:cantSplit/>
          <w:trHeight w:val="340"/>
        </w:trPr>
        <w:tc>
          <w:tcPr>
            <w:tcW w:w="3260" w:type="dxa"/>
            <w:tcBorders>
              <w:top w:val="nil"/>
              <w:left w:val="nil"/>
              <w:bottom w:val="nil"/>
              <w:right w:val="nil"/>
            </w:tcBorders>
            <w:vAlign w:val="center"/>
          </w:tcPr>
          <w:p w14:paraId="2649FBF4" w14:textId="77777777" w:rsidR="00456E0A" w:rsidRDefault="00456E0A" w:rsidP="00267887">
            <w:pPr>
              <w:pStyle w:val="TableCen"/>
            </w:pPr>
            <w:r>
              <w:t>10</w:t>
            </w:r>
          </w:p>
        </w:tc>
        <w:tc>
          <w:tcPr>
            <w:tcW w:w="2622" w:type="dxa"/>
            <w:tcBorders>
              <w:top w:val="nil"/>
              <w:left w:val="nil"/>
              <w:bottom w:val="nil"/>
              <w:right w:val="nil"/>
            </w:tcBorders>
            <w:vAlign w:val="center"/>
          </w:tcPr>
          <w:p w14:paraId="7F5387F1" w14:textId="77777777" w:rsidR="00456E0A" w:rsidRDefault="00456E0A" w:rsidP="00267887">
            <w:pPr>
              <w:pStyle w:val="TableCen"/>
            </w:pPr>
            <w:r>
              <w:t>600</w:t>
            </w:r>
          </w:p>
        </w:tc>
        <w:tc>
          <w:tcPr>
            <w:tcW w:w="2623" w:type="dxa"/>
            <w:tcBorders>
              <w:top w:val="nil"/>
              <w:left w:val="nil"/>
              <w:bottom w:val="nil"/>
              <w:right w:val="nil"/>
            </w:tcBorders>
            <w:vAlign w:val="center"/>
          </w:tcPr>
          <w:p w14:paraId="4293339E" w14:textId="77777777" w:rsidR="00456E0A" w:rsidRDefault="00456E0A" w:rsidP="00267887">
            <w:pPr>
              <w:pStyle w:val="TableCen"/>
            </w:pPr>
            <w:r>
              <w:t>400</w:t>
            </w:r>
          </w:p>
        </w:tc>
      </w:tr>
      <w:tr w:rsidR="00456E0A" w14:paraId="47A0511D" w14:textId="77777777" w:rsidTr="00B83448">
        <w:trPr>
          <w:cantSplit/>
          <w:trHeight w:val="340"/>
        </w:trPr>
        <w:tc>
          <w:tcPr>
            <w:tcW w:w="3260" w:type="dxa"/>
            <w:tcBorders>
              <w:top w:val="nil"/>
              <w:left w:val="nil"/>
              <w:bottom w:val="nil"/>
              <w:right w:val="nil"/>
            </w:tcBorders>
            <w:vAlign w:val="center"/>
          </w:tcPr>
          <w:p w14:paraId="6357038E" w14:textId="77777777" w:rsidR="00456E0A" w:rsidRDefault="00456E0A" w:rsidP="00267887">
            <w:pPr>
              <w:pStyle w:val="TableCen"/>
            </w:pPr>
            <w:r>
              <w:t>15</w:t>
            </w:r>
          </w:p>
        </w:tc>
        <w:tc>
          <w:tcPr>
            <w:tcW w:w="2622" w:type="dxa"/>
            <w:tcBorders>
              <w:top w:val="nil"/>
              <w:left w:val="nil"/>
              <w:bottom w:val="nil"/>
              <w:right w:val="nil"/>
            </w:tcBorders>
            <w:vAlign w:val="center"/>
          </w:tcPr>
          <w:p w14:paraId="1C303CC6" w14:textId="77777777" w:rsidR="00456E0A" w:rsidRDefault="00456E0A" w:rsidP="00267887">
            <w:pPr>
              <w:pStyle w:val="TableCen"/>
            </w:pPr>
            <w:r>
              <w:t>900</w:t>
            </w:r>
          </w:p>
        </w:tc>
        <w:tc>
          <w:tcPr>
            <w:tcW w:w="2623" w:type="dxa"/>
            <w:tcBorders>
              <w:top w:val="nil"/>
              <w:left w:val="nil"/>
              <w:bottom w:val="nil"/>
              <w:right w:val="nil"/>
            </w:tcBorders>
            <w:vAlign w:val="center"/>
          </w:tcPr>
          <w:p w14:paraId="019837C6" w14:textId="77777777" w:rsidR="00456E0A" w:rsidRDefault="00456E0A" w:rsidP="00267887">
            <w:pPr>
              <w:pStyle w:val="TableCen"/>
            </w:pPr>
            <w:r>
              <w:t>600</w:t>
            </w:r>
          </w:p>
        </w:tc>
      </w:tr>
      <w:tr w:rsidR="00456E0A" w14:paraId="11D0ACDD" w14:textId="77777777" w:rsidTr="00B83448">
        <w:trPr>
          <w:cantSplit/>
          <w:trHeight w:val="340"/>
        </w:trPr>
        <w:tc>
          <w:tcPr>
            <w:tcW w:w="3260" w:type="dxa"/>
            <w:tcBorders>
              <w:top w:val="nil"/>
              <w:left w:val="nil"/>
              <w:bottom w:val="single" w:sz="12" w:space="0" w:color="000000"/>
              <w:right w:val="nil"/>
            </w:tcBorders>
            <w:vAlign w:val="center"/>
          </w:tcPr>
          <w:p w14:paraId="6C54A97D" w14:textId="77777777" w:rsidR="00456E0A" w:rsidRDefault="00456E0A" w:rsidP="00267887">
            <w:pPr>
              <w:pStyle w:val="TableCen"/>
            </w:pPr>
            <w:r>
              <w:t>20</w:t>
            </w:r>
          </w:p>
        </w:tc>
        <w:tc>
          <w:tcPr>
            <w:tcW w:w="2622" w:type="dxa"/>
            <w:tcBorders>
              <w:top w:val="nil"/>
              <w:left w:val="nil"/>
              <w:bottom w:val="single" w:sz="12" w:space="0" w:color="000000"/>
              <w:right w:val="nil"/>
            </w:tcBorders>
            <w:vAlign w:val="center"/>
          </w:tcPr>
          <w:p w14:paraId="06F7118E" w14:textId="77777777" w:rsidR="00456E0A" w:rsidRDefault="00456E0A" w:rsidP="00267887">
            <w:pPr>
              <w:pStyle w:val="TableCen"/>
            </w:pPr>
            <w:r>
              <w:t>1200</w:t>
            </w:r>
          </w:p>
        </w:tc>
        <w:tc>
          <w:tcPr>
            <w:tcW w:w="2623" w:type="dxa"/>
            <w:tcBorders>
              <w:top w:val="nil"/>
              <w:left w:val="nil"/>
              <w:bottom w:val="single" w:sz="12" w:space="0" w:color="000000"/>
              <w:right w:val="nil"/>
            </w:tcBorders>
            <w:vAlign w:val="center"/>
          </w:tcPr>
          <w:p w14:paraId="4F6932DA" w14:textId="77777777" w:rsidR="00456E0A" w:rsidRDefault="00456E0A" w:rsidP="00267887">
            <w:pPr>
              <w:pStyle w:val="TableCen"/>
            </w:pPr>
            <w:r>
              <w:t>800</w:t>
            </w:r>
          </w:p>
        </w:tc>
      </w:tr>
    </w:tbl>
    <w:p w14:paraId="0D8461B2" w14:textId="77777777" w:rsidR="00456E0A" w:rsidRDefault="00456E0A" w:rsidP="00267887">
      <w:pPr>
        <w:pStyle w:val="BodyTextIndent9"/>
        <w:tabs>
          <w:tab w:val="left" w:pos="993"/>
        </w:tabs>
        <w:ind w:left="993" w:hanging="284"/>
      </w:pPr>
      <w:r>
        <w:t>*</w:t>
      </w:r>
      <w:r>
        <w:tab/>
        <w:t>Proportion of finer grained materials to completely fill the voids between rocks</w:t>
      </w:r>
    </w:p>
    <w:p w14:paraId="2AA4A11D" w14:textId="77777777" w:rsidR="00456E0A" w:rsidRDefault="00497413" w:rsidP="0082501D">
      <w:pPr>
        <w:pStyle w:val="Heading3"/>
      </w:pPr>
      <w:bookmarkStart w:id="41" w:name="_Toc76022206"/>
      <w:r w:rsidRPr="00267887">
        <w:t>Density</w:t>
      </w:r>
      <w:r>
        <w:t xml:space="preserve"> and Moisture Requirements</w:t>
      </w:r>
      <w:bookmarkEnd w:id="41"/>
    </w:p>
    <w:p w14:paraId="08C598E6" w14:textId="77777777" w:rsidR="00456E0A" w:rsidRDefault="00456E0A" w:rsidP="00267887">
      <w:pPr>
        <w:pStyle w:val="BodyTextIndent"/>
      </w:pPr>
      <w:r>
        <w:t xml:space="preserve">Density requirements: Compact fill and unbound subgrade material to the relevant standards specified in Table 6.4. </w:t>
      </w:r>
      <w:r>
        <w:rPr>
          <w:i/>
        </w:rPr>
        <w:t xml:space="preserve"> Refer annexure</w:t>
      </w:r>
      <w:r>
        <w:t>.</w:t>
      </w:r>
    </w:p>
    <w:p w14:paraId="1F876E59" w14:textId="77777777" w:rsidR="00456E0A" w:rsidRDefault="00456E0A" w:rsidP="00267887">
      <w:pPr>
        <w:pStyle w:val="BodyTextIndent"/>
      </w:pPr>
      <w:r>
        <w:t xml:space="preserve">Moisture content: Unless specified otherwise in the annexure, adjust moisture content of fill and unbound subgrade material as necessary to within 80-100% of the optimum moisture content (determined by </w:t>
      </w:r>
      <w:r w:rsidRPr="00ED0DAC">
        <w:rPr>
          <w:i/>
        </w:rPr>
        <w:t>AS 1289.5.1.1</w:t>
      </w:r>
      <w:r>
        <w:t xml:space="preserve">) to achieve the required compaction.  Maintain moisture content of the compacted material within the specified range until covered with subsequent layers.  </w:t>
      </w:r>
      <w:r>
        <w:rPr>
          <w:i/>
        </w:rPr>
        <w:t>Refer annexure</w:t>
      </w:r>
      <w:r>
        <w:t>.</w:t>
      </w:r>
    </w:p>
    <w:p w14:paraId="0EFE0533" w14:textId="77777777" w:rsidR="0081263D" w:rsidRDefault="0081263D" w:rsidP="0081263D">
      <w:pPr>
        <w:pStyle w:val="BodyText"/>
        <w:rPr>
          <w:sz w:val="18"/>
        </w:rPr>
      </w:pPr>
      <w:r>
        <w:br w:type="page"/>
      </w:r>
    </w:p>
    <w:p w14:paraId="21BEABA6" w14:textId="078EDE97" w:rsidR="00456E0A" w:rsidRDefault="00456E0A" w:rsidP="00013D39">
      <w:pPr>
        <w:pStyle w:val="TableIDNum"/>
      </w:pPr>
      <w:r>
        <w:lastRenderedPageBreak/>
        <w:t>Table</w:t>
      </w:r>
      <w:r w:rsidR="00D03E47">
        <w:t> </w:t>
      </w:r>
      <w:r>
        <w:t xml:space="preserve">6.4 </w:t>
      </w:r>
      <w:r w:rsidR="005A0F85">
        <w:t>–</w:t>
      </w:r>
      <w:r>
        <w:t xml:space="preserve"> Minimum density schedule</w:t>
      </w:r>
    </w:p>
    <w:tbl>
      <w:tblPr>
        <w:tblW w:w="8505"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2977"/>
        <w:gridCol w:w="2764"/>
        <w:gridCol w:w="2764"/>
      </w:tblGrid>
      <w:tr w:rsidR="00456E0A" w14:paraId="7235010B" w14:textId="77777777" w:rsidTr="00B83448">
        <w:trPr>
          <w:cantSplit/>
          <w:tblHeader/>
        </w:trPr>
        <w:tc>
          <w:tcPr>
            <w:tcW w:w="2977" w:type="dxa"/>
            <w:tcBorders>
              <w:top w:val="single" w:sz="12" w:space="0" w:color="000000"/>
              <w:left w:val="nil"/>
              <w:bottom w:val="single" w:sz="12" w:space="0" w:color="000000"/>
              <w:right w:val="nil"/>
            </w:tcBorders>
            <w:shd w:val="pct10" w:color="auto" w:fill="auto"/>
            <w:vAlign w:val="center"/>
          </w:tcPr>
          <w:p w14:paraId="2ACBB960" w14:textId="77777777" w:rsidR="00456E0A" w:rsidRDefault="00456E0A" w:rsidP="00267887">
            <w:pPr>
              <w:pStyle w:val="TableHeadCen"/>
            </w:pPr>
            <w:r>
              <w:br w:type="page"/>
              <w:t>Location</w:t>
            </w:r>
          </w:p>
        </w:tc>
        <w:tc>
          <w:tcPr>
            <w:tcW w:w="2764" w:type="dxa"/>
            <w:tcBorders>
              <w:top w:val="single" w:sz="12" w:space="0" w:color="000000"/>
              <w:left w:val="nil"/>
              <w:bottom w:val="single" w:sz="12" w:space="0" w:color="000000"/>
              <w:right w:val="nil"/>
            </w:tcBorders>
            <w:shd w:val="pct10" w:color="auto" w:fill="auto"/>
            <w:vAlign w:val="center"/>
          </w:tcPr>
          <w:p w14:paraId="649368F2" w14:textId="77777777" w:rsidR="00456E0A" w:rsidRDefault="00456E0A" w:rsidP="00267887">
            <w:pPr>
              <w:pStyle w:val="TableHeadCen"/>
            </w:pPr>
            <w:r>
              <w:t>Minimum relative compaction (standard)</w:t>
            </w:r>
          </w:p>
          <w:p w14:paraId="062DFA4A" w14:textId="77777777" w:rsidR="00456E0A" w:rsidRDefault="00456E0A" w:rsidP="00267887">
            <w:pPr>
              <w:pStyle w:val="TableHeadCen"/>
            </w:pPr>
            <w:r>
              <w:t>(Cohesive soils generally)</w:t>
            </w:r>
          </w:p>
          <w:p w14:paraId="2CE78B5A" w14:textId="77777777" w:rsidR="00456E0A" w:rsidRDefault="00456E0A" w:rsidP="00267887">
            <w:pPr>
              <w:pStyle w:val="TableHeadCen"/>
            </w:pPr>
            <w:r>
              <w:t>(see Notes 1, 2, 3, 4)</w:t>
            </w:r>
          </w:p>
        </w:tc>
        <w:tc>
          <w:tcPr>
            <w:tcW w:w="2764" w:type="dxa"/>
            <w:tcBorders>
              <w:top w:val="single" w:sz="12" w:space="0" w:color="000000"/>
              <w:left w:val="nil"/>
              <w:bottom w:val="single" w:sz="12" w:space="0" w:color="000000"/>
              <w:right w:val="nil"/>
            </w:tcBorders>
            <w:shd w:val="pct10" w:color="auto" w:fill="auto"/>
            <w:vAlign w:val="center"/>
          </w:tcPr>
          <w:p w14:paraId="49D9C473" w14:textId="77777777" w:rsidR="00456E0A" w:rsidRDefault="00456E0A" w:rsidP="00267887">
            <w:pPr>
              <w:pStyle w:val="TableHeadCen"/>
            </w:pPr>
            <w:r>
              <w:t>Minimum density index</w:t>
            </w:r>
          </w:p>
          <w:p w14:paraId="425257EE" w14:textId="77777777" w:rsidR="00456E0A" w:rsidRDefault="00456E0A" w:rsidP="00267887">
            <w:pPr>
              <w:pStyle w:val="TableHeadCen"/>
            </w:pPr>
            <w:r>
              <w:t>(Cohesionless soils)</w:t>
            </w:r>
          </w:p>
          <w:p w14:paraId="6C040B5E" w14:textId="77777777" w:rsidR="00456E0A" w:rsidRDefault="00456E0A" w:rsidP="00267887">
            <w:pPr>
              <w:pStyle w:val="TableHeadCen"/>
            </w:pPr>
            <w:r>
              <w:t>(see Notes 1, 5)</w:t>
            </w:r>
          </w:p>
        </w:tc>
      </w:tr>
      <w:tr w:rsidR="005A0F85" w14:paraId="6B873FF0" w14:textId="77777777" w:rsidTr="00B83448">
        <w:trPr>
          <w:cantSplit/>
          <w:trHeight w:val="340"/>
        </w:trPr>
        <w:tc>
          <w:tcPr>
            <w:tcW w:w="2977" w:type="dxa"/>
            <w:tcBorders>
              <w:top w:val="single" w:sz="12" w:space="0" w:color="000000"/>
              <w:left w:val="nil"/>
              <w:bottom w:val="nil"/>
              <w:right w:val="nil"/>
            </w:tcBorders>
            <w:vAlign w:val="center"/>
          </w:tcPr>
          <w:p w14:paraId="7675F269" w14:textId="77777777" w:rsidR="005A0F85" w:rsidRDefault="005A0F85" w:rsidP="005A0F85">
            <w:pPr>
              <w:pStyle w:val="Table"/>
            </w:pPr>
            <w:r>
              <w:t>Single one or two storey residential dwelling sites</w:t>
            </w:r>
            <w:r w:rsidDel="005A0F85">
              <w:t xml:space="preserve"> </w:t>
            </w:r>
          </w:p>
        </w:tc>
        <w:tc>
          <w:tcPr>
            <w:tcW w:w="2764" w:type="dxa"/>
            <w:tcBorders>
              <w:top w:val="single" w:sz="12" w:space="0" w:color="000000"/>
              <w:left w:val="nil"/>
              <w:bottom w:val="nil"/>
              <w:right w:val="nil"/>
            </w:tcBorders>
            <w:shd w:val="clear" w:color="auto" w:fill="auto"/>
            <w:vAlign w:val="center"/>
          </w:tcPr>
          <w:p w14:paraId="25E1AA3F" w14:textId="77777777" w:rsidR="005A0F85" w:rsidRDefault="005A0F85" w:rsidP="005A0F85">
            <w:pPr>
              <w:pStyle w:val="Notes"/>
              <w:jc w:val="center"/>
              <w:rPr>
                <w:rFonts w:ascii="Arial" w:hAnsi="Arial"/>
              </w:rPr>
            </w:pPr>
          </w:p>
        </w:tc>
        <w:tc>
          <w:tcPr>
            <w:tcW w:w="2764" w:type="dxa"/>
            <w:tcBorders>
              <w:top w:val="single" w:sz="12" w:space="0" w:color="000000"/>
              <w:left w:val="nil"/>
              <w:bottom w:val="nil"/>
              <w:right w:val="nil"/>
            </w:tcBorders>
            <w:shd w:val="clear" w:color="auto" w:fill="auto"/>
            <w:vAlign w:val="center"/>
          </w:tcPr>
          <w:p w14:paraId="5D4CEF5A" w14:textId="77777777" w:rsidR="005A0F85" w:rsidRDefault="005A0F85" w:rsidP="005A0F85">
            <w:pPr>
              <w:pStyle w:val="Notes"/>
              <w:jc w:val="center"/>
              <w:rPr>
                <w:rFonts w:ascii="Arial" w:hAnsi="Arial"/>
              </w:rPr>
            </w:pPr>
          </w:p>
        </w:tc>
      </w:tr>
      <w:tr w:rsidR="005A0F85" w14:paraId="45254BC5" w14:textId="77777777" w:rsidTr="00B83448">
        <w:trPr>
          <w:cantSplit/>
          <w:trHeight w:val="340"/>
        </w:trPr>
        <w:tc>
          <w:tcPr>
            <w:tcW w:w="2977" w:type="dxa"/>
            <w:tcBorders>
              <w:top w:val="nil"/>
              <w:left w:val="nil"/>
              <w:bottom w:val="nil"/>
              <w:right w:val="nil"/>
            </w:tcBorders>
            <w:vAlign w:val="center"/>
          </w:tcPr>
          <w:p w14:paraId="3EACB7C6" w14:textId="77777777" w:rsidR="005A0F85" w:rsidRDefault="005A0F85" w:rsidP="005A0F85">
            <w:pPr>
              <w:pStyle w:val="TableLet"/>
            </w:pPr>
            <w:r>
              <w:t>Allotment fill</w:t>
            </w:r>
          </w:p>
        </w:tc>
        <w:tc>
          <w:tcPr>
            <w:tcW w:w="2764" w:type="dxa"/>
            <w:tcBorders>
              <w:top w:val="nil"/>
              <w:left w:val="nil"/>
              <w:bottom w:val="nil"/>
              <w:right w:val="nil"/>
            </w:tcBorders>
            <w:shd w:val="clear" w:color="auto" w:fill="auto"/>
            <w:vAlign w:val="center"/>
          </w:tcPr>
          <w:p w14:paraId="0312FBD4" w14:textId="77777777" w:rsidR="005A0F85" w:rsidRDefault="005A0F85" w:rsidP="005A0F85">
            <w:pPr>
              <w:pStyle w:val="Notes"/>
              <w:spacing w:before="60"/>
              <w:jc w:val="center"/>
              <w:rPr>
                <w:rFonts w:ascii="Arial" w:hAnsi="Arial"/>
              </w:rPr>
            </w:pPr>
            <w:r>
              <w:rPr>
                <w:rFonts w:ascii="Arial" w:hAnsi="Arial"/>
              </w:rPr>
              <w:t>95%</w:t>
            </w:r>
          </w:p>
        </w:tc>
        <w:tc>
          <w:tcPr>
            <w:tcW w:w="2764" w:type="dxa"/>
            <w:tcBorders>
              <w:top w:val="nil"/>
              <w:left w:val="nil"/>
              <w:bottom w:val="nil"/>
              <w:right w:val="nil"/>
            </w:tcBorders>
            <w:shd w:val="clear" w:color="auto" w:fill="auto"/>
            <w:vAlign w:val="center"/>
          </w:tcPr>
          <w:p w14:paraId="0A539FC7" w14:textId="77777777" w:rsidR="005A0F85" w:rsidRDefault="005A0F85" w:rsidP="005A0F85">
            <w:pPr>
              <w:pStyle w:val="Notes"/>
              <w:spacing w:before="60"/>
              <w:jc w:val="center"/>
              <w:rPr>
                <w:rFonts w:ascii="Arial" w:hAnsi="Arial"/>
              </w:rPr>
            </w:pPr>
            <w:r>
              <w:rPr>
                <w:rFonts w:ascii="Arial" w:hAnsi="Arial"/>
              </w:rPr>
              <w:t>65%</w:t>
            </w:r>
          </w:p>
        </w:tc>
      </w:tr>
      <w:tr w:rsidR="00630B3F" w14:paraId="0B0DDDCF" w14:textId="77777777" w:rsidTr="00B83448">
        <w:trPr>
          <w:cantSplit/>
          <w:trHeight w:val="340"/>
        </w:trPr>
        <w:tc>
          <w:tcPr>
            <w:tcW w:w="2977" w:type="dxa"/>
            <w:tcBorders>
              <w:top w:val="nil"/>
              <w:left w:val="nil"/>
              <w:bottom w:val="single" w:sz="2" w:space="0" w:color="000000"/>
              <w:right w:val="nil"/>
            </w:tcBorders>
            <w:vAlign w:val="center"/>
          </w:tcPr>
          <w:p w14:paraId="42D8910F" w14:textId="77777777" w:rsidR="005A0F85" w:rsidRDefault="005A0F85" w:rsidP="005A0F85">
            <w:pPr>
              <w:pStyle w:val="TableLet"/>
            </w:pPr>
            <w:r>
              <w:t>Building pad (see Note 6)</w:t>
            </w:r>
          </w:p>
        </w:tc>
        <w:tc>
          <w:tcPr>
            <w:tcW w:w="2764" w:type="dxa"/>
            <w:tcBorders>
              <w:top w:val="nil"/>
              <w:left w:val="nil"/>
              <w:bottom w:val="single" w:sz="2" w:space="0" w:color="000000"/>
              <w:right w:val="nil"/>
            </w:tcBorders>
            <w:shd w:val="clear" w:color="auto" w:fill="auto"/>
            <w:vAlign w:val="center"/>
          </w:tcPr>
          <w:p w14:paraId="0941C877" w14:textId="77777777" w:rsidR="005A0F85" w:rsidRDefault="005A0F85" w:rsidP="005A0F85">
            <w:pPr>
              <w:pStyle w:val="Notes"/>
              <w:spacing w:before="60"/>
              <w:jc w:val="center"/>
              <w:rPr>
                <w:rFonts w:ascii="Arial" w:hAnsi="Arial"/>
              </w:rPr>
            </w:pPr>
            <w:r>
              <w:rPr>
                <w:rFonts w:ascii="Arial" w:hAnsi="Arial"/>
              </w:rPr>
              <w:t>100%</w:t>
            </w:r>
          </w:p>
        </w:tc>
        <w:tc>
          <w:tcPr>
            <w:tcW w:w="2764" w:type="dxa"/>
            <w:tcBorders>
              <w:top w:val="nil"/>
              <w:left w:val="nil"/>
              <w:bottom w:val="single" w:sz="2" w:space="0" w:color="000000"/>
              <w:right w:val="nil"/>
            </w:tcBorders>
            <w:shd w:val="clear" w:color="auto" w:fill="auto"/>
            <w:vAlign w:val="center"/>
          </w:tcPr>
          <w:p w14:paraId="3BB432CE" w14:textId="77777777" w:rsidR="005A0F85" w:rsidRDefault="005A0F85" w:rsidP="005A0F85">
            <w:pPr>
              <w:pStyle w:val="Notes"/>
              <w:spacing w:before="60"/>
              <w:jc w:val="center"/>
              <w:rPr>
                <w:rFonts w:ascii="Arial" w:hAnsi="Arial"/>
              </w:rPr>
            </w:pPr>
            <w:r>
              <w:rPr>
                <w:rFonts w:ascii="Arial" w:hAnsi="Arial"/>
              </w:rPr>
              <w:t>80%</w:t>
            </w:r>
          </w:p>
        </w:tc>
      </w:tr>
      <w:tr w:rsidR="005A0F85" w14:paraId="722749F3" w14:textId="77777777" w:rsidTr="00B83448">
        <w:trPr>
          <w:cantSplit/>
          <w:trHeight w:val="340"/>
        </w:trPr>
        <w:tc>
          <w:tcPr>
            <w:tcW w:w="2977" w:type="dxa"/>
            <w:tcBorders>
              <w:top w:val="single" w:sz="2" w:space="0" w:color="000000"/>
              <w:left w:val="nil"/>
              <w:bottom w:val="nil"/>
              <w:right w:val="nil"/>
            </w:tcBorders>
            <w:shd w:val="clear" w:color="auto" w:fill="auto"/>
            <w:vAlign w:val="center"/>
          </w:tcPr>
          <w:p w14:paraId="2E0300ED" w14:textId="77777777" w:rsidR="005A0F85" w:rsidRDefault="005A0F85" w:rsidP="005A0F85">
            <w:pPr>
              <w:pStyle w:val="Table"/>
            </w:pPr>
            <w:r>
              <w:t>Commercial, industrial and multi unit residential developments</w:t>
            </w:r>
          </w:p>
        </w:tc>
        <w:tc>
          <w:tcPr>
            <w:tcW w:w="2764" w:type="dxa"/>
            <w:tcBorders>
              <w:top w:val="single" w:sz="2" w:space="0" w:color="000000"/>
              <w:left w:val="nil"/>
              <w:bottom w:val="nil"/>
              <w:right w:val="nil"/>
            </w:tcBorders>
            <w:vAlign w:val="center"/>
          </w:tcPr>
          <w:p w14:paraId="44475CD0" w14:textId="77777777" w:rsidR="005A0F85" w:rsidRDefault="005A0F85" w:rsidP="005A0F85">
            <w:pPr>
              <w:pStyle w:val="TableCen"/>
            </w:pPr>
          </w:p>
        </w:tc>
        <w:tc>
          <w:tcPr>
            <w:tcW w:w="2764" w:type="dxa"/>
            <w:tcBorders>
              <w:top w:val="single" w:sz="2" w:space="0" w:color="000000"/>
              <w:left w:val="nil"/>
              <w:bottom w:val="nil"/>
              <w:right w:val="nil"/>
            </w:tcBorders>
            <w:shd w:val="clear" w:color="auto" w:fill="auto"/>
            <w:vAlign w:val="center"/>
          </w:tcPr>
          <w:p w14:paraId="00C073CE" w14:textId="77777777" w:rsidR="005A0F85" w:rsidRDefault="005A0F85" w:rsidP="005A0F85">
            <w:pPr>
              <w:pStyle w:val="TableCen"/>
            </w:pPr>
          </w:p>
        </w:tc>
      </w:tr>
      <w:tr w:rsidR="005A0F85" w14:paraId="6F390F6B" w14:textId="77777777" w:rsidTr="00B83448">
        <w:trPr>
          <w:cantSplit/>
          <w:trHeight w:val="340"/>
        </w:trPr>
        <w:tc>
          <w:tcPr>
            <w:tcW w:w="2977" w:type="dxa"/>
            <w:tcBorders>
              <w:top w:val="nil"/>
              <w:left w:val="nil"/>
              <w:bottom w:val="nil"/>
              <w:right w:val="nil"/>
            </w:tcBorders>
            <w:shd w:val="clear" w:color="auto" w:fill="auto"/>
            <w:vAlign w:val="center"/>
          </w:tcPr>
          <w:p w14:paraId="684CDE3F" w14:textId="77777777" w:rsidR="005A0F85" w:rsidRDefault="005A0F85" w:rsidP="005A0F85">
            <w:pPr>
              <w:pStyle w:val="TableLet"/>
              <w:numPr>
                <w:ilvl w:val="0"/>
                <w:numId w:val="24"/>
              </w:numPr>
            </w:pPr>
            <w:r>
              <w:t>Allotment fill</w:t>
            </w:r>
          </w:p>
        </w:tc>
        <w:tc>
          <w:tcPr>
            <w:tcW w:w="2764" w:type="dxa"/>
            <w:tcBorders>
              <w:top w:val="nil"/>
              <w:left w:val="nil"/>
              <w:bottom w:val="nil"/>
              <w:right w:val="nil"/>
            </w:tcBorders>
            <w:vAlign w:val="center"/>
          </w:tcPr>
          <w:p w14:paraId="67F6FCB6" w14:textId="77777777" w:rsidR="005A0F85" w:rsidRDefault="005A0F85" w:rsidP="005A0F85">
            <w:pPr>
              <w:pStyle w:val="TableCen"/>
            </w:pPr>
            <w:r>
              <w:t>98%</w:t>
            </w:r>
          </w:p>
        </w:tc>
        <w:tc>
          <w:tcPr>
            <w:tcW w:w="2764" w:type="dxa"/>
            <w:tcBorders>
              <w:top w:val="nil"/>
              <w:left w:val="nil"/>
              <w:bottom w:val="nil"/>
              <w:right w:val="nil"/>
            </w:tcBorders>
            <w:shd w:val="clear" w:color="auto" w:fill="auto"/>
            <w:vAlign w:val="center"/>
          </w:tcPr>
          <w:p w14:paraId="0949CC8E" w14:textId="77777777" w:rsidR="005A0F85" w:rsidRDefault="005A0F85" w:rsidP="005A0F85">
            <w:pPr>
              <w:pStyle w:val="TableCen"/>
            </w:pPr>
            <w:r>
              <w:t>70%</w:t>
            </w:r>
          </w:p>
        </w:tc>
      </w:tr>
      <w:tr w:rsidR="005A0F85" w14:paraId="2C24A2FF" w14:textId="77777777" w:rsidTr="00B83448">
        <w:trPr>
          <w:cantSplit/>
          <w:trHeight w:val="340"/>
        </w:trPr>
        <w:tc>
          <w:tcPr>
            <w:tcW w:w="2977" w:type="dxa"/>
            <w:tcBorders>
              <w:top w:val="nil"/>
              <w:left w:val="nil"/>
              <w:bottom w:val="single" w:sz="2" w:space="0" w:color="000000"/>
              <w:right w:val="nil"/>
            </w:tcBorders>
            <w:shd w:val="clear" w:color="auto" w:fill="auto"/>
            <w:vAlign w:val="center"/>
          </w:tcPr>
          <w:p w14:paraId="7B115FAC" w14:textId="77777777" w:rsidR="005A0F85" w:rsidRDefault="005A0F85" w:rsidP="005A0F85">
            <w:pPr>
              <w:pStyle w:val="TableLet"/>
            </w:pPr>
            <w:r>
              <w:t>Building pad (see Note 6)</w:t>
            </w:r>
          </w:p>
        </w:tc>
        <w:tc>
          <w:tcPr>
            <w:tcW w:w="2764" w:type="dxa"/>
            <w:tcBorders>
              <w:top w:val="nil"/>
              <w:left w:val="nil"/>
              <w:bottom w:val="single" w:sz="2" w:space="0" w:color="000000"/>
              <w:right w:val="nil"/>
            </w:tcBorders>
            <w:vAlign w:val="center"/>
          </w:tcPr>
          <w:p w14:paraId="64904796" w14:textId="77777777" w:rsidR="005A0F85" w:rsidRDefault="005A0F85" w:rsidP="005A0F85">
            <w:pPr>
              <w:pStyle w:val="TableCen"/>
            </w:pPr>
            <w:r>
              <w:t>100%</w:t>
            </w:r>
          </w:p>
        </w:tc>
        <w:tc>
          <w:tcPr>
            <w:tcW w:w="2764" w:type="dxa"/>
            <w:tcBorders>
              <w:top w:val="nil"/>
              <w:left w:val="nil"/>
              <w:bottom w:val="single" w:sz="2" w:space="0" w:color="000000"/>
              <w:right w:val="nil"/>
            </w:tcBorders>
            <w:shd w:val="clear" w:color="auto" w:fill="auto"/>
            <w:vAlign w:val="center"/>
          </w:tcPr>
          <w:p w14:paraId="0E173A4F" w14:textId="77777777" w:rsidR="005A0F85" w:rsidRDefault="005A0F85" w:rsidP="005A0F85">
            <w:pPr>
              <w:pStyle w:val="TableCen"/>
            </w:pPr>
            <w:r>
              <w:t>80%</w:t>
            </w:r>
          </w:p>
        </w:tc>
      </w:tr>
      <w:tr w:rsidR="00630B3F" w14:paraId="145A7905" w14:textId="77777777" w:rsidTr="00B83448">
        <w:trPr>
          <w:cantSplit/>
          <w:trHeight w:val="340"/>
        </w:trPr>
        <w:tc>
          <w:tcPr>
            <w:tcW w:w="2977" w:type="dxa"/>
            <w:tcBorders>
              <w:top w:val="single" w:sz="2" w:space="0" w:color="000000"/>
              <w:left w:val="nil"/>
              <w:bottom w:val="nil"/>
              <w:right w:val="nil"/>
            </w:tcBorders>
            <w:vAlign w:val="center"/>
          </w:tcPr>
          <w:p w14:paraId="148DD041" w14:textId="77777777" w:rsidR="00630B3F" w:rsidRDefault="00630B3F" w:rsidP="00630B3F">
            <w:pPr>
              <w:pStyle w:val="Table"/>
            </w:pPr>
            <w:r>
              <w:t>Road and structural (other than building) formations including embankments, footpaths, paved areas and shoulders (see Note 7)</w:t>
            </w:r>
          </w:p>
        </w:tc>
        <w:tc>
          <w:tcPr>
            <w:tcW w:w="2764" w:type="dxa"/>
            <w:tcBorders>
              <w:top w:val="single" w:sz="2" w:space="0" w:color="000000"/>
              <w:left w:val="nil"/>
              <w:bottom w:val="nil"/>
              <w:right w:val="nil"/>
            </w:tcBorders>
            <w:shd w:val="clear" w:color="auto" w:fill="auto"/>
            <w:vAlign w:val="center"/>
          </w:tcPr>
          <w:p w14:paraId="1F7B0942" w14:textId="77777777" w:rsidR="00630B3F" w:rsidRDefault="00630B3F" w:rsidP="00630B3F">
            <w:pPr>
              <w:pStyle w:val="TableCen"/>
            </w:pPr>
          </w:p>
        </w:tc>
        <w:tc>
          <w:tcPr>
            <w:tcW w:w="2764" w:type="dxa"/>
            <w:tcBorders>
              <w:top w:val="single" w:sz="2" w:space="0" w:color="000000"/>
              <w:left w:val="nil"/>
              <w:bottom w:val="nil"/>
              <w:right w:val="nil"/>
            </w:tcBorders>
            <w:shd w:val="clear" w:color="auto" w:fill="auto"/>
            <w:vAlign w:val="center"/>
          </w:tcPr>
          <w:p w14:paraId="4E1EF2EE" w14:textId="77777777" w:rsidR="00630B3F" w:rsidRDefault="00630B3F" w:rsidP="00630B3F">
            <w:pPr>
              <w:pStyle w:val="TableCen"/>
            </w:pPr>
          </w:p>
        </w:tc>
      </w:tr>
      <w:tr w:rsidR="00630B3F" w14:paraId="7C81A466" w14:textId="77777777" w:rsidTr="00B83448">
        <w:trPr>
          <w:cantSplit/>
          <w:trHeight w:val="340"/>
        </w:trPr>
        <w:tc>
          <w:tcPr>
            <w:tcW w:w="2977" w:type="dxa"/>
            <w:tcBorders>
              <w:top w:val="nil"/>
              <w:left w:val="nil"/>
              <w:bottom w:val="nil"/>
              <w:right w:val="nil"/>
            </w:tcBorders>
            <w:vAlign w:val="center"/>
          </w:tcPr>
          <w:p w14:paraId="6DE15F26" w14:textId="5E1A66FD" w:rsidR="00630B3F" w:rsidRDefault="00630B3F" w:rsidP="005C54EC">
            <w:pPr>
              <w:pStyle w:val="TableLet"/>
              <w:numPr>
                <w:ilvl w:val="0"/>
                <w:numId w:val="26"/>
              </w:numPr>
            </w:pPr>
            <w:r>
              <w:sym w:font="Symbol" w:char="F03E"/>
            </w:r>
            <w:r>
              <w:t>0.3</w:t>
            </w:r>
            <w:r w:rsidR="005C54EC">
              <w:t> </w:t>
            </w:r>
            <w:r>
              <w:t>m below subgrade level</w:t>
            </w:r>
          </w:p>
        </w:tc>
        <w:tc>
          <w:tcPr>
            <w:tcW w:w="2764" w:type="dxa"/>
            <w:tcBorders>
              <w:top w:val="nil"/>
              <w:left w:val="nil"/>
              <w:bottom w:val="nil"/>
              <w:right w:val="nil"/>
            </w:tcBorders>
            <w:shd w:val="clear" w:color="auto" w:fill="auto"/>
            <w:vAlign w:val="center"/>
          </w:tcPr>
          <w:p w14:paraId="7A0C26B1" w14:textId="77777777" w:rsidR="00630B3F" w:rsidRDefault="00630B3F" w:rsidP="00630B3F">
            <w:pPr>
              <w:pStyle w:val="TableCen"/>
            </w:pPr>
            <w:r>
              <w:t>95%</w:t>
            </w:r>
          </w:p>
        </w:tc>
        <w:tc>
          <w:tcPr>
            <w:tcW w:w="2764" w:type="dxa"/>
            <w:tcBorders>
              <w:top w:val="nil"/>
              <w:left w:val="nil"/>
              <w:bottom w:val="nil"/>
              <w:right w:val="nil"/>
            </w:tcBorders>
            <w:shd w:val="clear" w:color="auto" w:fill="auto"/>
            <w:vAlign w:val="center"/>
          </w:tcPr>
          <w:p w14:paraId="3F35581A" w14:textId="77777777" w:rsidR="00630B3F" w:rsidRDefault="00630B3F" w:rsidP="00630B3F">
            <w:pPr>
              <w:pStyle w:val="TableCen"/>
            </w:pPr>
            <w:r>
              <w:t>65%</w:t>
            </w:r>
          </w:p>
        </w:tc>
      </w:tr>
      <w:tr w:rsidR="00630B3F" w14:paraId="32D2233E" w14:textId="77777777" w:rsidTr="00B83448">
        <w:trPr>
          <w:cantSplit/>
          <w:trHeight w:val="340"/>
        </w:trPr>
        <w:tc>
          <w:tcPr>
            <w:tcW w:w="2977" w:type="dxa"/>
            <w:tcBorders>
              <w:top w:val="nil"/>
              <w:left w:val="nil"/>
              <w:bottom w:val="single" w:sz="2" w:space="0" w:color="000000"/>
              <w:right w:val="nil"/>
            </w:tcBorders>
            <w:vAlign w:val="center"/>
          </w:tcPr>
          <w:p w14:paraId="148CDDC9" w14:textId="35EDEB9A" w:rsidR="00630B3F" w:rsidRDefault="00630B3F" w:rsidP="005C54EC">
            <w:pPr>
              <w:pStyle w:val="TableLet"/>
            </w:pPr>
            <w:r>
              <w:sym w:font="Symbol" w:char="F0A3"/>
            </w:r>
            <w:r>
              <w:t>0.3</w:t>
            </w:r>
            <w:r w:rsidR="005C54EC">
              <w:t> </w:t>
            </w:r>
            <w:r>
              <w:t>m below subgrade level</w:t>
            </w:r>
          </w:p>
        </w:tc>
        <w:tc>
          <w:tcPr>
            <w:tcW w:w="2764" w:type="dxa"/>
            <w:tcBorders>
              <w:top w:val="nil"/>
              <w:left w:val="nil"/>
              <w:bottom w:val="single" w:sz="2" w:space="0" w:color="000000"/>
              <w:right w:val="nil"/>
            </w:tcBorders>
            <w:shd w:val="clear" w:color="auto" w:fill="auto"/>
            <w:vAlign w:val="center"/>
          </w:tcPr>
          <w:p w14:paraId="7B251DE4" w14:textId="77777777" w:rsidR="00630B3F" w:rsidRDefault="00630B3F" w:rsidP="00630B3F">
            <w:pPr>
              <w:pStyle w:val="TableCen"/>
            </w:pPr>
            <w:r>
              <w:t>100%</w:t>
            </w:r>
          </w:p>
        </w:tc>
        <w:tc>
          <w:tcPr>
            <w:tcW w:w="2764" w:type="dxa"/>
            <w:tcBorders>
              <w:top w:val="nil"/>
              <w:left w:val="nil"/>
              <w:bottom w:val="single" w:sz="2" w:space="0" w:color="000000"/>
              <w:right w:val="nil"/>
            </w:tcBorders>
            <w:shd w:val="clear" w:color="auto" w:fill="auto"/>
            <w:vAlign w:val="center"/>
          </w:tcPr>
          <w:p w14:paraId="59F8A4AB" w14:textId="77777777" w:rsidR="00630B3F" w:rsidRDefault="00630B3F" w:rsidP="00630B3F">
            <w:pPr>
              <w:pStyle w:val="TableCen"/>
            </w:pPr>
            <w:r>
              <w:t>80%</w:t>
            </w:r>
          </w:p>
        </w:tc>
      </w:tr>
      <w:tr w:rsidR="00630B3F" w14:paraId="459E9B54" w14:textId="77777777" w:rsidTr="00B83448">
        <w:trPr>
          <w:cantSplit/>
          <w:trHeight w:val="340"/>
        </w:trPr>
        <w:tc>
          <w:tcPr>
            <w:tcW w:w="2977" w:type="dxa"/>
            <w:tcBorders>
              <w:top w:val="single" w:sz="2" w:space="0" w:color="000000"/>
              <w:left w:val="nil"/>
              <w:bottom w:val="nil"/>
              <w:right w:val="nil"/>
            </w:tcBorders>
            <w:vAlign w:val="center"/>
          </w:tcPr>
          <w:p w14:paraId="429EC350" w14:textId="77777777" w:rsidR="00630B3F" w:rsidRDefault="00630B3F" w:rsidP="00630B3F">
            <w:pPr>
              <w:pStyle w:val="Table"/>
            </w:pPr>
            <w:r>
              <w:t>All other areas e.g. parks</w:t>
            </w:r>
          </w:p>
        </w:tc>
        <w:tc>
          <w:tcPr>
            <w:tcW w:w="2764" w:type="dxa"/>
            <w:tcBorders>
              <w:top w:val="single" w:sz="2" w:space="0" w:color="000000"/>
              <w:left w:val="nil"/>
              <w:bottom w:val="nil"/>
              <w:right w:val="nil"/>
            </w:tcBorders>
            <w:shd w:val="clear" w:color="auto" w:fill="auto"/>
            <w:vAlign w:val="center"/>
          </w:tcPr>
          <w:p w14:paraId="5FB799F8" w14:textId="77777777" w:rsidR="00630B3F" w:rsidRDefault="00630B3F" w:rsidP="00630B3F">
            <w:pPr>
              <w:pStyle w:val="TableCen"/>
            </w:pPr>
          </w:p>
        </w:tc>
        <w:tc>
          <w:tcPr>
            <w:tcW w:w="2764" w:type="dxa"/>
            <w:tcBorders>
              <w:top w:val="single" w:sz="2" w:space="0" w:color="000000"/>
              <w:left w:val="nil"/>
              <w:bottom w:val="nil"/>
              <w:right w:val="nil"/>
            </w:tcBorders>
            <w:shd w:val="clear" w:color="auto" w:fill="auto"/>
            <w:vAlign w:val="center"/>
          </w:tcPr>
          <w:p w14:paraId="219AAAFE" w14:textId="77777777" w:rsidR="00630B3F" w:rsidRDefault="00630B3F" w:rsidP="00630B3F">
            <w:pPr>
              <w:pStyle w:val="TableCen"/>
            </w:pPr>
          </w:p>
        </w:tc>
      </w:tr>
      <w:tr w:rsidR="00630B3F" w14:paraId="4B84EA97" w14:textId="77777777" w:rsidTr="00B83448">
        <w:trPr>
          <w:cantSplit/>
          <w:trHeight w:val="340"/>
        </w:trPr>
        <w:tc>
          <w:tcPr>
            <w:tcW w:w="2977" w:type="dxa"/>
            <w:tcBorders>
              <w:top w:val="nil"/>
              <w:left w:val="nil"/>
              <w:bottom w:val="nil"/>
              <w:right w:val="nil"/>
            </w:tcBorders>
            <w:vAlign w:val="center"/>
          </w:tcPr>
          <w:p w14:paraId="70B9C32C" w14:textId="037437CF" w:rsidR="00630B3F" w:rsidRDefault="00630B3F" w:rsidP="005C54EC">
            <w:pPr>
              <w:pStyle w:val="TableLet"/>
              <w:numPr>
                <w:ilvl w:val="0"/>
                <w:numId w:val="28"/>
              </w:numPr>
            </w:pPr>
            <w:r>
              <w:sym w:font="Symbol" w:char="F03E"/>
            </w:r>
            <w:r>
              <w:t>0.3</w:t>
            </w:r>
            <w:r w:rsidR="005C54EC">
              <w:t> </w:t>
            </w:r>
            <w:r>
              <w:t>m below design level</w:t>
            </w:r>
          </w:p>
        </w:tc>
        <w:tc>
          <w:tcPr>
            <w:tcW w:w="2764" w:type="dxa"/>
            <w:tcBorders>
              <w:top w:val="nil"/>
              <w:left w:val="nil"/>
              <w:bottom w:val="nil"/>
              <w:right w:val="nil"/>
            </w:tcBorders>
            <w:shd w:val="clear" w:color="auto" w:fill="auto"/>
            <w:vAlign w:val="center"/>
          </w:tcPr>
          <w:p w14:paraId="21817123" w14:textId="77777777" w:rsidR="00630B3F" w:rsidRDefault="00630B3F" w:rsidP="00630B3F">
            <w:pPr>
              <w:pStyle w:val="TableCen"/>
            </w:pPr>
            <w:r>
              <w:t>90%</w:t>
            </w:r>
          </w:p>
        </w:tc>
        <w:tc>
          <w:tcPr>
            <w:tcW w:w="2764" w:type="dxa"/>
            <w:tcBorders>
              <w:top w:val="nil"/>
              <w:left w:val="nil"/>
              <w:bottom w:val="nil"/>
              <w:right w:val="nil"/>
            </w:tcBorders>
            <w:shd w:val="clear" w:color="auto" w:fill="auto"/>
            <w:vAlign w:val="center"/>
          </w:tcPr>
          <w:p w14:paraId="7DDE12D1" w14:textId="77777777" w:rsidR="00630B3F" w:rsidRDefault="00630B3F" w:rsidP="00630B3F">
            <w:pPr>
              <w:pStyle w:val="TableCen"/>
            </w:pPr>
            <w:r>
              <w:t>62%</w:t>
            </w:r>
          </w:p>
        </w:tc>
      </w:tr>
      <w:tr w:rsidR="00630B3F" w14:paraId="683FAADA" w14:textId="77777777" w:rsidTr="00B83448">
        <w:trPr>
          <w:cantSplit/>
          <w:trHeight w:val="340"/>
        </w:trPr>
        <w:tc>
          <w:tcPr>
            <w:tcW w:w="2977" w:type="dxa"/>
            <w:tcBorders>
              <w:top w:val="nil"/>
              <w:left w:val="nil"/>
              <w:bottom w:val="single" w:sz="2" w:space="0" w:color="000000"/>
              <w:right w:val="nil"/>
            </w:tcBorders>
            <w:vAlign w:val="center"/>
          </w:tcPr>
          <w:p w14:paraId="452876B3" w14:textId="1C8DB0E8" w:rsidR="00630B3F" w:rsidRDefault="00630B3F" w:rsidP="005C54EC">
            <w:pPr>
              <w:pStyle w:val="TableLet"/>
              <w:numPr>
                <w:ilvl w:val="0"/>
                <w:numId w:val="28"/>
              </w:numPr>
            </w:pPr>
            <w:r>
              <w:sym w:font="Symbol" w:char="F0A3"/>
            </w:r>
            <w:r>
              <w:t>0.3</w:t>
            </w:r>
            <w:r w:rsidR="005C54EC">
              <w:t> </w:t>
            </w:r>
            <w:r>
              <w:t>m below design level</w:t>
            </w:r>
          </w:p>
        </w:tc>
        <w:tc>
          <w:tcPr>
            <w:tcW w:w="2764" w:type="dxa"/>
            <w:tcBorders>
              <w:top w:val="nil"/>
              <w:left w:val="nil"/>
              <w:bottom w:val="single" w:sz="2" w:space="0" w:color="000000"/>
              <w:right w:val="nil"/>
            </w:tcBorders>
            <w:shd w:val="clear" w:color="auto" w:fill="auto"/>
            <w:vAlign w:val="center"/>
          </w:tcPr>
          <w:p w14:paraId="3C5E94AF" w14:textId="77777777" w:rsidR="00630B3F" w:rsidRDefault="00630B3F" w:rsidP="00630B3F">
            <w:pPr>
              <w:pStyle w:val="TableCen"/>
            </w:pPr>
            <w:r>
              <w:t>95%</w:t>
            </w:r>
          </w:p>
        </w:tc>
        <w:tc>
          <w:tcPr>
            <w:tcW w:w="2764" w:type="dxa"/>
            <w:tcBorders>
              <w:top w:val="nil"/>
              <w:left w:val="nil"/>
              <w:bottom w:val="single" w:sz="2" w:space="0" w:color="000000"/>
              <w:right w:val="nil"/>
            </w:tcBorders>
            <w:shd w:val="clear" w:color="auto" w:fill="auto"/>
            <w:vAlign w:val="center"/>
          </w:tcPr>
          <w:p w14:paraId="137AC762" w14:textId="77777777" w:rsidR="00630B3F" w:rsidRDefault="00630B3F" w:rsidP="00630B3F">
            <w:pPr>
              <w:pStyle w:val="TableCen"/>
            </w:pPr>
            <w:r>
              <w:t>65%</w:t>
            </w:r>
          </w:p>
        </w:tc>
      </w:tr>
      <w:tr w:rsidR="00456E0A" w14:paraId="6ADD0BF9" w14:textId="77777777" w:rsidTr="00B83448">
        <w:trPr>
          <w:cantSplit/>
          <w:trHeight w:val="340"/>
        </w:trPr>
        <w:tc>
          <w:tcPr>
            <w:tcW w:w="2977" w:type="dxa"/>
            <w:tcBorders>
              <w:top w:val="single" w:sz="2" w:space="0" w:color="000000"/>
              <w:left w:val="nil"/>
              <w:bottom w:val="single" w:sz="2" w:space="0" w:color="000000"/>
              <w:right w:val="nil"/>
            </w:tcBorders>
            <w:vAlign w:val="center"/>
          </w:tcPr>
          <w:p w14:paraId="6D8A6C7F" w14:textId="77777777" w:rsidR="00456E0A" w:rsidRDefault="00456E0A" w:rsidP="00630B3F">
            <w:pPr>
              <w:pStyle w:val="Table"/>
            </w:pPr>
            <w:r>
              <w:t>Replacement of unsuitable or over-excavated subgrade material</w:t>
            </w:r>
          </w:p>
        </w:tc>
        <w:tc>
          <w:tcPr>
            <w:tcW w:w="2764" w:type="dxa"/>
            <w:tcBorders>
              <w:top w:val="single" w:sz="2" w:space="0" w:color="000000"/>
              <w:left w:val="nil"/>
              <w:bottom w:val="single" w:sz="2" w:space="0" w:color="000000"/>
              <w:right w:val="nil"/>
            </w:tcBorders>
            <w:vAlign w:val="center"/>
          </w:tcPr>
          <w:p w14:paraId="72713547" w14:textId="77777777" w:rsidR="00456E0A" w:rsidRDefault="00456E0A" w:rsidP="00630B3F">
            <w:pPr>
              <w:pStyle w:val="TableCen"/>
            </w:pPr>
            <w:r>
              <w:t>100%</w:t>
            </w:r>
          </w:p>
        </w:tc>
        <w:tc>
          <w:tcPr>
            <w:tcW w:w="2764" w:type="dxa"/>
            <w:tcBorders>
              <w:top w:val="single" w:sz="2" w:space="0" w:color="000000"/>
              <w:left w:val="nil"/>
              <w:bottom w:val="single" w:sz="2" w:space="0" w:color="000000"/>
              <w:right w:val="nil"/>
            </w:tcBorders>
            <w:vAlign w:val="center"/>
          </w:tcPr>
          <w:p w14:paraId="7C15C96B" w14:textId="77777777" w:rsidR="00456E0A" w:rsidRDefault="00456E0A" w:rsidP="00630B3F">
            <w:pPr>
              <w:pStyle w:val="TableCen"/>
            </w:pPr>
            <w:r>
              <w:t>80%</w:t>
            </w:r>
          </w:p>
        </w:tc>
      </w:tr>
      <w:tr w:rsidR="00456E0A" w14:paraId="1B519CF9" w14:textId="77777777" w:rsidTr="00B83448">
        <w:trPr>
          <w:cantSplit/>
          <w:trHeight w:val="340"/>
        </w:trPr>
        <w:tc>
          <w:tcPr>
            <w:tcW w:w="2977" w:type="dxa"/>
            <w:tcBorders>
              <w:top w:val="single" w:sz="2" w:space="0" w:color="000000"/>
              <w:left w:val="nil"/>
              <w:bottom w:val="single" w:sz="12" w:space="0" w:color="000000"/>
              <w:right w:val="nil"/>
            </w:tcBorders>
            <w:vAlign w:val="center"/>
          </w:tcPr>
          <w:p w14:paraId="3D214445" w14:textId="77777777" w:rsidR="00456E0A" w:rsidRDefault="00456E0A" w:rsidP="00630B3F">
            <w:pPr>
              <w:pStyle w:val="Table"/>
            </w:pPr>
            <w:r>
              <w:t>Backfilling of grub holes</w:t>
            </w:r>
          </w:p>
        </w:tc>
        <w:tc>
          <w:tcPr>
            <w:tcW w:w="2764" w:type="dxa"/>
            <w:tcBorders>
              <w:top w:val="single" w:sz="2" w:space="0" w:color="000000"/>
              <w:left w:val="nil"/>
              <w:bottom w:val="single" w:sz="12" w:space="0" w:color="000000"/>
              <w:right w:val="nil"/>
            </w:tcBorders>
            <w:vAlign w:val="center"/>
          </w:tcPr>
          <w:p w14:paraId="4044EBCD" w14:textId="77777777" w:rsidR="00456E0A" w:rsidRDefault="00456E0A" w:rsidP="00630B3F">
            <w:pPr>
              <w:pStyle w:val="TableCen"/>
            </w:pPr>
            <w:r>
              <w:t>100%</w:t>
            </w:r>
          </w:p>
        </w:tc>
        <w:tc>
          <w:tcPr>
            <w:tcW w:w="2764" w:type="dxa"/>
            <w:tcBorders>
              <w:top w:val="single" w:sz="2" w:space="0" w:color="000000"/>
              <w:left w:val="nil"/>
              <w:bottom w:val="single" w:sz="12" w:space="0" w:color="000000"/>
              <w:right w:val="nil"/>
            </w:tcBorders>
            <w:vAlign w:val="center"/>
          </w:tcPr>
          <w:p w14:paraId="2F16DE0E" w14:textId="77777777" w:rsidR="00456E0A" w:rsidRDefault="00456E0A" w:rsidP="00630B3F">
            <w:pPr>
              <w:pStyle w:val="TableCen"/>
            </w:pPr>
            <w:r>
              <w:t>80%</w:t>
            </w:r>
          </w:p>
        </w:tc>
      </w:tr>
    </w:tbl>
    <w:p w14:paraId="24FFC6CA" w14:textId="77777777" w:rsidR="00456E0A" w:rsidRPr="00371438" w:rsidRDefault="00456E0A" w:rsidP="00371438">
      <w:pPr>
        <w:pStyle w:val="BodyTextIndentBold"/>
        <w:rPr>
          <w:sz w:val="18"/>
          <w:szCs w:val="18"/>
        </w:rPr>
      </w:pPr>
      <w:r w:rsidRPr="00371438">
        <w:rPr>
          <w:sz w:val="18"/>
          <w:szCs w:val="18"/>
        </w:rPr>
        <w:t>Notes:</w:t>
      </w:r>
    </w:p>
    <w:p w14:paraId="0379EE0E" w14:textId="77777777" w:rsidR="00456E0A" w:rsidRDefault="00456E0A" w:rsidP="005A0F85">
      <w:pPr>
        <w:pStyle w:val="BodyTextIndent9Num"/>
      </w:pPr>
      <w:r>
        <w:t xml:space="preserve">Field dry density to </w:t>
      </w:r>
      <w:r w:rsidRPr="00ED0DAC">
        <w:rPr>
          <w:i/>
        </w:rPr>
        <w:t>AS</w:t>
      </w:r>
      <w:r w:rsidR="00ED0DAC" w:rsidRPr="006A0575">
        <w:rPr>
          <w:i/>
        </w:rPr>
        <w:t> </w:t>
      </w:r>
      <w:r w:rsidRPr="00ED0DAC">
        <w:rPr>
          <w:i/>
        </w:rPr>
        <w:t>1289.5.3.1</w:t>
      </w:r>
      <w:r>
        <w:t xml:space="preserve">, </w:t>
      </w:r>
      <w:r w:rsidRPr="00ED0DAC">
        <w:rPr>
          <w:i/>
        </w:rPr>
        <w:t>AS</w:t>
      </w:r>
      <w:r w:rsidR="00ED0DAC" w:rsidRPr="006A0575">
        <w:rPr>
          <w:i/>
        </w:rPr>
        <w:t> </w:t>
      </w:r>
      <w:r w:rsidRPr="00ED0DAC">
        <w:rPr>
          <w:i/>
        </w:rPr>
        <w:t>1289.5.3.5</w:t>
      </w:r>
      <w:r>
        <w:t xml:space="preserve"> or </w:t>
      </w:r>
      <w:r w:rsidRPr="00ED0DAC">
        <w:rPr>
          <w:i/>
        </w:rPr>
        <w:t>AS</w:t>
      </w:r>
      <w:r w:rsidR="00ED0DAC" w:rsidRPr="006A0575">
        <w:rPr>
          <w:i/>
        </w:rPr>
        <w:t> </w:t>
      </w:r>
      <w:r w:rsidRPr="00ED0DAC">
        <w:rPr>
          <w:i/>
        </w:rPr>
        <w:t>1289.5.8.1</w:t>
      </w:r>
      <w:r>
        <w:t xml:space="preserve">.  If using </w:t>
      </w:r>
      <w:r w:rsidRPr="00ED0DAC">
        <w:rPr>
          <w:i/>
        </w:rPr>
        <w:t>AS 1289.5.8.1</w:t>
      </w:r>
      <w:r>
        <w:t xml:space="preserve">, calibrate the surface moisture-density gauge in accordance with </w:t>
      </w:r>
      <w:r w:rsidRPr="00ED0DAC">
        <w:rPr>
          <w:i/>
        </w:rPr>
        <w:t>AS 1289.5.8.4</w:t>
      </w:r>
      <w:r>
        <w:t xml:space="preserve"> before use on site.</w:t>
      </w:r>
    </w:p>
    <w:p w14:paraId="77AE4B2D" w14:textId="77777777" w:rsidR="00456E0A" w:rsidRDefault="00456E0A" w:rsidP="005A0F85">
      <w:pPr>
        <w:pStyle w:val="BodyTextIndent9Num"/>
      </w:pPr>
      <w:r>
        <w:t xml:space="preserve">Standard maximum dry density to </w:t>
      </w:r>
      <w:r w:rsidRPr="00ED0DAC">
        <w:rPr>
          <w:i/>
        </w:rPr>
        <w:t>AS</w:t>
      </w:r>
      <w:r w:rsidR="00ED0DAC" w:rsidRPr="00ED0DAC">
        <w:rPr>
          <w:i/>
        </w:rPr>
        <w:t> </w:t>
      </w:r>
      <w:r w:rsidRPr="00ED0DAC">
        <w:rPr>
          <w:i/>
        </w:rPr>
        <w:t>1289.5.1.1</w:t>
      </w:r>
      <w:r>
        <w:t>.</w:t>
      </w:r>
    </w:p>
    <w:p w14:paraId="7486F11C" w14:textId="77777777" w:rsidR="00456E0A" w:rsidRDefault="00456E0A" w:rsidP="005A0F85">
      <w:pPr>
        <w:pStyle w:val="BodyTextIndent9Num"/>
      </w:pPr>
      <w:r>
        <w:t xml:space="preserve">Relative compaction (% of maximum dry density) to </w:t>
      </w:r>
      <w:r w:rsidRPr="00ED0DAC">
        <w:rPr>
          <w:i/>
        </w:rPr>
        <w:t>AS</w:t>
      </w:r>
      <w:r w:rsidR="00ED0DAC" w:rsidRPr="00ED0DAC">
        <w:rPr>
          <w:i/>
        </w:rPr>
        <w:t> </w:t>
      </w:r>
      <w:r w:rsidRPr="00ED0DAC">
        <w:rPr>
          <w:i/>
        </w:rPr>
        <w:t>1289.5.4.1</w:t>
      </w:r>
      <w:r>
        <w:t>.</w:t>
      </w:r>
    </w:p>
    <w:p w14:paraId="77DCB16F" w14:textId="77777777" w:rsidR="00456E0A" w:rsidRDefault="00456E0A" w:rsidP="005A0F85">
      <w:pPr>
        <w:pStyle w:val="BodyTextIndent9Num"/>
      </w:pPr>
      <w:r>
        <w:t>For plastic soils, compact soils designated under the unified classifications system as OH CH MH to not less that 92% nor greater than 96% of standard maximum dry density at moisture contents of between 90% and 120% of optimum moisture content.</w:t>
      </w:r>
    </w:p>
    <w:p w14:paraId="688FEFAD" w14:textId="77777777" w:rsidR="00456E0A" w:rsidRDefault="00456E0A" w:rsidP="005A0F85">
      <w:pPr>
        <w:pStyle w:val="BodyTextIndent9Num"/>
      </w:pPr>
      <w:r>
        <w:t xml:space="preserve">Density index to </w:t>
      </w:r>
      <w:r w:rsidRPr="00ED0DAC">
        <w:rPr>
          <w:i/>
        </w:rPr>
        <w:t>AS</w:t>
      </w:r>
      <w:r w:rsidR="00ED0DAC" w:rsidRPr="00ED0DAC">
        <w:rPr>
          <w:i/>
        </w:rPr>
        <w:t> </w:t>
      </w:r>
      <w:r w:rsidRPr="00ED0DAC">
        <w:rPr>
          <w:i/>
        </w:rPr>
        <w:t>1289.5.6.1</w:t>
      </w:r>
      <w:r>
        <w:t xml:space="preserve">.  Maximum and minimum dry densities to </w:t>
      </w:r>
      <w:r w:rsidRPr="00ED0DAC">
        <w:rPr>
          <w:i/>
        </w:rPr>
        <w:t>AS</w:t>
      </w:r>
      <w:r w:rsidR="00ED0DAC" w:rsidRPr="00ED0DAC">
        <w:rPr>
          <w:i/>
        </w:rPr>
        <w:t> </w:t>
      </w:r>
      <w:r w:rsidRPr="00ED0DAC">
        <w:rPr>
          <w:i/>
        </w:rPr>
        <w:t>1289.5.5.1</w:t>
      </w:r>
      <w:r>
        <w:t>.</w:t>
      </w:r>
    </w:p>
    <w:p w14:paraId="74EA9F87" w14:textId="77777777" w:rsidR="00456E0A" w:rsidRDefault="00456E0A" w:rsidP="005A0F85">
      <w:pPr>
        <w:pStyle w:val="BodyTextIndent9Num"/>
      </w:pPr>
      <w:r>
        <w:t>Average imposed bearing pressure of floor slab not to exceed 20 kPa.  Imposed bearing pressures of strip and pad footings not to exceed 100 kPa.</w:t>
      </w:r>
    </w:p>
    <w:p w14:paraId="67F6FC85" w14:textId="77777777" w:rsidR="00456E0A" w:rsidRDefault="00456E0A" w:rsidP="005A0F85">
      <w:pPr>
        <w:pStyle w:val="BodyTextIndent9Num"/>
      </w:pPr>
      <w:r>
        <w:t>In the context of this specification, road formation is deemed to include all the area within the designated road reserve.  Structural formation is deemed to include the area under the paving plus a nominal 1 m from the edge of the paved area.</w:t>
      </w:r>
    </w:p>
    <w:p w14:paraId="54242BDA" w14:textId="77777777" w:rsidR="00456E0A" w:rsidRDefault="00456E0A" w:rsidP="0082501D">
      <w:pPr>
        <w:pStyle w:val="Heading2"/>
      </w:pPr>
      <w:bookmarkStart w:id="42" w:name="_Toc493942076"/>
      <w:bookmarkStart w:id="43" w:name="_Toc493986915"/>
      <w:bookmarkStart w:id="44" w:name="_Toc76022207"/>
      <w:r>
        <w:t>EXCAVATION</w:t>
      </w:r>
      <w:bookmarkEnd w:id="42"/>
      <w:bookmarkEnd w:id="43"/>
      <w:bookmarkEnd w:id="44"/>
    </w:p>
    <w:p w14:paraId="0AB3362C" w14:textId="77777777" w:rsidR="00456E0A" w:rsidRDefault="00456E0A" w:rsidP="0082501D">
      <w:pPr>
        <w:pStyle w:val="Heading3"/>
      </w:pPr>
      <w:bookmarkStart w:id="45" w:name="_Toc76022208"/>
      <w:r w:rsidRPr="00371438">
        <w:t>General</w:t>
      </w:r>
      <w:bookmarkEnd w:id="45"/>
    </w:p>
    <w:p w14:paraId="1831DFA6" w14:textId="77777777" w:rsidR="00456E0A" w:rsidRDefault="00456E0A" w:rsidP="00371438">
      <w:pPr>
        <w:pStyle w:val="BodyTextIndentBoldUnderline"/>
      </w:pPr>
      <w:r>
        <w:t>Extent</w:t>
      </w:r>
    </w:p>
    <w:p w14:paraId="4C5D967B" w14:textId="77777777" w:rsidR="00456E0A" w:rsidRDefault="00456E0A" w:rsidP="00371438">
      <w:pPr>
        <w:pStyle w:val="BodyTextIndent"/>
      </w:pPr>
      <w:r>
        <w:t>Site surface: Excavate over the site to give correct levels and profiles as the basis for construction, paving, filling, landscaping and the like.  Make allowance for compaction or settlement.</w:t>
      </w:r>
    </w:p>
    <w:p w14:paraId="3D62C8D9" w14:textId="77777777" w:rsidR="00456E0A" w:rsidRDefault="00456E0A" w:rsidP="00371438">
      <w:pPr>
        <w:pStyle w:val="BodyTextIndent"/>
      </w:pPr>
      <w:r>
        <w:t>Footings: Excavate for footings, pits, wells, shafts and the like, to the required sizes and depths.  Confirm that the bearing capacity is as specified.</w:t>
      </w:r>
    </w:p>
    <w:p w14:paraId="015BD4C3" w14:textId="77777777" w:rsidR="0081263D" w:rsidRDefault="0081263D" w:rsidP="0081263D">
      <w:pPr>
        <w:pStyle w:val="BodyText"/>
      </w:pPr>
      <w:r>
        <w:br w:type="page"/>
      </w:r>
    </w:p>
    <w:p w14:paraId="11BFF058" w14:textId="421A2DCC" w:rsidR="00456E0A" w:rsidRDefault="00456E0A">
      <w:pPr>
        <w:pStyle w:val="BodyTextIndent2"/>
        <w:spacing w:after="60"/>
        <w:jc w:val="both"/>
        <w:rPr>
          <w:b/>
          <w:sz w:val="22"/>
          <w:u w:val="single"/>
        </w:rPr>
      </w:pPr>
      <w:r>
        <w:rPr>
          <w:b/>
          <w:sz w:val="22"/>
          <w:u w:val="single"/>
        </w:rPr>
        <w:lastRenderedPageBreak/>
        <w:t>Preparation</w:t>
      </w:r>
    </w:p>
    <w:p w14:paraId="0B742CB3" w14:textId="77777777" w:rsidR="00456E0A" w:rsidRDefault="00456E0A" w:rsidP="00371438">
      <w:pPr>
        <w:pStyle w:val="BodyTextIndent"/>
      </w:pPr>
      <w:r>
        <w:t>Prior to excavating, cut any pavement wearing surface, concrete footpath, kerb and channel or the like by saw or other approved means to give a clean break line along the edge of excavation.</w:t>
      </w:r>
    </w:p>
    <w:p w14:paraId="02E38282" w14:textId="77777777" w:rsidR="00456E0A" w:rsidRDefault="00456E0A" w:rsidP="00371438">
      <w:pPr>
        <w:pStyle w:val="BodyTextIndentBoldUnderline"/>
      </w:pPr>
      <w:r>
        <w:t>Existing footings, slabs and pavements</w:t>
      </w:r>
    </w:p>
    <w:p w14:paraId="6D126088" w14:textId="77777777" w:rsidR="00456E0A" w:rsidRDefault="00456E0A" w:rsidP="00371438">
      <w:pPr>
        <w:pStyle w:val="BodyTextIndent"/>
      </w:pPr>
      <w:r>
        <w:t xml:space="preserve">If </w:t>
      </w:r>
      <w:r w:rsidRPr="00371438">
        <w:t>excavation</w:t>
      </w:r>
      <w:r>
        <w:t xml:space="preserve"> is required below the line of influence of an existing footing, slab or pavement, use methods that maintain the support of the footing, slab or pavement and ensure that the structure and finishes supported by the footing are not damaged.</w:t>
      </w:r>
      <w:r>
        <w:rPr>
          <w:i/>
        </w:rPr>
        <w:t xml:space="preserve">  Refer annexure</w:t>
      </w:r>
      <w:r>
        <w:t>.</w:t>
      </w:r>
    </w:p>
    <w:p w14:paraId="750E4129" w14:textId="77777777" w:rsidR="00456E0A" w:rsidRDefault="00497413" w:rsidP="0082501D">
      <w:pPr>
        <w:pStyle w:val="Heading3"/>
      </w:pPr>
      <w:bookmarkStart w:id="46" w:name="_Toc76022209"/>
      <w:r w:rsidRPr="00371438">
        <w:t>Surface</w:t>
      </w:r>
      <w:r>
        <w:t xml:space="preserve"> Drainage</w:t>
      </w:r>
      <w:bookmarkEnd w:id="46"/>
    </w:p>
    <w:p w14:paraId="3EE6A720" w14:textId="77777777" w:rsidR="00456E0A" w:rsidRDefault="00456E0A" w:rsidP="00371438">
      <w:pPr>
        <w:pStyle w:val="BodyTextIndentBoldUnderline"/>
      </w:pPr>
      <w:r>
        <w:t>Catch drains</w:t>
      </w:r>
    </w:p>
    <w:p w14:paraId="31A63963" w14:textId="77777777" w:rsidR="00456E0A" w:rsidRDefault="00456E0A" w:rsidP="00371438">
      <w:pPr>
        <w:pStyle w:val="BodyTextIndent"/>
      </w:pPr>
      <w:r>
        <w:t xml:space="preserve">Construct catch drains at the top of cuttings.  Grade and trim the catch drains to ensure </w:t>
      </w:r>
      <w:r w:rsidRPr="00371438">
        <w:t>the free flow of water and connect to the drainage system.  Install erosion protection</w:t>
      </w:r>
      <w:r>
        <w:t xml:space="preserve"> measures where necessary.</w:t>
      </w:r>
    </w:p>
    <w:p w14:paraId="50F45EBC" w14:textId="77777777" w:rsidR="00456E0A" w:rsidRDefault="00456E0A" w:rsidP="00371438">
      <w:pPr>
        <w:pStyle w:val="BodyTextIndentBoldUnderline"/>
      </w:pPr>
      <w:r>
        <w:t>Table drains</w:t>
      </w:r>
    </w:p>
    <w:p w14:paraId="49E32EFC" w14:textId="77777777" w:rsidR="00456E0A" w:rsidRDefault="00456E0A" w:rsidP="00371438">
      <w:pPr>
        <w:pStyle w:val="BodyTextIndent"/>
      </w:pPr>
      <w:r>
        <w:t>Profile: Neatly trim earth table drains to the required profile, grade and alignment.  Install erosion protection measures where necessary.</w:t>
      </w:r>
    </w:p>
    <w:p w14:paraId="2B8E4779" w14:textId="77777777" w:rsidR="00456E0A" w:rsidRDefault="00456E0A" w:rsidP="00371438">
      <w:pPr>
        <w:pStyle w:val="BodyTextIndent"/>
      </w:pPr>
      <w:r>
        <w:t>Grading: Construct table drains with a minimum grade of 0.5% and with a maximum length of 50 m before diversion to drainage system.</w:t>
      </w:r>
    </w:p>
    <w:p w14:paraId="0C58C334" w14:textId="77777777" w:rsidR="00456E0A" w:rsidRDefault="00497413" w:rsidP="0082501D">
      <w:pPr>
        <w:pStyle w:val="Heading3"/>
      </w:pPr>
      <w:bookmarkStart w:id="47" w:name="_Toc76022210"/>
      <w:r w:rsidRPr="00371438">
        <w:t>Provisional</w:t>
      </w:r>
      <w:r>
        <w:t xml:space="preserve"> Depths</w:t>
      </w:r>
      <w:bookmarkEnd w:id="47"/>
    </w:p>
    <w:p w14:paraId="444557FD" w14:textId="77777777" w:rsidR="00456E0A" w:rsidRDefault="00456E0A" w:rsidP="00371438">
      <w:pPr>
        <w:pStyle w:val="BodyTextIndentBoldUnderline"/>
      </w:pPr>
      <w:r>
        <w:t>Contract depths</w:t>
      </w:r>
    </w:p>
    <w:p w14:paraId="334D644C" w14:textId="77777777" w:rsidR="00456E0A" w:rsidRDefault="00456E0A" w:rsidP="00371438">
      <w:pPr>
        <w:pStyle w:val="BodyTextIndent"/>
      </w:pPr>
      <w:r>
        <w:t>The footing or pier depths shown on the Drawings are only a basis for measurement of quantities.  Actual excavation levels will be determined on the basis of material encountered.</w:t>
      </w:r>
    </w:p>
    <w:p w14:paraId="3B0D73DA" w14:textId="77777777" w:rsidR="00456E0A" w:rsidRDefault="00497413" w:rsidP="0082501D">
      <w:pPr>
        <w:pStyle w:val="Heading3"/>
      </w:pPr>
      <w:bookmarkStart w:id="48" w:name="_Toc76022211"/>
      <w:r w:rsidRPr="00371438">
        <w:t>Explosives</w:t>
      </w:r>
      <w:bookmarkEnd w:id="48"/>
    </w:p>
    <w:p w14:paraId="0E224D89" w14:textId="77777777" w:rsidR="00456E0A" w:rsidRDefault="00456E0A" w:rsidP="00371438">
      <w:pPr>
        <w:pStyle w:val="BodyTextIndent"/>
      </w:pPr>
      <w:r>
        <w:t xml:space="preserve">Do not </w:t>
      </w:r>
      <w:r w:rsidRPr="00371438">
        <w:t>use</w:t>
      </w:r>
      <w:r>
        <w:t xml:space="preserve"> explosives. </w:t>
      </w:r>
      <w:r>
        <w:rPr>
          <w:i/>
        </w:rPr>
        <w:t xml:space="preserve"> Refer annexure</w:t>
      </w:r>
      <w:r>
        <w:t>.</w:t>
      </w:r>
    </w:p>
    <w:p w14:paraId="5505445B" w14:textId="77777777" w:rsidR="00456E0A" w:rsidRDefault="00497413" w:rsidP="0082501D">
      <w:pPr>
        <w:pStyle w:val="Heading3"/>
      </w:pPr>
      <w:bookmarkStart w:id="49" w:name="_Toc76022212"/>
      <w:r w:rsidRPr="00371438">
        <w:t>Bearing</w:t>
      </w:r>
      <w:r>
        <w:t xml:space="preserve"> Surfaces</w:t>
      </w:r>
      <w:bookmarkEnd w:id="49"/>
    </w:p>
    <w:p w14:paraId="461C2AC1" w14:textId="77777777" w:rsidR="00456E0A" w:rsidRDefault="00456E0A" w:rsidP="00371438">
      <w:pPr>
        <w:pStyle w:val="BodyTextIndentBoldUnderline"/>
      </w:pPr>
      <w:r>
        <w:t>General</w:t>
      </w:r>
    </w:p>
    <w:p w14:paraId="41A103D5" w14:textId="77777777" w:rsidR="00456E0A" w:rsidRDefault="00456E0A" w:rsidP="00371438">
      <w:pPr>
        <w:pStyle w:val="BodyTextIndent"/>
      </w:pPr>
      <w:r>
        <w:t>Provide horizontal bearing surfaces for load bearing elements including footings.  Step to accommodate level changes.  Make the steps to the appropriate courses if supporting masonry.</w:t>
      </w:r>
    </w:p>
    <w:p w14:paraId="591CD46D" w14:textId="77777777" w:rsidR="00456E0A" w:rsidRDefault="00456E0A" w:rsidP="00371438">
      <w:pPr>
        <w:pStyle w:val="BodyTextIndentBoldUnderline"/>
      </w:pPr>
      <w:r>
        <w:t>Deterioration</w:t>
      </w:r>
    </w:p>
    <w:p w14:paraId="420E2F77" w14:textId="77777777" w:rsidR="00456E0A" w:rsidRDefault="00456E0A" w:rsidP="00371438">
      <w:pPr>
        <w:pStyle w:val="BodyTextIndent"/>
      </w:pPr>
      <w:r>
        <w:t>If the bearing surface deteriorates after approval, excavate further to a sound surface before placing the load bearing element.</w:t>
      </w:r>
    </w:p>
    <w:p w14:paraId="353FC837" w14:textId="77777777" w:rsidR="00456E0A" w:rsidRDefault="00497413" w:rsidP="0082501D">
      <w:pPr>
        <w:pStyle w:val="Heading3"/>
      </w:pPr>
      <w:bookmarkStart w:id="50" w:name="_Toc76022213"/>
      <w:r>
        <w:t>Reinstatement of Excavation</w:t>
      </w:r>
      <w:bookmarkEnd w:id="50"/>
    </w:p>
    <w:p w14:paraId="6AF0B39B" w14:textId="77777777" w:rsidR="00456E0A" w:rsidRDefault="00456E0A" w:rsidP="00371438">
      <w:pPr>
        <w:pStyle w:val="BodyTextIndentBoldUnderline"/>
      </w:pPr>
      <w:r>
        <w:t>General</w:t>
      </w:r>
    </w:p>
    <w:p w14:paraId="2F27220B" w14:textId="77777777" w:rsidR="00456E0A" w:rsidRDefault="00456E0A" w:rsidP="00371438">
      <w:pPr>
        <w:pStyle w:val="BodyTextIndent"/>
      </w:pPr>
      <w:r>
        <w:t>Where excavation exceeds the required extent, whether as a result of bad ground (and where footing levels or the like are not varied) or as a result of excess excavation, reinstate to the correct depth and required bearing value.</w:t>
      </w:r>
    </w:p>
    <w:p w14:paraId="0B51C6A8" w14:textId="77777777" w:rsidR="00456E0A" w:rsidRDefault="00456E0A" w:rsidP="00371438">
      <w:pPr>
        <w:pStyle w:val="BodyTextIndentBoldUnderline"/>
      </w:pPr>
      <w:r>
        <w:t>Particular</w:t>
      </w:r>
    </w:p>
    <w:p w14:paraId="5B3ED985" w14:textId="77777777" w:rsidR="00456E0A" w:rsidRDefault="00456E0A" w:rsidP="00371438">
      <w:pPr>
        <w:pStyle w:val="BodyTextIndent"/>
      </w:pPr>
      <w:r>
        <w:t xml:space="preserve">Within the ‘line of influence’ of footings, beams or other structural elements: Refill over-excavation with concrete of strength appropriate to the loading, minimum 15 MPa.  </w:t>
      </w:r>
      <w:r>
        <w:rPr>
          <w:i/>
        </w:rPr>
        <w:t>Refer annexure</w:t>
      </w:r>
      <w:r>
        <w:t>.</w:t>
      </w:r>
    </w:p>
    <w:p w14:paraId="152BAFE4" w14:textId="77777777" w:rsidR="00456E0A" w:rsidRDefault="00456E0A" w:rsidP="00371438">
      <w:pPr>
        <w:pStyle w:val="BodyTextIndent"/>
      </w:pPr>
      <w:r>
        <w:t xml:space="preserve">Below slabs or pavements: Refer to </w:t>
      </w:r>
      <w:r>
        <w:rPr>
          <w:i/>
        </w:rPr>
        <w:t>Clause</w:t>
      </w:r>
      <w:r w:rsidR="005C54EC">
        <w:t> </w:t>
      </w:r>
      <w:r>
        <w:rPr>
          <w:i/>
        </w:rPr>
        <w:t>9.0</w:t>
      </w:r>
      <w:r>
        <w:t>.</w:t>
      </w:r>
    </w:p>
    <w:p w14:paraId="3B9FDD99" w14:textId="77777777" w:rsidR="0081263D" w:rsidRDefault="0081263D" w:rsidP="0081263D">
      <w:pPr>
        <w:pStyle w:val="BodyText"/>
        <w:rPr>
          <w:sz w:val="24"/>
          <w:szCs w:val="24"/>
        </w:rPr>
      </w:pPr>
      <w:bookmarkStart w:id="51" w:name="_Toc76022214"/>
      <w:r>
        <w:br w:type="page"/>
      </w:r>
    </w:p>
    <w:p w14:paraId="480778DF" w14:textId="3AFDF4A9" w:rsidR="00456E0A" w:rsidRDefault="00497413" w:rsidP="0082501D">
      <w:pPr>
        <w:pStyle w:val="Heading3"/>
      </w:pPr>
      <w:r>
        <w:lastRenderedPageBreak/>
        <w:t xml:space="preserve">Adjacent </w:t>
      </w:r>
      <w:r w:rsidRPr="00371438">
        <w:t>Structures</w:t>
      </w:r>
      <w:bookmarkEnd w:id="51"/>
    </w:p>
    <w:p w14:paraId="61B4E1F2" w14:textId="77777777" w:rsidR="00456E0A" w:rsidRDefault="00456E0A" w:rsidP="00371438">
      <w:pPr>
        <w:pStyle w:val="BodyTextIndentBoldUnderline"/>
      </w:pPr>
      <w:r>
        <w:t>Temporary supports</w:t>
      </w:r>
    </w:p>
    <w:p w14:paraId="734CE012" w14:textId="77777777" w:rsidR="00456E0A" w:rsidRDefault="00456E0A" w:rsidP="00371438">
      <w:pPr>
        <w:pStyle w:val="BodyTextIndent"/>
      </w:pPr>
      <w:r>
        <w:t>General: Provide supports to adjacent structures where necessary, sufficient to prevent damage arising from the works.</w:t>
      </w:r>
    </w:p>
    <w:p w14:paraId="673D069A" w14:textId="77777777" w:rsidR="00456E0A" w:rsidRDefault="00456E0A" w:rsidP="00371438">
      <w:pPr>
        <w:pStyle w:val="BodyTextIndent"/>
      </w:pPr>
      <w:r>
        <w:t>Lateral supports: Provide lateral support using shoring.</w:t>
      </w:r>
    </w:p>
    <w:p w14:paraId="2B3329B9" w14:textId="77777777" w:rsidR="00456E0A" w:rsidRDefault="00456E0A" w:rsidP="00371438">
      <w:pPr>
        <w:pStyle w:val="BodyTextIndent"/>
      </w:pPr>
      <w:r>
        <w:t>Vertical supports: Provide vertical support where necessary using piling or underpinning or both.</w:t>
      </w:r>
    </w:p>
    <w:p w14:paraId="64D467A3" w14:textId="77777777" w:rsidR="00456E0A" w:rsidRDefault="00456E0A" w:rsidP="00371438">
      <w:pPr>
        <w:pStyle w:val="BodyTextIndentBoldUnderline"/>
      </w:pPr>
      <w:r>
        <w:t>Permanent supports</w:t>
      </w:r>
    </w:p>
    <w:p w14:paraId="4398B25B" w14:textId="77777777" w:rsidR="00456E0A" w:rsidRDefault="00456E0A" w:rsidP="00371438">
      <w:pPr>
        <w:pStyle w:val="BodyTextIndent"/>
      </w:pPr>
      <w:r>
        <w:t>If permanent supports for adjacent structures are necessary and are not described, give notice and obtain instructions.</w:t>
      </w:r>
    </w:p>
    <w:p w14:paraId="53FF143D" w14:textId="77777777" w:rsidR="00456E0A" w:rsidRDefault="00456E0A" w:rsidP="00371438">
      <w:pPr>
        <w:pStyle w:val="BodyTextIndentBoldUnderline"/>
      </w:pPr>
      <w:r>
        <w:t>Encroachments</w:t>
      </w:r>
    </w:p>
    <w:p w14:paraId="7BB8576D" w14:textId="77777777" w:rsidR="00456E0A" w:rsidRDefault="00456E0A" w:rsidP="00371438">
      <w:pPr>
        <w:pStyle w:val="BodyTextIndent"/>
      </w:pPr>
      <w:r>
        <w:t>If encroachments from adjacent structures are encountered and are not shown on the drawings, give notice and obtain instructions.</w:t>
      </w:r>
    </w:p>
    <w:p w14:paraId="69FEE6AF" w14:textId="77777777" w:rsidR="00456E0A" w:rsidRDefault="00456E0A" w:rsidP="00371438">
      <w:pPr>
        <w:pStyle w:val="BodyTextIndentBoldUnderline"/>
      </w:pPr>
      <w:r>
        <w:t>Rock bolting</w:t>
      </w:r>
    </w:p>
    <w:p w14:paraId="72E4AB9A" w14:textId="77777777" w:rsidR="00456E0A" w:rsidRDefault="00456E0A" w:rsidP="00371438">
      <w:pPr>
        <w:pStyle w:val="BodyTextIndent"/>
      </w:pPr>
      <w:r>
        <w:t xml:space="preserve">Provide proprietary high strength steel bars or tubes anchored into holes drilled in the rock and tensioned against plates bearing on the rock face to provide temporary or permanent support for the rock face.  Refer </w:t>
      </w:r>
      <w:r>
        <w:rPr>
          <w:i/>
        </w:rPr>
        <w:t>Clause</w:t>
      </w:r>
      <w:r w:rsidR="00CA6816">
        <w:t> </w:t>
      </w:r>
      <w:r>
        <w:rPr>
          <w:i/>
        </w:rPr>
        <w:t>18.0</w:t>
      </w:r>
      <w:r>
        <w:t>.</w:t>
      </w:r>
    </w:p>
    <w:p w14:paraId="49981F97" w14:textId="77777777" w:rsidR="00456E0A" w:rsidRDefault="00456E0A" w:rsidP="0082501D">
      <w:pPr>
        <w:pStyle w:val="Heading3"/>
      </w:pPr>
      <w:bookmarkStart w:id="52" w:name="_Toc76022215"/>
      <w:r w:rsidRPr="00E42233">
        <w:t>Non</w:t>
      </w:r>
      <w:r w:rsidR="00497413">
        <w:t>-Rippable Material</w:t>
      </w:r>
      <w:bookmarkEnd w:id="52"/>
    </w:p>
    <w:p w14:paraId="6C00CC61" w14:textId="77777777" w:rsidR="00456E0A" w:rsidRDefault="00456E0A" w:rsidP="00E42233">
      <w:pPr>
        <w:pStyle w:val="BodyTextIndentBoldUnderline"/>
      </w:pPr>
      <w:r>
        <w:t>General</w:t>
      </w:r>
    </w:p>
    <w:p w14:paraId="75AD8DFC" w14:textId="77777777" w:rsidR="00456E0A" w:rsidRDefault="00456E0A" w:rsidP="00E42233">
      <w:pPr>
        <w:pStyle w:val="BodyTextIndent"/>
      </w:pPr>
      <w:r>
        <w:t xml:space="preserve">Where the methods of measurement require differentiation of non-rippable material, the following criteria apply.  Machine classification to </w:t>
      </w:r>
      <w:r w:rsidRPr="00ED0DAC">
        <w:rPr>
          <w:i/>
        </w:rPr>
        <w:t>AS 2868</w:t>
      </w:r>
      <w:r>
        <w:t>.</w:t>
      </w:r>
    </w:p>
    <w:p w14:paraId="1E2CFA5B" w14:textId="77777777" w:rsidR="00456E0A" w:rsidRDefault="00456E0A" w:rsidP="00E42233">
      <w:pPr>
        <w:pStyle w:val="BodyTextIndentBoldUnderline"/>
      </w:pPr>
      <w:r>
        <w:t>Confined excavation</w:t>
      </w:r>
    </w:p>
    <w:p w14:paraId="3E8D27A3" w14:textId="77777777" w:rsidR="00456E0A" w:rsidRDefault="00456E0A" w:rsidP="00E42233">
      <w:pPr>
        <w:pStyle w:val="BodyTextIndent"/>
      </w:pPr>
      <w:r>
        <w:t>Definition: Excavation of trenches and to broader areas less than 1000 m</w:t>
      </w:r>
      <w:r>
        <w:rPr>
          <w:vertAlign w:val="superscript"/>
        </w:rPr>
        <w:t>2</w:t>
      </w:r>
      <w:r>
        <w:t xml:space="preserve"> in extent.</w:t>
      </w:r>
    </w:p>
    <w:p w14:paraId="483662FE" w14:textId="328EF414" w:rsidR="00456E0A" w:rsidRDefault="00456E0A" w:rsidP="00E42233">
      <w:pPr>
        <w:pStyle w:val="BodyTextIndent"/>
        <w:rPr>
          <w:b/>
        </w:rPr>
      </w:pPr>
      <w:r>
        <w:t xml:space="preserve">Classification: Classify material as non-rippable if any of the nominated classes of crawler excavator fitted with a </w:t>
      </w:r>
      <w:r w:rsidR="00D03E47">
        <w:t>heavy-duty</w:t>
      </w:r>
      <w:r>
        <w:t xml:space="preserve"> bucket, cannot rip at a production rate (in situ volume) exceeding the nominated values.  Fit bucket teeth with high penetration boots, approved by the machine manufacturer for use on the particular machine in rock.</w:t>
      </w:r>
    </w:p>
    <w:p w14:paraId="69808EC0" w14:textId="27824D65" w:rsidR="00456E0A" w:rsidRDefault="00456E0A" w:rsidP="00E42233">
      <w:pPr>
        <w:pStyle w:val="BodyTextIndent"/>
      </w:pPr>
      <w:r>
        <w:t>Class</w:t>
      </w:r>
      <w:r w:rsidR="00D03E47">
        <w:t> </w:t>
      </w:r>
      <w:r>
        <w:t>55 crawler excavator fitted with a maximum 450 mm wide bucket: Maximum production rate 1.5 m</w:t>
      </w:r>
      <w:r>
        <w:rPr>
          <w:vertAlign w:val="superscript"/>
        </w:rPr>
        <w:t>3</w:t>
      </w:r>
      <w:r w:rsidR="009522E8">
        <w:t> </w:t>
      </w:r>
      <w:r>
        <w:t>per</w:t>
      </w:r>
      <w:r w:rsidR="009522E8">
        <w:t> </w:t>
      </w:r>
      <w:r>
        <w:t>hour.</w:t>
      </w:r>
    </w:p>
    <w:p w14:paraId="03F14BD9" w14:textId="5F3F5044" w:rsidR="00456E0A" w:rsidRDefault="00456E0A" w:rsidP="00E42233">
      <w:pPr>
        <w:pStyle w:val="BodyTextIndent"/>
      </w:pPr>
      <w:r>
        <w:t>Class</w:t>
      </w:r>
      <w:r w:rsidR="00D03E47">
        <w:t> </w:t>
      </w:r>
      <w:r>
        <w:t>85 crawler excavator fitted with a maximum 600 mm wide bucket: Maximum production rate 3 m</w:t>
      </w:r>
      <w:r>
        <w:rPr>
          <w:vertAlign w:val="superscript"/>
        </w:rPr>
        <w:t>3</w:t>
      </w:r>
      <w:r w:rsidR="009522E8">
        <w:t> </w:t>
      </w:r>
      <w:r>
        <w:t>per</w:t>
      </w:r>
      <w:r w:rsidR="009522E8">
        <w:t> </w:t>
      </w:r>
      <w:r>
        <w:t>hour.</w:t>
      </w:r>
    </w:p>
    <w:p w14:paraId="5AF76D1E" w14:textId="2FD415EC" w:rsidR="00456E0A" w:rsidRDefault="00456E0A" w:rsidP="00E42233">
      <w:pPr>
        <w:pStyle w:val="BodyTextIndent"/>
      </w:pPr>
      <w:r>
        <w:t>Class</w:t>
      </w:r>
      <w:r w:rsidR="007B27F3">
        <w:t> </w:t>
      </w:r>
      <w:r>
        <w:t>115 crawler excavator fitted with a maximum 750 mm wide bucket: Maximum production rate 4.5 m</w:t>
      </w:r>
      <w:r>
        <w:rPr>
          <w:vertAlign w:val="superscript"/>
        </w:rPr>
        <w:t>3</w:t>
      </w:r>
      <w:r w:rsidR="009522E8">
        <w:t> </w:t>
      </w:r>
      <w:r>
        <w:t>per</w:t>
      </w:r>
      <w:r w:rsidR="009522E8">
        <w:t> </w:t>
      </w:r>
      <w:r>
        <w:t>hour.</w:t>
      </w:r>
    </w:p>
    <w:p w14:paraId="6121F4F5" w14:textId="4654D2BE" w:rsidR="00456E0A" w:rsidRDefault="00456E0A" w:rsidP="00E42233">
      <w:pPr>
        <w:pStyle w:val="BodyTextIndent"/>
      </w:pPr>
      <w:r>
        <w:t>Class</w:t>
      </w:r>
      <w:r w:rsidR="007B27F3">
        <w:t> </w:t>
      </w:r>
      <w:r>
        <w:t>155 crawler excavator fitted with a maximum 900 mm wide bucket: Maximum production rate 7 m</w:t>
      </w:r>
      <w:r>
        <w:rPr>
          <w:vertAlign w:val="superscript"/>
        </w:rPr>
        <w:t>3</w:t>
      </w:r>
      <w:r w:rsidR="009522E8">
        <w:t> </w:t>
      </w:r>
      <w:r>
        <w:t>per</w:t>
      </w:r>
      <w:r w:rsidR="009522E8">
        <w:t> </w:t>
      </w:r>
      <w:r>
        <w:t>hour.</w:t>
      </w:r>
    </w:p>
    <w:p w14:paraId="6EBF4BC5" w14:textId="701EE6C1" w:rsidR="00456E0A" w:rsidRDefault="00456E0A" w:rsidP="00E42233">
      <w:pPr>
        <w:pStyle w:val="BodyTextIndent"/>
      </w:pPr>
      <w:r>
        <w:t>Class</w:t>
      </w:r>
      <w:r w:rsidR="007B27F3">
        <w:t> </w:t>
      </w:r>
      <w:r>
        <w:t>200 crawler excavator fitted with a maximum 1050 mm wide bucket: Maximum production rate 10 m</w:t>
      </w:r>
      <w:r>
        <w:rPr>
          <w:vertAlign w:val="superscript"/>
        </w:rPr>
        <w:t>3</w:t>
      </w:r>
      <w:r w:rsidR="009522E8">
        <w:t> </w:t>
      </w:r>
      <w:r>
        <w:t>per</w:t>
      </w:r>
      <w:r w:rsidR="009522E8">
        <w:t> </w:t>
      </w:r>
      <w:r>
        <w:t>hour.</w:t>
      </w:r>
    </w:p>
    <w:p w14:paraId="3BCAAC91" w14:textId="77777777" w:rsidR="00456E0A" w:rsidRDefault="00456E0A" w:rsidP="00E42233">
      <w:pPr>
        <w:pStyle w:val="BodyTextIndentBoldUnderline"/>
      </w:pPr>
      <w:r>
        <w:t>Other excavation</w:t>
      </w:r>
    </w:p>
    <w:p w14:paraId="694B1502" w14:textId="77777777" w:rsidR="00456E0A" w:rsidRDefault="00456E0A" w:rsidP="00E42233">
      <w:pPr>
        <w:pStyle w:val="BodyTextIndent"/>
      </w:pPr>
      <w:r>
        <w:t>Classification: Classify material as non-rippable if the nominated classes of crawler tractor, equipped with a heavy duty, single tine parallelogram ripper (approved by the machine manufacturer for use on the particular machine in rock), cannot rip at a production rate (in situ volume) exceeding the nominated values.</w:t>
      </w:r>
    </w:p>
    <w:p w14:paraId="0071E1DF" w14:textId="022F904A" w:rsidR="00456E0A" w:rsidRDefault="00456E0A" w:rsidP="00E42233">
      <w:pPr>
        <w:pStyle w:val="BodyTextIndent"/>
        <w:rPr>
          <w:b/>
        </w:rPr>
      </w:pPr>
      <w:r>
        <w:t>Class</w:t>
      </w:r>
      <w:r w:rsidR="007B27F3">
        <w:t> </w:t>
      </w:r>
      <w:r>
        <w:t>150C crawler tractor: Maximum production rate of 50 m</w:t>
      </w:r>
      <w:r>
        <w:rPr>
          <w:vertAlign w:val="superscript"/>
        </w:rPr>
        <w:t>3</w:t>
      </w:r>
      <w:r w:rsidR="00A53EF7">
        <w:t> </w:t>
      </w:r>
      <w:r>
        <w:t>per</w:t>
      </w:r>
      <w:r w:rsidR="00A53EF7">
        <w:t> </w:t>
      </w:r>
      <w:r>
        <w:t>hour.</w:t>
      </w:r>
    </w:p>
    <w:p w14:paraId="2BF2C9F5" w14:textId="4DCF4449" w:rsidR="00456E0A" w:rsidRDefault="00456E0A" w:rsidP="00E42233">
      <w:pPr>
        <w:pStyle w:val="BodyTextIndent"/>
        <w:rPr>
          <w:b/>
        </w:rPr>
      </w:pPr>
      <w:r>
        <w:t>Class</w:t>
      </w:r>
      <w:r w:rsidR="007B27F3">
        <w:t> </w:t>
      </w:r>
      <w:r>
        <w:t>200C crawler tractor: Maximum production rate of 75 m</w:t>
      </w:r>
      <w:r>
        <w:rPr>
          <w:vertAlign w:val="superscript"/>
        </w:rPr>
        <w:t>3</w:t>
      </w:r>
      <w:r w:rsidR="00A53EF7">
        <w:t> </w:t>
      </w:r>
      <w:r>
        <w:t>per</w:t>
      </w:r>
      <w:r w:rsidR="00A53EF7">
        <w:t> </w:t>
      </w:r>
      <w:r>
        <w:t>hour.</w:t>
      </w:r>
    </w:p>
    <w:p w14:paraId="1C3A7A59" w14:textId="19EBEC68" w:rsidR="00456E0A" w:rsidRDefault="00456E0A" w:rsidP="00E42233">
      <w:pPr>
        <w:pStyle w:val="BodyTextIndent"/>
        <w:rPr>
          <w:b/>
        </w:rPr>
      </w:pPr>
      <w:r>
        <w:t>Class</w:t>
      </w:r>
      <w:r w:rsidR="007B27F3">
        <w:t> </w:t>
      </w:r>
      <w:r>
        <w:t>300C crawler tractor: Maximum production rate of 90 m</w:t>
      </w:r>
      <w:r>
        <w:rPr>
          <w:vertAlign w:val="superscript"/>
        </w:rPr>
        <w:t>3</w:t>
      </w:r>
      <w:r w:rsidR="00A53EF7">
        <w:t> </w:t>
      </w:r>
      <w:r>
        <w:t>per</w:t>
      </w:r>
      <w:r w:rsidR="002A0A27">
        <w:t> </w:t>
      </w:r>
      <w:r>
        <w:t>hour.</w:t>
      </w:r>
    </w:p>
    <w:p w14:paraId="0A746C1C" w14:textId="42526AA8" w:rsidR="00456E0A" w:rsidRDefault="00456E0A" w:rsidP="00E42233">
      <w:pPr>
        <w:pStyle w:val="BodyTextIndent"/>
        <w:rPr>
          <w:b/>
        </w:rPr>
      </w:pPr>
      <w:r>
        <w:t>Class</w:t>
      </w:r>
      <w:r w:rsidR="007B27F3">
        <w:t> </w:t>
      </w:r>
      <w:r>
        <w:t>400C crawler tractor: Maximum production rate of 105 m</w:t>
      </w:r>
      <w:r>
        <w:rPr>
          <w:vertAlign w:val="superscript"/>
        </w:rPr>
        <w:t>3</w:t>
      </w:r>
      <w:r w:rsidR="002A0A27">
        <w:t> </w:t>
      </w:r>
      <w:r>
        <w:t>per</w:t>
      </w:r>
      <w:r w:rsidR="002A0A27">
        <w:t> </w:t>
      </w:r>
      <w:r>
        <w:t>hour.</w:t>
      </w:r>
    </w:p>
    <w:p w14:paraId="2F6419BE" w14:textId="589F10E0" w:rsidR="00456E0A" w:rsidRDefault="00456E0A" w:rsidP="00E42233">
      <w:pPr>
        <w:pStyle w:val="BodyTextIndent"/>
        <w:rPr>
          <w:b/>
        </w:rPr>
      </w:pPr>
      <w:r>
        <w:t>Class</w:t>
      </w:r>
      <w:r w:rsidR="007B27F3">
        <w:t> </w:t>
      </w:r>
      <w:r>
        <w:t>500C crawler tractor: Maximum production rate of 120 m</w:t>
      </w:r>
      <w:r>
        <w:rPr>
          <w:vertAlign w:val="superscript"/>
        </w:rPr>
        <w:t>3</w:t>
      </w:r>
      <w:r w:rsidR="002A0A27">
        <w:t> </w:t>
      </w:r>
      <w:r>
        <w:t>per</w:t>
      </w:r>
      <w:r w:rsidR="002A0A27">
        <w:t> </w:t>
      </w:r>
      <w:r>
        <w:t>hour.</w:t>
      </w:r>
    </w:p>
    <w:p w14:paraId="2E3C6C9F" w14:textId="01AC0DAA" w:rsidR="00456E0A" w:rsidRDefault="00456E0A" w:rsidP="00E42233">
      <w:pPr>
        <w:pStyle w:val="BodyTextIndent"/>
      </w:pPr>
      <w:r>
        <w:lastRenderedPageBreak/>
        <w:t>Class</w:t>
      </w:r>
      <w:r w:rsidR="007B27F3">
        <w:t> </w:t>
      </w:r>
      <w:r>
        <w:t>600C crawler tractor: Maximum production rate of 135 m</w:t>
      </w:r>
      <w:r>
        <w:rPr>
          <w:vertAlign w:val="superscript"/>
        </w:rPr>
        <w:t>3</w:t>
      </w:r>
      <w:r w:rsidR="009522E8">
        <w:t> </w:t>
      </w:r>
      <w:r>
        <w:t>per</w:t>
      </w:r>
      <w:r w:rsidR="009522E8">
        <w:t> </w:t>
      </w:r>
      <w:r>
        <w:t>hour.</w:t>
      </w:r>
    </w:p>
    <w:p w14:paraId="5F1FE2BE" w14:textId="77777777" w:rsidR="00456E0A" w:rsidRDefault="00456E0A" w:rsidP="0082501D">
      <w:pPr>
        <w:pStyle w:val="Heading2"/>
      </w:pPr>
      <w:bookmarkStart w:id="53" w:name="_Toc493942077"/>
      <w:bookmarkStart w:id="54" w:name="_Toc493986916"/>
      <w:bookmarkStart w:id="55" w:name="_Toc76022216"/>
      <w:r>
        <w:t>FILLING</w:t>
      </w:r>
      <w:bookmarkEnd w:id="53"/>
      <w:bookmarkEnd w:id="54"/>
      <w:bookmarkEnd w:id="55"/>
    </w:p>
    <w:p w14:paraId="654A8673" w14:textId="77777777" w:rsidR="00456E0A" w:rsidRDefault="00456E0A" w:rsidP="0082501D">
      <w:pPr>
        <w:pStyle w:val="Heading3"/>
      </w:pPr>
      <w:bookmarkStart w:id="56" w:name="_Toc76022217"/>
      <w:r w:rsidRPr="00E42233">
        <w:t>Fill</w:t>
      </w:r>
      <w:r>
        <w:t xml:space="preserve"> </w:t>
      </w:r>
      <w:r w:rsidR="00497413">
        <w:t>Material</w:t>
      </w:r>
      <w:bookmarkEnd w:id="56"/>
    </w:p>
    <w:p w14:paraId="7714CFD4" w14:textId="77777777" w:rsidR="00456E0A" w:rsidRDefault="00456E0A" w:rsidP="00E42233">
      <w:pPr>
        <w:pStyle w:val="BodyTextIndentBoldUnderline"/>
      </w:pPr>
      <w:r>
        <w:t>General</w:t>
      </w:r>
    </w:p>
    <w:p w14:paraId="7475E0FD" w14:textId="77777777" w:rsidR="00456E0A" w:rsidRDefault="00456E0A" w:rsidP="00E42233">
      <w:pPr>
        <w:pStyle w:val="BodyTextIndent"/>
      </w:pPr>
      <w:r>
        <w:t>Material type: Inorganic, non-perishable material.</w:t>
      </w:r>
    </w:p>
    <w:p w14:paraId="6945362E" w14:textId="77777777" w:rsidR="00456E0A" w:rsidRDefault="00456E0A" w:rsidP="00E42233">
      <w:pPr>
        <w:pStyle w:val="BodyTextIndent"/>
      </w:pPr>
      <w:r>
        <w:t>Sulphur content: Do not use filling with sulphur content exceeding 0.5% within 0.5 m of cement bound elements (for example concrete structures or masonry), unless such elements are protected by impermeable membranes or by other suitable means.</w:t>
      </w:r>
    </w:p>
    <w:p w14:paraId="1F3C6EAF" w14:textId="77777777" w:rsidR="00456E0A" w:rsidRDefault="00456E0A" w:rsidP="00E42233">
      <w:pPr>
        <w:pStyle w:val="BodyTextIndentBoldUnderline"/>
      </w:pPr>
      <w:r>
        <w:t>Sources</w:t>
      </w:r>
    </w:p>
    <w:p w14:paraId="6C6EFF98" w14:textId="77777777" w:rsidR="00456E0A" w:rsidRDefault="00456E0A" w:rsidP="00E42233">
      <w:pPr>
        <w:pStyle w:val="BodyTextIndent"/>
      </w:pPr>
      <w:r>
        <w:t>Where directed, re-use material recovered from excavations on the site.  Dry out recovered material as necessary prior to use.</w:t>
      </w:r>
    </w:p>
    <w:p w14:paraId="79506A1E" w14:textId="77777777" w:rsidR="002A772A" w:rsidRPr="00C45D4C" w:rsidRDefault="002A772A" w:rsidP="002A772A">
      <w:pPr>
        <w:pStyle w:val="BodyTextIndent"/>
        <w:rPr>
          <w:b/>
          <w:u w:val="single"/>
        </w:rPr>
      </w:pPr>
      <w:r w:rsidRPr="00C45D4C">
        <w:rPr>
          <w:b/>
          <w:u w:val="single"/>
        </w:rPr>
        <w:t xml:space="preserve">Recycled Material </w:t>
      </w:r>
    </w:p>
    <w:p w14:paraId="1D040380" w14:textId="77777777" w:rsidR="003F012D" w:rsidRPr="00C45D4C" w:rsidRDefault="003F012D" w:rsidP="002A772A">
      <w:pPr>
        <w:pStyle w:val="BodyTextIndent"/>
      </w:pPr>
      <w:r w:rsidRPr="00C45D4C">
        <w:t>Various products derived from resource recovery of construction and demolition waste from building waste; reclaimed asphalt pavement (RAP) from maintenance and rehabilitation activities; and reclaimed glass from the glass disposal industry blended to produce fill types meeting the requirement of this clause.</w:t>
      </w:r>
    </w:p>
    <w:p w14:paraId="3E07100E" w14:textId="77777777" w:rsidR="002A772A" w:rsidRPr="00C45D4C" w:rsidRDefault="002A772A" w:rsidP="002A772A">
      <w:pPr>
        <w:pStyle w:val="BodyTextIndent"/>
      </w:pPr>
      <w:r w:rsidRPr="00C45D4C">
        <w:t>Low density foreign materials such as plastic, rubber, plaster, clay lumps and other friable material shall not exceed 3% by mass.  Wood and other vegetable or decomposable matter shall be limited to a maximum of 0.5% by mass</w:t>
      </w:r>
      <w:r w:rsidR="003F012D" w:rsidRPr="00C45D4C">
        <w:t>.</w:t>
      </w:r>
    </w:p>
    <w:p w14:paraId="2FFFB8A9" w14:textId="77777777" w:rsidR="002A772A" w:rsidRPr="00C45D4C" w:rsidRDefault="002A772A" w:rsidP="002A772A">
      <w:pPr>
        <w:pStyle w:val="BodyTextIndent"/>
      </w:pPr>
      <w:r w:rsidRPr="00C45D4C">
        <w:t>Crushed glass used in any recycled material blends shall be crushed to a cubic shape and able to pass the 4.75</w:t>
      </w:r>
      <w:r w:rsidR="00CA6816">
        <w:t> </w:t>
      </w:r>
      <w:r w:rsidRPr="00C45D4C">
        <w:t>mm AS sieve.</w:t>
      </w:r>
      <w:r w:rsidR="00190F9A" w:rsidRPr="00C45D4C">
        <w:t xml:space="preserve">  </w:t>
      </w:r>
      <w:r w:rsidR="00047588" w:rsidRPr="00C45D4C">
        <w:t>It must be cleaned and free of any putrid odour.</w:t>
      </w:r>
    </w:p>
    <w:p w14:paraId="005C017E" w14:textId="77777777" w:rsidR="002A772A" w:rsidRDefault="002A772A" w:rsidP="002A772A">
      <w:pPr>
        <w:pStyle w:val="BodyTextIndent"/>
      </w:pPr>
      <w:r w:rsidRPr="00C45D4C">
        <w:t xml:space="preserve">Any blend of recycled materials shall be able to be classified as ‘clean fill’ </w:t>
      </w:r>
      <w:r w:rsidR="00413DEF" w:rsidRPr="00C45D4C">
        <w:t xml:space="preserve">or ‘clean earthen materials’ </w:t>
      </w:r>
      <w:r w:rsidRPr="00C45D4C">
        <w:t xml:space="preserve">in accordance with </w:t>
      </w:r>
      <w:r w:rsidR="00413DEF" w:rsidRPr="00C45D4C">
        <w:rPr>
          <w:i/>
        </w:rPr>
        <w:t>Environmental Protection</w:t>
      </w:r>
      <w:r w:rsidR="00284B10" w:rsidRPr="00C45D4C">
        <w:rPr>
          <w:i/>
        </w:rPr>
        <w:t xml:space="preserve"> (Waste Management)</w:t>
      </w:r>
      <w:r w:rsidR="00413DEF" w:rsidRPr="00C45D4C">
        <w:rPr>
          <w:i/>
        </w:rPr>
        <w:t xml:space="preserve"> Regulation 2008</w:t>
      </w:r>
      <w:r w:rsidRPr="00C45D4C">
        <w:t>.</w:t>
      </w:r>
    </w:p>
    <w:p w14:paraId="17F54674" w14:textId="77777777" w:rsidR="00456E0A" w:rsidRDefault="00456E0A" w:rsidP="00E42233">
      <w:pPr>
        <w:pStyle w:val="BodyTextIndentBoldUnderline"/>
      </w:pPr>
      <w:r>
        <w:t>Fill types</w:t>
      </w:r>
    </w:p>
    <w:p w14:paraId="379C9A05" w14:textId="77777777" w:rsidR="00456E0A" w:rsidRDefault="00456E0A" w:rsidP="00E42233">
      <w:pPr>
        <w:pStyle w:val="BodyTextIndent"/>
      </w:pPr>
      <w:r>
        <w:t xml:space="preserve">General fill: Well graded material, maximum particle size 75 mm, plasticity index </w:t>
      </w:r>
      <w:r>
        <w:sym w:font="Symbol" w:char="F0A3"/>
      </w:r>
      <w:r>
        <w:t> 55%.</w:t>
      </w:r>
    </w:p>
    <w:p w14:paraId="0DCD8F68" w14:textId="77777777" w:rsidR="00456E0A" w:rsidRDefault="00456E0A" w:rsidP="00E42233">
      <w:pPr>
        <w:pStyle w:val="BodyTextIndent"/>
      </w:pPr>
      <w:r>
        <w:t>Select fill: Granular material complying with the following properties.</w:t>
      </w:r>
    </w:p>
    <w:p w14:paraId="2203373D" w14:textId="77777777" w:rsidR="00456E0A" w:rsidRDefault="00456E0A" w:rsidP="00E42233">
      <w:pPr>
        <w:pStyle w:val="BodyTextIndentDot"/>
      </w:pPr>
      <w:r>
        <w:t>Particle size: 75</w:t>
      </w:r>
      <w:r w:rsidR="00CA6816">
        <w:t> </w:t>
      </w:r>
      <w:r>
        <w:t>mm maximum.</w:t>
      </w:r>
    </w:p>
    <w:p w14:paraId="706AEA50" w14:textId="77777777" w:rsidR="00456E0A" w:rsidRDefault="00456E0A" w:rsidP="00E42233">
      <w:pPr>
        <w:pStyle w:val="BodyTextIndentDot"/>
      </w:pPr>
      <w:r>
        <w:fldChar w:fldCharType="begin"/>
      </w:r>
      <w:r>
        <w:instrText>ADVANCE \d3</w:instrText>
      </w:r>
      <w:r>
        <w:fldChar w:fldCharType="end"/>
      </w:r>
      <w:r>
        <w:fldChar w:fldCharType="begin"/>
      </w:r>
      <w:r>
        <w:instrText>ADVANCE \u3</w:instrText>
      </w:r>
      <w:r>
        <w:fldChar w:fldCharType="end"/>
      </w:r>
      <w:r>
        <w:t>Proportion passing 0.075</w:t>
      </w:r>
      <w:r w:rsidR="00CA6816">
        <w:t> </w:t>
      </w:r>
      <w:r>
        <w:t>mm sieve: 25% maximum.</w:t>
      </w:r>
    </w:p>
    <w:p w14:paraId="50ABE005" w14:textId="411CF751" w:rsidR="00456E0A" w:rsidRDefault="00456E0A" w:rsidP="00E42233">
      <w:pPr>
        <w:pStyle w:val="BodyTextIndentDot"/>
      </w:pPr>
      <w:r>
        <w:fldChar w:fldCharType="begin"/>
      </w:r>
      <w:r>
        <w:instrText>ADVANCE \d3</w:instrText>
      </w:r>
      <w:r>
        <w:fldChar w:fldCharType="end"/>
      </w:r>
      <w:r>
        <w:fldChar w:fldCharType="begin"/>
      </w:r>
      <w:r>
        <w:instrText>ADVANCE \u3</w:instrText>
      </w:r>
      <w:r>
        <w:fldChar w:fldCharType="end"/>
      </w:r>
      <w:r>
        <w:t xml:space="preserve">Plasticity index: </w:t>
      </w:r>
      <w:r>
        <w:sym w:font="Symbol" w:char="F0B3"/>
      </w:r>
      <w:r>
        <w:t xml:space="preserve">2%, </w:t>
      </w:r>
      <w:r>
        <w:sym w:font="Symbol" w:char="F0A3"/>
      </w:r>
      <w:r>
        <w:t> 15%.</w:t>
      </w:r>
    </w:p>
    <w:p w14:paraId="6CBDFB74" w14:textId="77777777" w:rsidR="00456E0A" w:rsidRDefault="00456E0A" w:rsidP="00E42233">
      <w:pPr>
        <w:pStyle w:val="BodyTextIndentDot"/>
      </w:pPr>
      <w:r>
        <w:fldChar w:fldCharType="begin"/>
      </w:r>
      <w:r>
        <w:instrText>ADVANCE \d3</w:instrText>
      </w:r>
      <w:r>
        <w:fldChar w:fldCharType="end"/>
      </w:r>
      <w:r>
        <w:fldChar w:fldCharType="begin"/>
      </w:r>
      <w:r>
        <w:instrText>ADVANCE \u3</w:instrText>
      </w:r>
      <w:r>
        <w:fldChar w:fldCharType="end"/>
      </w:r>
      <w:r>
        <w:t>Soaked CBR: Not less than 15.</w:t>
      </w:r>
    </w:p>
    <w:p w14:paraId="4F647099" w14:textId="77777777" w:rsidR="00456E0A" w:rsidRDefault="00456E0A" w:rsidP="00E42233">
      <w:pPr>
        <w:pStyle w:val="BodyTextIndent"/>
      </w:pPr>
      <w:r>
        <w:t>Road embankment fill: Well graded material with maximum plasticity index 35% and maximum particle size determined by location and layer thickness, but not exceeding two-thirds of the uncompacted layer thickness.</w:t>
      </w:r>
    </w:p>
    <w:p w14:paraId="5B40874E" w14:textId="77777777" w:rsidR="00456E0A" w:rsidRDefault="00456E0A" w:rsidP="00E42233">
      <w:pPr>
        <w:pStyle w:val="BodyTextIndent"/>
      </w:pPr>
      <w:r>
        <w:t xml:space="preserve">Fill subgrade: Use </w:t>
      </w:r>
      <w:r w:rsidR="00CA6816">
        <w:t>Class </w:t>
      </w:r>
      <w:r>
        <w:t>3 material or select fill.</w:t>
      </w:r>
    </w:p>
    <w:p w14:paraId="5593A07D" w14:textId="77777777" w:rsidR="00456E0A" w:rsidRDefault="00456E0A" w:rsidP="00E42233">
      <w:pPr>
        <w:pStyle w:val="BodyTextIndent"/>
      </w:pPr>
      <w:r>
        <w:t xml:space="preserve">Special fill: </w:t>
      </w:r>
      <w:r>
        <w:rPr>
          <w:i/>
        </w:rPr>
        <w:t>Refer annexure</w:t>
      </w:r>
      <w:r>
        <w:t>.</w:t>
      </w:r>
    </w:p>
    <w:p w14:paraId="1B80BD7E" w14:textId="77777777" w:rsidR="00456E0A" w:rsidRDefault="00497413" w:rsidP="0082501D">
      <w:pPr>
        <w:pStyle w:val="Heading3"/>
      </w:pPr>
      <w:bookmarkStart w:id="57" w:name="_Toc76022218"/>
      <w:r w:rsidRPr="00E42233">
        <w:t>Preparation</w:t>
      </w:r>
      <w:r>
        <w:t xml:space="preserve"> for Filling</w:t>
      </w:r>
      <w:bookmarkEnd w:id="57"/>
    </w:p>
    <w:p w14:paraId="34F25BB2" w14:textId="77777777" w:rsidR="00456E0A" w:rsidRDefault="00456E0A" w:rsidP="00E42233">
      <w:pPr>
        <w:pStyle w:val="BodyTextIndentBoldUnderline"/>
      </w:pPr>
      <w:r>
        <w:t>General</w:t>
      </w:r>
    </w:p>
    <w:p w14:paraId="50B49C19" w14:textId="77777777" w:rsidR="00456E0A" w:rsidRDefault="00456E0A" w:rsidP="00E42233">
      <w:pPr>
        <w:pStyle w:val="BodyTextIndent"/>
      </w:pPr>
      <w:r>
        <w:t>Remove loose material, debris and organic matter.</w:t>
      </w:r>
    </w:p>
    <w:p w14:paraId="3BD53C28" w14:textId="77777777" w:rsidR="00456E0A" w:rsidRDefault="00456E0A" w:rsidP="00E42233">
      <w:pPr>
        <w:pStyle w:val="BodyTextIndentBoldUnderline"/>
      </w:pPr>
      <w:r>
        <w:t>Benching</w:t>
      </w:r>
    </w:p>
    <w:p w14:paraId="7E719289" w14:textId="77777777" w:rsidR="00456E0A" w:rsidRDefault="00456E0A" w:rsidP="00E42233">
      <w:pPr>
        <w:pStyle w:val="BodyTextIndent"/>
      </w:pPr>
      <w:r>
        <w:t>If filling is to be placed against a ground surface that slopes more than 1V:4H, bench into the natural surface for at least 1 m at every 1 m change of level to form a key for the filling.</w:t>
      </w:r>
    </w:p>
    <w:p w14:paraId="00A72D29" w14:textId="77777777" w:rsidR="0081263D" w:rsidRDefault="0081263D" w:rsidP="0081263D">
      <w:pPr>
        <w:pStyle w:val="BodyText"/>
        <w:rPr>
          <w:u w:val="single"/>
        </w:rPr>
      </w:pPr>
      <w:r>
        <w:br w:type="page"/>
      </w:r>
    </w:p>
    <w:p w14:paraId="660F80F6" w14:textId="7F051297" w:rsidR="00456E0A" w:rsidRDefault="00456E0A" w:rsidP="00E42233">
      <w:pPr>
        <w:pStyle w:val="BodyTextIndentBoldUnderline"/>
      </w:pPr>
      <w:r>
        <w:lastRenderedPageBreak/>
        <w:t>Under ground slabs, pavements and other load bearing elements</w:t>
      </w:r>
    </w:p>
    <w:p w14:paraId="7BD34C7C" w14:textId="77777777" w:rsidR="00456E0A" w:rsidRDefault="00456E0A" w:rsidP="00E42233">
      <w:pPr>
        <w:pStyle w:val="BodyTextIndent"/>
      </w:pPr>
      <w:r>
        <w:t>Under filling that will support slabs, pavements and other load-bearing elements, compact the stripped surface as for filling.  If necessary loosen the material to a depth of 200 mm and adjust the moisture content.</w:t>
      </w:r>
    </w:p>
    <w:p w14:paraId="742A1932" w14:textId="77777777" w:rsidR="00456E0A" w:rsidRDefault="00456E0A" w:rsidP="00E42233">
      <w:pPr>
        <w:pStyle w:val="BodyTextIndentBoldUnderline"/>
      </w:pPr>
      <w:r>
        <w:t>Under earth mounds</w:t>
      </w:r>
    </w:p>
    <w:p w14:paraId="0E157F97" w14:textId="77777777" w:rsidR="00456E0A" w:rsidRDefault="00456E0A" w:rsidP="00E42233">
      <w:pPr>
        <w:pStyle w:val="BodyTextIndent"/>
      </w:pPr>
      <w:r>
        <w:t>Cultivate the ground by ripping to a depth of 200 mm before mound formation.</w:t>
      </w:r>
    </w:p>
    <w:p w14:paraId="69CC7109" w14:textId="77777777" w:rsidR="00456E0A" w:rsidRDefault="00456E0A" w:rsidP="00E42233">
      <w:pPr>
        <w:pStyle w:val="BodyTextIndentBoldUnderline"/>
      </w:pPr>
      <w:r>
        <w:t>Rock</w:t>
      </w:r>
    </w:p>
    <w:p w14:paraId="6319546A" w14:textId="77777777" w:rsidR="00456E0A" w:rsidRDefault="00456E0A" w:rsidP="00E42233">
      <w:pPr>
        <w:pStyle w:val="BodyTextIndent"/>
      </w:pPr>
      <w:r>
        <w:t>Remove any overhanging rock ledges.  Remove any loose or unstable blocks of rock.</w:t>
      </w:r>
    </w:p>
    <w:p w14:paraId="5DC840CB" w14:textId="77777777" w:rsidR="00C11CEA" w:rsidRPr="00C45D4C" w:rsidRDefault="00C11CEA" w:rsidP="0082501D">
      <w:pPr>
        <w:pStyle w:val="Heading3"/>
      </w:pPr>
      <w:bookmarkStart w:id="58" w:name="_Toc76022219"/>
      <w:r w:rsidRPr="00C45D4C">
        <w:t>Geogrids</w:t>
      </w:r>
      <w:bookmarkEnd w:id="58"/>
    </w:p>
    <w:p w14:paraId="666AA73A" w14:textId="77777777" w:rsidR="00C11CEA" w:rsidRPr="00C45D4C" w:rsidRDefault="005A70D7" w:rsidP="00C11CEA">
      <w:pPr>
        <w:pStyle w:val="BodyTextIndent"/>
      </w:pPr>
      <w:r w:rsidRPr="00C45D4C">
        <w:t>Approval: Obtain approval before incorporating geogrids.</w:t>
      </w:r>
    </w:p>
    <w:p w14:paraId="249E4319" w14:textId="77777777" w:rsidR="00C11CEA" w:rsidRPr="00C45D4C" w:rsidRDefault="00166A25" w:rsidP="00C11CEA">
      <w:pPr>
        <w:pStyle w:val="BodyTextIndent"/>
      </w:pPr>
      <w:r w:rsidRPr="00C45D4C">
        <w:t xml:space="preserve">Comply with Queensland Department of Transport and Main Roads Standard Specification </w:t>
      </w:r>
      <w:r w:rsidRPr="00C45D4C">
        <w:rPr>
          <w:i/>
        </w:rPr>
        <w:t>MRTS</w:t>
      </w:r>
      <w:r w:rsidR="00CA6816">
        <w:t> </w:t>
      </w:r>
      <w:r w:rsidRPr="00C45D4C">
        <w:rPr>
          <w:i/>
        </w:rPr>
        <w:t>58 Subgrade Reinforcement using Pavement Geosynthetics.</w:t>
      </w:r>
    </w:p>
    <w:p w14:paraId="6680E68E" w14:textId="77777777" w:rsidR="00456E0A" w:rsidRPr="00C45D4C" w:rsidRDefault="00497413" w:rsidP="0082501D">
      <w:pPr>
        <w:pStyle w:val="Heading3"/>
      </w:pPr>
      <w:bookmarkStart w:id="59" w:name="_Toc76022220"/>
      <w:r w:rsidRPr="00C45D4C">
        <w:t>Placing Fill</w:t>
      </w:r>
      <w:bookmarkEnd w:id="59"/>
    </w:p>
    <w:p w14:paraId="7A19B292" w14:textId="77777777" w:rsidR="00456E0A" w:rsidRDefault="00456E0A" w:rsidP="00E42233">
      <w:pPr>
        <w:pStyle w:val="BodyTextIndentBoldUnderline"/>
      </w:pPr>
      <w:r w:rsidRPr="00C45D4C">
        <w:t>General</w:t>
      </w:r>
    </w:p>
    <w:p w14:paraId="46E474D6" w14:textId="77777777" w:rsidR="00456E0A" w:rsidRDefault="00456E0A" w:rsidP="00E42233">
      <w:pPr>
        <w:pStyle w:val="BodyTextIndent"/>
      </w:pPr>
      <w:r>
        <w:t xml:space="preserve">Layers: Place and compact fill in accordance with the compacted layer method of construction specified in </w:t>
      </w:r>
      <w:r>
        <w:rPr>
          <w:i/>
        </w:rPr>
        <w:t>Clause 6.2</w:t>
      </w:r>
      <w:r>
        <w:t xml:space="preserve"> to achieve the density specified in </w:t>
      </w:r>
      <w:r>
        <w:rPr>
          <w:i/>
        </w:rPr>
        <w:t>Clause 6.4</w:t>
      </w:r>
      <w:r>
        <w:t>.</w:t>
      </w:r>
    </w:p>
    <w:p w14:paraId="0716F940" w14:textId="77777777" w:rsidR="00456E0A" w:rsidRDefault="00456E0A" w:rsidP="00E42233">
      <w:pPr>
        <w:pStyle w:val="BodyTextIndentBoldUnderline"/>
      </w:pPr>
      <w:r>
        <w:t>Placing at structures</w:t>
      </w:r>
    </w:p>
    <w:p w14:paraId="1764B730" w14:textId="77777777" w:rsidR="00456E0A" w:rsidRDefault="00456E0A" w:rsidP="00E42233">
      <w:pPr>
        <w:pStyle w:val="BodyTextIndent"/>
      </w:pPr>
      <w:r>
        <w:t>General: Place and compact filling in layers simultaneously on both sides of structures, culverts and pipelines to avoid differential loading.  Commence compaction of each layer at the structure and proceed away from it.</w:t>
      </w:r>
    </w:p>
    <w:p w14:paraId="0DD462FD" w14:textId="77777777" w:rsidR="00456E0A" w:rsidRDefault="00456E0A" w:rsidP="00E42233">
      <w:pPr>
        <w:pStyle w:val="BodyTextIndent"/>
      </w:pPr>
      <w:r>
        <w:t>Placing against concrete: Do not place fill against concrete until the concrete strength is more than 80% of the specified strength.</w:t>
      </w:r>
    </w:p>
    <w:p w14:paraId="27E64061" w14:textId="77777777" w:rsidR="00456E0A" w:rsidRDefault="00456E0A" w:rsidP="00E42233">
      <w:pPr>
        <w:pStyle w:val="BodyTextIndent"/>
      </w:pPr>
      <w:r>
        <w:t>Supports: Remove any temporary supports to excavations progressively as backfilling proceeds.</w:t>
      </w:r>
    </w:p>
    <w:p w14:paraId="4740931E" w14:textId="77777777" w:rsidR="00456E0A" w:rsidRDefault="00456E0A" w:rsidP="0082501D">
      <w:pPr>
        <w:pStyle w:val="Heading2"/>
      </w:pPr>
      <w:bookmarkStart w:id="60" w:name="_Toc493942078"/>
      <w:bookmarkStart w:id="61" w:name="_Toc493986917"/>
      <w:bookmarkStart w:id="62" w:name="_Toc76022221"/>
      <w:r>
        <w:t>SUBGRADE PREPARATION</w:t>
      </w:r>
      <w:bookmarkEnd w:id="60"/>
      <w:bookmarkEnd w:id="61"/>
      <w:bookmarkEnd w:id="62"/>
    </w:p>
    <w:p w14:paraId="1358C37D" w14:textId="77777777" w:rsidR="00456E0A" w:rsidRDefault="00456E0A" w:rsidP="00E42233">
      <w:pPr>
        <w:pStyle w:val="BodyTextIndentBoldUnderline"/>
      </w:pPr>
      <w:r>
        <w:t>General</w:t>
      </w:r>
    </w:p>
    <w:p w14:paraId="4F5040DD" w14:textId="77777777" w:rsidR="00456E0A" w:rsidRDefault="00456E0A" w:rsidP="00E42233">
      <w:pPr>
        <w:pStyle w:val="BodyTextIndent"/>
      </w:pPr>
      <w:r>
        <w:t>Trim the subgrade to an even surface free from loose material.</w:t>
      </w:r>
    </w:p>
    <w:p w14:paraId="54D54FCD" w14:textId="77777777" w:rsidR="00456E0A" w:rsidRDefault="00456E0A" w:rsidP="00E42233">
      <w:pPr>
        <w:pStyle w:val="BodyTextIndentBoldUnderline"/>
      </w:pPr>
      <w:r>
        <w:t>Compaction</w:t>
      </w:r>
    </w:p>
    <w:p w14:paraId="16634C6F" w14:textId="77777777" w:rsidR="00456E0A" w:rsidRDefault="00456E0A" w:rsidP="00E42233">
      <w:pPr>
        <w:pStyle w:val="BodyTextIndent"/>
      </w:pPr>
      <w:r>
        <w:t xml:space="preserve">Compact, or recompact, subgrade material to obtain the density specified in </w:t>
      </w:r>
      <w:r>
        <w:rPr>
          <w:i/>
        </w:rPr>
        <w:t>Clause 6.4</w:t>
      </w:r>
      <w:r>
        <w:t>.</w:t>
      </w:r>
    </w:p>
    <w:p w14:paraId="7A77F372" w14:textId="77777777" w:rsidR="00456E0A" w:rsidRDefault="00456E0A" w:rsidP="00E42233">
      <w:pPr>
        <w:pStyle w:val="BodyTextIndentBoldUnderline"/>
      </w:pPr>
      <w:r>
        <w:t>Subgrade affected by moisture</w:t>
      </w:r>
    </w:p>
    <w:p w14:paraId="66C3544C" w14:textId="77777777" w:rsidR="00456E0A" w:rsidRDefault="00456E0A">
      <w:pPr>
        <w:pStyle w:val="BodyTextIndent2"/>
        <w:spacing w:after="0"/>
        <w:jc w:val="both"/>
      </w:pPr>
      <w:r w:rsidRPr="00E42233">
        <w:rPr>
          <w:rStyle w:val="BodyTextIndentChar"/>
        </w:rPr>
        <w:t>Where the subgrade is unable to support construction equipment, or it is not possible to compact the overlying pavement because of high subgrade moisture content, perform one or</w:t>
      </w:r>
      <w:r>
        <w:t xml:space="preserve"> more of the following:</w:t>
      </w:r>
    </w:p>
    <w:p w14:paraId="6E85D96C" w14:textId="77777777" w:rsidR="00456E0A" w:rsidRDefault="00456E0A" w:rsidP="00E42233">
      <w:pPr>
        <w:pStyle w:val="BodyTextIndentDot"/>
      </w:pPr>
      <w:r>
        <w:t>Allow the subgrade to dry until it will support equipment and allow compaction.</w:t>
      </w:r>
    </w:p>
    <w:p w14:paraId="1FF30111" w14:textId="77777777" w:rsidR="00456E0A" w:rsidRDefault="00456E0A" w:rsidP="00E42233">
      <w:pPr>
        <w:pStyle w:val="BodyTextIndentDot"/>
      </w:pPr>
      <w:r>
        <w:t>Scarify the subgrade to a depth of 150 mm, work as necessary to accelerate drying, and recompact when the moisture content approximates the optimum.</w:t>
      </w:r>
    </w:p>
    <w:p w14:paraId="487CB454" w14:textId="2615F6AA" w:rsidR="00456E0A" w:rsidRDefault="00456E0A" w:rsidP="00E42233">
      <w:pPr>
        <w:pStyle w:val="BodyTextIndentDot"/>
      </w:pPr>
      <w:r>
        <w:t xml:space="preserve">Excavate the wet material and replace with </w:t>
      </w:r>
      <w:r w:rsidR="001A6FFB">
        <w:t>C</w:t>
      </w:r>
      <w:r>
        <w:t>lass 3 material or select fill.</w:t>
      </w:r>
    </w:p>
    <w:p w14:paraId="731EDB78" w14:textId="77777777" w:rsidR="00456E0A" w:rsidRDefault="00456E0A" w:rsidP="00E42233">
      <w:pPr>
        <w:pStyle w:val="BodyTextIndentDot"/>
      </w:pPr>
      <w:r>
        <w:t>Treat the material with lime mixed in by approved specialised plant.</w:t>
      </w:r>
    </w:p>
    <w:p w14:paraId="01D68C73" w14:textId="77777777" w:rsidR="00456E0A" w:rsidRDefault="00456E0A" w:rsidP="00E42233">
      <w:pPr>
        <w:pStyle w:val="BodyTextIndentBoldUnderline"/>
      </w:pPr>
      <w:r>
        <w:t>Side drain, mitre drain and blanket course</w:t>
      </w:r>
    </w:p>
    <w:p w14:paraId="1ED6C303" w14:textId="77777777" w:rsidR="00456E0A" w:rsidRDefault="00456E0A" w:rsidP="00E42233">
      <w:pPr>
        <w:pStyle w:val="BodyTextIndent"/>
      </w:pPr>
      <w:r>
        <w:t xml:space="preserve">General: Construct pavement drainage system to comply with </w:t>
      </w:r>
      <w:r w:rsidRPr="00013D39">
        <w:rPr>
          <w:i/>
        </w:rPr>
        <w:t xml:space="preserve">Standard Drawing </w:t>
      </w:r>
      <w:r w:rsidR="00013D39" w:rsidRPr="00013D39">
        <w:rPr>
          <w:i/>
        </w:rPr>
        <w:t>BSD-2041</w:t>
      </w:r>
      <w:r>
        <w:t>.  For roads, construct side drains on both sides unless directed otherwise.</w:t>
      </w:r>
    </w:p>
    <w:p w14:paraId="30041C84" w14:textId="77777777" w:rsidR="00456E0A" w:rsidRDefault="00456E0A" w:rsidP="00E42233">
      <w:pPr>
        <w:pStyle w:val="BodyTextIndent"/>
      </w:pPr>
      <w:r>
        <w:t xml:space="preserve">Material: Conform to the filter material requirements of </w:t>
      </w:r>
      <w:r>
        <w:rPr>
          <w:i/>
        </w:rPr>
        <w:t>S300 Quarry Products Clause 4.4</w:t>
      </w:r>
      <w:r>
        <w:t>.</w:t>
      </w:r>
    </w:p>
    <w:p w14:paraId="28C6B6F1" w14:textId="77777777" w:rsidR="00456E0A" w:rsidRDefault="00456E0A" w:rsidP="00E42233">
      <w:pPr>
        <w:pStyle w:val="BodyTextIndent"/>
      </w:pPr>
      <w:r>
        <w:t>Construction: Do not allow construction equipment to travel or stand directly on constructed subsoil drains.</w:t>
      </w:r>
    </w:p>
    <w:p w14:paraId="6A64FDDC" w14:textId="77777777" w:rsidR="00456E0A" w:rsidRDefault="00456E0A" w:rsidP="00E42233">
      <w:pPr>
        <w:pStyle w:val="BodyTextIndentBoldUnderline"/>
      </w:pPr>
      <w:r>
        <w:lastRenderedPageBreak/>
        <w:t>Springs or seeps</w:t>
      </w:r>
    </w:p>
    <w:p w14:paraId="3F6BD79C" w14:textId="77777777" w:rsidR="00456E0A" w:rsidRDefault="00456E0A" w:rsidP="00E42233">
      <w:pPr>
        <w:pStyle w:val="BodyTextIndent"/>
      </w:pPr>
      <w:r>
        <w:t>If springs or seeps are found, provide drainage as directed.</w:t>
      </w:r>
    </w:p>
    <w:p w14:paraId="273B4AB9" w14:textId="77777777" w:rsidR="00456E0A" w:rsidRDefault="00456E0A" w:rsidP="00E42233">
      <w:pPr>
        <w:pStyle w:val="BodyTextIndentBoldUnderline"/>
      </w:pPr>
      <w:r>
        <w:t>Draining depressions</w:t>
      </w:r>
    </w:p>
    <w:p w14:paraId="28AE66E3" w14:textId="77777777" w:rsidR="00456E0A" w:rsidRDefault="00456E0A" w:rsidP="00E42233">
      <w:pPr>
        <w:pStyle w:val="BodyTextIndent"/>
      </w:pPr>
      <w:r>
        <w:t>If subgrade is replaced, grade depressions in the native material to drain to the subsoil drainage system or connect by mitre drains.</w:t>
      </w:r>
    </w:p>
    <w:p w14:paraId="45ADD779" w14:textId="77777777" w:rsidR="00456E0A" w:rsidRDefault="00456E0A" w:rsidP="00E42233">
      <w:pPr>
        <w:pStyle w:val="BodyTextIndent"/>
      </w:pPr>
      <w:r>
        <w:t>In rock subgrades, drain depressions with subgrade drains at least 150 mm wide, backfilled with coarse filter, and connected to the subsoil drainage system.</w:t>
      </w:r>
    </w:p>
    <w:p w14:paraId="393021F6" w14:textId="77777777" w:rsidR="00456E0A" w:rsidRDefault="00456E0A" w:rsidP="00D5551B">
      <w:pPr>
        <w:pStyle w:val="BodyTextIndentBoldUnderline"/>
      </w:pPr>
      <w:r>
        <w:t>Unsuitable material</w:t>
      </w:r>
    </w:p>
    <w:p w14:paraId="0693AE84" w14:textId="77777777" w:rsidR="00456E0A" w:rsidRDefault="00456E0A" w:rsidP="00D5551B">
      <w:pPr>
        <w:pStyle w:val="BodyTextIndent"/>
      </w:pPr>
      <w:r>
        <w:t>Remove roots, boulders, silt, organic matter and other unsuitable materials.</w:t>
      </w:r>
    </w:p>
    <w:p w14:paraId="6A9AB0C1" w14:textId="77777777" w:rsidR="00456E0A" w:rsidRDefault="00456E0A" w:rsidP="00D5551B">
      <w:pPr>
        <w:pStyle w:val="BodyTextIndent"/>
      </w:pPr>
      <w:r>
        <w:t xml:space="preserve">Remove or lime treat subgrade with a soaked CBR less than 3 </w:t>
      </w:r>
      <w:r w:rsidR="00EB075C">
        <w:t xml:space="preserve">to an approved depth which shall not be less than </w:t>
      </w:r>
      <w:r>
        <w:t xml:space="preserve">150 mm.  If removed, replace with </w:t>
      </w:r>
      <w:r w:rsidR="00CA6816">
        <w:t>Class </w:t>
      </w:r>
      <w:r>
        <w:t>3 material or select fill.</w:t>
      </w:r>
    </w:p>
    <w:p w14:paraId="64E05939" w14:textId="77777777" w:rsidR="00456E0A" w:rsidRDefault="00456E0A" w:rsidP="00D5551B">
      <w:pPr>
        <w:pStyle w:val="BodyTextIndentBoldUnderline"/>
      </w:pPr>
      <w:r>
        <w:t>Backfilling</w:t>
      </w:r>
    </w:p>
    <w:p w14:paraId="0DCBD0ED" w14:textId="77777777" w:rsidR="00456E0A" w:rsidRDefault="00456E0A" w:rsidP="00D5551B">
      <w:pPr>
        <w:pStyle w:val="BodyTextIndent"/>
      </w:pPr>
      <w:r>
        <w:t xml:space="preserve">Reinstate over-excavation, including excavation for grub holes to the correct level with class 3 material or select fill and compact to comply with </w:t>
      </w:r>
      <w:r>
        <w:rPr>
          <w:i/>
        </w:rPr>
        <w:t>Clause 6.4</w:t>
      </w:r>
      <w:r>
        <w:t>.</w:t>
      </w:r>
    </w:p>
    <w:p w14:paraId="5F1AD92E" w14:textId="77777777" w:rsidR="00456E0A" w:rsidRDefault="00456E0A" w:rsidP="00D5551B">
      <w:pPr>
        <w:pStyle w:val="BodyTextIndentBoldUnderline"/>
      </w:pPr>
      <w:r>
        <w:t>Rectification</w:t>
      </w:r>
    </w:p>
    <w:p w14:paraId="240AA5AF" w14:textId="77777777" w:rsidR="00456E0A" w:rsidRDefault="00456E0A" w:rsidP="00D5551B">
      <w:pPr>
        <w:pStyle w:val="BodyTextIndent"/>
      </w:pPr>
      <w:r>
        <w:t>If a section of subgrade material fails to meet the required density after compaction, rework or rectify as follows:</w:t>
      </w:r>
    </w:p>
    <w:p w14:paraId="4782FA99" w14:textId="77777777" w:rsidR="00456E0A" w:rsidRDefault="00456E0A" w:rsidP="00135BDC">
      <w:pPr>
        <w:pStyle w:val="BodyTextIndentDot"/>
      </w:pPr>
      <w:r>
        <w:t xml:space="preserve">Fill subgrades: Remove the non-complying material, replace with </w:t>
      </w:r>
      <w:r w:rsidR="00CA6816">
        <w:t>Class </w:t>
      </w:r>
      <w:r>
        <w:t>3 material or select fill and recompact.</w:t>
      </w:r>
    </w:p>
    <w:p w14:paraId="06D49920" w14:textId="14F8668B" w:rsidR="00456E0A" w:rsidRDefault="00456E0A" w:rsidP="00135BDC">
      <w:pPr>
        <w:pStyle w:val="BodyTextIndentDot"/>
      </w:pPr>
      <w:r>
        <w:t xml:space="preserve">Cut subgrades: Rework the </w:t>
      </w:r>
      <w:r w:rsidR="00DE139E">
        <w:t>material or</w:t>
      </w:r>
      <w:r>
        <w:t xml:space="preserve"> replace with </w:t>
      </w:r>
      <w:r w:rsidR="00CA6816">
        <w:t>Class </w:t>
      </w:r>
      <w:r>
        <w:t>3 material or select fill and recompact.</w:t>
      </w:r>
    </w:p>
    <w:p w14:paraId="2503166D" w14:textId="77777777" w:rsidR="00456E0A" w:rsidRPr="00C45D4C" w:rsidRDefault="00456E0A" w:rsidP="00135BDC">
      <w:pPr>
        <w:pStyle w:val="BodyTextIndentBoldUnderline"/>
      </w:pPr>
      <w:r w:rsidRPr="00C45D4C">
        <w:t>Proof rolling</w:t>
      </w:r>
    </w:p>
    <w:p w14:paraId="0280171D" w14:textId="77777777" w:rsidR="00AF3EC8" w:rsidRPr="00C45D4C" w:rsidRDefault="00AF3EC8" w:rsidP="00AF3EC8">
      <w:pPr>
        <w:pStyle w:val="BodyTextIndent"/>
      </w:pPr>
      <w:r w:rsidRPr="00C45D4C">
        <w:t>Requirement: Test the finished base for perceptible surface deformation or instability by proof rolling in the presence of the Superintendent.</w:t>
      </w:r>
    </w:p>
    <w:p w14:paraId="070359E7" w14:textId="77777777" w:rsidR="00AF3EC8" w:rsidRPr="00C45D4C" w:rsidRDefault="00AF3EC8" w:rsidP="00AF3EC8">
      <w:pPr>
        <w:pStyle w:val="BodyTextIndent"/>
      </w:pPr>
      <w:r w:rsidRPr="00C45D4C">
        <w:t>Test method: Use a truck with a single rear axle with dual tyres with a loaded axle mass of 9 tonnes or a truck with tandem rear axles with dual tyres with a total loaded mass on the tandem axles of 16.5 tonnes.  Use a minimum 600</w:t>
      </w:r>
      <w:r w:rsidR="00CA6816">
        <w:t> </w:t>
      </w:r>
      <w:r w:rsidRPr="00C45D4C">
        <w:t>kPa tyre pressure.  Testing for perceptible surface deformation is exempt from the requirement for NATA accreditation.</w:t>
      </w:r>
    </w:p>
    <w:p w14:paraId="269CA666" w14:textId="77777777" w:rsidR="00AF3EC8" w:rsidRPr="00C45D4C" w:rsidRDefault="00AF3EC8" w:rsidP="00AF3EC8">
      <w:pPr>
        <w:pStyle w:val="BodyTextIndent"/>
      </w:pPr>
      <w:r w:rsidRPr="00C45D4C">
        <w:t>Corrective Action: In areas of perceptible surface deformation or instability, remove and replace the material, or undertake other corrective action to the satisfaction of the Superintendent.</w:t>
      </w:r>
    </w:p>
    <w:p w14:paraId="62A8595B" w14:textId="77777777" w:rsidR="00456E0A" w:rsidRPr="00C45D4C" w:rsidRDefault="00456E0A" w:rsidP="0082501D">
      <w:pPr>
        <w:pStyle w:val="Heading2"/>
      </w:pPr>
      <w:bookmarkStart w:id="63" w:name="_Toc493942080"/>
      <w:bookmarkStart w:id="64" w:name="_Toc493986919"/>
      <w:bookmarkStart w:id="65" w:name="_Toc76022222"/>
      <w:r w:rsidRPr="00C45D4C">
        <w:t>DRAINAGE AND OTHER SERVICE</w:t>
      </w:r>
      <w:r w:rsidRPr="00C45D4C">
        <w:rPr>
          <w:rFonts w:ascii="Times New Roman" w:hAnsi="Times New Roman"/>
          <w:i/>
          <w:sz w:val="20"/>
        </w:rPr>
        <w:t xml:space="preserve"> </w:t>
      </w:r>
      <w:r w:rsidRPr="00C45D4C">
        <w:t>TRENCHES</w:t>
      </w:r>
      <w:bookmarkEnd w:id="63"/>
      <w:bookmarkEnd w:id="64"/>
      <w:bookmarkEnd w:id="65"/>
    </w:p>
    <w:p w14:paraId="6F78DF7F" w14:textId="77777777" w:rsidR="0073075E" w:rsidRPr="001A1E9E" w:rsidRDefault="001A1E9E" w:rsidP="00135BDC">
      <w:pPr>
        <w:pStyle w:val="BodyTextIndent"/>
        <w:rPr>
          <w:kern w:val="28"/>
        </w:rPr>
      </w:pPr>
      <w:r>
        <w:rPr>
          <w:kern w:val="28"/>
        </w:rPr>
        <w:t xml:space="preserve">Refer to </w:t>
      </w:r>
      <w:r w:rsidRPr="00596427">
        <w:rPr>
          <w:i/>
          <w:kern w:val="28"/>
        </w:rPr>
        <w:t>Reference Specification S</w:t>
      </w:r>
      <w:r w:rsidR="005248FF" w:rsidRPr="00596427">
        <w:rPr>
          <w:i/>
          <w:kern w:val="28"/>
        </w:rPr>
        <w:t>145 Installation and Maintenance of Utility Services</w:t>
      </w:r>
      <w:r w:rsidR="00596427">
        <w:rPr>
          <w:i/>
          <w:kern w:val="28"/>
        </w:rPr>
        <w:t>.</w:t>
      </w:r>
    </w:p>
    <w:p w14:paraId="0B22EECB" w14:textId="0250FA93" w:rsidR="00456E0A" w:rsidRDefault="003E551D" w:rsidP="0082501D">
      <w:pPr>
        <w:pStyle w:val="Heading2"/>
      </w:pPr>
      <w:bookmarkStart w:id="66" w:name="_Toc199840473"/>
      <w:bookmarkStart w:id="67" w:name="_Toc199840482"/>
      <w:bookmarkStart w:id="68" w:name="_Toc199840486"/>
      <w:bookmarkStart w:id="69" w:name="_Toc199840489"/>
      <w:bookmarkStart w:id="70" w:name="_Toc199840493"/>
      <w:bookmarkStart w:id="71" w:name="_Toc199840495"/>
      <w:bookmarkStart w:id="72" w:name="_Toc199840496"/>
      <w:bookmarkStart w:id="73" w:name="_Toc199840499"/>
      <w:bookmarkStart w:id="74" w:name="_Toc199840502"/>
      <w:bookmarkStart w:id="75" w:name="_Toc199840514"/>
      <w:bookmarkStart w:id="76" w:name="_Toc199840519"/>
      <w:bookmarkStart w:id="77" w:name="_Toc199840524"/>
      <w:bookmarkStart w:id="78" w:name="_Toc199840526"/>
      <w:bookmarkStart w:id="79" w:name="_Toc199840533"/>
      <w:bookmarkStart w:id="80" w:name="_Toc199840551"/>
      <w:bookmarkStart w:id="81" w:name="_Toc199840558"/>
      <w:bookmarkStart w:id="82" w:name="_Toc199840564"/>
      <w:bookmarkStart w:id="83" w:name="_Toc199840568"/>
      <w:bookmarkStart w:id="84" w:name="_Toc199840570"/>
      <w:bookmarkStart w:id="85" w:name="_Toc199840572"/>
      <w:bookmarkStart w:id="86" w:name="_Toc199840574"/>
      <w:bookmarkStart w:id="87" w:name="_Toc199840606"/>
      <w:bookmarkStart w:id="88" w:name="_Toc199840612"/>
      <w:bookmarkStart w:id="89" w:name="_Toc199840616"/>
      <w:bookmarkStart w:id="90" w:name="_Toc199840639"/>
      <w:bookmarkStart w:id="91" w:name="_Toc199840649"/>
      <w:bookmarkStart w:id="92" w:name="_Toc199840696"/>
      <w:bookmarkStart w:id="93" w:name="_Toc199840697"/>
      <w:bookmarkStart w:id="94" w:name="_Toc199840698"/>
      <w:bookmarkStart w:id="95" w:name="_Toc199840699"/>
      <w:bookmarkStart w:id="96" w:name="_Toc199840700"/>
      <w:bookmarkStart w:id="97" w:name="_Toc199840701"/>
      <w:bookmarkStart w:id="98" w:name="_Toc199840702"/>
      <w:bookmarkStart w:id="99" w:name="_Toc199840703"/>
      <w:bookmarkStart w:id="100" w:name="_Toc199840704"/>
      <w:bookmarkStart w:id="101" w:name="_Toc199840705"/>
      <w:bookmarkStart w:id="102" w:name="_Toc199840706"/>
      <w:bookmarkStart w:id="103" w:name="_Toc199840707"/>
      <w:bookmarkStart w:id="104" w:name="_Toc199840708"/>
      <w:bookmarkStart w:id="105" w:name="_Toc199840709"/>
      <w:bookmarkStart w:id="106" w:name="_Toc199840710"/>
      <w:bookmarkStart w:id="107" w:name="_Toc199840711"/>
      <w:bookmarkStart w:id="108" w:name="_Toc199840712"/>
      <w:bookmarkStart w:id="109" w:name="_Toc199840713"/>
      <w:bookmarkStart w:id="110" w:name="_Toc199840714"/>
      <w:bookmarkStart w:id="111" w:name="_Toc199840715"/>
      <w:bookmarkStart w:id="112" w:name="_Toc199840716"/>
      <w:bookmarkStart w:id="113" w:name="_Toc199840717"/>
      <w:bookmarkStart w:id="114" w:name="_Toc199840718"/>
      <w:bookmarkStart w:id="115" w:name="_Toc199840719"/>
      <w:bookmarkStart w:id="116" w:name="_Toc199840720"/>
      <w:bookmarkStart w:id="117" w:name="_Toc199840721"/>
      <w:bookmarkStart w:id="118" w:name="_Toc199840722"/>
      <w:bookmarkStart w:id="119" w:name="_Toc199840723"/>
      <w:bookmarkStart w:id="120" w:name="_Toc199840724"/>
      <w:bookmarkStart w:id="121" w:name="_Toc199840725"/>
      <w:bookmarkStart w:id="122" w:name="_Toc199840726"/>
      <w:bookmarkStart w:id="123" w:name="_Toc199840727"/>
      <w:bookmarkStart w:id="124" w:name="_Toc199840728"/>
      <w:bookmarkStart w:id="125" w:name="_Toc199840729"/>
      <w:bookmarkStart w:id="126" w:name="_Toc199840730"/>
      <w:bookmarkStart w:id="127" w:name="_Toc199840731"/>
      <w:bookmarkStart w:id="128" w:name="_Toc7602222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135BDC">
        <w:rPr>
          <w:caps w:val="0"/>
        </w:rPr>
        <w:t>SERVICE</w:t>
      </w:r>
      <w:r>
        <w:rPr>
          <w:caps w:val="0"/>
        </w:rPr>
        <w:t xml:space="preserve"> CONDUIT INSTALLATION</w:t>
      </w:r>
      <w:bookmarkEnd w:id="128"/>
    </w:p>
    <w:p w14:paraId="562FABB3" w14:textId="77777777" w:rsidR="005248FF" w:rsidRPr="001A1E9E" w:rsidRDefault="005248FF" w:rsidP="00135BDC">
      <w:pPr>
        <w:pStyle w:val="BodyTextIndent"/>
        <w:rPr>
          <w:kern w:val="28"/>
        </w:rPr>
      </w:pPr>
      <w:r>
        <w:rPr>
          <w:kern w:val="28"/>
        </w:rPr>
        <w:t xml:space="preserve">Refer to </w:t>
      </w:r>
      <w:r w:rsidRPr="00596427">
        <w:rPr>
          <w:i/>
        </w:rPr>
        <w:t>Reference</w:t>
      </w:r>
      <w:r w:rsidRPr="00596427">
        <w:rPr>
          <w:i/>
          <w:kern w:val="28"/>
        </w:rPr>
        <w:t xml:space="preserve"> Specification S145 Installation and Maintenance of Utility Services</w:t>
      </w:r>
      <w:r w:rsidR="00596427">
        <w:rPr>
          <w:i/>
          <w:kern w:val="28"/>
        </w:rPr>
        <w:t>.</w:t>
      </w:r>
    </w:p>
    <w:p w14:paraId="7DDAD694" w14:textId="0A92E630" w:rsidR="00456E0A" w:rsidRDefault="003E551D" w:rsidP="0082501D">
      <w:pPr>
        <w:pStyle w:val="Heading2"/>
      </w:pPr>
      <w:bookmarkStart w:id="129" w:name="_Toc76022224"/>
      <w:r>
        <w:rPr>
          <w:caps w:val="0"/>
        </w:rPr>
        <w:t>GEOTEXTILES</w:t>
      </w:r>
      <w:bookmarkEnd w:id="129"/>
    </w:p>
    <w:p w14:paraId="4F66E2D3" w14:textId="77777777" w:rsidR="00456E0A" w:rsidRDefault="00456E0A" w:rsidP="00135BDC">
      <w:pPr>
        <w:pStyle w:val="BodyTextIndentBoldUnderline"/>
      </w:pPr>
      <w:r>
        <w:t>General</w:t>
      </w:r>
    </w:p>
    <w:p w14:paraId="3918AA9E" w14:textId="77777777" w:rsidR="00456E0A" w:rsidRDefault="00456E0A" w:rsidP="00135BDC">
      <w:pPr>
        <w:pStyle w:val="BodyTextIndent"/>
      </w:pPr>
      <w:r>
        <w:t xml:space="preserve">Testing: To </w:t>
      </w:r>
      <w:r w:rsidRPr="00596427">
        <w:rPr>
          <w:i/>
        </w:rPr>
        <w:t>AS 3706</w:t>
      </w:r>
      <w:r>
        <w:t>.</w:t>
      </w:r>
    </w:p>
    <w:p w14:paraId="025653CE" w14:textId="77777777" w:rsidR="00456E0A" w:rsidRDefault="00456E0A" w:rsidP="00135BDC">
      <w:pPr>
        <w:pStyle w:val="BodyTextIndent"/>
      </w:pPr>
      <w:r>
        <w:t>Base materials: Polyamide, polyolefines, polyester and polyvinyl materials, either singly or in combination.</w:t>
      </w:r>
    </w:p>
    <w:p w14:paraId="44D9C899" w14:textId="77777777" w:rsidR="00456E0A" w:rsidRDefault="00456E0A" w:rsidP="00135BDC">
      <w:pPr>
        <w:pStyle w:val="BodyTextIndent"/>
      </w:pPr>
      <w:r>
        <w:t>Filament properties: Rot-proof, chemically stable and with low water absorbency.  Non-woven geotextiles must have the filaments bonded by needle punching, heat or chemical bonding processes.  Woven geotextiles must have the filaments interlaced in two sets, mutually at right angles. One set must be parallel to the longitudinal direction of the geotextile.</w:t>
      </w:r>
    </w:p>
    <w:p w14:paraId="029796FC" w14:textId="77777777" w:rsidR="00D92A30" w:rsidRDefault="00D92A30" w:rsidP="00D92A30">
      <w:pPr>
        <w:pStyle w:val="BodyText"/>
        <w:rPr>
          <w:u w:val="single"/>
        </w:rPr>
      </w:pPr>
      <w:r>
        <w:br w:type="page"/>
      </w:r>
    </w:p>
    <w:p w14:paraId="71F1695A" w14:textId="1CEE71FC" w:rsidR="00456E0A" w:rsidRDefault="00456E0A" w:rsidP="00135BDC">
      <w:pPr>
        <w:pStyle w:val="BodyTextIndentBoldUnderline"/>
      </w:pPr>
      <w:r>
        <w:lastRenderedPageBreak/>
        <w:t>Ultraviolet radiation resistance</w:t>
      </w:r>
    </w:p>
    <w:p w14:paraId="55639562" w14:textId="77777777" w:rsidR="00456E0A" w:rsidRDefault="00456E0A" w:rsidP="00135BDC">
      <w:pPr>
        <w:pStyle w:val="BodyTextIndent"/>
        <w:rPr>
          <w:kern w:val="28"/>
        </w:rPr>
      </w:pPr>
      <w:r>
        <w:t xml:space="preserve">Exposed conditions: For use such as silt fence, retain </w:t>
      </w:r>
      <w:r>
        <w:rPr>
          <w:kern w:val="28"/>
        </w:rPr>
        <w:t>90% of its original strength after three months exposure to sunlight.</w:t>
      </w:r>
    </w:p>
    <w:p w14:paraId="6866BBD2" w14:textId="77777777" w:rsidR="00456E0A" w:rsidRDefault="00456E0A" w:rsidP="00135BDC">
      <w:pPr>
        <w:pStyle w:val="BodyTextIndent"/>
        <w:rPr>
          <w:kern w:val="28"/>
        </w:rPr>
      </w:pPr>
      <w:r>
        <w:rPr>
          <w:kern w:val="28"/>
        </w:rPr>
        <w:t xml:space="preserve">Unexposed conditions: </w:t>
      </w:r>
      <w:r>
        <w:t xml:space="preserve">Retain </w:t>
      </w:r>
      <w:r>
        <w:rPr>
          <w:kern w:val="28"/>
        </w:rPr>
        <w:t>90% of its original strength after one month exposure to sunlight.</w:t>
      </w:r>
    </w:p>
    <w:p w14:paraId="6964C33A" w14:textId="77777777" w:rsidR="00456E0A" w:rsidRDefault="00456E0A" w:rsidP="00135BDC">
      <w:pPr>
        <w:pStyle w:val="BodyTextIndentBoldUnderline"/>
        <w:rPr>
          <w:kern w:val="28"/>
        </w:rPr>
      </w:pPr>
      <w:r>
        <w:t>Applications</w:t>
      </w:r>
    </w:p>
    <w:p w14:paraId="59A286D9" w14:textId="63D06AE5" w:rsidR="00456E0A" w:rsidRDefault="00456E0A" w:rsidP="00135BDC">
      <w:pPr>
        <w:pStyle w:val="BodyTextIndent"/>
        <w:rPr>
          <w:kern w:val="28"/>
        </w:rPr>
      </w:pPr>
      <w:r>
        <w:rPr>
          <w:kern w:val="28"/>
        </w:rPr>
        <w:t>Type</w:t>
      </w:r>
      <w:r w:rsidR="007B27F3">
        <w:t> </w:t>
      </w:r>
      <w:r>
        <w:rPr>
          <w:kern w:val="28"/>
        </w:rPr>
        <w:t>1, non woven: Material properties to comply with Table 12.1.  Suitable for filter drain in granular soils subject to light compacti</w:t>
      </w:r>
      <w:r w:rsidR="00281EC1">
        <w:rPr>
          <w:kern w:val="28"/>
        </w:rPr>
        <w:t>on</w:t>
      </w:r>
      <w:r>
        <w:rPr>
          <w:kern w:val="28"/>
        </w:rPr>
        <w:t xml:space="preserve"> equipment.  Limit the maximum aggregate size in contact with the geotextile to 37.5 mm.</w:t>
      </w:r>
    </w:p>
    <w:p w14:paraId="4B1C198F" w14:textId="53320722" w:rsidR="00456E0A" w:rsidRDefault="00456E0A" w:rsidP="00135BDC">
      <w:pPr>
        <w:pStyle w:val="BodyTextIndent"/>
        <w:rPr>
          <w:kern w:val="28"/>
        </w:rPr>
      </w:pPr>
      <w:r>
        <w:rPr>
          <w:kern w:val="28"/>
        </w:rPr>
        <w:t>Type</w:t>
      </w:r>
      <w:r w:rsidR="007B27F3">
        <w:t> </w:t>
      </w:r>
      <w:r>
        <w:rPr>
          <w:kern w:val="28"/>
        </w:rPr>
        <w:t>2, non woven: Material properties to comply with Table 12.1.  Suitable for filter drain for side drains in roadwork and general non-roadwork applications.  Limit the maximum aggregate size in contact with the geotextile to 75 mm.</w:t>
      </w:r>
    </w:p>
    <w:p w14:paraId="100D5DEA" w14:textId="139BC220" w:rsidR="00456E0A" w:rsidRDefault="00456E0A" w:rsidP="00135BDC">
      <w:pPr>
        <w:pStyle w:val="BodyTextIndent"/>
        <w:rPr>
          <w:kern w:val="28"/>
        </w:rPr>
      </w:pPr>
      <w:r>
        <w:rPr>
          <w:kern w:val="28"/>
        </w:rPr>
        <w:t>Type</w:t>
      </w:r>
      <w:r w:rsidR="007B27F3">
        <w:t> </w:t>
      </w:r>
      <w:r>
        <w:rPr>
          <w:kern w:val="28"/>
        </w:rPr>
        <w:t>3, non woven: Material properties to comply with Table 12.1.  Suitable for general use in roadwork (other than side drains), crib walls, and gabions.  Limit the maximum aggregate size in contact with the geotextile to 200 mm.</w:t>
      </w:r>
    </w:p>
    <w:p w14:paraId="6BD8A11D" w14:textId="2AB70D06" w:rsidR="00456E0A" w:rsidRDefault="00456E0A" w:rsidP="00135BDC">
      <w:pPr>
        <w:pStyle w:val="BodyTextIndent"/>
        <w:rPr>
          <w:kern w:val="28"/>
        </w:rPr>
      </w:pPr>
      <w:r>
        <w:rPr>
          <w:kern w:val="28"/>
        </w:rPr>
        <w:t>Type</w:t>
      </w:r>
      <w:r w:rsidR="007B27F3">
        <w:t> </w:t>
      </w:r>
      <w:r>
        <w:rPr>
          <w:kern w:val="28"/>
        </w:rPr>
        <w:t>4, non woven: Material properties to comply with Table 12.1.  Suitable for scour protection works, where the maximum rock size exceeds 200 mm.</w:t>
      </w:r>
    </w:p>
    <w:p w14:paraId="70A9BDD5" w14:textId="596037B0" w:rsidR="00456E0A" w:rsidRDefault="00456E0A" w:rsidP="00D26416">
      <w:pPr>
        <w:pStyle w:val="TableIDNum"/>
      </w:pPr>
      <w:r>
        <w:t>Table</w:t>
      </w:r>
      <w:r w:rsidR="007B27F3">
        <w:t> </w:t>
      </w:r>
      <w:r>
        <w:t xml:space="preserve">12.1 </w:t>
      </w:r>
      <w:r w:rsidR="00135BDC">
        <w:t>–</w:t>
      </w:r>
      <w:r>
        <w:t xml:space="preserve"> Material properties</w:t>
      </w:r>
    </w:p>
    <w:tbl>
      <w:tblPr>
        <w:tblW w:w="8505"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1843"/>
        <w:gridCol w:w="1332"/>
        <w:gridCol w:w="1332"/>
        <w:gridCol w:w="1333"/>
        <w:gridCol w:w="1332"/>
        <w:gridCol w:w="1333"/>
      </w:tblGrid>
      <w:tr w:rsidR="00456E0A" w14:paraId="3511BAEF" w14:textId="77777777" w:rsidTr="00BC5891">
        <w:trPr>
          <w:cantSplit/>
          <w:trHeight w:val="397"/>
          <w:tblHeader/>
        </w:trPr>
        <w:tc>
          <w:tcPr>
            <w:tcW w:w="1843" w:type="dxa"/>
            <w:tcBorders>
              <w:top w:val="single" w:sz="12" w:space="0" w:color="000000"/>
              <w:left w:val="nil"/>
              <w:bottom w:val="single" w:sz="12" w:space="0" w:color="000000"/>
              <w:right w:val="nil"/>
            </w:tcBorders>
            <w:shd w:val="pct10" w:color="auto" w:fill="auto"/>
            <w:vAlign w:val="center"/>
          </w:tcPr>
          <w:p w14:paraId="3AE48E96" w14:textId="77777777" w:rsidR="00456E0A" w:rsidRDefault="00456E0A" w:rsidP="00384F83">
            <w:pPr>
              <w:pStyle w:val="TableHead"/>
              <w:jc w:val="center"/>
            </w:pPr>
            <w:r>
              <w:t>Designation/type</w:t>
            </w:r>
          </w:p>
        </w:tc>
        <w:tc>
          <w:tcPr>
            <w:tcW w:w="1332" w:type="dxa"/>
            <w:tcBorders>
              <w:top w:val="single" w:sz="12" w:space="0" w:color="000000"/>
              <w:left w:val="nil"/>
              <w:bottom w:val="single" w:sz="12" w:space="0" w:color="000000"/>
              <w:right w:val="nil"/>
            </w:tcBorders>
            <w:shd w:val="pct10" w:color="auto" w:fill="auto"/>
            <w:vAlign w:val="center"/>
          </w:tcPr>
          <w:p w14:paraId="6D3EF438" w14:textId="77777777" w:rsidR="00456E0A" w:rsidRDefault="00456E0A" w:rsidP="00384F83">
            <w:pPr>
              <w:pStyle w:val="TableHeadCen"/>
            </w:pPr>
            <w:r>
              <w:t>Wide Strip Tensile Strength</w:t>
            </w:r>
          </w:p>
          <w:p w14:paraId="232BFF7B" w14:textId="12363993" w:rsidR="00456E0A" w:rsidRDefault="00456E0A" w:rsidP="00384F83">
            <w:pPr>
              <w:pStyle w:val="TableHeadCen"/>
            </w:pPr>
            <w:r>
              <w:t>5</w:t>
            </w:r>
            <w:r w:rsidR="00A30F4E">
              <w:t> </w:t>
            </w:r>
            <w:r>
              <w:t>percentile value (kN/m)</w:t>
            </w:r>
          </w:p>
        </w:tc>
        <w:tc>
          <w:tcPr>
            <w:tcW w:w="1332" w:type="dxa"/>
            <w:tcBorders>
              <w:top w:val="single" w:sz="12" w:space="0" w:color="000000"/>
              <w:left w:val="nil"/>
              <w:bottom w:val="single" w:sz="12" w:space="0" w:color="000000"/>
              <w:right w:val="nil"/>
            </w:tcBorders>
            <w:shd w:val="pct10" w:color="auto" w:fill="auto"/>
            <w:vAlign w:val="center"/>
          </w:tcPr>
          <w:p w14:paraId="69F4E454" w14:textId="77777777" w:rsidR="00456E0A" w:rsidRDefault="00456E0A" w:rsidP="00384F83">
            <w:pPr>
              <w:pStyle w:val="TableHeadCen"/>
            </w:pPr>
            <w:r>
              <w:t>Trapezoidal Tear Strength</w:t>
            </w:r>
          </w:p>
          <w:p w14:paraId="72E851C4" w14:textId="2524DCC5" w:rsidR="00456E0A" w:rsidRDefault="00456E0A" w:rsidP="00384F83">
            <w:pPr>
              <w:pStyle w:val="TableHeadCen"/>
            </w:pPr>
            <w:r>
              <w:t>5</w:t>
            </w:r>
            <w:r w:rsidR="00A30F4E">
              <w:t> </w:t>
            </w:r>
            <w:r>
              <w:t>percentile value (N)</w:t>
            </w:r>
          </w:p>
        </w:tc>
        <w:tc>
          <w:tcPr>
            <w:tcW w:w="1333" w:type="dxa"/>
            <w:tcBorders>
              <w:top w:val="single" w:sz="12" w:space="0" w:color="000000"/>
              <w:left w:val="nil"/>
              <w:bottom w:val="single" w:sz="12" w:space="0" w:color="000000"/>
              <w:right w:val="nil"/>
            </w:tcBorders>
            <w:shd w:val="pct10" w:color="auto" w:fill="auto"/>
            <w:vAlign w:val="center"/>
          </w:tcPr>
          <w:p w14:paraId="5595B195" w14:textId="77777777" w:rsidR="00456E0A" w:rsidRDefault="00456E0A" w:rsidP="00384F83">
            <w:pPr>
              <w:pStyle w:val="TableHeadCen"/>
            </w:pPr>
            <w:r>
              <w:t>G Rating (Note)</w:t>
            </w:r>
          </w:p>
        </w:tc>
        <w:tc>
          <w:tcPr>
            <w:tcW w:w="1332" w:type="dxa"/>
            <w:tcBorders>
              <w:top w:val="single" w:sz="12" w:space="0" w:color="000000"/>
              <w:left w:val="nil"/>
              <w:bottom w:val="single" w:sz="12" w:space="0" w:color="000000"/>
              <w:right w:val="nil"/>
            </w:tcBorders>
            <w:shd w:val="pct10" w:color="auto" w:fill="auto"/>
            <w:vAlign w:val="center"/>
          </w:tcPr>
          <w:p w14:paraId="6ACA71D3" w14:textId="77777777" w:rsidR="00456E0A" w:rsidRDefault="00456E0A" w:rsidP="00384F83">
            <w:pPr>
              <w:pStyle w:val="TableHeadCen"/>
            </w:pPr>
            <w:r>
              <w:t>Pore Size EOS (</w:t>
            </w:r>
            <w:r>
              <w:sym w:font="Symbol" w:char="F06D"/>
            </w:r>
            <w:r>
              <w:t>m)</w:t>
            </w:r>
          </w:p>
        </w:tc>
        <w:tc>
          <w:tcPr>
            <w:tcW w:w="1333" w:type="dxa"/>
            <w:tcBorders>
              <w:top w:val="single" w:sz="12" w:space="0" w:color="000000"/>
              <w:left w:val="nil"/>
              <w:bottom w:val="single" w:sz="12" w:space="0" w:color="000000"/>
              <w:right w:val="nil"/>
            </w:tcBorders>
            <w:shd w:val="pct10" w:color="auto" w:fill="auto"/>
            <w:vAlign w:val="center"/>
          </w:tcPr>
          <w:p w14:paraId="737D9D8A" w14:textId="77777777" w:rsidR="00456E0A" w:rsidRDefault="00456E0A" w:rsidP="00384F83">
            <w:pPr>
              <w:pStyle w:val="TableHeadCen"/>
            </w:pPr>
            <w:r>
              <w:t>Permittivity (s</w:t>
            </w:r>
            <w:r>
              <w:rPr>
                <w:vertAlign w:val="superscript"/>
              </w:rPr>
              <w:t>-1</w:t>
            </w:r>
            <w:r>
              <w:t>)</w:t>
            </w:r>
          </w:p>
        </w:tc>
      </w:tr>
      <w:tr w:rsidR="00456E0A" w14:paraId="2AFFCDCC" w14:textId="77777777" w:rsidTr="00BC5891">
        <w:trPr>
          <w:cantSplit/>
          <w:trHeight w:val="340"/>
        </w:trPr>
        <w:tc>
          <w:tcPr>
            <w:tcW w:w="1843" w:type="dxa"/>
            <w:tcBorders>
              <w:top w:val="single" w:sz="12" w:space="0" w:color="000000"/>
              <w:left w:val="nil"/>
              <w:bottom w:val="single" w:sz="6" w:space="0" w:color="000000"/>
              <w:right w:val="nil"/>
            </w:tcBorders>
            <w:vAlign w:val="center"/>
          </w:tcPr>
          <w:p w14:paraId="043D29C9" w14:textId="0A9BD5BC" w:rsidR="00456E0A" w:rsidRDefault="00456E0A" w:rsidP="00384F83">
            <w:pPr>
              <w:pStyle w:val="Table"/>
            </w:pPr>
            <w:r>
              <w:t>Type</w:t>
            </w:r>
            <w:r w:rsidR="007B27F3">
              <w:t> </w:t>
            </w:r>
            <w:r>
              <w:t>1, non woven</w:t>
            </w:r>
          </w:p>
        </w:tc>
        <w:tc>
          <w:tcPr>
            <w:tcW w:w="1332" w:type="dxa"/>
            <w:tcBorders>
              <w:top w:val="single" w:sz="12" w:space="0" w:color="000000"/>
              <w:left w:val="nil"/>
              <w:bottom w:val="single" w:sz="6" w:space="0" w:color="000000"/>
              <w:right w:val="nil"/>
            </w:tcBorders>
            <w:vAlign w:val="center"/>
          </w:tcPr>
          <w:p w14:paraId="3978B805" w14:textId="0C87EB23" w:rsidR="00456E0A" w:rsidRDefault="00456E0A" w:rsidP="00384F83">
            <w:pPr>
              <w:pStyle w:val="TableCen"/>
            </w:pPr>
            <w:r>
              <w:sym w:font="Symbol" w:char="F03E"/>
            </w:r>
            <w:r>
              <w:t>5.0</w:t>
            </w:r>
          </w:p>
        </w:tc>
        <w:tc>
          <w:tcPr>
            <w:tcW w:w="1332" w:type="dxa"/>
            <w:tcBorders>
              <w:top w:val="single" w:sz="12" w:space="0" w:color="000000"/>
              <w:left w:val="nil"/>
              <w:bottom w:val="single" w:sz="6" w:space="0" w:color="000000"/>
              <w:right w:val="nil"/>
            </w:tcBorders>
            <w:vAlign w:val="center"/>
          </w:tcPr>
          <w:p w14:paraId="673873E7" w14:textId="555449ED" w:rsidR="00456E0A" w:rsidRDefault="00456E0A" w:rsidP="00384F83">
            <w:pPr>
              <w:pStyle w:val="TableCen"/>
            </w:pPr>
            <w:r>
              <w:sym w:font="Symbol" w:char="F03E"/>
            </w:r>
            <w:r>
              <w:t>180</w:t>
            </w:r>
          </w:p>
        </w:tc>
        <w:tc>
          <w:tcPr>
            <w:tcW w:w="1333" w:type="dxa"/>
            <w:tcBorders>
              <w:top w:val="single" w:sz="12" w:space="0" w:color="000000"/>
              <w:left w:val="nil"/>
              <w:bottom w:val="single" w:sz="6" w:space="0" w:color="000000"/>
              <w:right w:val="nil"/>
            </w:tcBorders>
            <w:vAlign w:val="center"/>
          </w:tcPr>
          <w:p w14:paraId="7BC347D2" w14:textId="2ED1EE32" w:rsidR="00456E0A" w:rsidRDefault="00456E0A" w:rsidP="00384F83">
            <w:pPr>
              <w:pStyle w:val="TableCen"/>
            </w:pPr>
            <w:r>
              <w:sym w:font="Symbol" w:char="F03E"/>
            </w:r>
            <w:r>
              <w:t>1000</w:t>
            </w:r>
          </w:p>
        </w:tc>
        <w:tc>
          <w:tcPr>
            <w:tcW w:w="1332" w:type="dxa"/>
            <w:tcBorders>
              <w:top w:val="single" w:sz="12" w:space="0" w:color="000000"/>
              <w:left w:val="nil"/>
              <w:bottom w:val="single" w:sz="6" w:space="0" w:color="000000"/>
              <w:right w:val="nil"/>
            </w:tcBorders>
            <w:vAlign w:val="center"/>
          </w:tcPr>
          <w:p w14:paraId="0DA73A81" w14:textId="1BF6F7BE" w:rsidR="00456E0A" w:rsidRDefault="00456E0A" w:rsidP="0079592A">
            <w:pPr>
              <w:pStyle w:val="TableCen"/>
            </w:pPr>
            <w:r>
              <w:sym w:font="Symbol" w:char="F03C"/>
            </w:r>
            <w:r>
              <w:t>250</w:t>
            </w:r>
          </w:p>
        </w:tc>
        <w:tc>
          <w:tcPr>
            <w:tcW w:w="1333" w:type="dxa"/>
            <w:tcBorders>
              <w:top w:val="single" w:sz="12" w:space="0" w:color="000000"/>
              <w:left w:val="nil"/>
              <w:bottom w:val="single" w:sz="6" w:space="0" w:color="000000"/>
              <w:right w:val="nil"/>
            </w:tcBorders>
            <w:vAlign w:val="center"/>
          </w:tcPr>
          <w:p w14:paraId="637C1A0A" w14:textId="582519AF" w:rsidR="00456E0A" w:rsidRDefault="00456E0A" w:rsidP="0079592A">
            <w:pPr>
              <w:pStyle w:val="TableCen"/>
            </w:pPr>
            <w:r>
              <w:sym w:font="Symbol" w:char="F03E"/>
            </w:r>
            <w:r>
              <w:t>1.00</w:t>
            </w:r>
          </w:p>
        </w:tc>
      </w:tr>
      <w:tr w:rsidR="00456E0A" w14:paraId="086E35E5" w14:textId="77777777" w:rsidTr="00BC5891">
        <w:trPr>
          <w:cantSplit/>
          <w:trHeight w:val="340"/>
        </w:trPr>
        <w:tc>
          <w:tcPr>
            <w:tcW w:w="1843" w:type="dxa"/>
            <w:tcBorders>
              <w:top w:val="single" w:sz="6" w:space="0" w:color="000000"/>
              <w:left w:val="nil"/>
              <w:bottom w:val="single" w:sz="6" w:space="0" w:color="000000"/>
              <w:right w:val="nil"/>
            </w:tcBorders>
            <w:vAlign w:val="center"/>
          </w:tcPr>
          <w:p w14:paraId="3286CE9F" w14:textId="54CFE813" w:rsidR="00456E0A" w:rsidRDefault="00456E0A" w:rsidP="00384F83">
            <w:pPr>
              <w:pStyle w:val="Table"/>
            </w:pPr>
            <w:r>
              <w:t>Type</w:t>
            </w:r>
            <w:r w:rsidR="007B27F3">
              <w:t> </w:t>
            </w:r>
            <w:r>
              <w:t>2, non woven</w:t>
            </w:r>
          </w:p>
        </w:tc>
        <w:tc>
          <w:tcPr>
            <w:tcW w:w="1332" w:type="dxa"/>
            <w:tcBorders>
              <w:top w:val="single" w:sz="6" w:space="0" w:color="000000"/>
              <w:left w:val="nil"/>
              <w:bottom w:val="single" w:sz="6" w:space="0" w:color="000000"/>
              <w:right w:val="nil"/>
            </w:tcBorders>
            <w:vAlign w:val="center"/>
          </w:tcPr>
          <w:p w14:paraId="78B1767C" w14:textId="1DA4DA03" w:rsidR="00456E0A" w:rsidRDefault="00456E0A" w:rsidP="00384F83">
            <w:pPr>
              <w:pStyle w:val="TableCen"/>
            </w:pPr>
            <w:r>
              <w:sym w:font="Symbol" w:char="F03E"/>
            </w:r>
            <w:r>
              <w:t>9.0</w:t>
            </w:r>
          </w:p>
        </w:tc>
        <w:tc>
          <w:tcPr>
            <w:tcW w:w="1332" w:type="dxa"/>
            <w:tcBorders>
              <w:top w:val="single" w:sz="6" w:space="0" w:color="000000"/>
              <w:left w:val="nil"/>
              <w:bottom w:val="single" w:sz="6" w:space="0" w:color="000000"/>
              <w:right w:val="nil"/>
            </w:tcBorders>
            <w:vAlign w:val="center"/>
          </w:tcPr>
          <w:p w14:paraId="4B1B7340" w14:textId="21B81A34" w:rsidR="00456E0A" w:rsidRDefault="00456E0A" w:rsidP="0079592A">
            <w:pPr>
              <w:pStyle w:val="TableCen"/>
            </w:pPr>
            <w:r>
              <w:sym w:font="Symbol" w:char="F03E"/>
            </w:r>
            <w:r>
              <w:t>270</w:t>
            </w:r>
          </w:p>
        </w:tc>
        <w:tc>
          <w:tcPr>
            <w:tcW w:w="1333" w:type="dxa"/>
            <w:tcBorders>
              <w:top w:val="single" w:sz="6" w:space="0" w:color="000000"/>
              <w:left w:val="nil"/>
              <w:bottom w:val="single" w:sz="6" w:space="0" w:color="000000"/>
              <w:right w:val="nil"/>
            </w:tcBorders>
            <w:vAlign w:val="center"/>
          </w:tcPr>
          <w:p w14:paraId="77212FFE" w14:textId="46ABBB92" w:rsidR="00456E0A" w:rsidRDefault="00456E0A" w:rsidP="0079592A">
            <w:pPr>
              <w:pStyle w:val="TableCen"/>
            </w:pPr>
            <w:r>
              <w:sym w:font="Symbol" w:char="F03E"/>
            </w:r>
            <w:r>
              <w:t>2000</w:t>
            </w:r>
          </w:p>
        </w:tc>
        <w:tc>
          <w:tcPr>
            <w:tcW w:w="1332" w:type="dxa"/>
            <w:tcBorders>
              <w:top w:val="single" w:sz="6" w:space="0" w:color="000000"/>
              <w:left w:val="nil"/>
              <w:bottom w:val="single" w:sz="6" w:space="0" w:color="000000"/>
              <w:right w:val="nil"/>
            </w:tcBorders>
            <w:vAlign w:val="center"/>
          </w:tcPr>
          <w:p w14:paraId="4F3B29FE" w14:textId="29FC58CA" w:rsidR="00456E0A" w:rsidRDefault="00456E0A" w:rsidP="00384F83">
            <w:pPr>
              <w:pStyle w:val="TableCen"/>
            </w:pPr>
            <w:r>
              <w:sym w:font="Symbol" w:char="F03C"/>
            </w:r>
            <w:r>
              <w:t>180</w:t>
            </w:r>
          </w:p>
        </w:tc>
        <w:tc>
          <w:tcPr>
            <w:tcW w:w="1333" w:type="dxa"/>
            <w:tcBorders>
              <w:top w:val="single" w:sz="6" w:space="0" w:color="000000"/>
              <w:left w:val="nil"/>
              <w:bottom w:val="single" w:sz="6" w:space="0" w:color="000000"/>
              <w:right w:val="nil"/>
            </w:tcBorders>
            <w:vAlign w:val="center"/>
          </w:tcPr>
          <w:p w14:paraId="2BC6E5E4" w14:textId="22573A79" w:rsidR="00456E0A" w:rsidRDefault="00456E0A" w:rsidP="00384F83">
            <w:pPr>
              <w:pStyle w:val="TableCen"/>
            </w:pPr>
            <w:r>
              <w:sym w:font="Symbol" w:char="F03E"/>
            </w:r>
            <w:r>
              <w:t>1.00</w:t>
            </w:r>
          </w:p>
        </w:tc>
      </w:tr>
      <w:tr w:rsidR="00456E0A" w14:paraId="2A85BBDF" w14:textId="77777777" w:rsidTr="00BC5891">
        <w:trPr>
          <w:cantSplit/>
          <w:trHeight w:val="340"/>
        </w:trPr>
        <w:tc>
          <w:tcPr>
            <w:tcW w:w="1843" w:type="dxa"/>
            <w:tcBorders>
              <w:top w:val="single" w:sz="6" w:space="0" w:color="000000"/>
              <w:left w:val="nil"/>
              <w:bottom w:val="single" w:sz="6" w:space="0" w:color="000000"/>
              <w:right w:val="nil"/>
            </w:tcBorders>
            <w:vAlign w:val="center"/>
          </w:tcPr>
          <w:p w14:paraId="07165269" w14:textId="75C4CF0A" w:rsidR="00456E0A" w:rsidRDefault="00456E0A" w:rsidP="00384F83">
            <w:pPr>
              <w:pStyle w:val="Table"/>
            </w:pPr>
            <w:r>
              <w:t>Type</w:t>
            </w:r>
            <w:r w:rsidR="007B27F3">
              <w:t> </w:t>
            </w:r>
            <w:r>
              <w:t>3, non woven</w:t>
            </w:r>
          </w:p>
        </w:tc>
        <w:tc>
          <w:tcPr>
            <w:tcW w:w="1332" w:type="dxa"/>
            <w:tcBorders>
              <w:top w:val="single" w:sz="6" w:space="0" w:color="000000"/>
              <w:left w:val="nil"/>
              <w:bottom w:val="single" w:sz="6" w:space="0" w:color="000000"/>
              <w:right w:val="nil"/>
            </w:tcBorders>
            <w:vAlign w:val="center"/>
          </w:tcPr>
          <w:p w14:paraId="7E642CCE" w14:textId="584C763C" w:rsidR="00456E0A" w:rsidRDefault="00456E0A" w:rsidP="00384F83">
            <w:pPr>
              <w:pStyle w:val="TableCen"/>
            </w:pPr>
            <w:r>
              <w:sym w:font="Symbol" w:char="F03E"/>
            </w:r>
            <w:r>
              <w:t>13.0</w:t>
            </w:r>
          </w:p>
        </w:tc>
        <w:tc>
          <w:tcPr>
            <w:tcW w:w="1332" w:type="dxa"/>
            <w:tcBorders>
              <w:top w:val="single" w:sz="6" w:space="0" w:color="000000"/>
              <w:left w:val="nil"/>
              <w:bottom w:val="single" w:sz="6" w:space="0" w:color="000000"/>
              <w:right w:val="nil"/>
            </w:tcBorders>
            <w:vAlign w:val="center"/>
          </w:tcPr>
          <w:p w14:paraId="6417D08C" w14:textId="1A6B4EBB" w:rsidR="00456E0A" w:rsidRDefault="00456E0A" w:rsidP="00384F83">
            <w:pPr>
              <w:pStyle w:val="TableCen"/>
            </w:pPr>
            <w:r>
              <w:sym w:font="Symbol" w:char="F03E"/>
            </w:r>
            <w:r>
              <w:t>360</w:t>
            </w:r>
          </w:p>
        </w:tc>
        <w:tc>
          <w:tcPr>
            <w:tcW w:w="1333" w:type="dxa"/>
            <w:tcBorders>
              <w:top w:val="single" w:sz="6" w:space="0" w:color="000000"/>
              <w:left w:val="nil"/>
              <w:bottom w:val="single" w:sz="6" w:space="0" w:color="000000"/>
              <w:right w:val="nil"/>
            </w:tcBorders>
            <w:vAlign w:val="center"/>
          </w:tcPr>
          <w:p w14:paraId="00A8727D" w14:textId="4547ADD9" w:rsidR="00456E0A" w:rsidRDefault="00456E0A" w:rsidP="00384F83">
            <w:pPr>
              <w:pStyle w:val="TableCen"/>
            </w:pPr>
            <w:r>
              <w:sym w:font="Symbol" w:char="F03E"/>
            </w:r>
            <w:r>
              <w:t>3000</w:t>
            </w:r>
          </w:p>
        </w:tc>
        <w:tc>
          <w:tcPr>
            <w:tcW w:w="1332" w:type="dxa"/>
            <w:tcBorders>
              <w:top w:val="single" w:sz="6" w:space="0" w:color="000000"/>
              <w:left w:val="nil"/>
              <w:bottom w:val="single" w:sz="6" w:space="0" w:color="000000"/>
              <w:right w:val="nil"/>
            </w:tcBorders>
            <w:vAlign w:val="center"/>
          </w:tcPr>
          <w:p w14:paraId="593CE0E7" w14:textId="50E70636" w:rsidR="00456E0A" w:rsidRDefault="00456E0A" w:rsidP="0079592A">
            <w:pPr>
              <w:pStyle w:val="TableCen"/>
            </w:pPr>
            <w:r>
              <w:sym w:font="Symbol" w:char="F03C"/>
            </w:r>
            <w:r>
              <w:t>180</w:t>
            </w:r>
          </w:p>
        </w:tc>
        <w:tc>
          <w:tcPr>
            <w:tcW w:w="1333" w:type="dxa"/>
            <w:tcBorders>
              <w:top w:val="single" w:sz="6" w:space="0" w:color="000000"/>
              <w:left w:val="nil"/>
              <w:bottom w:val="single" w:sz="6" w:space="0" w:color="000000"/>
              <w:right w:val="nil"/>
            </w:tcBorders>
            <w:vAlign w:val="center"/>
          </w:tcPr>
          <w:p w14:paraId="0F8CE04E" w14:textId="076AFD04" w:rsidR="00456E0A" w:rsidRDefault="00456E0A" w:rsidP="0079592A">
            <w:pPr>
              <w:pStyle w:val="TableCen"/>
            </w:pPr>
            <w:r>
              <w:sym w:font="Symbol" w:char="F03E"/>
            </w:r>
            <w:r>
              <w:t>1.00</w:t>
            </w:r>
          </w:p>
        </w:tc>
      </w:tr>
      <w:tr w:rsidR="00456E0A" w14:paraId="36B7DDEB" w14:textId="77777777" w:rsidTr="00BC5891">
        <w:trPr>
          <w:cantSplit/>
          <w:trHeight w:val="340"/>
        </w:trPr>
        <w:tc>
          <w:tcPr>
            <w:tcW w:w="1843" w:type="dxa"/>
            <w:tcBorders>
              <w:top w:val="single" w:sz="6" w:space="0" w:color="000000"/>
              <w:left w:val="nil"/>
              <w:bottom w:val="single" w:sz="12" w:space="0" w:color="000000"/>
              <w:right w:val="nil"/>
            </w:tcBorders>
            <w:vAlign w:val="center"/>
          </w:tcPr>
          <w:p w14:paraId="678521F1" w14:textId="4C092909" w:rsidR="00456E0A" w:rsidRDefault="00456E0A" w:rsidP="00384F83">
            <w:pPr>
              <w:pStyle w:val="Table"/>
            </w:pPr>
            <w:r>
              <w:t>Type</w:t>
            </w:r>
            <w:r w:rsidR="007B27F3">
              <w:t> </w:t>
            </w:r>
            <w:permStart w:id="464000632" w:edGrp="everyone"/>
            <w:permEnd w:id="464000632"/>
            <w:r>
              <w:t>4, non woven</w:t>
            </w:r>
          </w:p>
        </w:tc>
        <w:tc>
          <w:tcPr>
            <w:tcW w:w="1332" w:type="dxa"/>
            <w:tcBorders>
              <w:top w:val="single" w:sz="6" w:space="0" w:color="000000"/>
              <w:left w:val="nil"/>
              <w:bottom w:val="single" w:sz="12" w:space="0" w:color="000000"/>
              <w:right w:val="nil"/>
            </w:tcBorders>
            <w:vAlign w:val="center"/>
          </w:tcPr>
          <w:p w14:paraId="797402C6" w14:textId="0860D123" w:rsidR="00456E0A" w:rsidRDefault="00456E0A" w:rsidP="00384F83">
            <w:pPr>
              <w:pStyle w:val="TableCen"/>
            </w:pPr>
            <w:r>
              <w:sym w:font="Symbol" w:char="F03E"/>
            </w:r>
            <w:r>
              <w:t>20.0</w:t>
            </w:r>
          </w:p>
        </w:tc>
        <w:tc>
          <w:tcPr>
            <w:tcW w:w="1332" w:type="dxa"/>
            <w:tcBorders>
              <w:top w:val="single" w:sz="6" w:space="0" w:color="000000"/>
              <w:left w:val="nil"/>
              <w:bottom w:val="single" w:sz="12" w:space="0" w:color="000000"/>
              <w:right w:val="nil"/>
            </w:tcBorders>
            <w:vAlign w:val="center"/>
          </w:tcPr>
          <w:p w14:paraId="729B592B" w14:textId="0543F06E" w:rsidR="00456E0A" w:rsidRDefault="00456E0A" w:rsidP="0079592A">
            <w:pPr>
              <w:pStyle w:val="TableCen"/>
            </w:pPr>
            <w:r>
              <w:sym w:font="Symbol" w:char="F03E"/>
            </w:r>
            <w:r>
              <w:t>550</w:t>
            </w:r>
          </w:p>
        </w:tc>
        <w:tc>
          <w:tcPr>
            <w:tcW w:w="1333" w:type="dxa"/>
            <w:tcBorders>
              <w:top w:val="single" w:sz="6" w:space="0" w:color="000000"/>
              <w:left w:val="nil"/>
              <w:bottom w:val="single" w:sz="12" w:space="0" w:color="000000"/>
              <w:right w:val="nil"/>
            </w:tcBorders>
            <w:vAlign w:val="center"/>
          </w:tcPr>
          <w:p w14:paraId="4CB8AE8C" w14:textId="69E5478E" w:rsidR="00456E0A" w:rsidRDefault="00456E0A" w:rsidP="0079592A">
            <w:pPr>
              <w:pStyle w:val="TableCen"/>
            </w:pPr>
            <w:r>
              <w:sym w:font="Symbol" w:char="F03E"/>
            </w:r>
            <w:r>
              <w:t>5000</w:t>
            </w:r>
          </w:p>
        </w:tc>
        <w:tc>
          <w:tcPr>
            <w:tcW w:w="1332" w:type="dxa"/>
            <w:tcBorders>
              <w:top w:val="single" w:sz="6" w:space="0" w:color="000000"/>
              <w:left w:val="nil"/>
              <w:bottom w:val="single" w:sz="12" w:space="0" w:color="000000"/>
              <w:right w:val="nil"/>
            </w:tcBorders>
            <w:vAlign w:val="center"/>
          </w:tcPr>
          <w:p w14:paraId="640D084C" w14:textId="49E634BC" w:rsidR="00456E0A" w:rsidRDefault="00456E0A" w:rsidP="00384F83">
            <w:pPr>
              <w:pStyle w:val="TableCen"/>
            </w:pPr>
            <w:r>
              <w:sym w:font="Symbol" w:char="F03C"/>
            </w:r>
            <w:r>
              <w:t>160</w:t>
            </w:r>
          </w:p>
        </w:tc>
        <w:tc>
          <w:tcPr>
            <w:tcW w:w="1333" w:type="dxa"/>
            <w:tcBorders>
              <w:top w:val="single" w:sz="6" w:space="0" w:color="000000"/>
              <w:left w:val="nil"/>
              <w:bottom w:val="single" w:sz="12" w:space="0" w:color="000000"/>
              <w:right w:val="nil"/>
            </w:tcBorders>
            <w:vAlign w:val="center"/>
          </w:tcPr>
          <w:p w14:paraId="63044AD6" w14:textId="1F81F873" w:rsidR="00456E0A" w:rsidRDefault="00456E0A" w:rsidP="00384F83">
            <w:pPr>
              <w:pStyle w:val="TableCen"/>
            </w:pPr>
            <w:r>
              <w:sym w:font="Symbol" w:char="F03E"/>
            </w:r>
            <w:r>
              <w:t>1.00</w:t>
            </w:r>
          </w:p>
        </w:tc>
      </w:tr>
    </w:tbl>
    <w:p w14:paraId="46C9429C" w14:textId="77777777" w:rsidR="00456E0A" w:rsidRPr="00384F83" w:rsidRDefault="00456E0A" w:rsidP="00384F83">
      <w:pPr>
        <w:pStyle w:val="BodyTextIndentBold"/>
        <w:rPr>
          <w:kern w:val="28"/>
          <w:sz w:val="18"/>
          <w:szCs w:val="18"/>
        </w:rPr>
      </w:pPr>
      <w:r w:rsidRPr="00384F83">
        <w:rPr>
          <w:kern w:val="28"/>
          <w:sz w:val="18"/>
          <w:szCs w:val="18"/>
        </w:rPr>
        <w:t>Note:</w:t>
      </w:r>
    </w:p>
    <w:p w14:paraId="320D2407" w14:textId="5F3F1E0B" w:rsidR="00456E0A" w:rsidRDefault="00456E0A" w:rsidP="00384F83">
      <w:pPr>
        <w:pStyle w:val="BodyTextIndent9"/>
        <w:tabs>
          <w:tab w:val="left" w:pos="1701"/>
        </w:tabs>
        <w:ind w:left="1701" w:hanging="981"/>
        <w:rPr>
          <w:vertAlign w:val="superscript"/>
        </w:rPr>
      </w:pPr>
      <w:r>
        <w:rPr>
          <w:kern w:val="28"/>
        </w:rPr>
        <w:t>G Rating =</w:t>
      </w:r>
      <w:r>
        <w:rPr>
          <w:kern w:val="28"/>
        </w:rPr>
        <w:tab/>
      </w:r>
      <w:r>
        <w:t>Geotextile</w:t>
      </w:r>
      <w:r>
        <w:rPr>
          <w:kern w:val="28"/>
        </w:rPr>
        <w:t xml:space="preserve"> Strength Rating = </w:t>
      </w:r>
      <w:r>
        <w:t>(H</w:t>
      </w:r>
      <w:r>
        <w:rPr>
          <w:vertAlign w:val="subscript"/>
        </w:rPr>
        <w:t>50</w:t>
      </w:r>
      <w:r w:rsidR="001C5F00">
        <w:t> </w:t>
      </w:r>
      <w:r>
        <w:t>x</w:t>
      </w:r>
      <w:r w:rsidR="001C5F00">
        <w:t> </w:t>
      </w:r>
      <w:r>
        <w:t>L)</w:t>
      </w:r>
      <w:r>
        <w:rPr>
          <w:vertAlign w:val="superscript"/>
        </w:rPr>
        <w:t>0.5</w:t>
      </w:r>
    </w:p>
    <w:p w14:paraId="3D2BF3B7" w14:textId="77777777" w:rsidR="00456E0A" w:rsidRDefault="00456E0A" w:rsidP="00384F83">
      <w:pPr>
        <w:pStyle w:val="BodyTextIndent9"/>
        <w:tabs>
          <w:tab w:val="left" w:pos="1701"/>
        </w:tabs>
        <w:ind w:left="1701" w:hanging="981"/>
        <w:rPr>
          <w:kern w:val="28"/>
        </w:rPr>
      </w:pPr>
      <w:r>
        <w:t>H</w:t>
      </w:r>
      <w:r>
        <w:rPr>
          <w:vertAlign w:val="subscript"/>
        </w:rPr>
        <w:t>50</w:t>
      </w:r>
      <w:r>
        <w:t xml:space="preserve"> =</w:t>
      </w:r>
      <w:r>
        <w:rPr>
          <w:vertAlign w:val="subscript"/>
        </w:rPr>
        <w:tab/>
      </w:r>
      <w:r>
        <w:t xml:space="preserve">Normalised drop height (mm), as determined using the Drop Cone Test procedure in </w:t>
      </w:r>
      <w:r w:rsidRPr="0079592A">
        <w:rPr>
          <w:i/>
        </w:rPr>
        <w:t>AS 3706.5</w:t>
      </w:r>
    </w:p>
    <w:p w14:paraId="5A317EC8" w14:textId="77777777" w:rsidR="00456E0A" w:rsidRDefault="00456E0A" w:rsidP="00384F83">
      <w:pPr>
        <w:pStyle w:val="BodyTextIndent9"/>
        <w:tabs>
          <w:tab w:val="left" w:pos="1701"/>
        </w:tabs>
        <w:ind w:left="1701" w:hanging="981"/>
        <w:rPr>
          <w:kern w:val="28"/>
        </w:rPr>
      </w:pPr>
      <w:r>
        <w:t>L =</w:t>
      </w:r>
      <w:r>
        <w:tab/>
        <w:t xml:space="preserve">Plunger failure load (N), as determined using the CBR Plunger Test procedure in </w:t>
      </w:r>
      <w:r w:rsidRPr="0079592A">
        <w:rPr>
          <w:i/>
        </w:rPr>
        <w:t>AS 3706.4</w:t>
      </w:r>
      <w:r>
        <w:t>.</w:t>
      </w:r>
    </w:p>
    <w:p w14:paraId="37D9AD8D" w14:textId="00FA51BF" w:rsidR="00456E0A" w:rsidRDefault="00456E0A" w:rsidP="00384F83">
      <w:pPr>
        <w:pStyle w:val="BodyTextIndent"/>
      </w:pPr>
      <w:r>
        <w:t>Filter tube: Non woven or woven geotextile suitable for sump protection boom.  Minimum weight 285 g/m</w:t>
      </w:r>
      <w:r>
        <w:rPr>
          <w:vertAlign w:val="superscript"/>
        </w:rPr>
        <w:t>2</w:t>
      </w:r>
      <w:r>
        <w:t>, pore size EOS &lt; 75 </w:t>
      </w:r>
      <w:r>
        <w:sym w:font="Symbol" w:char="F06D"/>
      </w:r>
      <w:r>
        <w:t>m, permittivity &gt;0.2 s</w:t>
      </w:r>
      <w:r>
        <w:rPr>
          <w:vertAlign w:val="superscript"/>
        </w:rPr>
        <w:t>-1</w:t>
      </w:r>
      <w:r>
        <w:t>.</w:t>
      </w:r>
    </w:p>
    <w:p w14:paraId="34E3CD78" w14:textId="4EE4B184" w:rsidR="00456E0A" w:rsidRDefault="00456E0A" w:rsidP="00384F83">
      <w:pPr>
        <w:pStyle w:val="BodyTextIndent"/>
      </w:pPr>
      <w:r>
        <w:t>Silt fence: Non woven or woven geotextile.  G rating &gt;2500, wide strip tensile strength (5</w:t>
      </w:r>
      <w:r w:rsidR="001C5F00">
        <w:t> </w:t>
      </w:r>
      <w:r>
        <w:t>percentile value) &gt;4 kN/m, permittivity &gt;0.2 s</w:t>
      </w:r>
      <w:r>
        <w:rPr>
          <w:vertAlign w:val="superscript"/>
        </w:rPr>
        <w:t>-1</w:t>
      </w:r>
      <w:r>
        <w:t>.</w:t>
      </w:r>
    </w:p>
    <w:p w14:paraId="224E46DE" w14:textId="77777777" w:rsidR="00456E0A" w:rsidRDefault="00456E0A" w:rsidP="00384F83">
      <w:pPr>
        <w:pStyle w:val="BodyTextIndentBoldUnderline"/>
      </w:pPr>
      <w:r>
        <w:t>Storage</w:t>
      </w:r>
    </w:p>
    <w:p w14:paraId="3001770F" w14:textId="77777777" w:rsidR="00456E0A" w:rsidRDefault="00456E0A" w:rsidP="00384F83">
      <w:pPr>
        <w:pStyle w:val="BodyTextIndent"/>
      </w:pPr>
      <w:r>
        <w:t>Store geotextile under protective cover or wrapped with a waterproof and ultraviolet protective sheering.  Do not store geotextile directly on the ground or expose them to excessive heat.</w:t>
      </w:r>
    </w:p>
    <w:p w14:paraId="43414E12" w14:textId="77777777" w:rsidR="00456E0A" w:rsidRDefault="00456E0A" w:rsidP="00384F83">
      <w:pPr>
        <w:pStyle w:val="BodyTextIndentBoldUnderline"/>
      </w:pPr>
      <w:r>
        <w:t>Preparation</w:t>
      </w:r>
    </w:p>
    <w:p w14:paraId="3B5CD74A" w14:textId="77777777" w:rsidR="00456E0A" w:rsidRDefault="00456E0A" w:rsidP="00384F83">
      <w:pPr>
        <w:pStyle w:val="BodyTextIndent"/>
      </w:pPr>
      <w:r>
        <w:t>Before placing geotextile, trim the ground to a smooth surface free from cavities and projecting rocks.</w:t>
      </w:r>
    </w:p>
    <w:p w14:paraId="73BC080C" w14:textId="77777777" w:rsidR="00456E0A" w:rsidRDefault="00456E0A" w:rsidP="00384F83">
      <w:pPr>
        <w:pStyle w:val="BodyTextIndentBoldUnderline"/>
      </w:pPr>
      <w:r>
        <w:t>Placing</w:t>
      </w:r>
    </w:p>
    <w:p w14:paraId="0F8DB038" w14:textId="77777777" w:rsidR="00456E0A" w:rsidRDefault="00456E0A" w:rsidP="00384F83">
      <w:pPr>
        <w:pStyle w:val="BodyTextIndent"/>
      </w:pPr>
      <w:r>
        <w:t xml:space="preserve">Fixing: Lay the material flat, but not stretched tight, and secure it with anchor pins.  Overlap joints </w:t>
      </w:r>
      <w:r w:rsidR="0040742A">
        <w:t>by</w:t>
      </w:r>
      <w:r>
        <w:t xml:space="preserve"> 300 mm minimum.</w:t>
      </w:r>
    </w:p>
    <w:p w14:paraId="35E48426" w14:textId="77777777" w:rsidR="00456E0A" w:rsidRDefault="00456E0A" w:rsidP="00384F83">
      <w:pPr>
        <w:pStyle w:val="BodyTextIndent"/>
      </w:pPr>
      <w:r>
        <w:t>Traffic: Do not allow vehicles and construction equipment on the geotextile until it has been covered with a layer of fill or pavement material at least 150 mm thick.</w:t>
      </w:r>
    </w:p>
    <w:p w14:paraId="1AAE808C" w14:textId="5C8EF6ED" w:rsidR="00456E0A" w:rsidRDefault="00456E0A" w:rsidP="00384F83">
      <w:pPr>
        <w:pStyle w:val="BodyTextIndent"/>
      </w:pPr>
      <w:r>
        <w:t>Sunlight: Do not expose the material to sunlight for more than 14</w:t>
      </w:r>
      <w:r w:rsidR="001C5F00">
        <w:t> </w:t>
      </w:r>
      <w:r>
        <w:t>days.</w:t>
      </w:r>
    </w:p>
    <w:p w14:paraId="33862D10" w14:textId="77777777" w:rsidR="00456E0A" w:rsidRDefault="00456E0A" w:rsidP="001156CE">
      <w:pPr>
        <w:pStyle w:val="Heading2"/>
      </w:pPr>
      <w:bookmarkStart w:id="130" w:name="_Toc493942082"/>
      <w:bookmarkStart w:id="131" w:name="_Toc493986921"/>
      <w:bookmarkStart w:id="132" w:name="_Toc76022225"/>
      <w:r w:rsidRPr="00384F83">
        <w:lastRenderedPageBreak/>
        <w:t>GABIONS</w:t>
      </w:r>
      <w:r>
        <w:t xml:space="preserve"> AND MATTRESSES</w:t>
      </w:r>
      <w:bookmarkEnd w:id="130"/>
      <w:bookmarkEnd w:id="131"/>
      <w:bookmarkEnd w:id="132"/>
    </w:p>
    <w:p w14:paraId="3D7B8D1D" w14:textId="77777777" w:rsidR="00456E0A" w:rsidRDefault="00497413" w:rsidP="001156CE">
      <w:pPr>
        <w:pStyle w:val="Heading3"/>
      </w:pPr>
      <w:bookmarkStart w:id="133" w:name="_Toc76022226"/>
      <w:r w:rsidRPr="00384F83">
        <w:t>Materials</w:t>
      </w:r>
      <w:bookmarkEnd w:id="133"/>
    </w:p>
    <w:p w14:paraId="47E16441" w14:textId="77777777" w:rsidR="00456E0A" w:rsidRDefault="00456E0A" w:rsidP="00384F83">
      <w:pPr>
        <w:pStyle w:val="BodyTextIndentBoldUnderline"/>
      </w:pPr>
      <w:r>
        <w:t>Wire, gabions and mattresses</w:t>
      </w:r>
    </w:p>
    <w:p w14:paraId="2CCFFFD6" w14:textId="77777777" w:rsidR="00456E0A" w:rsidRDefault="00456E0A" w:rsidP="00384F83">
      <w:pPr>
        <w:pStyle w:val="BodyTextIndent"/>
      </w:pPr>
      <w:r>
        <w:t xml:space="preserve">General: Comply with </w:t>
      </w:r>
      <w:r w:rsidRPr="00ED0DAC">
        <w:rPr>
          <w:i/>
        </w:rPr>
        <w:t>AS 2423</w:t>
      </w:r>
      <w:r>
        <w:t xml:space="preserve">.  Galvanise all wire to </w:t>
      </w:r>
      <w:r w:rsidRPr="00ED0DAC">
        <w:rPr>
          <w:i/>
        </w:rPr>
        <w:t>AS</w:t>
      </w:r>
      <w:r w:rsidR="009D540C">
        <w:rPr>
          <w:i/>
        </w:rPr>
        <w:t>/NZS</w:t>
      </w:r>
      <w:r w:rsidRPr="00ED0DAC">
        <w:rPr>
          <w:i/>
        </w:rPr>
        <w:t> 4534</w:t>
      </w:r>
      <w:r>
        <w:t>.  Coat all components with polyvinyl chloride to a minimum thickness of 0.5 mm.</w:t>
      </w:r>
    </w:p>
    <w:p w14:paraId="42966FA3" w14:textId="77777777" w:rsidR="00456E0A" w:rsidRDefault="00456E0A" w:rsidP="00384F83">
      <w:pPr>
        <w:pStyle w:val="BodyTextIndent"/>
      </w:pPr>
      <w:r>
        <w:t>Gabions: Use mesh with a wire diameter not less than 2 mm.  Provide appropriate mesh size to retain the rock filling.  Provide selvedge wires with a diameter not less the 3.15 mm and binding wire with a diameter not less than 2.5 mm.</w:t>
      </w:r>
    </w:p>
    <w:p w14:paraId="20459137" w14:textId="77777777" w:rsidR="00456E0A" w:rsidRDefault="00456E0A" w:rsidP="00384F83">
      <w:pPr>
        <w:pStyle w:val="BodyTextIndent"/>
      </w:pPr>
      <w:r>
        <w:t>Mattress: Use mesh with a wire diameter not less than 2 mm.  Provide appropriate mesh size to retain the rock filling.  Provide selvedge wires with a diameter not less than 2.5 mm and binding wire with a diameter not less than 1.6 mm.</w:t>
      </w:r>
    </w:p>
    <w:p w14:paraId="27E0AC05" w14:textId="77777777" w:rsidR="00456E0A" w:rsidRDefault="00456E0A" w:rsidP="00384F83">
      <w:pPr>
        <w:pStyle w:val="BodyTextIndentBoldUnderline"/>
      </w:pPr>
      <w:r>
        <w:t>Rock fill</w:t>
      </w:r>
    </w:p>
    <w:p w14:paraId="713408C4" w14:textId="77777777" w:rsidR="00456E0A" w:rsidRDefault="00456E0A" w:rsidP="00384F83">
      <w:pPr>
        <w:pStyle w:val="BodyTextIndent"/>
      </w:pPr>
      <w:r>
        <w:t>General: Clean, hard, durable crushed rock, rock spalls or river gravel, with minimum size larger than the maximum opening size of the mesh or fabric forming the basket.  Rocks must be cubical where possible.  The smallest dimension must not be less than half the greatest dimension.</w:t>
      </w:r>
    </w:p>
    <w:p w14:paraId="744135F2" w14:textId="77777777" w:rsidR="00456E0A" w:rsidRDefault="00456E0A" w:rsidP="00384F83">
      <w:pPr>
        <w:pStyle w:val="BodyTextIndent"/>
      </w:pPr>
      <w:r>
        <w:t xml:space="preserve">Properties: Wet/dry strength variation tested in accordance with </w:t>
      </w:r>
      <w:r w:rsidRPr="00C270D5">
        <w:rPr>
          <w:i/>
        </w:rPr>
        <w:t>AS 1141.22</w:t>
      </w:r>
      <w:r>
        <w:t xml:space="preserve"> must not exceed 35%.  Ten percent fines value tested in accordance with </w:t>
      </w:r>
      <w:r w:rsidRPr="00C270D5">
        <w:rPr>
          <w:i/>
        </w:rPr>
        <w:t>AS 1141.22</w:t>
      </w:r>
      <w:r>
        <w:t xml:space="preserve"> must not be less than 1</w:t>
      </w:r>
      <w:r w:rsidR="00E15B65">
        <w:t>5</w:t>
      </w:r>
      <w:r>
        <w:t>0 kN.</w:t>
      </w:r>
    </w:p>
    <w:p w14:paraId="04BF70BD" w14:textId="77777777" w:rsidR="00456E0A" w:rsidRDefault="00456E0A" w:rsidP="00384F83">
      <w:pPr>
        <w:pStyle w:val="BodyTextIndent"/>
      </w:pPr>
      <w:r>
        <w:t>Gabions: Provide rock of nominal size between 120 mm and 200 mm.  Rock must be uniformly graded, with greater than 80% by number exceeding the 150 mm nominal size.</w:t>
      </w:r>
    </w:p>
    <w:p w14:paraId="3F54C4D2" w14:textId="77777777" w:rsidR="00456E0A" w:rsidRDefault="00456E0A" w:rsidP="00384F83">
      <w:pPr>
        <w:pStyle w:val="BodyTextIndent"/>
      </w:pPr>
      <w:r>
        <w:t>Mattresses: Provide rock of nominal size between 75 mm and 150 mm.  Rock must be uniformly graded, with greater than 80% by number exceeding the 100 mm nominal size.</w:t>
      </w:r>
    </w:p>
    <w:p w14:paraId="320F950A" w14:textId="77777777" w:rsidR="00456E0A" w:rsidRDefault="00456E0A" w:rsidP="00384F83">
      <w:pPr>
        <w:pStyle w:val="BodyTextIndentBoldUnderline"/>
      </w:pPr>
      <w:r>
        <w:t>Anchor plates, bolts and pickets (mattresses)</w:t>
      </w:r>
    </w:p>
    <w:p w14:paraId="1AD577ED" w14:textId="77777777" w:rsidR="00456E0A" w:rsidRDefault="00456E0A" w:rsidP="00384F83">
      <w:pPr>
        <w:pStyle w:val="BodyTextIndent"/>
      </w:pPr>
      <w:r>
        <w:t xml:space="preserve">Anchor plates: Grade 250 steel to </w:t>
      </w:r>
      <w:r w:rsidRPr="00596427">
        <w:rPr>
          <w:i/>
        </w:rPr>
        <w:t>AS</w:t>
      </w:r>
      <w:r w:rsidR="006E223C">
        <w:rPr>
          <w:i/>
        </w:rPr>
        <w:t>/NZS</w:t>
      </w:r>
      <w:r w:rsidRPr="00596427">
        <w:rPr>
          <w:i/>
        </w:rPr>
        <w:t> 1594</w:t>
      </w:r>
      <w:r>
        <w:t>.  Smooth all sharp edges and curves prior to galvanising.  Galvanise to comply with</w:t>
      </w:r>
      <w:r w:rsidR="00596427">
        <w:t xml:space="preserve"> </w:t>
      </w:r>
      <w:r w:rsidRPr="00596427">
        <w:rPr>
          <w:i/>
        </w:rPr>
        <w:t>AS</w:t>
      </w:r>
      <w:r w:rsidR="00596427" w:rsidRPr="00596427">
        <w:rPr>
          <w:i/>
        </w:rPr>
        <w:t> </w:t>
      </w:r>
      <w:r w:rsidRPr="00596427">
        <w:rPr>
          <w:i/>
        </w:rPr>
        <w:t>4680</w:t>
      </w:r>
      <w:r>
        <w:t xml:space="preserve"> after fabrication.</w:t>
      </w:r>
    </w:p>
    <w:p w14:paraId="0A668A08" w14:textId="77777777" w:rsidR="00456E0A" w:rsidRDefault="00456E0A" w:rsidP="00384F83">
      <w:pPr>
        <w:pStyle w:val="BodyTextIndent"/>
      </w:pPr>
      <w:r>
        <w:t>Anchor bolts: Supply hot dip galvanised anchor bolts to secure the anchor plates to the concrete.</w:t>
      </w:r>
    </w:p>
    <w:p w14:paraId="1AC9FA99" w14:textId="77777777" w:rsidR="00456E0A" w:rsidRDefault="00456E0A" w:rsidP="00384F83">
      <w:pPr>
        <w:pStyle w:val="BodyTextIndent"/>
      </w:pPr>
      <w:r>
        <w:t>Anchor pickets: Supply star pickets 1.8 m long.</w:t>
      </w:r>
    </w:p>
    <w:p w14:paraId="519F8112" w14:textId="77777777" w:rsidR="00456E0A" w:rsidRDefault="00497413" w:rsidP="001156CE">
      <w:pPr>
        <w:pStyle w:val="Heading3"/>
      </w:pPr>
      <w:bookmarkStart w:id="134" w:name="_Toc76022227"/>
      <w:r w:rsidRPr="00384F83">
        <w:t>Execution</w:t>
      </w:r>
      <w:bookmarkEnd w:id="134"/>
    </w:p>
    <w:p w14:paraId="6F275FEF" w14:textId="77777777" w:rsidR="00456E0A" w:rsidRDefault="00456E0A" w:rsidP="00384F83">
      <w:pPr>
        <w:pStyle w:val="BodyTextIndentBoldUnderline"/>
      </w:pPr>
      <w:r>
        <w:t>Gabions</w:t>
      </w:r>
    </w:p>
    <w:p w14:paraId="54985034" w14:textId="77777777" w:rsidR="00456E0A" w:rsidRDefault="00456E0A" w:rsidP="00384F83">
      <w:pPr>
        <w:pStyle w:val="BodyTextIndent"/>
      </w:pPr>
      <w:r>
        <w:t>General: Construct gabion protection work in the locations and in accordance with the details shown on the drawings.</w:t>
      </w:r>
    </w:p>
    <w:p w14:paraId="7249C8CF" w14:textId="7E8042C2" w:rsidR="00456E0A" w:rsidRDefault="00456E0A" w:rsidP="00384F83">
      <w:pPr>
        <w:pStyle w:val="BodyTextIndent"/>
      </w:pPr>
      <w:r>
        <w:t xml:space="preserve">Surface preparation: Trim areas on which gabions are to be positioned to the specified shapes within a tolerance of </w:t>
      </w:r>
      <w:r>
        <w:sym w:font="Symbol" w:char="F0B1"/>
      </w:r>
      <w:r>
        <w:t>50 mm.  Trimmed surfaces must be free of roots, stumps, brush, rocks and the like protrusions.</w:t>
      </w:r>
    </w:p>
    <w:p w14:paraId="13A998F3" w14:textId="77777777" w:rsidR="00456E0A" w:rsidRDefault="00456E0A" w:rsidP="00384F83">
      <w:pPr>
        <w:pStyle w:val="BodyTextIndent"/>
      </w:pPr>
      <w:r>
        <w:t xml:space="preserve">Geotextile fabric: Place </w:t>
      </w:r>
      <w:r w:rsidR="00CA6816">
        <w:t>Type </w:t>
      </w:r>
      <w:r>
        <w:t>3 geotextile behind all gabions.</w:t>
      </w:r>
    </w:p>
    <w:p w14:paraId="6C5D5D8B" w14:textId="77777777" w:rsidR="00456E0A" w:rsidRDefault="00456E0A" w:rsidP="00384F83">
      <w:pPr>
        <w:pStyle w:val="BodyTextIndent"/>
      </w:pPr>
      <w:r>
        <w:t>Assembly: Assemble to comply with the drawings and recommendations of the manufacturer.</w:t>
      </w:r>
    </w:p>
    <w:p w14:paraId="54DA9156" w14:textId="77777777" w:rsidR="00456E0A" w:rsidRDefault="00456E0A" w:rsidP="00384F83">
      <w:pPr>
        <w:pStyle w:val="BodyTextIndent"/>
      </w:pPr>
      <w:r>
        <w:t>Positioning: Position assembled gabions empty in the works.  Securely position the first row of gabions and fill before gabions in other rows are positioned.</w:t>
      </w:r>
    </w:p>
    <w:p w14:paraId="60066330" w14:textId="77777777" w:rsidR="00456E0A" w:rsidRDefault="00456E0A" w:rsidP="00384F83">
      <w:pPr>
        <w:pStyle w:val="BodyTextIndent"/>
      </w:pPr>
      <w:r>
        <w:t>Rock fill: Hand pack the exposed faces of the basket.  The remainder may be filled using machine methods.  Place the rock to produce a dense, evenly distributed filling with a minimum of voids.  Maintain the tolerances and shape specified.  Tie together the outer and inner panels of the gabions during the placing operation to minimise distortions where necessary.</w:t>
      </w:r>
    </w:p>
    <w:p w14:paraId="70180532" w14:textId="77777777" w:rsidR="00456E0A" w:rsidRDefault="00456E0A" w:rsidP="00384F83">
      <w:pPr>
        <w:pStyle w:val="BodyTextIndent"/>
      </w:pPr>
      <w:r>
        <w:t>Damage: During the placing, do not damage the gabion mesh or geotextile.</w:t>
      </w:r>
    </w:p>
    <w:p w14:paraId="648C4A6B" w14:textId="77777777" w:rsidR="00456E0A" w:rsidRDefault="00456E0A" w:rsidP="00384F83">
      <w:pPr>
        <w:pStyle w:val="BodyTextIndentBoldUnderline"/>
      </w:pPr>
      <w:r>
        <w:t>Mattresses</w:t>
      </w:r>
    </w:p>
    <w:p w14:paraId="750FE36E" w14:textId="77777777" w:rsidR="00456E0A" w:rsidRDefault="00456E0A" w:rsidP="00384F83">
      <w:pPr>
        <w:pStyle w:val="BodyTextIndent"/>
      </w:pPr>
      <w:r>
        <w:t>General: Construct mattress protection work in the locations and in accordance with the details shown on the drawings.</w:t>
      </w:r>
    </w:p>
    <w:p w14:paraId="7D94D6C3" w14:textId="7C88FB2E" w:rsidR="00456E0A" w:rsidRDefault="00456E0A" w:rsidP="00384F83">
      <w:pPr>
        <w:pStyle w:val="BodyTextIndent"/>
      </w:pPr>
      <w:r>
        <w:lastRenderedPageBreak/>
        <w:t>Surface preparation: Trim areas on which gabions are to be positioned to the specified shapes within a tolerance of +50 mm to</w:t>
      </w:r>
      <w:r w:rsidR="00856593">
        <w:t xml:space="preserve"> </w:t>
      </w:r>
      <w:r w:rsidR="007E0E9B">
        <w:t>-</w:t>
      </w:r>
      <w:r>
        <w:t>50 mm, except where the provision of such tolerances will not permit the tops of the mattresses to join neatly to the inverts of adjacent culverts.  Trimmed surfaces must be free of roots, stumps, brush, rocks and the like protrusions.</w:t>
      </w:r>
    </w:p>
    <w:p w14:paraId="51FFF4F2" w14:textId="77777777" w:rsidR="00456E0A" w:rsidRDefault="00456E0A" w:rsidP="00384F83">
      <w:pPr>
        <w:pStyle w:val="BodyTextIndent"/>
      </w:pPr>
      <w:r>
        <w:t xml:space="preserve">Geotextile fabric: Place </w:t>
      </w:r>
      <w:r w:rsidR="00CA6816">
        <w:t>Type </w:t>
      </w:r>
      <w:r>
        <w:t>3 geotextile behind all mattresses.</w:t>
      </w:r>
    </w:p>
    <w:p w14:paraId="6364B65D" w14:textId="77777777" w:rsidR="00456E0A" w:rsidRDefault="00456E0A" w:rsidP="00384F83">
      <w:pPr>
        <w:pStyle w:val="BodyTextIndent"/>
      </w:pPr>
      <w:r>
        <w:t>Assembly: Assemble to comply with the drawings and recommendations of the manufacturer.</w:t>
      </w:r>
    </w:p>
    <w:p w14:paraId="29B4EE72" w14:textId="77777777" w:rsidR="00384F83" w:rsidRDefault="00456E0A" w:rsidP="00384F83">
      <w:pPr>
        <w:pStyle w:val="BodyTextIndent"/>
      </w:pPr>
      <w:r>
        <w:t>Positioning: Position assembled mattresses empty in the works.  Fix the upstream edge (if any) and the top edge of each mattress using star pickets at 1 m centres.  Make neatly cut openings for the pickets in the geotextile.  Drive pickets to refusal or full depth.  Finish the pickets level with the tops of the mattresses.</w:t>
      </w:r>
    </w:p>
    <w:p w14:paraId="1D2C4B08" w14:textId="77777777" w:rsidR="00384F83" w:rsidRDefault="00456E0A" w:rsidP="00384F83">
      <w:pPr>
        <w:pStyle w:val="BodyTextIndent"/>
      </w:pPr>
      <w:r>
        <w:t>Rock fill: Fill each row of mattresses before following rows are placed.  Tension the mattresses before filling.  Place fill to produce a dense evenly distributed filling with minimum voids and distortion of the mattress shape.  Release tension on the mattress when the mattress has sufficient rock filling to prevent the mesh from slacking after release.</w:t>
      </w:r>
    </w:p>
    <w:p w14:paraId="47472D8D" w14:textId="77777777" w:rsidR="00456E0A" w:rsidRDefault="00456E0A" w:rsidP="00384F83">
      <w:pPr>
        <w:pStyle w:val="BodyTextIndent"/>
      </w:pPr>
      <w:r>
        <w:t>Damage: During the placing, do not damage the mattress or any geotextile under the mattresses.</w:t>
      </w:r>
    </w:p>
    <w:p w14:paraId="10AB442E" w14:textId="77777777" w:rsidR="00456E0A" w:rsidRDefault="00456E0A" w:rsidP="00384F83">
      <w:pPr>
        <w:pStyle w:val="BodyTextIndentBoldUnderline"/>
      </w:pPr>
      <w:r>
        <w:t>Construction tolerances</w:t>
      </w:r>
    </w:p>
    <w:p w14:paraId="156356E8" w14:textId="77777777" w:rsidR="00456E0A" w:rsidRDefault="00456E0A" w:rsidP="00384F83">
      <w:pPr>
        <w:pStyle w:val="BodyTextIndent"/>
      </w:pPr>
      <w:r>
        <w:t>General: Construct gabions and mattresses in the locations and in accordance with the details shown on the Drawings.</w:t>
      </w:r>
    </w:p>
    <w:p w14:paraId="1F09AC9E" w14:textId="77777777" w:rsidR="00456E0A" w:rsidRDefault="00456E0A" w:rsidP="001156CE">
      <w:pPr>
        <w:pStyle w:val="Heading2"/>
      </w:pPr>
      <w:bookmarkStart w:id="135" w:name="_Toc493942084"/>
      <w:bookmarkStart w:id="136" w:name="_Toc493986923"/>
      <w:bookmarkStart w:id="137" w:name="_Toc76022228"/>
      <w:r>
        <w:t xml:space="preserve">ROCK </w:t>
      </w:r>
      <w:r w:rsidRPr="00384F83">
        <w:t>SCOUR</w:t>
      </w:r>
      <w:r>
        <w:t xml:space="preserve"> PROTECTION</w:t>
      </w:r>
      <w:bookmarkEnd w:id="135"/>
      <w:bookmarkEnd w:id="136"/>
      <w:bookmarkEnd w:id="137"/>
    </w:p>
    <w:p w14:paraId="512FF4ED" w14:textId="77777777" w:rsidR="00456E0A" w:rsidRDefault="00456E0A" w:rsidP="00384F83">
      <w:pPr>
        <w:pStyle w:val="BodyTextIndentBoldUnderline"/>
      </w:pPr>
      <w:r>
        <w:t>Application</w:t>
      </w:r>
    </w:p>
    <w:p w14:paraId="37D40589" w14:textId="77777777" w:rsidR="00456E0A" w:rsidRDefault="00456E0A" w:rsidP="00384F83">
      <w:pPr>
        <w:pStyle w:val="BodyTextIndent"/>
      </w:pPr>
      <w:r>
        <w:t xml:space="preserve">Ungrouted rock lining to provide scour protection to open channels and other areas as specified.  </w:t>
      </w:r>
      <w:r>
        <w:rPr>
          <w:i/>
        </w:rPr>
        <w:t>Refer annexure.</w:t>
      </w:r>
    </w:p>
    <w:p w14:paraId="5BE51FA6" w14:textId="77777777" w:rsidR="00456E0A" w:rsidRDefault="00456E0A" w:rsidP="00384F83">
      <w:pPr>
        <w:pStyle w:val="BodyTextIndentBoldUnderline"/>
      </w:pPr>
      <w:r>
        <w:t>Rock</w:t>
      </w:r>
    </w:p>
    <w:p w14:paraId="7FFC1D0F" w14:textId="77777777" w:rsidR="00456E0A" w:rsidRDefault="00456E0A" w:rsidP="00384F83">
      <w:pPr>
        <w:pStyle w:val="BodyTextIndent"/>
      </w:pPr>
      <w:r>
        <w:t xml:space="preserve">Use clean, hard, durable, well graded rock spalls with a nominal size of 200 mm or more.  At least 50% of rocks must be larger than a size twice the specified nominal size.  Wet/dry strength variation tested in accordance with </w:t>
      </w:r>
      <w:r w:rsidRPr="0079592A">
        <w:rPr>
          <w:i/>
        </w:rPr>
        <w:t>AS 1141.22</w:t>
      </w:r>
      <w:r>
        <w:t xml:space="preserve"> must not exceed 35%.  Ten percent fines value tested in accordance with </w:t>
      </w:r>
      <w:r w:rsidRPr="0079592A">
        <w:rPr>
          <w:i/>
        </w:rPr>
        <w:t>AS 1141.22</w:t>
      </w:r>
      <w:r>
        <w:t xml:space="preserve"> must not be less than 1</w:t>
      </w:r>
      <w:r w:rsidR="00EE63EA">
        <w:t>5</w:t>
      </w:r>
      <w:r>
        <w:t xml:space="preserve">0 kN.  The breadth and thickness of a single stone must not less than one-third its length.  </w:t>
      </w:r>
      <w:r>
        <w:rPr>
          <w:i/>
        </w:rPr>
        <w:t>Refer annexure.</w:t>
      </w:r>
    </w:p>
    <w:p w14:paraId="05F3CF06" w14:textId="77777777" w:rsidR="00456E0A" w:rsidRDefault="00456E0A" w:rsidP="00384F83">
      <w:pPr>
        <w:pStyle w:val="BodyTextIndentBoldUnderline"/>
      </w:pPr>
      <w:r>
        <w:t>Thickness</w:t>
      </w:r>
    </w:p>
    <w:p w14:paraId="7559D558" w14:textId="77777777" w:rsidR="00456E0A" w:rsidRDefault="00456E0A" w:rsidP="00384F83">
      <w:pPr>
        <w:pStyle w:val="BodyTextIndent"/>
      </w:pPr>
      <w:r>
        <w:t xml:space="preserve">The thickness of the rock facing must be at least twice the nominal rock size.  </w:t>
      </w:r>
      <w:r>
        <w:rPr>
          <w:i/>
        </w:rPr>
        <w:t>Refer annexure.</w:t>
      </w:r>
    </w:p>
    <w:p w14:paraId="36AE403F" w14:textId="77777777" w:rsidR="00456E0A" w:rsidRDefault="00456E0A" w:rsidP="00384F83">
      <w:pPr>
        <w:pStyle w:val="BodyTextIndentBoldUnderline"/>
      </w:pPr>
      <w:r>
        <w:t>Excavation</w:t>
      </w:r>
    </w:p>
    <w:p w14:paraId="55E39225" w14:textId="77777777" w:rsidR="00456E0A" w:rsidRDefault="00456E0A" w:rsidP="00384F83">
      <w:pPr>
        <w:pStyle w:val="BodyTextIndent"/>
      </w:pPr>
      <w:r>
        <w:t>Excavate the area to be rock faced so the final rock surface finishes level with the surrounding ground level.</w:t>
      </w:r>
    </w:p>
    <w:p w14:paraId="166A6671" w14:textId="77777777" w:rsidR="00456E0A" w:rsidRDefault="00456E0A" w:rsidP="00384F83">
      <w:pPr>
        <w:pStyle w:val="BodyTextIndentBoldUnderline"/>
      </w:pPr>
      <w:r>
        <w:t>Placing</w:t>
      </w:r>
    </w:p>
    <w:p w14:paraId="0AE8BE18" w14:textId="77777777" w:rsidR="00456E0A" w:rsidRDefault="00456E0A" w:rsidP="00F46BCA">
      <w:pPr>
        <w:pStyle w:val="BodyTextIndent"/>
      </w:pPr>
      <w:r>
        <w:t>Minimise the chances of rocks running loose and damaging adjacent areas.  Recover any rocks deposited outside the rock protection zone.  Place rocks in a manner that ensures that the larger rocks are uniformly distributed throughout the protection works, and that the smaller rocks effectively fill the spaces between the large rocks without leaving any large voids.  Layers of placed rock must have even thickness and even grading.</w:t>
      </w:r>
    </w:p>
    <w:p w14:paraId="1DD1454F" w14:textId="77777777" w:rsidR="00456E0A" w:rsidRDefault="00456E0A" w:rsidP="00F46BCA">
      <w:pPr>
        <w:pStyle w:val="BodyTextIndentBoldUnderline"/>
      </w:pPr>
      <w:r w:rsidRPr="00F46BCA">
        <w:t>Geotextile</w:t>
      </w:r>
    </w:p>
    <w:p w14:paraId="005CB016" w14:textId="14A4B82B" w:rsidR="00456E0A" w:rsidRDefault="00456E0A" w:rsidP="00F46BCA">
      <w:pPr>
        <w:pStyle w:val="BodyTextIndent"/>
      </w:pPr>
      <w:r>
        <w:t xml:space="preserve">Install </w:t>
      </w:r>
      <w:r w:rsidR="0079592A">
        <w:t>T</w:t>
      </w:r>
      <w:r>
        <w:t>ype</w:t>
      </w:r>
      <w:r w:rsidR="00856593">
        <w:t> </w:t>
      </w:r>
      <w:r>
        <w:t>4 geotextile over the area to be rock-faced.  Place rock to avoid damage to the geotextile.</w:t>
      </w:r>
    </w:p>
    <w:p w14:paraId="7EDBDAEF" w14:textId="77777777" w:rsidR="00456E0A" w:rsidRDefault="00456E0A" w:rsidP="001156CE">
      <w:pPr>
        <w:pStyle w:val="Heading2"/>
      </w:pPr>
      <w:bookmarkStart w:id="138" w:name="_Toc493942083"/>
      <w:bookmarkStart w:id="139" w:name="_Toc493986922"/>
      <w:bookmarkStart w:id="140" w:name="_Toc76022229"/>
      <w:r>
        <w:t>ROCK FILLING</w:t>
      </w:r>
      <w:bookmarkEnd w:id="138"/>
      <w:bookmarkEnd w:id="139"/>
      <w:bookmarkEnd w:id="140"/>
    </w:p>
    <w:p w14:paraId="536B03B4" w14:textId="77777777" w:rsidR="00456E0A" w:rsidRDefault="00456E0A" w:rsidP="00F46BCA">
      <w:pPr>
        <w:pStyle w:val="BodyTextIndentBoldUnderline"/>
      </w:pPr>
      <w:r>
        <w:t>Application</w:t>
      </w:r>
    </w:p>
    <w:p w14:paraId="4B79E270" w14:textId="77777777" w:rsidR="00456E0A" w:rsidRDefault="00456E0A" w:rsidP="00F46BCA">
      <w:pPr>
        <w:pStyle w:val="BodyTextIndent"/>
      </w:pPr>
      <w:r>
        <w:t>Rock filling to provide low settlement at structures and other areas as specified.</w:t>
      </w:r>
    </w:p>
    <w:p w14:paraId="64E874A3" w14:textId="77777777" w:rsidR="00856593" w:rsidRDefault="00856593" w:rsidP="00856593">
      <w:pPr>
        <w:pStyle w:val="BodyText"/>
        <w:rPr>
          <w:u w:val="single"/>
        </w:rPr>
      </w:pPr>
      <w:r>
        <w:br w:type="page"/>
      </w:r>
    </w:p>
    <w:p w14:paraId="1DF0B88F" w14:textId="0E3A129B" w:rsidR="00456E0A" w:rsidRDefault="00456E0A" w:rsidP="00F46BCA">
      <w:pPr>
        <w:pStyle w:val="BodyTextIndentBoldUnderline"/>
      </w:pPr>
      <w:r>
        <w:lastRenderedPageBreak/>
        <w:t>Rock</w:t>
      </w:r>
    </w:p>
    <w:p w14:paraId="36E4FF92" w14:textId="77777777" w:rsidR="00456E0A" w:rsidRDefault="00456E0A" w:rsidP="00F46BCA">
      <w:pPr>
        <w:pStyle w:val="BodyTextIndent"/>
      </w:pPr>
      <w:r>
        <w:t xml:space="preserve">Use clean, hard, durable, well graded rock spalls with a nominal size of 200 mm. Wet/dry strength variation tested in accordance with </w:t>
      </w:r>
      <w:r w:rsidRPr="0079592A">
        <w:rPr>
          <w:i/>
        </w:rPr>
        <w:t>AS 1141.22</w:t>
      </w:r>
      <w:r>
        <w:t xml:space="preserve"> must not exceed 35%.  Ten percent fines value tested in accordance with </w:t>
      </w:r>
      <w:r w:rsidRPr="0079592A">
        <w:rPr>
          <w:i/>
        </w:rPr>
        <w:t>AS 1141.22</w:t>
      </w:r>
      <w:r>
        <w:t xml:space="preserve"> must not be less than 1</w:t>
      </w:r>
      <w:r w:rsidR="00EE63EA">
        <w:t>5</w:t>
      </w:r>
      <w:r>
        <w:t>0 kN.  Rocks of length greater than 100 mm must have breadth and thickness not less than one-third of the length.</w:t>
      </w:r>
    </w:p>
    <w:p w14:paraId="0A2D51AB" w14:textId="77777777" w:rsidR="00456E0A" w:rsidRDefault="00456E0A" w:rsidP="00F46BCA">
      <w:pPr>
        <w:pStyle w:val="BodyTextIndentBoldUnderline"/>
      </w:pPr>
      <w:r>
        <w:t>P</w:t>
      </w:r>
      <w:r w:rsidR="00AF3EC8">
        <w:t>l</w:t>
      </w:r>
      <w:r>
        <w:t>acing</w:t>
      </w:r>
    </w:p>
    <w:p w14:paraId="07A2C77E" w14:textId="77777777" w:rsidR="00456E0A" w:rsidRDefault="00456E0A" w:rsidP="00F46BCA">
      <w:pPr>
        <w:pStyle w:val="BodyTextIndent"/>
      </w:pPr>
      <w:r>
        <w:t>Layering: Place rock in layers no deeper than 750 mm.  Construct layers horizontally.  At structures, avoid differences in surface levels that would cause horizontal loading on the structure.</w:t>
      </w:r>
    </w:p>
    <w:p w14:paraId="0ACBF35C" w14:textId="77777777" w:rsidR="00456E0A" w:rsidRDefault="00456E0A" w:rsidP="00F46BCA">
      <w:pPr>
        <w:pStyle w:val="BodyTextIndent"/>
      </w:pPr>
      <w:r>
        <w:t>Exposed faces: Hand pack all exposed faces with selected aggregate.  Place the rocks with their greatest dimension perpendicular to the face, breaking the joints vertically.</w:t>
      </w:r>
    </w:p>
    <w:p w14:paraId="4D43C7F1" w14:textId="77777777" w:rsidR="00456E0A" w:rsidRDefault="00456E0A" w:rsidP="00F46BCA">
      <w:pPr>
        <w:pStyle w:val="BodyTextIndentBoldUnderline"/>
      </w:pPr>
      <w:r>
        <w:t>Compaction</w:t>
      </w:r>
    </w:p>
    <w:p w14:paraId="3C5A593E" w14:textId="77777777" w:rsidR="00456E0A" w:rsidRDefault="00456E0A" w:rsidP="00F46BCA">
      <w:pPr>
        <w:pStyle w:val="BodyTextIndent"/>
      </w:pPr>
      <w:r>
        <w:t>General: During the placing of the rock, continuously sluice with water pumped from a 50 mm pump through a 50 mm hose and nozzle and compact with a vibrating roller of static weight 5 tonnes to ensure rock to rock contact throughout.</w:t>
      </w:r>
    </w:p>
    <w:p w14:paraId="711E808E" w14:textId="77777777" w:rsidR="00456E0A" w:rsidRDefault="00456E0A" w:rsidP="00F46BCA">
      <w:pPr>
        <w:pStyle w:val="BodyTextIndent"/>
      </w:pPr>
      <w:r>
        <w:t>Confined spaces: Where the use of a 5 tonne roller is impracticable, use a 1 tonne vibratory roller or, if necessary, a mechanical rammer.</w:t>
      </w:r>
    </w:p>
    <w:p w14:paraId="3A36AA0B" w14:textId="5D4F9613" w:rsidR="00456E0A" w:rsidRDefault="00673A74" w:rsidP="001156CE">
      <w:pPr>
        <w:pStyle w:val="Heading2"/>
      </w:pPr>
      <w:bookmarkStart w:id="141" w:name="_Toc76022230"/>
      <w:r w:rsidRPr="00F46BCA">
        <w:rPr>
          <w:caps w:val="0"/>
        </w:rPr>
        <w:t>BARRIERS</w:t>
      </w:r>
      <w:r>
        <w:rPr>
          <w:caps w:val="0"/>
        </w:rPr>
        <w:t xml:space="preserve"> AND MEMBRANES</w:t>
      </w:r>
      <w:bookmarkEnd w:id="141"/>
    </w:p>
    <w:p w14:paraId="5E26358C" w14:textId="77777777" w:rsidR="00456E0A" w:rsidRDefault="00456E0A" w:rsidP="00F46BCA">
      <w:pPr>
        <w:pStyle w:val="BodyTextIndent"/>
      </w:pPr>
      <w:r>
        <w:t>Protective covering: Do not disturb or damage the protective covering of membranes during backfilling.</w:t>
      </w:r>
    </w:p>
    <w:p w14:paraId="280765D5" w14:textId="77777777" w:rsidR="00456E0A" w:rsidRDefault="00456E0A" w:rsidP="001156CE">
      <w:pPr>
        <w:pStyle w:val="Heading2"/>
      </w:pPr>
      <w:bookmarkStart w:id="142" w:name="_Toc76022231"/>
      <w:r w:rsidRPr="00F46BCA">
        <w:t>RETAINING</w:t>
      </w:r>
      <w:r>
        <w:t xml:space="preserve"> WALLS</w:t>
      </w:r>
      <w:bookmarkEnd w:id="142"/>
    </w:p>
    <w:p w14:paraId="3EDA539A" w14:textId="77777777" w:rsidR="00456E0A" w:rsidRPr="00497413" w:rsidRDefault="00497413" w:rsidP="001156CE">
      <w:pPr>
        <w:pStyle w:val="Heading3"/>
      </w:pPr>
      <w:bookmarkStart w:id="143" w:name="_Toc76022232"/>
      <w:r w:rsidRPr="00497413">
        <w:t>Crib Walls</w:t>
      </w:r>
      <w:bookmarkEnd w:id="143"/>
    </w:p>
    <w:p w14:paraId="58C60FC3" w14:textId="77777777" w:rsidR="00456E0A" w:rsidRDefault="00456E0A" w:rsidP="00F46BCA">
      <w:pPr>
        <w:pStyle w:val="BodyTextIndent"/>
      </w:pPr>
      <w:r>
        <w:t xml:space="preserve">Proprietary system of interlocking precast concrete or preservative treated timber cribs with backfill as specified by the manufacturer, placed and compacted progressively with the crib to form a retaining wall.  </w:t>
      </w:r>
      <w:r>
        <w:rPr>
          <w:i/>
        </w:rPr>
        <w:t>Refer annexure.</w:t>
      </w:r>
    </w:p>
    <w:p w14:paraId="41579D5B" w14:textId="77777777" w:rsidR="00456E0A" w:rsidRDefault="00497413" w:rsidP="001156CE">
      <w:pPr>
        <w:pStyle w:val="Heading3"/>
      </w:pPr>
      <w:bookmarkStart w:id="144" w:name="_Toc76022233"/>
      <w:r>
        <w:t>Earth Reinforcement</w:t>
      </w:r>
      <w:bookmarkEnd w:id="144"/>
    </w:p>
    <w:p w14:paraId="593C8D04" w14:textId="77777777" w:rsidR="00456E0A" w:rsidRDefault="00456E0A" w:rsidP="00F46BCA">
      <w:pPr>
        <w:pStyle w:val="BodyTextIndentBoldUnderline"/>
      </w:pPr>
      <w:r>
        <w:t>Scope</w:t>
      </w:r>
    </w:p>
    <w:p w14:paraId="02FAADF2" w14:textId="77777777" w:rsidR="00456E0A" w:rsidRDefault="00456E0A" w:rsidP="00F46BCA">
      <w:pPr>
        <w:pStyle w:val="BodyTextIndent"/>
      </w:pPr>
      <w:r>
        <w:t xml:space="preserve">Reinforced soil structures consisting of proprietary systems of reinforcing strips placed in layers with compacted select fill and connected to precast concrete facing panels to form vertical retaining walls.  </w:t>
      </w:r>
      <w:r>
        <w:rPr>
          <w:i/>
        </w:rPr>
        <w:t>Refer annexure</w:t>
      </w:r>
      <w:r>
        <w:t>.</w:t>
      </w:r>
    </w:p>
    <w:p w14:paraId="65EFC812" w14:textId="77777777" w:rsidR="00456E0A" w:rsidRDefault="00456E0A" w:rsidP="00F46BCA">
      <w:pPr>
        <w:pStyle w:val="BodyTextIndentBoldUnderline"/>
      </w:pPr>
      <w:r>
        <w:t>Design</w:t>
      </w:r>
    </w:p>
    <w:p w14:paraId="3ADB4C5C" w14:textId="77777777" w:rsidR="00456E0A" w:rsidRDefault="00456E0A" w:rsidP="00F46BCA">
      <w:pPr>
        <w:pStyle w:val="BodyTextIndent"/>
      </w:pPr>
      <w:r>
        <w:t xml:space="preserve">Standard: To Queensland Department of </w:t>
      </w:r>
      <w:r w:rsidR="00B63EEA">
        <w:t xml:space="preserve">Transport and </w:t>
      </w:r>
      <w:r>
        <w:t>Main Roads standard specification</w:t>
      </w:r>
      <w:r>
        <w:rPr>
          <w:i/>
        </w:rPr>
        <w:t xml:space="preserve"> MR</w:t>
      </w:r>
      <w:r w:rsidR="00B63EEA">
        <w:rPr>
          <w:i/>
        </w:rPr>
        <w:t>T</w:t>
      </w:r>
      <w:r>
        <w:rPr>
          <w:i/>
        </w:rPr>
        <w:t>S</w:t>
      </w:r>
      <w:r w:rsidR="00ED0DAC" w:rsidRPr="00ED0DAC">
        <w:rPr>
          <w:i/>
        </w:rPr>
        <w:t> </w:t>
      </w:r>
      <w:r>
        <w:rPr>
          <w:i/>
        </w:rPr>
        <w:t>06 Reinforced Soil Structures</w:t>
      </w:r>
      <w:r>
        <w:t>.</w:t>
      </w:r>
    </w:p>
    <w:p w14:paraId="0A0D2C88" w14:textId="5CC19454" w:rsidR="00456E0A" w:rsidRDefault="00456E0A" w:rsidP="00F46BCA">
      <w:pPr>
        <w:pStyle w:val="BodyTextIndent"/>
      </w:pPr>
      <w:r>
        <w:t>Design life: 120</w:t>
      </w:r>
      <w:r w:rsidR="00AD1993">
        <w:t> </w:t>
      </w:r>
      <w:r w:rsidR="008018E7">
        <w:t>y</w:t>
      </w:r>
      <w:r>
        <w:t xml:space="preserve">ears. </w:t>
      </w:r>
      <w:r>
        <w:rPr>
          <w:i/>
        </w:rPr>
        <w:t>Refer annexure.</w:t>
      </w:r>
    </w:p>
    <w:p w14:paraId="36721F58" w14:textId="77777777" w:rsidR="00456E0A" w:rsidRDefault="00456E0A" w:rsidP="00F46BCA">
      <w:pPr>
        <w:pStyle w:val="BodyTextIndent"/>
      </w:pPr>
      <w:r>
        <w:t xml:space="preserve">Wall movement: The maximum long term incremental lateral deflection of any part of the wall facing, occurring at any time, must not exceed 20 mm.  </w:t>
      </w:r>
      <w:r>
        <w:rPr>
          <w:i/>
        </w:rPr>
        <w:t>Refer annexure.</w:t>
      </w:r>
    </w:p>
    <w:p w14:paraId="532946D0" w14:textId="77777777" w:rsidR="00456E0A" w:rsidRDefault="00456E0A">
      <w:pPr>
        <w:pStyle w:val="BodyTextIndent2"/>
        <w:spacing w:after="0"/>
        <w:jc w:val="both"/>
      </w:pPr>
      <w:r>
        <w:t>Facing units: Concrete Grade N</w:t>
      </w:r>
      <w:r w:rsidR="00B63EEA">
        <w:t>40</w:t>
      </w:r>
      <w:r>
        <w:t xml:space="preserve"> to </w:t>
      </w:r>
      <w:r w:rsidRPr="00C270D5">
        <w:rPr>
          <w:i/>
        </w:rPr>
        <w:t>AS 3600</w:t>
      </w:r>
      <w:r>
        <w:t xml:space="preserve"> with surface finish to Class</w:t>
      </w:r>
      <w:r w:rsidR="00491846">
        <w:t> </w:t>
      </w:r>
      <w:r>
        <w:t xml:space="preserve">2 to comply with </w:t>
      </w:r>
      <w:r w:rsidRPr="00ED0DAC">
        <w:rPr>
          <w:i/>
        </w:rPr>
        <w:t>AS 3610</w:t>
      </w:r>
      <w:r>
        <w:t>.</w:t>
      </w:r>
    </w:p>
    <w:p w14:paraId="718E7D37" w14:textId="77777777" w:rsidR="00456E0A" w:rsidRDefault="00456E0A" w:rsidP="00F46BCA">
      <w:pPr>
        <w:pStyle w:val="BodyTextIndentBoldUnderline"/>
      </w:pPr>
      <w:r>
        <w:t>Fill</w:t>
      </w:r>
    </w:p>
    <w:p w14:paraId="02669727" w14:textId="77777777" w:rsidR="00456E0A" w:rsidRDefault="00456E0A" w:rsidP="00F46BCA">
      <w:pPr>
        <w:pStyle w:val="BodyTextIndent"/>
      </w:pPr>
      <w:r>
        <w:t xml:space="preserve">Comply with Queensland Department of </w:t>
      </w:r>
      <w:r w:rsidR="00B63EEA">
        <w:t xml:space="preserve">Transport and </w:t>
      </w:r>
      <w:r>
        <w:t xml:space="preserve">Main Roads standard specification </w:t>
      </w:r>
      <w:r>
        <w:rPr>
          <w:i/>
        </w:rPr>
        <w:t>MR</w:t>
      </w:r>
      <w:r w:rsidR="00B63EEA">
        <w:rPr>
          <w:i/>
        </w:rPr>
        <w:t>T</w:t>
      </w:r>
      <w:r>
        <w:rPr>
          <w:i/>
        </w:rPr>
        <w:t>S</w:t>
      </w:r>
      <w:r w:rsidR="00ED0DAC" w:rsidRPr="00ED0DAC">
        <w:rPr>
          <w:i/>
        </w:rPr>
        <w:t> </w:t>
      </w:r>
      <w:r>
        <w:rPr>
          <w:i/>
        </w:rPr>
        <w:t>06 Reinforced Soil Structures</w:t>
      </w:r>
      <w:r>
        <w:t>.</w:t>
      </w:r>
    </w:p>
    <w:p w14:paraId="34C1637F" w14:textId="77777777" w:rsidR="00456E0A" w:rsidRDefault="00456E0A" w:rsidP="00F46BCA">
      <w:pPr>
        <w:pStyle w:val="BodyTextIndentBoldUnderline"/>
      </w:pPr>
      <w:r>
        <w:t>Accessories</w:t>
      </w:r>
    </w:p>
    <w:p w14:paraId="7A12DF0B" w14:textId="77777777" w:rsidR="00456E0A" w:rsidRDefault="00456E0A" w:rsidP="00F46BCA">
      <w:pPr>
        <w:pStyle w:val="BodyTextIndent"/>
      </w:pPr>
      <w:r>
        <w:t xml:space="preserve">Provide the necessary accessories including levelling pad, bearing pads and joint fillers or covers to keep the fill material out of the panel joints.  </w:t>
      </w:r>
      <w:r>
        <w:rPr>
          <w:i/>
        </w:rPr>
        <w:t>Refer annexure.</w:t>
      </w:r>
    </w:p>
    <w:p w14:paraId="65339F48" w14:textId="77777777" w:rsidR="00856593" w:rsidRDefault="00856593" w:rsidP="00856593">
      <w:pPr>
        <w:pStyle w:val="BodyText"/>
        <w:rPr>
          <w:u w:val="single"/>
        </w:rPr>
      </w:pPr>
      <w:r>
        <w:br w:type="page"/>
      </w:r>
    </w:p>
    <w:p w14:paraId="4103AD05" w14:textId="44CF7120" w:rsidR="00456E0A" w:rsidRDefault="00456E0A" w:rsidP="00F46BCA">
      <w:pPr>
        <w:pStyle w:val="BodyTextIndentBoldUnderline"/>
      </w:pPr>
      <w:r>
        <w:lastRenderedPageBreak/>
        <w:t>Construction</w:t>
      </w:r>
    </w:p>
    <w:p w14:paraId="451174C1" w14:textId="77777777" w:rsidR="00456E0A" w:rsidRDefault="00456E0A" w:rsidP="00F46BCA">
      <w:pPr>
        <w:pStyle w:val="BodyTextIndent"/>
      </w:pPr>
      <w:r>
        <w:t xml:space="preserve">Comply with Queensland </w:t>
      </w:r>
      <w:r w:rsidRPr="00F46BCA">
        <w:t>Department</w:t>
      </w:r>
      <w:r>
        <w:t xml:space="preserve"> of</w:t>
      </w:r>
      <w:r w:rsidR="00B63EEA">
        <w:t xml:space="preserve"> Transport and</w:t>
      </w:r>
      <w:r>
        <w:t xml:space="preserve"> Main Roads standard specification </w:t>
      </w:r>
      <w:r>
        <w:rPr>
          <w:i/>
        </w:rPr>
        <w:t>MR</w:t>
      </w:r>
      <w:r w:rsidR="00B63EEA">
        <w:rPr>
          <w:i/>
        </w:rPr>
        <w:t>T</w:t>
      </w:r>
      <w:r>
        <w:rPr>
          <w:i/>
        </w:rPr>
        <w:t>S</w:t>
      </w:r>
      <w:r w:rsidR="00ED0DAC" w:rsidRPr="00ED0DAC">
        <w:rPr>
          <w:i/>
        </w:rPr>
        <w:t> </w:t>
      </w:r>
      <w:r>
        <w:rPr>
          <w:i/>
        </w:rPr>
        <w:t>06 Reinforced Soil Structures</w:t>
      </w:r>
      <w:r>
        <w:t>.</w:t>
      </w:r>
    </w:p>
    <w:p w14:paraId="49B8E515" w14:textId="77777777" w:rsidR="00456E0A" w:rsidRDefault="00456E0A" w:rsidP="00F46BCA">
      <w:pPr>
        <w:pStyle w:val="BodyTextIndentBoldUnderline"/>
      </w:pPr>
      <w:r>
        <w:t>Completion</w:t>
      </w:r>
    </w:p>
    <w:p w14:paraId="55392FB8" w14:textId="77777777" w:rsidR="00456E0A" w:rsidRDefault="00456E0A" w:rsidP="00F46BCA">
      <w:pPr>
        <w:pStyle w:val="BodyTextIndent"/>
      </w:pPr>
      <w:r>
        <w:t>Provide as constructed drawings, including sections at 5 m centres.</w:t>
      </w:r>
    </w:p>
    <w:p w14:paraId="0DE87E90" w14:textId="77777777" w:rsidR="00456E0A" w:rsidRDefault="00456E0A" w:rsidP="001156CE">
      <w:pPr>
        <w:pStyle w:val="Heading2"/>
      </w:pPr>
      <w:bookmarkStart w:id="145" w:name="_Toc493942086"/>
      <w:bookmarkStart w:id="146" w:name="_Toc493986925"/>
      <w:bookmarkStart w:id="147" w:name="_Toc76022234"/>
      <w:r w:rsidRPr="00F46BCA">
        <w:t>GROUND</w:t>
      </w:r>
      <w:r>
        <w:t xml:space="preserve"> ANCHORS</w:t>
      </w:r>
      <w:bookmarkEnd w:id="145"/>
      <w:bookmarkEnd w:id="146"/>
      <w:bookmarkEnd w:id="147"/>
    </w:p>
    <w:p w14:paraId="2B4C1030" w14:textId="77777777" w:rsidR="00456E0A" w:rsidRDefault="00497413" w:rsidP="001156CE">
      <w:pPr>
        <w:pStyle w:val="Heading3"/>
      </w:pPr>
      <w:bookmarkStart w:id="148" w:name="_Toc76022235"/>
      <w:r w:rsidRPr="00F46BCA">
        <w:t>General</w:t>
      </w:r>
      <w:bookmarkEnd w:id="148"/>
    </w:p>
    <w:p w14:paraId="2015CBEB" w14:textId="77777777" w:rsidR="00456E0A" w:rsidRDefault="00456E0A" w:rsidP="00977E52">
      <w:pPr>
        <w:pStyle w:val="BodyTextIndent"/>
      </w:pPr>
      <w:r>
        <w:t xml:space="preserve">Application: Permanent or temporary ground anchors, placed in any aspect, which use a prestressing tendon anchored in rock or soil at one end and stressed at the other end.  </w:t>
      </w:r>
      <w:r>
        <w:rPr>
          <w:i/>
        </w:rPr>
        <w:t>Refer annexure.</w:t>
      </w:r>
    </w:p>
    <w:p w14:paraId="7F3CBEF9" w14:textId="77777777" w:rsidR="00456E0A" w:rsidRDefault="00456E0A" w:rsidP="00977E52">
      <w:pPr>
        <w:pStyle w:val="BodyTextIndent"/>
      </w:pPr>
      <w:r w:rsidRPr="00C45D4C">
        <w:t xml:space="preserve">Materials and design: To </w:t>
      </w:r>
      <w:r w:rsidR="00A01405" w:rsidRPr="00C45D4C">
        <w:rPr>
          <w:i/>
        </w:rPr>
        <w:t>AS</w:t>
      </w:r>
      <w:r w:rsidR="00150D5F" w:rsidRPr="00C45D4C">
        <w:rPr>
          <w:i/>
        </w:rPr>
        <w:t> </w:t>
      </w:r>
      <w:r w:rsidR="00A01405" w:rsidRPr="00C45D4C">
        <w:rPr>
          <w:i/>
        </w:rPr>
        <w:t xml:space="preserve">4678 &amp; </w:t>
      </w:r>
      <w:r w:rsidR="00EB568A" w:rsidRPr="00C45D4C">
        <w:rPr>
          <w:i/>
        </w:rPr>
        <w:t>AS</w:t>
      </w:r>
      <w:r w:rsidR="00150D5F" w:rsidRPr="00C45D4C">
        <w:rPr>
          <w:i/>
        </w:rPr>
        <w:t> </w:t>
      </w:r>
      <w:r w:rsidR="00EB568A" w:rsidRPr="00C45D4C">
        <w:rPr>
          <w:i/>
        </w:rPr>
        <w:t>5100.3</w:t>
      </w:r>
      <w:r w:rsidRPr="00C45D4C">
        <w:t>.</w:t>
      </w:r>
    </w:p>
    <w:p w14:paraId="7552C26B" w14:textId="77777777" w:rsidR="00456E0A" w:rsidRDefault="00497413" w:rsidP="00D03872">
      <w:pPr>
        <w:pStyle w:val="Heading3"/>
      </w:pPr>
      <w:bookmarkStart w:id="149" w:name="_Toc76022236"/>
      <w:r w:rsidRPr="00F46BCA">
        <w:t>Execution</w:t>
      </w:r>
      <w:bookmarkEnd w:id="149"/>
    </w:p>
    <w:p w14:paraId="02F96E06" w14:textId="77777777" w:rsidR="00456E0A" w:rsidRDefault="00456E0A" w:rsidP="00977E52">
      <w:pPr>
        <w:pStyle w:val="BodyTextIndentBoldUnderline"/>
      </w:pPr>
      <w:r>
        <w:t>Soft ground</w:t>
      </w:r>
    </w:p>
    <w:p w14:paraId="35FE8611" w14:textId="77777777" w:rsidR="00456E0A" w:rsidRDefault="00456E0A" w:rsidP="00977E52">
      <w:pPr>
        <w:pStyle w:val="BodyTextIndent"/>
      </w:pPr>
      <w:r>
        <w:t>Temporarily line holes in soft or loose ground to prevent collapse.  Do not use wrapped tendons.</w:t>
      </w:r>
    </w:p>
    <w:p w14:paraId="006A0243" w14:textId="77777777" w:rsidR="00456E0A" w:rsidRDefault="00456E0A" w:rsidP="00977E52">
      <w:pPr>
        <w:pStyle w:val="BodyTextIndentBoldUnderline"/>
      </w:pPr>
      <w:r>
        <w:t>Stressing</w:t>
      </w:r>
    </w:p>
    <w:p w14:paraId="7DE584C6" w14:textId="77777777" w:rsidR="00456E0A" w:rsidRDefault="00456E0A" w:rsidP="00977E52">
      <w:pPr>
        <w:pStyle w:val="BodyTextIndent"/>
      </w:pPr>
      <w:r>
        <w:t xml:space="preserve">Stress each anchor to a test load of 85% of the ultimate strength of the tendon, hold for a minimum of five minutes, and then reduce the stress to the lock-off load.  If the anchor fails to maintain the load for five minutes, replace it.  </w:t>
      </w:r>
      <w:r>
        <w:rPr>
          <w:i/>
        </w:rPr>
        <w:t>Refer annexure</w:t>
      </w:r>
      <w:r>
        <w:t>.</w:t>
      </w:r>
    </w:p>
    <w:p w14:paraId="6923A839" w14:textId="77777777" w:rsidR="00456E0A" w:rsidRDefault="00456E0A" w:rsidP="00977E52">
      <w:pPr>
        <w:pStyle w:val="BodyTextIndentBoldUnderline"/>
      </w:pPr>
      <w:r>
        <w:t>Tendon protection</w:t>
      </w:r>
    </w:p>
    <w:p w14:paraId="17F98A85" w14:textId="77777777" w:rsidR="00456E0A" w:rsidRDefault="00456E0A" w:rsidP="00977E52">
      <w:pPr>
        <w:pStyle w:val="BodyTextIndent"/>
      </w:pPr>
      <w:r>
        <w:t>Grout the free length of tendon inside sheath of permanent anchors as soon as possible after they have been stressed.</w:t>
      </w:r>
    </w:p>
    <w:p w14:paraId="5B43D4CD" w14:textId="77777777" w:rsidR="00456E0A" w:rsidRDefault="00456E0A" w:rsidP="00977E52">
      <w:pPr>
        <w:pStyle w:val="BodyTextIndentBoldUnderline"/>
      </w:pPr>
      <w:r>
        <w:t>Protection of stressing anchorages</w:t>
      </w:r>
    </w:p>
    <w:p w14:paraId="5447970F" w14:textId="77777777" w:rsidR="00456E0A" w:rsidRDefault="00456E0A" w:rsidP="00977E52">
      <w:pPr>
        <w:pStyle w:val="BodyTextIndent"/>
      </w:pPr>
      <w:r>
        <w:t>Protect the stressing anchorage of permanent anchors by filling the anchorage block-out with concrete after final stressing.  Trim tendons to give a cover of 50 mm.  If no block-out is provided, construct concrete protection to give a minimum cover of 50 mm to all steel components.</w:t>
      </w:r>
    </w:p>
    <w:p w14:paraId="597B0B71" w14:textId="77777777" w:rsidR="00456E0A" w:rsidRDefault="00456E0A" w:rsidP="00977E52">
      <w:pPr>
        <w:pStyle w:val="BodyTextIndentBoldUnderline"/>
      </w:pPr>
      <w:r>
        <w:t>Temporary anchors</w:t>
      </w:r>
    </w:p>
    <w:p w14:paraId="6072C497" w14:textId="77777777" w:rsidR="00456E0A" w:rsidRDefault="00456E0A" w:rsidP="00977E52">
      <w:pPr>
        <w:pStyle w:val="BodyTextIndent"/>
      </w:pPr>
      <w:r>
        <w:t>De-stress tendons and remove wedges on completion of use of the anchor.</w:t>
      </w:r>
    </w:p>
    <w:p w14:paraId="2DECCD31" w14:textId="77777777" w:rsidR="00456E0A" w:rsidRDefault="00456E0A" w:rsidP="00977E52">
      <w:pPr>
        <w:pStyle w:val="BodyTextIndentBoldUnderline"/>
      </w:pPr>
      <w:r>
        <w:t>Completion</w:t>
      </w:r>
    </w:p>
    <w:p w14:paraId="70889FB3" w14:textId="77777777" w:rsidR="00456E0A" w:rsidRDefault="00456E0A" w:rsidP="00977E52">
      <w:pPr>
        <w:pStyle w:val="BodyTextIndent"/>
      </w:pPr>
      <w:r>
        <w:t>Provide as constructed drawings showing the lock-off load, position, direction and length of permanent ground anchors.</w:t>
      </w:r>
    </w:p>
    <w:sectPr w:rsidR="00456E0A" w:rsidSect="00D26416">
      <w:footerReference w:type="default" r:id="rId18"/>
      <w:pgSz w:w="11906" w:h="16838" w:code="9"/>
      <w:pgMar w:top="992" w:right="1418" w:bottom="992" w:left="1418" w:header="1134"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DED84" w14:textId="77777777" w:rsidR="00EB583F" w:rsidRDefault="00EB583F">
      <w:r>
        <w:separator/>
      </w:r>
    </w:p>
  </w:endnote>
  <w:endnote w:type="continuationSeparator" w:id="0">
    <w:p w14:paraId="7C99F6BB" w14:textId="77777777" w:rsidR="00EB583F" w:rsidRDefault="00E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EF96" w14:textId="141F28B7" w:rsidR="005C54EC" w:rsidRDefault="00E57B17" w:rsidP="007E6EA5">
    <w:pPr>
      <w:pStyle w:val="Footer"/>
    </w:pPr>
    <w:r w:rsidRPr="00E57B17">
      <w:t xml:space="preserve">Revision </w:t>
    </w:r>
    <w:r w:rsidR="00D326A7">
      <w:t>5</w:t>
    </w:r>
    <w:r w:rsidRPr="00E57B17">
      <w:t>.0 – Ma</w:t>
    </w:r>
    <w:r w:rsidR="00C955CF">
      <w:t>rch</w:t>
    </w:r>
    <w:r w:rsidRPr="00E57B17">
      <w:t xml:space="preserve"> 202</w:t>
    </w:r>
    <w:r w:rsidR="00C955CF">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02CF" w14:textId="528FB020" w:rsidR="00491846" w:rsidRDefault="00D326A7" w:rsidP="007E6EA5">
    <w:pPr>
      <w:pStyle w:val="Footer"/>
    </w:pPr>
    <w:r w:rsidRPr="00E57B17">
      <w:rPr>
        <w:noProof/>
      </w:rPr>
      <mc:AlternateContent>
        <mc:Choice Requires="wps">
          <w:drawing>
            <wp:anchor distT="0" distB="0" distL="114300" distR="114300" simplePos="0" relativeHeight="251670016" behindDoc="0" locked="0" layoutInCell="1" allowOverlap="1" wp14:anchorId="4FDFE272" wp14:editId="5AFF1E75">
              <wp:simplePos x="0" y="0"/>
              <wp:positionH relativeFrom="page">
                <wp:posOffset>4140835</wp:posOffset>
              </wp:positionH>
              <wp:positionV relativeFrom="page">
                <wp:posOffset>6840855</wp:posOffset>
              </wp:positionV>
              <wp:extent cx="5850000" cy="270000"/>
              <wp:effectExtent l="2713672" t="0" r="2712403"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B66124E" w14:textId="77777777" w:rsidR="00D326A7" w:rsidRPr="008C4557" w:rsidRDefault="00D326A7" w:rsidP="00D326A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S14</w:t>
                          </w:r>
                          <w:r>
                            <w:rPr>
                              <w:rFonts w:ascii="Arial Bold" w:hAnsi="Arial Bold" w:cs="Arial"/>
                              <w:b/>
                              <w:bCs/>
                              <w:i/>
                              <w:iCs/>
                              <w:sz w:val="28"/>
                              <w:szCs w:val="28"/>
                              <w14:shadow w14:blurRad="50800" w14:dist="38100" w14:dir="2700000" w14:sx="100000" w14:sy="100000" w14:kx="0" w14:ky="0" w14:algn="tl">
                                <w14:srgbClr w14:val="000000">
                                  <w14:alpha w14:val="60000"/>
                                </w14:srgbClr>
                              </w14:shadow>
                            </w:rPr>
                            <w:t>0</w:t>
                          </w: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127E54">
                            <w:rPr>
                              <w:rFonts w:ascii="Arial Bold" w:hAnsi="Arial Bold" w:cs="Arial"/>
                              <w:b/>
                              <w:bCs/>
                              <w:i/>
                              <w:iCs/>
                              <w:sz w:val="28"/>
                              <w:szCs w:val="28"/>
                              <w14:shadow w14:blurRad="50800" w14:dist="38100" w14:dir="2700000" w14:sx="100000" w14:sy="100000" w14:kx="0" w14:ky="0" w14:algn="tl">
                                <w14:srgbClr w14:val="000000">
                                  <w14:alpha w14:val="60000"/>
                                </w14:srgbClr>
                              </w14:shadow>
                            </w:rPr>
                            <w:t>EARTHWORKS</w:t>
                          </w:r>
                          <w:r w:rsidRPr="00127E54" w:rsidDel="00127E5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E272" id="_x0000_t202" coordsize="21600,21600" o:spt="202" path="m,l,21600r21600,l21600,xe">
              <v:stroke joinstyle="miter"/>
              <v:path gradientshapeok="t" o:connecttype="rect"/>
            </v:shapetype>
            <v:shape id="Text Box 10" o:spid="_x0000_s1027" type="#_x0000_t202" style="position:absolute;left:0;text-align:left;margin-left:326.05pt;margin-top:538.65pt;width:460.65pt;height:21.25pt;rotation:-5921140fd;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" filled="f" stroked="f">
              <v:stroke joinstyle="round"/>
              <o:lock v:ext="edit" shapetype="t"/>
              <v:textbox style="layout-flow:vertical;mso-layout-flow-alt:bottom-to-top">
                <w:txbxContent>
                  <w:p w14:paraId="0B66124E" w14:textId="77777777" w:rsidR="00D326A7" w:rsidRPr="008C4557" w:rsidRDefault="00D326A7" w:rsidP="00D326A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S14</w:t>
                    </w:r>
                    <w:r>
                      <w:rPr>
                        <w:rFonts w:ascii="Arial Bold" w:hAnsi="Arial Bold" w:cs="Arial"/>
                        <w:b/>
                        <w:bCs/>
                        <w:i/>
                        <w:iCs/>
                        <w:sz w:val="28"/>
                        <w:szCs w:val="28"/>
                        <w14:shadow w14:blurRad="50800" w14:dist="38100" w14:dir="2700000" w14:sx="100000" w14:sy="100000" w14:kx="0" w14:ky="0" w14:algn="tl">
                          <w14:srgbClr w14:val="000000">
                            <w14:alpha w14:val="60000"/>
                          </w14:srgbClr>
                        </w14:shadow>
                      </w:rPr>
                      <w:t>0</w:t>
                    </w: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127E54">
                      <w:rPr>
                        <w:rFonts w:ascii="Arial Bold" w:hAnsi="Arial Bold" w:cs="Arial"/>
                        <w:b/>
                        <w:bCs/>
                        <w:i/>
                        <w:iCs/>
                        <w:sz w:val="28"/>
                        <w:szCs w:val="28"/>
                        <w14:shadow w14:blurRad="50800" w14:dist="38100" w14:dir="2700000" w14:sx="100000" w14:sy="100000" w14:kx="0" w14:ky="0" w14:algn="tl">
                          <w14:srgbClr w14:val="000000">
                            <w14:alpha w14:val="60000"/>
                          </w14:srgbClr>
                        </w14:shadow>
                      </w:rPr>
                      <w:t>EARTHWORKS</w:t>
                    </w:r>
                    <w:r w:rsidRPr="00127E54" w:rsidDel="00127E5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p>
                </w:txbxContent>
              </v:textbox>
              <w10:wrap anchorx="page" anchory="page"/>
            </v:shape>
          </w:pict>
        </mc:Fallback>
      </mc:AlternateContent>
    </w:r>
    <w:r w:rsidRPr="00E57B17">
      <w:t xml:space="preserve">Revision </w:t>
    </w:r>
    <w:r>
      <w:t>5</w:t>
    </w:r>
    <w:r w:rsidRPr="00E57B17">
      <w:t>.0 – Ma</w:t>
    </w:r>
    <w:r w:rsidR="00C955CF">
      <w:t>rch</w:t>
    </w:r>
    <w:r w:rsidRPr="00E57B17">
      <w:t xml:space="preserve"> 202</w:t>
    </w:r>
    <w:r w:rsidR="00C955CF">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05EE" w14:textId="7A79943D" w:rsidR="00AC69BE" w:rsidRDefault="00AC69BE" w:rsidP="007E6EA5">
    <w:pPr>
      <w:pStyle w:val="Footer"/>
    </w:pPr>
    <w:r w:rsidRPr="00E57B17">
      <w:rPr>
        <w:noProof/>
      </w:rPr>
      <mc:AlternateContent>
        <mc:Choice Requires="wps">
          <w:drawing>
            <wp:anchor distT="0" distB="0" distL="114300" distR="114300" simplePos="0" relativeHeight="251674112" behindDoc="0" locked="0" layoutInCell="1" allowOverlap="1" wp14:anchorId="28C530F6" wp14:editId="2FF41B5E">
              <wp:simplePos x="0" y="0"/>
              <wp:positionH relativeFrom="page">
                <wp:posOffset>4140835</wp:posOffset>
              </wp:positionH>
              <wp:positionV relativeFrom="page">
                <wp:posOffset>6840855</wp:posOffset>
              </wp:positionV>
              <wp:extent cx="5850000" cy="270000"/>
              <wp:effectExtent l="2713672" t="0" r="2712403"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FBB035" w14:textId="77777777" w:rsidR="00AC69BE" w:rsidRPr="00C955CF" w:rsidRDefault="00AC69BE" w:rsidP="00E57B1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C955CF">
                            <w:rPr>
                              <w:rFonts w:ascii="Arial Bold" w:hAnsi="Arial Bold" w:cs="Arial"/>
                              <w:b/>
                              <w:bCs/>
                              <w:i/>
                              <w:iCs/>
                              <w:sz w:val="28"/>
                              <w:szCs w:val="28"/>
                              <w14:shadow w14:blurRad="50800" w14:dist="38100" w14:dir="2700000" w14:sx="100000" w14:sy="100000" w14:kx="0" w14:ky="0" w14:algn="tl">
                                <w14:srgbClr w14:val="000000">
                                  <w14:alpha w14:val="60000"/>
                                </w14:srgbClr>
                              </w14:shadow>
                            </w:rPr>
                            <w:t>S140  EARTHWORKS</w:t>
                          </w:r>
                          <w:r w:rsidRPr="00C955CF" w:rsidDel="00127E5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530F6" id="_x0000_t202" coordsize="21600,21600" o:spt="202" path="m,l,21600r21600,l21600,xe">
              <v:stroke joinstyle="miter"/>
              <v:path gradientshapeok="t" o:connecttype="rect"/>
            </v:shapetype>
            <v:shape id="Text Box 1" o:spid="_x0000_s1028" type="#_x0000_t202" style="position:absolute;left:0;text-align:left;margin-left:326.05pt;margin-top:538.65pt;width:460.65pt;height:21.25pt;rotation:-5921140fd;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" filled="f" stroked="f">
              <v:stroke joinstyle="round"/>
              <o:lock v:ext="edit" shapetype="t"/>
              <v:textbox style="layout-flow:vertical;mso-layout-flow-alt:bottom-to-top">
                <w:txbxContent>
                  <w:p w14:paraId="74FBB035" w14:textId="77777777" w:rsidR="00AC69BE" w:rsidRPr="00C955CF" w:rsidRDefault="00AC69BE" w:rsidP="00E57B1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C955CF">
                      <w:rPr>
                        <w:rFonts w:ascii="Arial Bold" w:hAnsi="Arial Bold" w:cs="Arial"/>
                        <w:b/>
                        <w:bCs/>
                        <w:i/>
                        <w:iCs/>
                        <w:sz w:val="28"/>
                        <w:szCs w:val="28"/>
                        <w14:shadow w14:blurRad="50800" w14:dist="38100" w14:dir="2700000" w14:sx="100000" w14:sy="100000" w14:kx="0" w14:ky="0" w14:algn="tl">
                          <w14:srgbClr w14:val="000000">
                            <w14:alpha w14:val="60000"/>
                          </w14:srgbClr>
                        </w14:shadow>
                      </w:rPr>
                      <w:t>S140  EARTHWORKS</w:t>
                    </w:r>
                    <w:r w:rsidRPr="00C955CF" w:rsidDel="00127E5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p>
                </w:txbxContent>
              </v:textbox>
              <w10:wrap anchorx="page" anchory="page"/>
            </v:shape>
          </w:pict>
        </mc:Fallback>
      </mc:AlternateContent>
    </w:r>
    <w:r w:rsidRPr="00E57B17">
      <w:t xml:space="preserve">Revision </w:t>
    </w:r>
    <w:r>
      <w:t>5</w:t>
    </w:r>
    <w:r w:rsidRPr="00E57B17">
      <w:t>.0 – Ma</w:t>
    </w:r>
    <w:r>
      <w:t>rch</w:t>
    </w:r>
    <w:r w:rsidRPr="00E57B17">
      <w:t xml:space="preserve"> 202</w:t>
    </w:r>
    <w:r>
      <w:t>1</w:t>
    </w:r>
    <w:r w:rsidR="007E6EA5">
      <w:tab/>
    </w:r>
    <w:r w:rsidR="007E6EA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A7A1" w14:textId="77777777" w:rsidR="007E6EA5" w:rsidRDefault="007E6EA5" w:rsidP="007E6EA5">
    <w:pPr>
      <w:pStyle w:val="Footer"/>
    </w:pPr>
    <w:r w:rsidRPr="00E57B17">
      <w:rPr>
        <w:noProof/>
      </w:rPr>
      <mc:AlternateContent>
        <mc:Choice Requires="wps">
          <w:drawing>
            <wp:anchor distT="0" distB="0" distL="114300" distR="114300" simplePos="0" relativeHeight="251676160" behindDoc="0" locked="0" layoutInCell="1" allowOverlap="1" wp14:anchorId="2DF395F8" wp14:editId="74CD13B2">
              <wp:simplePos x="0" y="0"/>
              <wp:positionH relativeFrom="page">
                <wp:posOffset>4140835</wp:posOffset>
              </wp:positionH>
              <wp:positionV relativeFrom="page">
                <wp:posOffset>6840855</wp:posOffset>
              </wp:positionV>
              <wp:extent cx="5850000" cy="270000"/>
              <wp:effectExtent l="2713672" t="0" r="2712403"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52FAB4" w14:textId="77777777" w:rsidR="007E6EA5" w:rsidRPr="00C955CF" w:rsidRDefault="007E6EA5" w:rsidP="00E57B1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C955CF">
                            <w:rPr>
                              <w:rFonts w:ascii="Arial Bold" w:hAnsi="Arial Bold" w:cs="Arial"/>
                              <w:b/>
                              <w:bCs/>
                              <w:i/>
                              <w:iCs/>
                              <w:sz w:val="28"/>
                              <w:szCs w:val="28"/>
                              <w14:shadow w14:blurRad="50800" w14:dist="38100" w14:dir="2700000" w14:sx="100000" w14:sy="100000" w14:kx="0" w14:ky="0" w14:algn="tl">
                                <w14:srgbClr w14:val="000000">
                                  <w14:alpha w14:val="60000"/>
                                </w14:srgbClr>
                              </w14:shadow>
                            </w:rPr>
                            <w:t>S140  EARTHWORKS</w:t>
                          </w:r>
                          <w:r w:rsidRPr="00C955CF" w:rsidDel="00127E5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395F8" id="_x0000_t202" coordsize="21600,21600" o:spt="202" path="m,l,21600r21600,l21600,xe">
              <v:stroke joinstyle="miter"/>
              <v:path gradientshapeok="t" o:connecttype="rect"/>
            </v:shapetype>
            <v:shape id="Text Box 3" o:spid="_x0000_s1029" type="#_x0000_t202" style="position:absolute;left:0;text-align:left;margin-left:326.05pt;margin-top:538.65pt;width:460.65pt;height:21.25pt;rotation:-5921140fd;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" filled="f" stroked="f">
              <v:stroke joinstyle="round"/>
              <o:lock v:ext="edit" shapetype="t"/>
              <v:textbox style="layout-flow:vertical;mso-layout-flow-alt:bottom-to-top">
                <w:txbxContent>
                  <w:p w14:paraId="3252FAB4" w14:textId="77777777" w:rsidR="007E6EA5" w:rsidRPr="00C955CF" w:rsidRDefault="007E6EA5" w:rsidP="00E57B1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C955CF">
                      <w:rPr>
                        <w:rFonts w:ascii="Arial Bold" w:hAnsi="Arial Bold" w:cs="Arial"/>
                        <w:b/>
                        <w:bCs/>
                        <w:i/>
                        <w:iCs/>
                        <w:sz w:val="28"/>
                        <w:szCs w:val="28"/>
                        <w14:shadow w14:blurRad="50800" w14:dist="38100" w14:dir="2700000" w14:sx="100000" w14:sy="100000" w14:kx="0" w14:ky="0" w14:algn="tl">
                          <w14:srgbClr w14:val="000000">
                            <w14:alpha w14:val="60000"/>
                          </w14:srgbClr>
                        </w14:shadow>
                      </w:rPr>
                      <w:t>S140  EARTHWORKS</w:t>
                    </w:r>
                    <w:r w:rsidRPr="00C955CF" w:rsidDel="00127E5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p>
                </w:txbxContent>
              </v:textbox>
              <w10:wrap anchorx="page" anchory="page"/>
            </v:shape>
          </w:pict>
        </mc:Fallback>
      </mc:AlternateContent>
    </w:r>
    <w:r w:rsidRPr="00E57B17">
      <w:t xml:space="preserve">Revision </w:t>
    </w:r>
    <w:r>
      <w:t>5</w:t>
    </w:r>
    <w:r w:rsidRPr="00E57B17">
      <w:t>.0 – Ma</w:t>
    </w:r>
    <w:r>
      <w:t>rch</w:t>
    </w:r>
    <w:r w:rsidRPr="00E57B17">
      <w:t xml:space="preserve"> 202</w:t>
    </w:r>
    <w:r>
      <w:t>1</w:t>
    </w:r>
    <w:r>
      <w:tab/>
    </w:r>
    <w:r>
      <w:tab/>
    </w:r>
    <w:r w:rsidRPr="00D326A7">
      <w:rPr>
        <w:sz w:val="18"/>
      </w:rPr>
      <w:fldChar w:fldCharType="begin"/>
    </w:r>
    <w:r w:rsidRPr="00D326A7">
      <w:rPr>
        <w:sz w:val="18"/>
      </w:rPr>
      <w:instrText xml:space="preserve"> PAGE   \* MERGEFORMAT </w:instrText>
    </w:r>
    <w:r w:rsidRPr="00D326A7">
      <w:rPr>
        <w:sz w:val="18"/>
      </w:rPr>
      <w:fldChar w:fldCharType="separate"/>
    </w:r>
    <w:r w:rsidRPr="00D326A7">
      <w:rPr>
        <w:noProof/>
        <w:sz w:val="18"/>
      </w:rPr>
      <w:t>1</w:t>
    </w:r>
    <w:r w:rsidRPr="00D326A7">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C716" w14:textId="23532736" w:rsidR="00D326A7" w:rsidRDefault="00D326A7" w:rsidP="00D23670">
    <w:pPr>
      <w:pStyle w:val="Footer"/>
    </w:pPr>
    <w:r w:rsidRPr="00E57B17">
      <w:rPr>
        <w:noProof/>
      </w:rPr>
      <mc:AlternateContent>
        <mc:Choice Requires="wps">
          <w:drawing>
            <wp:anchor distT="0" distB="0" distL="114300" distR="114300" simplePos="0" relativeHeight="251672064" behindDoc="0" locked="0" layoutInCell="1" allowOverlap="1" wp14:anchorId="7B53649D" wp14:editId="4947E221">
              <wp:simplePos x="0" y="0"/>
              <wp:positionH relativeFrom="page">
                <wp:posOffset>4140835</wp:posOffset>
              </wp:positionH>
              <wp:positionV relativeFrom="page">
                <wp:posOffset>6840855</wp:posOffset>
              </wp:positionV>
              <wp:extent cx="5850000" cy="270000"/>
              <wp:effectExtent l="2713672" t="0" r="2712403"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6DDFD5" w14:textId="77777777" w:rsidR="00D326A7" w:rsidRPr="008C4557" w:rsidRDefault="00D326A7" w:rsidP="00E57B1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S14</w:t>
                          </w:r>
                          <w:r>
                            <w:rPr>
                              <w:rFonts w:ascii="Arial Bold" w:hAnsi="Arial Bold" w:cs="Arial"/>
                              <w:b/>
                              <w:bCs/>
                              <w:i/>
                              <w:iCs/>
                              <w:sz w:val="28"/>
                              <w:szCs w:val="28"/>
                              <w14:shadow w14:blurRad="50800" w14:dist="38100" w14:dir="2700000" w14:sx="100000" w14:sy="100000" w14:kx="0" w14:ky="0" w14:algn="tl">
                                <w14:srgbClr w14:val="000000">
                                  <w14:alpha w14:val="60000"/>
                                </w14:srgbClr>
                              </w14:shadow>
                            </w:rPr>
                            <w:t>0</w:t>
                          </w: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127E54">
                            <w:rPr>
                              <w:rFonts w:ascii="Arial Bold" w:hAnsi="Arial Bold" w:cs="Arial"/>
                              <w:b/>
                              <w:bCs/>
                              <w:i/>
                              <w:iCs/>
                              <w:sz w:val="28"/>
                              <w:szCs w:val="28"/>
                              <w14:shadow w14:blurRad="50800" w14:dist="38100" w14:dir="2700000" w14:sx="100000" w14:sy="100000" w14:kx="0" w14:ky="0" w14:algn="tl">
                                <w14:srgbClr w14:val="000000">
                                  <w14:alpha w14:val="60000"/>
                                </w14:srgbClr>
                              </w14:shadow>
                            </w:rPr>
                            <w:t>EARTHWORKS</w:t>
                          </w:r>
                          <w:r w:rsidRPr="00127E54" w:rsidDel="00127E5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3649D" id="_x0000_t202" coordsize="21600,21600" o:spt="202" path="m,l,21600r21600,l21600,xe">
              <v:stroke joinstyle="miter"/>
              <v:path gradientshapeok="t" o:connecttype="rect"/>
            </v:shapetype>
            <v:shape id="Text Box 11" o:spid="_x0000_s1030" type="#_x0000_t202" style="position:absolute;left:0;text-align:left;margin-left:326.05pt;margin-top:538.65pt;width:460.65pt;height:21.25pt;rotation:-5921140fd;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" filled="f" stroked="f">
              <v:stroke joinstyle="round"/>
              <o:lock v:ext="edit" shapetype="t"/>
              <v:textbox style="layout-flow:vertical;mso-layout-flow-alt:bottom-to-top">
                <w:txbxContent>
                  <w:p w14:paraId="0D6DDFD5" w14:textId="77777777" w:rsidR="00D326A7" w:rsidRPr="008C4557" w:rsidRDefault="00D326A7" w:rsidP="00E57B1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S14</w:t>
                    </w:r>
                    <w:r>
                      <w:rPr>
                        <w:rFonts w:ascii="Arial Bold" w:hAnsi="Arial Bold" w:cs="Arial"/>
                        <w:b/>
                        <w:bCs/>
                        <w:i/>
                        <w:iCs/>
                        <w:sz w:val="28"/>
                        <w:szCs w:val="28"/>
                        <w14:shadow w14:blurRad="50800" w14:dist="38100" w14:dir="2700000" w14:sx="100000" w14:sy="100000" w14:kx="0" w14:ky="0" w14:algn="tl">
                          <w14:srgbClr w14:val="000000">
                            <w14:alpha w14:val="60000"/>
                          </w14:srgbClr>
                        </w14:shadow>
                      </w:rPr>
                      <w:t>0</w:t>
                    </w: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127E54">
                      <w:rPr>
                        <w:rFonts w:ascii="Arial Bold" w:hAnsi="Arial Bold" w:cs="Arial"/>
                        <w:b/>
                        <w:bCs/>
                        <w:i/>
                        <w:iCs/>
                        <w:sz w:val="28"/>
                        <w:szCs w:val="28"/>
                        <w14:shadow w14:blurRad="50800" w14:dist="38100" w14:dir="2700000" w14:sx="100000" w14:sy="100000" w14:kx="0" w14:ky="0" w14:algn="tl">
                          <w14:srgbClr w14:val="000000">
                            <w14:alpha w14:val="60000"/>
                          </w14:srgbClr>
                        </w14:shadow>
                      </w:rPr>
                      <w:t>EARTHWORKS</w:t>
                    </w:r>
                    <w:r w:rsidRPr="00127E54" w:rsidDel="00127E54">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p>
                </w:txbxContent>
              </v:textbox>
              <w10:wrap anchorx="page" anchory="page"/>
            </v:shape>
          </w:pict>
        </mc:Fallback>
      </mc:AlternateContent>
    </w:r>
    <w:r w:rsidRPr="00E57B17">
      <w:t xml:space="preserve">Revision </w:t>
    </w:r>
    <w:r>
      <w:t>5</w:t>
    </w:r>
    <w:r w:rsidRPr="00E57B17">
      <w:t>.0 – Ma</w:t>
    </w:r>
    <w:r w:rsidR="00C955CF">
      <w:t>rch</w:t>
    </w:r>
    <w:r w:rsidRPr="00E57B17">
      <w:t xml:space="preserve"> 202</w:t>
    </w:r>
    <w:r w:rsidR="00C955CF">
      <w:t>1</w:t>
    </w:r>
    <w:r w:rsidR="00D23670">
      <w:tab/>
    </w:r>
    <w:r w:rsidR="00D23670">
      <w:tab/>
    </w:r>
    <w:r w:rsidRPr="00D326A7">
      <w:rPr>
        <w:b w:val="0"/>
        <w:i w:val="0"/>
        <w:sz w:val="18"/>
      </w:rPr>
      <w:fldChar w:fldCharType="begin"/>
    </w:r>
    <w:r w:rsidRPr="00D326A7">
      <w:rPr>
        <w:sz w:val="18"/>
      </w:rPr>
      <w:instrText xml:space="preserve"> PAGE   \* MERGEFORMAT </w:instrText>
    </w:r>
    <w:r w:rsidRPr="00D326A7">
      <w:rPr>
        <w:b w:val="0"/>
        <w:i w:val="0"/>
        <w:sz w:val="18"/>
      </w:rPr>
      <w:fldChar w:fldCharType="separate"/>
    </w:r>
    <w:r w:rsidRPr="00D326A7">
      <w:rPr>
        <w:noProof/>
        <w:sz w:val="18"/>
      </w:rPr>
      <w:t>1</w:t>
    </w:r>
    <w:r w:rsidRPr="00D326A7">
      <w:rPr>
        <w:b w:val="0"/>
        <w:i w:val="0"/>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3E51" w14:textId="77777777" w:rsidR="00EB583F" w:rsidRDefault="00EB583F">
      <w:r>
        <w:separator/>
      </w:r>
    </w:p>
  </w:footnote>
  <w:footnote w:type="continuationSeparator" w:id="0">
    <w:p w14:paraId="49556CC6" w14:textId="77777777" w:rsidR="00EB583F" w:rsidRDefault="00E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B1C9" w14:textId="77777777" w:rsidR="005C54EC" w:rsidRDefault="005C54EC" w:rsidP="00CF4A00">
    <w:pPr>
      <w:pStyle w:val="Header"/>
    </w:pPr>
    <w:r>
      <w:rPr>
        <w:noProof/>
      </w:rPr>
      <mc:AlternateContent>
        <mc:Choice Requires="wps">
          <w:drawing>
            <wp:anchor distT="0" distB="0" distL="114300" distR="114300" simplePos="0" relativeHeight="251655680" behindDoc="0" locked="0" layoutInCell="0" allowOverlap="1" wp14:anchorId="64009B79" wp14:editId="06595883">
              <wp:simplePos x="0" y="0"/>
              <wp:positionH relativeFrom="column">
                <wp:posOffset>3848100</wp:posOffset>
              </wp:positionH>
              <wp:positionV relativeFrom="paragraph">
                <wp:posOffset>3780790</wp:posOffset>
              </wp:positionV>
              <wp:extent cx="419100" cy="54292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368CC753" w14:textId="77777777" w:rsidR="005C54EC" w:rsidRDefault="005C54EC" w:rsidP="00723A6C">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09B79"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W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k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WvzPFg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368CC753" w14:textId="77777777" w:rsidR="005C54EC" w:rsidRDefault="005C54EC" w:rsidP="00723A6C">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DC9F" w14:textId="6D1AC303" w:rsidR="005C54EC" w:rsidRDefault="005C54EC" w:rsidP="00CF4A00">
    <w:pPr>
      <w:pStyle w:val="Header"/>
    </w:pPr>
    <w:r>
      <w:rPr>
        <w:noProof/>
      </w:rPr>
      <w:drawing>
        <wp:inline distT="0" distB="0" distL="0" distR="0" wp14:anchorId="2CA54E1E" wp14:editId="1D55B86E">
          <wp:extent cx="1375588" cy="720000"/>
          <wp:effectExtent l="0" t="0" r="0" b="4445"/>
          <wp:docPr id="6" name="Picture 6"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588"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AE25" w14:textId="3C2CBA6E" w:rsidR="00AC69BE" w:rsidRPr="00CF4A00" w:rsidRDefault="00AC69BE" w:rsidP="00CF4A00">
    <w:pPr>
      <w:pStyle w:val="Header"/>
    </w:pPr>
    <w:r w:rsidRPr="00CF4A00">
      <w:t>Brisbane City Council</w:t>
    </w:r>
    <w:r w:rsidR="00CF4A00" w:rsidRPr="00CF4A00">
      <w:tab/>
    </w:r>
    <w:r w:rsidR="00CF4A00" w:rsidRPr="00CF4A00">
      <w:tab/>
    </w:r>
    <w:r w:rsidRPr="00CF4A00">
      <w:t>Reference Specifications for Engineering Work</w:t>
    </w:r>
    <w:r w:rsidR="00CD1FD9">
      <w:t xml:space="preserve"> </w:t>
    </w:r>
    <w:r w:rsidR="006B76C5">
      <w:t>S</w:t>
    </w:r>
    <w:r w:rsidR="00CD1FD9">
      <w:t>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6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753577"/>
    <w:multiLevelType w:val="hybridMultilevel"/>
    <w:tmpl w:val="8BAE3BBA"/>
    <w:lvl w:ilvl="0" w:tplc="2A7AFE80">
      <w:start w:val="1"/>
      <w:numFmt w:val="decimal"/>
      <w:pStyle w:val="TableNum"/>
      <w:lvlText w:val="%1."/>
      <w:lvlJc w:val="left"/>
      <w:pPr>
        <w:tabs>
          <w:tab w:val="num" w:pos="425"/>
        </w:tabs>
        <w:ind w:left="425"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95B65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C513E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841EC8"/>
    <w:multiLevelType w:val="multilevel"/>
    <w:tmpl w:val="89420DF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27801AC"/>
    <w:multiLevelType w:val="singleLevel"/>
    <w:tmpl w:val="85D4A3D0"/>
    <w:lvl w:ilvl="0">
      <w:start w:val="6"/>
      <w:numFmt w:val="bullet"/>
      <w:lvlText w:val="-"/>
      <w:lvlJc w:val="left"/>
      <w:pPr>
        <w:tabs>
          <w:tab w:val="num" w:pos="360"/>
        </w:tabs>
        <w:ind w:left="340" w:hanging="340"/>
      </w:pPr>
      <w:rPr>
        <w:rFonts w:hint="default"/>
      </w:rPr>
    </w:lvl>
  </w:abstractNum>
  <w:abstractNum w:abstractNumId="6" w15:restartNumberingAfterBreak="0">
    <w:nsid w:val="266D580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684414B"/>
    <w:multiLevelType w:val="singleLevel"/>
    <w:tmpl w:val="85D4A3D0"/>
    <w:lvl w:ilvl="0">
      <w:start w:val="6"/>
      <w:numFmt w:val="bullet"/>
      <w:lvlText w:val="-"/>
      <w:lvlJc w:val="left"/>
      <w:pPr>
        <w:tabs>
          <w:tab w:val="num" w:pos="360"/>
        </w:tabs>
        <w:ind w:left="340" w:hanging="340"/>
      </w:pPr>
      <w:rPr>
        <w:rFonts w:hint="default"/>
      </w:rPr>
    </w:lvl>
  </w:abstractNum>
  <w:abstractNum w:abstractNumId="8" w15:restartNumberingAfterBreak="0">
    <w:nsid w:val="2A6F1AF5"/>
    <w:multiLevelType w:val="singleLevel"/>
    <w:tmpl w:val="85D4A3D0"/>
    <w:lvl w:ilvl="0">
      <w:start w:val="6"/>
      <w:numFmt w:val="bullet"/>
      <w:lvlText w:val="-"/>
      <w:lvlJc w:val="left"/>
      <w:pPr>
        <w:tabs>
          <w:tab w:val="num" w:pos="360"/>
        </w:tabs>
        <w:ind w:left="340" w:hanging="340"/>
      </w:pPr>
      <w:rPr>
        <w:rFonts w:hint="default"/>
      </w:rPr>
    </w:lvl>
  </w:abstractNum>
  <w:abstractNum w:abstractNumId="9" w15:restartNumberingAfterBreak="0">
    <w:nsid w:val="2D3B7805"/>
    <w:multiLevelType w:val="hybridMultilevel"/>
    <w:tmpl w:val="D68A0D80"/>
    <w:lvl w:ilvl="0" w:tplc="4FB4464C">
      <w:start w:val="1"/>
      <w:numFmt w:val="lowerLetter"/>
      <w:pStyle w:val="TableLet"/>
      <w:lvlText w:val="(%1)"/>
      <w:lvlJc w:val="left"/>
      <w:pPr>
        <w:tabs>
          <w:tab w:val="num" w:pos="425"/>
        </w:tabs>
        <w:ind w:left="425"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17B0B8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24E12"/>
    <w:multiLevelType w:val="multilevel"/>
    <w:tmpl w:val="C5721E8A"/>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C15815"/>
    <w:multiLevelType w:val="multilevel"/>
    <w:tmpl w:val="86AE6096"/>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F24B4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E4938D3"/>
    <w:multiLevelType w:val="singleLevel"/>
    <w:tmpl w:val="5D283D02"/>
    <w:lvl w:ilvl="0">
      <w:start w:val="1"/>
      <w:numFmt w:val="lowerLetter"/>
      <w:lvlText w:val="(%1)"/>
      <w:lvlJc w:val="left"/>
      <w:pPr>
        <w:ind w:left="360" w:hanging="360"/>
      </w:pPr>
      <w:rPr>
        <w:rFonts w:hint="default"/>
      </w:rPr>
    </w:lvl>
  </w:abstractNum>
  <w:abstractNum w:abstractNumId="15" w15:restartNumberingAfterBreak="0">
    <w:nsid w:val="50EF3075"/>
    <w:multiLevelType w:val="singleLevel"/>
    <w:tmpl w:val="85D4A3D0"/>
    <w:lvl w:ilvl="0">
      <w:start w:val="6"/>
      <w:numFmt w:val="bullet"/>
      <w:lvlText w:val="-"/>
      <w:lvlJc w:val="left"/>
      <w:pPr>
        <w:tabs>
          <w:tab w:val="num" w:pos="360"/>
        </w:tabs>
        <w:ind w:left="340" w:hanging="340"/>
      </w:pPr>
      <w:rPr>
        <w:rFonts w:hint="default"/>
      </w:rPr>
    </w:lvl>
  </w:abstractNum>
  <w:abstractNum w:abstractNumId="16" w15:restartNumberingAfterBreak="0">
    <w:nsid w:val="562476C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9985E3B"/>
    <w:multiLevelType w:val="singleLevel"/>
    <w:tmpl w:val="85D4A3D0"/>
    <w:lvl w:ilvl="0">
      <w:start w:val="6"/>
      <w:numFmt w:val="bullet"/>
      <w:lvlText w:val="-"/>
      <w:lvlJc w:val="left"/>
      <w:pPr>
        <w:tabs>
          <w:tab w:val="num" w:pos="360"/>
        </w:tabs>
        <w:ind w:left="340" w:hanging="340"/>
      </w:pPr>
      <w:rPr>
        <w:rFonts w:hint="default"/>
      </w:rPr>
    </w:lvl>
  </w:abstractNum>
  <w:abstractNum w:abstractNumId="18" w15:restartNumberingAfterBreak="0">
    <w:nsid w:val="5AA81DE7"/>
    <w:multiLevelType w:val="singleLevel"/>
    <w:tmpl w:val="C730EF3A"/>
    <w:lvl w:ilvl="0">
      <w:start w:val="1"/>
      <w:numFmt w:val="bullet"/>
      <w:pStyle w:val="BodyTextIndentDot"/>
      <w:lvlText w:val=""/>
      <w:lvlJc w:val="left"/>
      <w:pPr>
        <w:tabs>
          <w:tab w:val="num" w:pos="992"/>
        </w:tabs>
        <w:ind w:left="992" w:hanging="283"/>
      </w:pPr>
      <w:rPr>
        <w:rFonts w:ascii="Wingdings" w:hAnsi="Wingdings" w:hint="default"/>
      </w:rPr>
    </w:lvl>
  </w:abstractNum>
  <w:abstractNum w:abstractNumId="19" w15:restartNumberingAfterBreak="0">
    <w:nsid w:val="5F74236C"/>
    <w:multiLevelType w:val="singleLevel"/>
    <w:tmpl w:val="A634C920"/>
    <w:lvl w:ilvl="0">
      <w:start w:val="1"/>
      <w:numFmt w:val="bullet"/>
      <w:pStyle w:val="bullets"/>
      <w:lvlText w:val=""/>
      <w:lvlJc w:val="left"/>
      <w:pPr>
        <w:tabs>
          <w:tab w:val="num" w:pos="360"/>
        </w:tabs>
        <w:ind w:left="360" w:hanging="360"/>
      </w:pPr>
      <w:rPr>
        <w:rFonts w:ascii="Symbol" w:hAnsi="Symbol" w:hint="default"/>
      </w:rPr>
    </w:lvl>
  </w:abstractNum>
  <w:abstractNum w:abstractNumId="20" w15:restartNumberingAfterBreak="0">
    <w:nsid w:val="60CC373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5E67955"/>
    <w:multiLevelType w:val="singleLevel"/>
    <w:tmpl w:val="5BCE7DA8"/>
    <w:lvl w:ilvl="0">
      <w:start w:val="1"/>
      <w:numFmt w:val="bullet"/>
      <w:lvlText w:val=""/>
      <w:lvlJc w:val="left"/>
      <w:pPr>
        <w:tabs>
          <w:tab w:val="num" w:pos="992"/>
        </w:tabs>
        <w:ind w:left="992" w:hanging="283"/>
      </w:pPr>
      <w:rPr>
        <w:rFonts w:ascii="Wingdings" w:hAnsi="Wingdings" w:hint="default"/>
      </w:rPr>
    </w:lvl>
  </w:abstractNum>
  <w:abstractNum w:abstractNumId="22" w15:restartNumberingAfterBreak="0">
    <w:nsid w:val="67AE449A"/>
    <w:multiLevelType w:val="multilevel"/>
    <w:tmpl w:val="7A78F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F0A1263"/>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713543A1"/>
    <w:multiLevelType w:val="singleLevel"/>
    <w:tmpl w:val="660405F2"/>
    <w:lvl w:ilvl="0">
      <w:start w:val="1"/>
      <w:numFmt w:val="decimal"/>
      <w:pStyle w:val="BodyTextIndent9Num"/>
      <w:lvlText w:val="%1."/>
      <w:lvlJc w:val="left"/>
      <w:pPr>
        <w:tabs>
          <w:tab w:val="num" w:pos="992"/>
        </w:tabs>
        <w:ind w:left="992" w:hanging="283"/>
      </w:pPr>
      <w:rPr>
        <w:rFonts w:hint="default"/>
      </w:rPr>
    </w:lvl>
  </w:abstractNum>
  <w:abstractNum w:abstractNumId="25" w15:restartNumberingAfterBreak="0">
    <w:nsid w:val="7A501802"/>
    <w:multiLevelType w:val="multilevel"/>
    <w:tmpl w:val="A1C45D64"/>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7DA8745D"/>
    <w:multiLevelType w:val="multilevel"/>
    <w:tmpl w:val="582CFD00"/>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4"/>
  </w:num>
  <w:num w:numId="3">
    <w:abstractNumId w:val="19"/>
  </w:num>
  <w:num w:numId="4">
    <w:abstractNumId w:val="18"/>
  </w:num>
  <w:num w:numId="5">
    <w:abstractNumId w:val="2"/>
  </w:num>
  <w:num w:numId="6">
    <w:abstractNumId w:val="10"/>
  </w:num>
  <w:num w:numId="7">
    <w:abstractNumId w:val="13"/>
  </w:num>
  <w:num w:numId="8">
    <w:abstractNumId w:val="24"/>
  </w:num>
  <w:num w:numId="9">
    <w:abstractNumId w:val="20"/>
  </w:num>
  <w:num w:numId="10">
    <w:abstractNumId w:val="3"/>
  </w:num>
  <w:num w:numId="11">
    <w:abstractNumId w:val="0"/>
  </w:num>
  <w:num w:numId="12">
    <w:abstractNumId w:val="6"/>
  </w:num>
  <w:num w:numId="13">
    <w:abstractNumId w:val="16"/>
  </w:num>
  <w:num w:numId="14">
    <w:abstractNumId w:val="23"/>
  </w:num>
  <w:num w:numId="15">
    <w:abstractNumId w:val="7"/>
  </w:num>
  <w:num w:numId="16">
    <w:abstractNumId w:val="8"/>
  </w:num>
  <w:num w:numId="17">
    <w:abstractNumId w:val="17"/>
  </w:num>
  <w:num w:numId="18">
    <w:abstractNumId w:val="15"/>
  </w:num>
  <w:num w:numId="19">
    <w:abstractNumId w:val="5"/>
  </w:num>
  <w:num w:numId="20">
    <w:abstractNumId w:val="1"/>
  </w:num>
  <w:num w:numId="21">
    <w:abstractNumId w:val="22"/>
  </w:num>
  <w:num w:numId="22">
    <w:abstractNumId w:val="9"/>
  </w:num>
  <w:num w:numId="23">
    <w:abstractNumId w:val="26"/>
  </w:num>
  <w:num w:numId="24">
    <w:abstractNumId w:val="9"/>
    <w:lvlOverride w:ilvl="0">
      <w:startOverride w:val="1"/>
    </w:lvlOverride>
  </w:num>
  <w:num w:numId="25">
    <w:abstractNumId w:val="11"/>
  </w:num>
  <w:num w:numId="26">
    <w:abstractNumId w:val="9"/>
    <w:lvlOverride w:ilvl="0">
      <w:startOverride w:val="1"/>
    </w:lvlOverride>
  </w:num>
  <w:num w:numId="27">
    <w:abstractNumId w:val="12"/>
  </w:num>
  <w:num w:numId="28">
    <w:abstractNumId w:val="9"/>
    <w:lvlOverride w:ilvl="0">
      <w:startOverride w:val="1"/>
    </w:lvlOverride>
  </w:num>
  <w:num w:numId="29">
    <w:abstractNumId w:val="14"/>
  </w:num>
  <w:num w:numId="30">
    <w:abstractNumId w:val="21"/>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21"/>
    <w:rsid w:val="00013D39"/>
    <w:rsid w:val="00037C51"/>
    <w:rsid w:val="00047588"/>
    <w:rsid w:val="00077153"/>
    <w:rsid w:val="00085A43"/>
    <w:rsid w:val="00087AE7"/>
    <w:rsid w:val="0009416D"/>
    <w:rsid w:val="00094EF3"/>
    <w:rsid w:val="001156CE"/>
    <w:rsid w:val="001260D0"/>
    <w:rsid w:val="00127E54"/>
    <w:rsid w:val="00135BDC"/>
    <w:rsid w:val="00150D5F"/>
    <w:rsid w:val="00151468"/>
    <w:rsid w:val="0015672D"/>
    <w:rsid w:val="0016238C"/>
    <w:rsid w:val="0016307B"/>
    <w:rsid w:val="00166A25"/>
    <w:rsid w:val="00190F9A"/>
    <w:rsid w:val="001A0C9D"/>
    <w:rsid w:val="001A1E9E"/>
    <w:rsid w:val="001A6FFB"/>
    <w:rsid w:val="001C5F00"/>
    <w:rsid w:val="001D057E"/>
    <w:rsid w:val="00202801"/>
    <w:rsid w:val="00204B51"/>
    <w:rsid w:val="00223DD5"/>
    <w:rsid w:val="00262654"/>
    <w:rsid w:val="00264BA0"/>
    <w:rsid w:val="00267887"/>
    <w:rsid w:val="00281EC1"/>
    <w:rsid w:val="00284B10"/>
    <w:rsid w:val="00295E34"/>
    <w:rsid w:val="002A0A27"/>
    <w:rsid w:val="002A772A"/>
    <w:rsid w:val="002D2692"/>
    <w:rsid w:val="002E6118"/>
    <w:rsid w:val="0030740A"/>
    <w:rsid w:val="00371438"/>
    <w:rsid w:val="00384F83"/>
    <w:rsid w:val="003936D3"/>
    <w:rsid w:val="003A18A0"/>
    <w:rsid w:val="003A49AA"/>
    <w:rsid w:val="003B50E2"/>
    <w:rsid w:val="003E00F8"/>
    <w:rsid w:val="003E551D"/>
    <w:rsid w:val="003F012D"/>
    <w:rsid w:val="003F219B"/>
    <w:rsid w:val="0040629E"/>
    <w:rsid w:val="0040742A"/>
    <w:rsid w:val="00413DEF"/>
    <w:rsid w:val="00441A20"/>
    <w:rsid w:val="00456E0A"/>
    <w:rsid w:val="00476921"/>
    <w:rsid w:val="00491846"/>
    <w:rsid w:val="00495ECB"/>
    <w:rsid w:val="00497413"/>
    <w:rsid w:val="004A3B15"/>
    <w:rsid w:val="004B2FDE"/>
    <w:rsid w:val="004B49CB"/>
    <w:rsid w:val="004C70DB"/>
    <w:rsid w:val="004D0CB5"/>
    <w:rsid w:val="004D61D9"/>
    <w:rsid w:val="005224E9"/>
    <w:rsid w:val="005239FE"/>
    <w:rsid w:val="005248FF"/>
    <w:rsid w:val="00575230"/>
    <w:rsid w:val="005764C7"/>
    <w:rsid w:val="00596427"/>
    <w:rsid w:val="005A0F85"/>
    <w:rsid w:val="005A70D7"/>
    <w:rsid w:val="005B2261"/>
    <w:rsid w:val="005C54EC"/>
    <w:rsid w:val="005C6216"/>
    <w:rsid w:val="005D453C"/>
    <w:rsid w:val="00630B3F"/>
    <w:rsid w:val="00636B7D"/>
    <w:rsid w:val="00637815"/>
    <w:rsid w:val="00641251"/>
    <w:rsid w:val="00652997"/>
    <w:rsid w:val="00673A74"/>
    <w:rsid w:val="006A2600"/>
    <w:rsid w:val="006B523F"/>
    <w:rsid w:val="006B76C5"/>
    <w:rsid w:val="006D07FD"/>
    <w:rsid w:val="006D440F"/>
    <w:rsid w:val="006E223C"/>
    <w:rsid w:val="006F0F12"/>
    <w:rsid w:val="00720C8C"/>
    <w:rsid w:val="00723A6C"/>
    <w:rsid w:val="0073075E"/>
    <w:rsid w:val="007725F7"/>
    <w:rsid w:val="007854E1"/>
    <w:rsid w:val="0079592A"/>
    <w:rsid w:val="007B27F3"/>
    <w:rsid w:val="007D3F05"/>
    <w:rsid w:val="007E0E9B"/>
    <w:rsid w:val="007E6EA5"/>
    <w:rsid w:val="008018E7"/>
    <w:rsid w:val="0081263D"/>
    <w:rsid w:val="008145EF"/>
    <w:rsid w:val="0082501D"/>
    <w:rsid w:val="00856593"/>
    <w:rsid w:val="00856954"/>
    <w:rsid w:val="008656CC"/>
    <w:rsid w:val="008749AB"/>
    <w:rsid w:val="008753BB"/>
    <w:rsid w:val="008B0BF1"/>
    <w:rsid w:val="008F2B0A"/>
    <w:rsid w:val="008F34C5"/>
    <w:rsid w:val="008F4E25"/>
    <w:rsid w:val="00911C7E"/>
    <w:rsid w:val="00927024"/>
    <w:rsid w:val="00940BE2"/>
    <w:rsid w:val="00947284"/>
    <w:rsid w:val="009522E8"/>
    <w:rsid w:val="00960607"/>
    <w:rsid w:val="00977E52"/>
    <w:rsid w:val="00983753"/>
    <w:rsid w:val="009925E8"/>
    <w:rsid w:val="009A1473"/>
    <w:rsid w:val="009B228B"/>
    <w:rsid w:val="009B4A91"/>
    <w:rsid w:val="009D540C"/>
    <w:rsid w:val="009E333B"/>
    <w:rsid w:val="00A01405"/>
    <w:rsid w:val="00A237A6"/>
    <w:rsid w:val="00A30F4E"/>
    <w:rsid w:val="00A52475"/>
    <w:rsid w:val="00A53EF7"/>
    <w:rsid w:val="00A70E4D"/>
    <w:rsid w:val="00A82377"/>
    <w:rsid w:val="00AB0F47"/>
    <w:rsid w:val="00AB3850"/>
    <w:rsid w:val="00AC69BE"/>
    <w:rsid w:val="00AD1993"/>
    <w:rsid w:val="00AF3EC8"/>
    <w:rsid w:val="00AF41EE"/>
    <w:rsid w:val="00B04D4A"/>
    <w:rsid w:val="00B2227A"/>
    <w:rsid w:val="00B51E85"/>
    <w:rsid w:val="00B63EEA"/>
    <w:rsid w:val="00B83448"/>
    <w:rsid w:val="00BC5891"/>
    <w:rsid w:val="00BF07BA"/>
    <w:rsid w:val="00C11CEA"/>
    <w:rsid w:val="00C20125"/>
    <w:rsid w:val="00C270D5"/>
    <w:rsid w:val="00C36630"/>
    <w:rsid w:val="00C45D4C"/>
    <w:rsid w:val="00C62343"/>
    <w:rsid w:val="00C6673D"/>
    <w:rsid w:val="00C70382"/>
    <w:rsid w:val="00C955CF"/>
    <w:rsid w:val="00CA5F0F"/>
    <w:rsid w:val="00CA6816"/>
    <w:rsid w:val="00CD1889"/>
    <w:rsid w:val="00CD1FD9"/>
    <w:rsid w:val="00CE60D8"/>
    <w:rsid w:val="00CF149C"/>
    <w:rsid w:val="00CF4A00"/>
    <w:rsid w:val="00D03872"/>
    <w:rsid w:val="00D03E47"/>
    <w:rsid w:val="00D23670"/>
    <w:rsid w:val="00D26416"/>
    <w:rsid w:val="00D326A7"/>
    <w:rsid w:val="00D346F6"/>
    <w:rsid w:val="00D52D5D"/>
    <w:rsid w:val="00D5551B"/>
    <w:rsid w:val="00D56DCA"/>
    <w:rsid w:val="00D669E1"/>
    <w:rsid w:val="00D92A30"/>
    <w:rsid w:val="00D95132"/>
    <w:rsid w:val="00D96057"/>
    <w:rsid w:val="00DE139E"/>
    <w:rsid w:val="00DF2B62"/>
    <w:rsid w:val="00DF2C43"/>
    <w:rsid w:val="00E010B2"/>
    <w:rsid w:val="00E15B65"/>
    <w:rsid w:val="00E21DAA"/>
    <w:rsid w:val="00E42233"/>
    <w:rsid w:val="00E464D1"/>
    <w:rsid w:val="00E51302"/>
    <w:rsid w:val="00E57B17"/>
    <w:rsid w:val="00E73106"/>
    <w:rsid w:val="00E741D0"/>
    <w:rsid w:val="00E97A58"/>
    <w:rsid w:val="00EA7452"/>
    <w:rsid w:val="00EB075C"/>
    <w:rsid w:val="00EB2630"/>
    <w:rsid w:val="00EB26E1"/>
    <w:rsid w:val="00EB568A"/>
    <w:rsid w:val="00EB583F"/>
    <w:rsid w:val="00ED0DAC"/>
    <w:rsid w:val="00ED7F76"/>
    <w:rsid w:val="00EE63EA"/>
    <w:rsid w:val="00F04470"/>
    <w:rsid w:val="00F045F6"/>
    <w:rsid w:val="00F46BCA"/>
    <w:rsid w:val="00FA5758"/>
    <w:rsid w:val="00FC0555"/>
    <w:rsid w:val="00FC5CA6"/>
    <w:rsid w:val="00FD11E1"/>
    <w:rsid w:val="00FE103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D784E"/>
  <w15:docId w15:val="{0C628C0C-0211-4E53-AC06-0206278B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63D"/>
    <w:rPr>
      <w:rFonts w:ascii="Arial" w:hAnsi="Arial"/>
    </w:rPr>
  </w:style>
  <w:style w:type="paragraph" w:styleId="Heading1">
    <w:name w:val="heading 1"/>
    <w:basedOn w:val="Normal"/>
    <w:next w:val="Normal"/>
    <w:qFormat/>
    <w:rsid w:val="00FC0555"/>
    <w:pPr>
      <w:keepNext/>
      <w:spacing w:before="200" w:after="80"/>
      <w:outlineLvl w:val="0"/>
    </w:pPr>
    <w:rPr>
      <w:b/>
      <w:caps/>
      <w:kern w:val="28"/>
      <w:sz w:val="24"/>
    </w:rPr>
  </w:style>
  <w:style w:type="paragraph" w:styleId="Heading2">
    <w:name w:val="heading 2"/>
    <w:basedOn w:val="Normal"/>
    <w:next w:val="Normal"/>
    <w:qFormat/>
    <w:rsid w:val="006A2600"/>
    <w:pPr>
      <w:keepNext/>
      <w:numPr>
        <w:numId w:val="31"/>
      </w:numPr>
      <w:spacing w:before="160" w:after="60"/>
      <w:outlineLvl w:val="1"/>
    </w:pPr>
    <w:rPr>
      <w:rFonts w:ascii="Arial Bold" w:hAnsi="Arial Bold"/>
      <w:b/>
      <w:caps/>
      <w:sz w:val="28"/>
      <w:szCs w:val="28"/>
    </w:rPr>
  </w:style>
  <w:style w:type="paragraph" w:styleId="Heading3">
    <w:name w:val="heading 3"/>
    <w:basedOn w:val="Normal"/>
    <w:next w:val="Normal"/>
    <w:qFormat/>
    <w:rsid w:val="00E010B2"/>
    <w:pPr>
      <w:keepNext/>
      <w:numPr>
        <w:ilvl w:val="1"/>
        <w:numId w:val="31"/>
      </w:numPr>
      <w:tabs>
        <w:tab w:val="clear" w:pos="1440"/>
        <w:tab w:val="left" w:pos="709"/>
      </w:tabs>
      <w:spacing w:before="160" w:after="60"/>
      <w:ind w:left="709" w:hanging="709"/>
      <w:outlineLvl w:val="2"/>
    </w:pPr>
    <w:rPr>
      <w:b/>
      <w:bCs/>
      <w:caps/>
      <w:sz w:val="24"/>
      <w:szCs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CF4A00"/>
    <w:pPr>
      <w:pBdr>
        <w:bottom w:val="single" w:sz="2" w:space="5" w:color="auto"/>
      </w:pBdr>
      <w:tabs>
        <w:tab w:val="center" w:pos="4678"/>
        <w:tab w:val="right" w:pos="9070"/>
      </w:tabs>
      <w:spacing w:before="20" w:after="20"/>
      <w:jc w:val="both"/>
    </w:pPr>
    <w:rPr>
      <w:bCs/>
      <w:i/>
      <w:sz w:val="16"/>
    </w:rPr>
  </w:style>
  <w:style w:type="paragraph" w:styleId="Footer">
    <w:name w:val="footer"/>
    <w:basedOn w:val="Normal"/>
    <w:rsid w:val="007E6EA5"/>
    <w:pPr>
      <w:pBdr>
        <w:top w:val="single" w:sz="2" w:space="4" w:color="auto"/>
      </w:pBdr>
      <w:tabs>
        <w:tab w:val="center" w:pos="4678"/>
        <w:tab w:val="right" w:pos="9070"/>
      </w:tabs>
      <w:spacing w:before="80"/>
      <w:jc w:val="both"/>
    </w:pPr>
    <w:rPr>
      <w:b/>
      <w:i/>
      <w:sz w:val="16"/>
    </w:rPr>
  </w:style>
  <w:style w:type="character" w:styleId="PageNumber">
    <w:name w:val="page number"/>
    <w:basedOn w:val="DefaultParagraphFont"/>
    <w:rPr>
      <w:rFonts w:ascii="Arial" w:hAnsi="Arial"/>
      <w:sz w:val="16"/>
    </w:rPr>
  </w:style>
  <w:style w:type="paragraph" w:styleId="BodyText">
    <w:name w:val="Body Text"/>
    <w:basedOn w:val="Normal"/>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character" w:customStyle="1" w:styleId="BodyTextIndentChar">
    <w:name w:val="Body Text Indent Char"/>
    <w:basedOn w:val="DefaultParagraphFont"/>
    <w:link w:val="BodyTextIndent"/>
    <w:rsid w:val="00E42233"/>
    <w:rPr>
      <w:rFonts w:ascii="Arial" w:hAnsi="Arial"/>
      <w:lang w:val="en-AU" w:eastAsia="en-AU" w:bidi="ar-SA"/>
    </w:rPr>
  </w:style>
  <w:style w:type="paragraph" w:styleId="BodyTextIndent">
    <w:name w:val="Body Text Indent"/>
    <w:basedOn w:val="Normal"/>
    <w:link w:val="BodyTextIndentChar"/>
    <w:qFormat/>
    <w:rsid w:val="007D3F05"/>
    <w:pPr>
      <w:spacing w:before="60" w:after="60"/>
      <w:ind w:left="720"/>
      <w:jc w:val="both"/>
    </w:pPr>
  </w:style>
  <w:style w:type="paragraph" w:styleId="TOC1">
    <w:name w:val="toc 1"/>
    <w:basedOn w:val="Normal"/>
    <w:next w:val="Normal"/>
    <w:autoRedefine/>
    <w:uiPriority w:val="39"/>
    <w:rsid w:val="00D26416"/>
    <w:pPr>
      <w:tabs>
        <w:tab w:val="left" w:pos="567"/>
        <w:tab w:val="right" w:leader="dot" w:pos="9072"/>
      </w:tabs>
      <w:spacing w:before="120" w:after="60"/>
      <w:ind w:left="567" w:hanging="567"/>
    </w:pPr>
    <w:rPr>
      <w:b/>
      <w:caps/>
      <w:sz w:val="24"/>
    </w:rPr>
  </w:style>
  <w:style w:type="paragraph" w:styleId="TOC2">
    <w:name w:val="toc 2"/>
    <w:basedOn w:val="Normal"/>
    <w:next w:val="Normal"/>
    <w:autoRedefine/>
    <w:uiPriority w:val="39"/>
    <w:rsid w:val="00D26416"/>
    <w:pPr>
      <w:tabs>
        <w:tab w:val="left" w:pos="1134"/>
        <w:tab w:val="right" w:leader="dot" w:pos="9072"/>
      </w:tabs>
      <w:spacing w:before="20" w:after="20"/>
      <w:ind w:left="1134" w:hanging="567"/>
      <w:contextualSpacing/>
    </w:pPr>
    <w:rPr>
      <w:b/>
      <w:smallCaps/>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tabs>
        <w:tab w:val="left" w:pos="622"/>
        <w:tab w:val="left" w:pos="1303"/>
        <w:tab w:val="left" w:pos="1773"/>
        <w:tab w:val="left" w:pos="2493"/>
        <w:tab w:val="left" w:pos="3213"/>
        <w:tab w:val="left" w:pos="3933"/>
        <w:tab w:val="left" w:pos="4653"/>
        <w:tab w:val="left" w:pos="5373"/>
        <w:tab w:val="left" w:pos="6093"/>
        <w:tab w:val="left" w:pos="6813"/>
        <w:tab w:val="left" w:pos="7533"/>
        <w:tab w:val="left" w:pos="8253"/>
        <w:tab w:val="left" w:pos="8973"/>
      </w:tabs>
      <w:spacing w:before="120" w:after="120"/>
    </w:pPr>
    <w:rPr>
      <w:b/>
      <w:snapToGrid w:val="0"/>
      <w:lang w:eastAsia="en-US"/>
    </w:rPr>
  </w:style>
  <w:style w:type="paragraph" w:customStyle="1" w:styleId="hdg4">
    <w:name w:val="hdg 4"/>
    <w:basedOn w:val="Normal"/>
    <w:next w:val="BodyText"/>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spacing w:before="120"/>
    </w:pPr>
    <w:rPr>
      <w:rFonts w:ascii="CG Times" w:hAnsi="CG Times"/>
      <w:sz w:val="22"/>
    </w:rPr>
  </w:style>
  <w:style w:type="paragraph" w:customStyle="1" w:styleId="Hdg40">
    <w:name w:val="Hdg4"/>
    <w:basedOn w:val="Heading3"/>
    <w:next w:val="Normal"/>
    <w:rPr>
      <w:i/>
      <w:caps w:val="0"/>
    </w:rPr>
  </w:style>
  <w:style w:type="paragraph" w:customStyle="1" w:styleId="Amend">
    <w:name w:val="Amend"/>
    <w:basedOn w:val="Normal"/>
    <w:rsid w:val="003F219B"/>
    <w:pPr>
      <w:jc w:val="right"/>
    </w:pPr>
    <w:rPr>
      <w:sz w:val="16"/>
    </w:rPr>
  </w:style>
  <w:style w:type="paragraph" w:customStyle="1" w:styleId="Level1">
    <w:name w:val="Level 1"/>
    <w:basedOn w:val="Normal"/>
    <w:pPr>
      <w:widowControl w:val="0"/>
      <w:spacing w:before="240"/>
      <w:ind w:left="622" w:hanging="622"/>
    </w:pPr>
    <w:rPr>
      <w:rFonts w:ascii="CG Times" w:hAnsi="CG Times"/>
      <w:snapToGrid w:val="0"/>
      <w:sz w:val="24"/>
      <w:lang w:val="en-US" w:eastAsia="en-US"/>
    </w:rPr>
  </w:style>
  <w:style w:type="paragraph" w:customStyle="1" w:styleId="hdg5">
    <w:name w:val="hdg 5"/>
    <w:basedOn w:val="Normal"/>
    <w:next w:val="Normal"/>
    <w:pPr>
      <w:widowControl w:val="0"/>
      <w:spacing w:before="120"/>
    </w:pPr>
    <w:rPr>
      <w:b/>
      <w:snapToGrid w:val="0"/>
      <w:lang w:val="en-US" w:eastAsia="en-US"/>
    </w:rPr>
  </w:style>
  <w:style w:type="paragraph" w:customStyle="1" w:styleId="BodyTextIndentBoldItalicCen">
    <w:name w:val="Body Text Indent Bold Italic Cen"/>
    <w:basedOn w:val="BodyTextIndent"/>
    <w:rsid w:val="00497413"/>
    <w:pPr>
      <w:jc w:val="center"/>
    </w:pPr>
    <w:rPr>
      <w:b/>
      <w:i/>
    </w:rPr>
  </w:style>
  <w:style w:type="paragraph" w:customStyle="1" w:styleId="hdr1">
    <w:name w:val="hdr1"/>
    <w:basedOn w:val="Notes"/>
    <w:next w:val="Normal"/>
    <w:rPr>
      <w:rFonts w:ascii="Arial" w:hAnsi="Arial"/>
      <w:b/>
      <w:sz w:val="24"/>
    </w:rPr>
  </w:style>
  <w:style w:type="paragraph" w:customStyle="1" w:styleId="Hdr2">
    <w:name w:val="Hdr 2"/>
    <w:basedOn w:val="Notes"/>
    <w:next w:val="Notes"/>
    <w:pPr>
      <w:spacing w:before="120"/>
      <w:jc w:val="right"/>
    </w:pPr>
    <w:rPr>
      <w:rFonts w:ascii="MarkingPenHeavy" w:hAnsi="MarkingPenHeavy"/>
      <w:i/>
      <w:kern w:val="28"/>
      <w:sz w:val="28"/>
    </w:rPr>
  </w:style>
  <w:style w:type="paragraph" w:styleId="BodyTextIndent2">
    <w:name w:val="Body Text Indent 2"/>
    <w:basedOn w:val="Normal"/>
    <w:pPr>
      <w:spacing w:after="100"/>
      <w:ind w:left="709"/>
    </w:pPr>
  </w:style>
  <w:style w:type="paragraph" w:styleId="FootnoteText">
    <w:name w:val="footnote text"/>
    <w:basedOn w:val="Normal"/>
    <w:semiHidden/>
    <w:pPr>
      <w:widowControl w:val="0"/>
    </w:pPr>
    <w:rPr>
      <w:rFonts w:ascii="Times New Roman" w:hAnsi="Times New Roman"/>
      <w:snapToGrid w:val="0"/>
      <w:lang w:val="en-US" w:eastAsia="en-US"/>
    </w:rPr>
  </w:style>
  <w:style w:type="paragraph" w:styleId="BodyTextIndent3">
    <w:name w:val="Body Text Indent 3"/>
    <w:basedOn w:val="Normal"/>
    <w:pPr>
      <w:ind w:left="709"/>
      <w:jc w:val="both"/>
    </w:pPr>
    <w:rPr>
      <w:color w:val="FF000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70382"/>
    <w:rPr>
      <w:rFonts w:ascii="Tahoma" w:hAnsi="Tahoma" w:cs="Tahoma"/>
      <w:sz w:val="16"/>
      <w:szCs w:val="16"/>
    </w:rPr>
  </w:style>
  <w:style w:type="paragraph" w:customStyle="1" w:styleId="Table">
    <w:name w:val="Table"/>
    <w:basedOn w:val="BodyTextIndent3"/>
    <w:rsid w:val="008F34C5"/>
    <w:pPr>
      <w:spacing w:before="20" w:after="20"/>
      <w:ind w:left="0"/>
      <w:jc w:val="left"/>
    </w:pPr>
    <w:rPr>
      <w:snapToGrid w:val="0"/>
      <w:color w:val="auto"/>
      <w:sz w:val="18"/>
      <w:lang w:eastAsia="en-US"/>
    </w:rPr>
  </w:style>
  <w:style w:type="paragraph" w:customStyle="1" w:styleId="TableCen">
    <w:name w:val="Table Cen"/>
    <w:basedOn w:val="Table"/>
    <w:rsid w:val="008F34C5"/>
    <w:pPr>
      <w:jc w:val="center"/>
    </w:pPr>
  </w:style>
  <w:style w:type="paragraph" w:customStyle="1" w:styleId="TableHeadCen">
    <w:name w:val="Table Head Cen"/>
    <w:basedOn w:val="Normal"/>
    <w:rsid w:val="003B50E2"/>
    <w:pPr>
      <w:spacing w:before="40" w:after="40"/>
      <w:jc w:val="center"/>
    </w:pPr>
    <w:rPr>
      <w:b/>
      <w:sz w:val="18"/>
    </w:rPr>
  </w:style>
  <w:style w:type="paragraph" w:customStyle="1" w:styleId="CoverHeading">
    <w:name w:val="Cover Heading"/>
    <w:basedOn w:val="Normal"/>
    <w:rsid w:val="008F34C5"/>
    <w:pPr>
      <w:spacing w:before="240" w:after="120"/>
      <w:jc w:val="center"/>
      <w:outlineLvl w:val="0"/>
    </w:pPr>
    <w:rPr>
      <w:b/>
      <w:caps/>
      <w:sz w:val="24"/>
    </w:rPr>
  </w:style>
  <w:style w:type="paragraph" w:customStyle="1" w:styleId="BodyTextIndentDot">
    <w:name w:val="Body Text Indent Dot"/>
    <w:basedOn w:val="Normal"/>
    <w:qFormat/>
    <w:rsid w:val="007D3F05"/>
    <w:pPr>
      <w:numPr>
        <w:numId w:val="4"/>
      </w:numPr>
      <w:spacing w:before="40" w:after="40"/>
      <w:ind w:left="993" w:hanging="284"/>
      <w:jc w:val="both"/>
    </w:pPr>
  </w:style>
  <w:style w:type="paragraph" w:customStyle="1" w:styleId="BodyTextIndentBoldUnderline">
    <w:name w:val="Body Text Indent Bold Underline"/>
    <w:basedOn w:val="Normal"/>
    <w:rsid w:val="007D3F05"/>
    <w:pPr>
      <w:spacing w:before="60" w:after="60"/>
      <w:ind w:left="709"/>
      <w:jc w:val="both"/>
    </w:pPr>
    <w:rPr>
      <w:b/>
      <w:u w:val="single"/>
    </w:rPr>
  </w:style>
  <w:style w:type="paragraph" w:customStyle="1" w:styleId="BodyTextIndentBold">
    <w:name w:val="Body Text Indent Bold"/>
    <w:basedOn w:val="BodyTextIndent"/>
    <w:rsid w:val="00D669E1"/>
    <w:rPr>
      <w:b/>
    </w:rPr>
  </w:style>
  <w:style w:type="paragraph" w:customStyle="1" w:styleId="BodyTextIndent9">
    <w:name w:val="Body Text Indent 9"/>
    <w:basedOn w:val="BodyTextIndent"/>
    <w:rsid w:val="00960607"/>
    <w:rPr>
      <w:sz w:val="18"/>
      <w:szCs w:val="18"/>
    </w:rPr>
  </w:style>
  <w:style w:type="paragraph" w:customStyle="1" w:styleId="TableHead">
    <w:name w:val="Table Head"/>
    <w:basedOn w:val="TableHeadCen"/>
    <w:rsid w:val="003B50E2"/>
    <w:pPr>
      <w:jc w:val="left"/>
    </w:pPr>
  </w:style>
  <w:style w:type="paragraph" w:customStyle="1" w:styleId="TableNum">
    <w:name w:val="Table Num"/>
    <w:basedOn w:val="Table"/>
    <w:rsid w:val="00960607"/>
    <w:pPr>
      <w:numPr>
        <w:numId w:val="20"/>
      </w:numPr>
    </w:pPr>
  </w:style>
  <w:style w:type="paragraph" w:customStyle="1" w:styleId="TableLet">
    <w:name w:val="Table Let"/>
    <w:basedOn w:val="Normal"/>
    <w:rsid w:val="00630B3F"/>
    <w:pPr>
      <w:numPr>
        <w:numId w:val="22"/>
      </w:numPr>
      <w:spacing w:before="20" w:after="20"/>
    </w:pPr>
    <w:rPr>
      <w:sz w:val="18"/>
    </w:rPr>
  </w:style>
  <w:style w:type="paragraph" w:customStyle="1" w:styleId="BodyTextIndent9Num">
    <w:name w:val="Body Text Indent 9 Num"/>
    <w:basedOn w:val="Normal"/>
    <w:rsid w:val="00013D39"/>
    <w:pPr>
      <w:numPr>
        <w:numId w:val="8"/>
      </w:numPr>
      <w:spacing w:before="40" w:after="40"/>
      <w:ind w:left="993" w:hanging="284"/>
      <w:jc w:val="both"/>
    </w:pPr>
    <w:rPr>
      <w:sz w:val="18"/>
    </w:rPr>
  </w:style>
  <w:style w:type="paragraph" w:customStyle="1" w:styleId="TableIDNum">
    <w:name w:val="Table ID Num"/>
    <w:basedOn w:val="Normal"/>
    <w:qFormat/>
    <w:rsid w:val="0082501D"/>
    <w:pPr>
      <w:spacing w:before="120" w:after="60"/>
      <w:ind w:left="709"/>
    </w:pPr>
    <w:rPr>
      <w:b/>
      <w:i/>
      <w:sz w:val="18"/>
    </w:rPr>
  </w:style>
  <w:style w:type="table" w:styleId="TableGrid">
    <w:name w:val="Table Grid"/>
    <w:basedOn w:val="TableNormal"/>
    <w:rsid w:val="001A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3A6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C75C9-25D1-4E48-A335-92F27CE124EC}">
  <ds:schemaRefs>
    <ds:schemaRef ds:uri="http://schemas.microsoft.com/sharepoint/v3/contenttype/forms"/>
  </ds:schemaRefs>
</ds:datastoreItem>
</file>

<file path=customXml/itemProps2.xml><?xml version="1.0" encoding="utf-8"?>
<ds:datastoreItem xmlns:ds="http://schemas.openxmlformats.org/officeDocument/2006/customXml" ds:itemID="{F4CB5E9E-CE74-4486-A2A6-DA76D88B2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35939-DEB7-479A-871B-8C35ED2E9DEC}">
  <ds:schemaRefs>
    <ds:schemaRef ds:uri="http://schemas.openxmlformats.org/officeDocument/2006/bibliography"/>
  </ds:schemaRefs>
</ds:datastoreItem>
</file>

<file path=customXml/itemProps4.xml><?xml version="1.0" encoding="utf-8"?>
<ds:datastoreItem xmlns:ds="http://schemas.openxmlformats.org/officeDocument/2006/customXml" ds:itemID="{0B4A7091-65D5-44B4-921B-0AC8F3FE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24</Pages>
  <Words>7692</Words>
  <Characters>43849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51439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S140 Earthworks</dc:subject>
  <dc:creator>Lucy Ting</dc:creator>
  <cp:keywords/>
  <dc:description/>
  <cp:lastModifiedBy>David Brady</cp:lastModifiedBy>
  <cp:revision>70</cp:revision>
  <cp:lastPrinted>2018-06-27T03:16:00Z</cp:lastPrinted>
  <dcterms:created xsi:type="dcterms:W3CDTF">2018-06-27T00:20:00Z</dcterms:created>
  <dcterms:modified xsi:type="dcterms:W3CDTF">2021-11-16T22:24:00Z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