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C7842" w14:textId="77777777" w:rsidR="005B43C2" w:rsidRDefault="005B43C2" w:rsidP="008338E8">
      <w:pPr>
        <w:pStyle w:val="Heading1"/>
      </w:pPr>
      <w:bookmarkStart w:id="0" w:name="_Toc197934562"/>
      <w:bookmarkStart w:id="1" w:name="_Toc197935081"/>
      <w:bookmarkStart w:id="2" w:name="_Toc197936723"/>
      <w:r>
        <w:t>Brisbane Infrastructure Division</w:t>
      </w:r>
    </w:p>
    <w:p w14:paraId="419E427C" w14:textId="77777777" w:rsidR="005B43C2" w:rsidRDefault="005B43C2" w:rsidP="008338E8">
      <w:pPr>
        <w:pStyle w:val="Heading1"/>
      </w:pPr>
      <w:r>
        <w:t>Reference Specifications for Engineering Work</w:t>
      </w:r>
    </w:p>
    <w:p w14:paraId="06FA957F" w14:textId="77777777" w:rsidR="005B43C2" w:rsidRDefault="005B43C2" w:rsidP="008338E8">
      <w:pPr>
        <w:pStyle w:val="Heading1"/>
      </w:pPr>
      <w:r>
        <w:t>S145 Installation and Maintenance of Utility Services</w:t>
      </w:r>
    </w:p>
    <w:p w14:paraId="172A4726" w14:textId="006D9505" w:rsidR="00FC4C30" w:rsidRPr="00FC4C30" w:rsidRDefault="00FC4C30" w:rsidP="00FC4C30">
      <w:pPr>
        <w:sectPr w:rsidR="00FC4C30" w:rsidRPr="00FC4C30" w:rsidSect="00E75FAB">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992" w:left="1134" w:header="1134" w:footer="851" w:gutter="0"/>
          <w:pgNumType w:fmt="lowerRoman" w:start="1"/>
          <w:cols w:space="720"/>
          <w:docGrid w:linePitch="272"/>
        </w:sectPr>
      </w:pPr>
    </w:p>
    <w:p w14:paraId="78C98F6D" w14:textId="63AA4BC9" w:rsidR="006E06D3" w:rsidRDefault="006E06D3" w:rsidP="005D2A38">
      <w:pPr>
        <w:pStyle w:val="Heading2"/>
        <w:numPr>
          <w:ilvl w:val="0"/>
          <w:numId w:val="0"/>
        </w:numPr>
        <w:ind w:left="709" w:hanging="709"/>
      </w:pPr>
      <w:r>
        <w:lastRenderedPageBreak/>
        <w:t>Amendment Register</w:t>
      </w:r>
      <w:bookmarkEnd w:id="0"/>
      <w:bookmarkEnd w:id="1"/>
      <w:bookmarkEnd w:id="2"/>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5103"/>
        <w:gridCol w:w="1843"/>
      </w:tblGrid>
      <w:tr w:rsidR="006E06D3" w14:paraId="4642387F" w14:textId="77777777" w:rsidTr="00DD4BEA">
        <w:tc>
          <w:tcPr>
            <w:tcW w:w="1134" w:type="dxa"/>
            <w:tcBorders>
              <w:top w:val="single" w:sz="12" w:space="0" w:color="auto"/>
              <w:left w:val="nil"/>
              <w:bottom w:val="single" w:sz="12" w:space="0" w:color="auto"/>
              <w:right w:val="single" w:sz="6" w:space="0" w:color="auto"/>
            </w:tcBorders>
            <w:shd w:val="pct10" w:color="auto" w:fill="auto"/>
            <w:vAlign w:val="center"/>
          </w:tcPr>
          <w:p w14:paraId="67905264" w14:textId="77777777" w:rsidR="006E06D3" w:rsidRDefault="006E06D3" w:rsidP="004A08B6">
            <w:pPr>
              <w:pStyle w:val="TableHeadCen"/>
            </w:pPr>
            <w:r>
              <w:t>Ed/Rev Number</w:t>
            </w:r>
          </w:p>
        </w:tc>
        <w:tc>
          <w:tcPr>
            <w:tcW w:w="1134" w:type="dxa"/>
            <w:tcBorders>
              <w:top w:val="single" w:sz="12" w:space="0" w:color="auto"/>
              <w:left w:val="single" w:sz="6" w:space="0" w:color="auto"/>
              <w:bottom w:val="single" w:sz="12" w:space="0" w:color="auto"/>
              <w:right w:val="single" w:sz="6" w:space="0" w:color="auto"/>
            </w:tcBorders>
            <w:shd w:val="pct10" w:color="auto" w:fill="auto"/>
            <w:vAlign w:val="center"/>
          </w:tcPr>
          <w:p w14:paraId="26B5A1AB" w14:textId="77777777" w:rsidR="006E06D3" w:rsidRDefault="006E06D3" w:rsidP="004A08B6">
            <w:pPr>
              <w:pStyle w:val="TableHeadCen"/>
            </w:pPr>
            <w:r>
              <w:t>Section Number</w:t>
            </w:r>
          </w:p>
        </w:tc>
        <w:tc>
          <w:tcPr>
            <w:tcW w:w="5103" w:type="dxa"/>
            <w:tcBorders>
              <w:top w:val="single" w:sz="12" w:space="0" w:color="auto"/>
              <w:left w:val="single" w:sz="6" w:space="0" w:color="auto"/>
              <w:bottom w:val="single" w:sz="12" w:space="0" w:color="auto"/>
              <w:right w:val="single" w:sz="6" w:space="0" w:color="auto"/>
            </w:tcBorders>
            <w:shd w:val="pct10" w:color="auto" w:fill="auto"/>
            <w:vAlign w:val="center"/>
          </w:tcPr>
          <w:p w14:paraId="2107E0B5" w14:textId="77777777" w:rsidR="006E06D3" w:rsidRDefault="006E06D3" w:rsidP="007F7D07">
            <w:pPr>
              <w:pStyle w:val="TableHead"/>
            </w:pPr>
            <w:r>
              <w:t>Description</w:t>
            </w:r>
          </w:p>
        </w:tc>
        <w:tc>
          <w:tcPr>
            <w:tcW w:w="1843" w:type="dxa"/>
            <w:tcBorders>
              <w:top w:val="single" w:sz="12" w:space="0" w:color="auto"/>
              <w:left w:val="single" w:sz="6" w:space="0" w:color="auto"/>
              <w:bottom w:val="single" w:sz="12" w:space="0" w:color="auto"/>
              <w:right w:val="nil"/>
            </w:tcBorders>
            <w:shd w:val="pct10" w:color="auto" w:fill="auto"/>
            <w:vAlign w:val="center"/>
          </w:tcPr>
          <w:p w14:paraId="46445373" w14:textId="77777777" w:rsidR="006E06D3" w:rsidRDefault="006E06D3" w:rsidP="004A08B6">
            <w:pPr>
              <w:pStyle w:val="TableHeadCen"/>
            </w:pPr>
            <w:r>
              <w:t>Date</w:t>
            </w:r>
          </w:p>
        </w:tc>
      </w:tr>
      <w:tr w:rsidR="006E06D3" w14:paraId="54C4AB96" w14:textId="77777777" w:rsidTr="00DD4BEA">
        <w:tc>
          <w:tcPr>
            <w:tcW w:w="1134" w:type="dxa"/>
            <w:tcBorders>
              <w:top w:val="single" w:sz="12" w:space="0" w:color="auto"/>
              <w:left w:val="nil"/>
              <w:bottom w:val="single" w:sz="8" w:space="0" w:color="auto"/>
              <w:right w:val="single" w:sz="2" w:space="0" w:color="auto"/>
            </w:tcBorders>
            <w:vAlign w:val="center"/>
          </w:tcPr>
          <w:p w14:paraId="757E322E" w14:textId="77777777" w:rsidR="006E06D3" w:rsidRDefault="006E06D3" w:rsidP="004A08B6">
            <w:pPr>
              <w:pStyle w:val="TableCen"/>
            </w:pPr>
            <w:r>
              <w:t>1.0</w:t>
            </w:r>
          </w:p>
        </w:tc>
        <w:tc>
          <w:tcPr>
            <w:tcW w:w="1134" w:type="dxa"/>
            <w:tcBorders>
              <w:top w:val="single" w:sz="12" w:space="0" w:color="auto"/>
              <w:left w:val="single" w:sz="2" w:space="0" w:color="auto"/>
              <w:bottom w:val="single" w:sz="8" w:space="0" w:color="auto"/>
              <w:right w:val="single" w:sz="2" w:space="0" w:color="auto"/>
            </w:tcBorders>
            <w:vAlign w:val="center"/>
          </w:tcPr>
          <w:p w14:paraId="05580AF2" w14:textId="77777777" w:rsidR="006E06D3" w:rsidRDefault="006E06D3" w:rsidP="004A08B6">
            <w:pPr>
              <w:pStyle w:val="TableCen"/>
            </w:pPr>
          </w:p>
        </w:tc>
        <w:tc>
          <w:tcPr>
            <w:tcW w:w="5103" w:type="dxa"/>
            <w:tcBorders>
              <w:top w:val="single" w:sz="12" w:space="0" w:color="auto"/>
              <w:left w:val="single" w:sz="2" w:space="0" w:color="auto"/>
              <w:bottom w:val="single" w:sz="8" w:space="0" w:color="auto"/>
              <w:right w:val="single" w:sz="2" w:space="0" w:color="auto"/>
            </w:tcBorders>
            <w:vAlign w:val="center"/>
          </w:tcPr>
          <w:p w14:paraId="1DA89FB0" w14:textId="77777777" w:rsidR="006E06D3" w:rsidRDefault="006E06D3" w:rsidP="004A08B6">
            <w:pPr>
              <w:pStyle w:val="Table"/>
            </w:pPr>
            <w:r>
              <w:t>Original issue.</w:t>
            </w:r>
          </w:p>
          <w:p w14:paraId="6902D822" w14:textId="77777777" w:rsidR="006E06D3" w:rsidRDefault="006E06D3" w:rsidP="004A08B6">
            <w:pPr>
              <w:pStyle w:val="Table"/>
            </w:pPr>
            <w:r>
              <w:t>Sections moved from Reference Specification for Civil Engineering Works S1</w:t>
            </w:r>
            <w:r w:rsidR="00390E4D">
              <w:t>4</w:t>
            </w:r>
            <w:r>
              <w:t xml:space="preserve">0 </w:t>
            </w:r>
            <w:r w:rsidR="00390E4D">
              <w:t>Earthworks</w:t>
            </w:r>
          </w:p>
        </w:tc>
        <w:tc>
          <w:tcPr>
            <w:tcW w:w="1843" w:type="dxa"/>
            <w:tcBorders>
              <w:top w:val="single" w:sz="12" w:space="0" w:color="auto"/>
              <w:left w:val="single" w:sz="2" w:space="0" w:color="auto"/>
              <w:bottom w:val="single" w:sz="8" w:space="0" w:color="auto"/>
              <w:right w:val="nil"/>
            </w:tcBorders>
            <w:vAlign w:val="center"/>
          </w:tcPr>
          <w:p w14:paraId="2D2A8F35" w14:textId="77777777" w:rsidR="006E06D3" w:rsidRPr="001B0206" w:rsidRDefault="007F7D07" w:rsidP="004A08B6">
            <w:pPr>
              <w:pStyle w:val="TableCen"/>
            </w:pPr>
            <w:r>
              <w:t>Apr 2014</w:t>
            </w:r>
          </w:p>
        </w:tc>
      </w:tr>
      <w:tr w:rsidR="00C61437" w14:paraId="44BF0355" w14:textId="77777777" w:rsidTr="00DD4BEA">
        <w:trPr>
          <w:trHeight w:val="340"/>
        </w:trPr>
        <w:tc>
          <w:tcPr>
            <w:tcW w:w="1134" w:type="dxa"/>
            <w:vMerge w:val="restart"/>
            <w:tcBorders>
              <w:top w:val="single" w:sz="8" w:space="0" w:color="auto"/>
              <w:left w:val="nil"/>
              <w:bottom w:val="single" w:sz="2" w:space="0" w:color="auto"/>
              <w:right w:val="single" w:sz="2" w:space="0" w:color="auto"/>
            </w:tcBorders>
            <w:vAlign w:val="center"/>
          </w:tcPr>
          <w:p w14:paraId="17F77056" w14:textId="77777777" w:rsidR="00C61437" w:rsidRDefault="00C61437" w:rsidP="004A08B6">
            <w:pPr>
              <w:pStyle w:val="TableCen"/>
            </w:pPr>
            <w:r>
              <w:t>2.0</w:t>
            </w:r>
          </w:p>
        </w:tc>
        <w:tc>
          <w:tcPr>
            <w:tcW w:w="1134" w:type="dxa"/>
            <w:tcBorders>
              <w:top w:val="single" w:sz="8" w:space="0" w:color="auto"/>
              <w:left w:val="single" w:sz="2" w:space="0" w:color="auto"/>
              <w:bottom w:val="single" w:sz="2" w:space="0" w:color="auto"/>
              <w:right w:val="single" w:sz="2" w:space="0" w:color="auto"/>
            </w:tcBorders>
            <w:vAlign w:val="center"/>
          </w:tcPr>
          <w:p w14:paraId="0A9D5ABA" w14:textId="77777777" w:rsidR="00C61437" w:rsidRDefault="00C61437" w:rsidP="00C61437">
            <w:pPr>
              <w:pStyle w:val="TableCen"/>
            </w:pPr>
            <w:r w:rsidRPr="0027323C">
              <w:t>General</w:t>
            </w:r>
          </w:p>
        </w:tc>
        <w:tc>
          <w:tcPr>
            <w:tcW w:w="5103" w:type="dxa"/>
            <w:tcBorders>
              <w:top w:val="single" w:sz="8" w:space="0" w:color="auto"/>
              <w:left w:val="single" w:sz="2" w:space="0" w:color="auto"/>
              <w:bottom w:val="single" w:sz="2" w:space="0" w:color="auto"/>
              <w:right w:val="single" w:sz="2" w:space="0" w:color="auto"/>
            </w:tcBorders>
            <w:vAlign w:val="center"/>
          </w:tcPr>
          <w:p w14:paraId="51AE4FFC" w14:textId="77777777" w:rsidR="00C61437" w:rsidRDefault="00C61437" w:rsidP="00C61437">
            <w:pPr>
              <w:pStyle w:val="Table"/>
            </w:pPr>
            <w:r w:rsidRPr="0027323C">
              <w:t>External References Updated and Corrected</w:t>
            </w:r>
          </w:p>
        </w:tc>
        <w:tc>
          <w:tcPr>
            <w:tcW w:w="1843" w:type="dxa"/>
            <w:vMerge w:val="restart"/>
            <w:tcBorders>
              <w:top w:val="single" w:sz="8" w:space="0" w:color="auto"/>
              <w:left w:val="single" w:sz="2" w:space="0" w:color="auto"/>
              <w:right w:val="nil"/>
            </w:tcBorders>
            <w:vAlign w:val="center"/>
          </w:tcPr>
          <w:p w14:paraId="273F5C27" w14:textId="77777777" w:rsidR="00C61437" w:rsidRDefault="00C61437" w:rsidP="004A08B6">
            <w:pPr>
              <w:pStyle w:val="TableCen"/>
            </w:pPr>
            <w:r>
              <w:t>May 2016</w:t>
            </w:r>
          </w:p>
        </w:tc>
      </w:tr>
      <w:tr w:rsidR="00C61437" w14:paraId="03C473EE" w14:textId="77777777" w:rsidTr="00DD4BEA">
        <w:trPr>
          <w:trHeight w:val="340"/>
        </w:trPr>
        <w:tc>
          <w:tcPr>
            <w:tcW w:w="1134" w:type="dxa"/>
            <w:vMerge/>
            <w:tcBorders>
              <w:top w:val="single" w:sz="2" w:space="0" w:color="auto"/>
              <w:left w:val="nil"/>
              <w:bottom w:val="single" w:sz="8" w:space="0" w:color="auto"/>
              <w:right w:val="single" w:sz="2" w:space="0" w:color="auto"/>
            </w:tcBorders>
            <w:vAlign w:val="center"/>
          </w:tcPr>
          <w:p w14:paraId="6EEFB270" w14:textId="77777777" w:rsidR="00C61437" w:rsidRDefault="00C61437" w:rsidP="004A08B6">
            <w:pPr>
              <w:pStyle w:val="TableCen"/>
            </w:pPr>
          </w:p>
        </w:tc>
        <w:tc>
          <w:tcPr>
            <w:tcW w:w="1134" w:type="dxa"/>
            <w:tcBorders>
              <w:top w:val="single" w:sz="2" w:space="0" w:color="auto"/>
              <w:left w:val="single" w:sz="2" w:space="0" w:color="auto"/>
              <w:bottom w:val="single" w:sz="8" w:space="0" w:color="auto"/>
              <w:right w:val="single" w:sz="2" w:space="0" w:color="auto"/>
            </w:tcBorders>
            <w:vAlign w:val="center"/>
          </w:tcPr>
          <w:p w14:paraId="7C9D555D" w14:textId="77777777" w:rsidR="00C61437" w:rsidRDefault="00C61437" w:rsidP="006B7914">
            <w:pPr>
              <w:pStyle w:val="TableCen"/>
            </w:pPr>
            <w:r w:rsidRPr="0027323C">
              <w:t>1.</w:t>
            </w:r>
            <w:r w:rsidR="006B7914">
              <w:t>4 and 1.5</w:t>
            </w:r>
          </w:p>
        </w:tc>
        <w:tc>
          <w:tcPr>
            <w:tcW w:w="5103" w:type="dxa"/>
            <w:tcBorders>
              <w:top w:val="single" w:sz="2" w:space="0" w:color="auto"/>
              <w:left w:val="single" w:sz="2" w:space="0" w:color="auto"/>
              <w:bottom w:val="single" w:sz="8" w:space="0" w:color="auto"/>
              <w:right w:val="single" w:sz="2" w:space="0" w:color="auto"/>
            </w:tcBorders>
            <w:vAlign w:val="center"/>
          </w:tcPr>
          <w:p w14:paraId="3AE0D988" w14:textId="77777777" w:rsidR="00C61437" w:rsidRDefault="00C61437" w:rsidP="00C61437">
            <w:pPr>
              <w:pStyle w:val="Table"/>
            </w:pPr>
            <w:r w:rsidRPr="0027323C">
              <w:t>Reference list expanded to show all referenced documents</w:t>
            </w:r>
          </w:p>
        </w:tc>
        <w:tc>
          <w:tcPr>
            <w:tcW w:w="1843" w:type="dxa"/>
            <w:vMerge/>
            <w:tcBorders>
              <w:left w:val="single" w:sz="2" w:space="0" w:color="auto"/>
              <w:bottom w:val="single" w:sz="8" w:space="0" w:color="auto"/>
              <w:right w:val="nil"/>
            </w:tcBorders>
            <w:vAlign w:val="center"/>
          </w:tcPr>
          <w:p w14:paraId="5F05FCEA" w14:textId="77777777" w:rsidR="00C61437" w:rsidRDefault="00C61437" w:rsidP="004A08B6">
            <w:pPr>
              <w:pStyle w:val="TableCen"/>
            </w:pPr>
          </w:p>
        </w:tc>
      </w:tr>
      <w:tr w:rsidR="001A45CD" w14:paraId="7A72066A" w14:textId="77777777" w:rsidTr="00DD4BEA">
        <w:trPr>
          <w:trHeight w:val="340"/>
        </w:trPr>
        <w:tc>
          <w:tcPr>
            <w:tcW w:w="1134" w:type="dxa"/>
            <w:tcBorders>
              <w:top w:val="single" w:sz="8" w:space="0" w:color="auto"/>
              <w:left w:val="nil"/>
              <w:bottom w:val="single" w:sz="8" w:space="0" w:color="auto"/>
              <w:right w:val="single" w:sz="2" w:space="0" w:color="auto"/>
            </w:tcBorders>
            <w:vAlign w:val="center"/>
          </w:tcPr>
          <w:p w14:paraId="22A0198D" w14:textId="77777777" w:rsidR="001A45CD" w:rsidRDefault="001A45CD" w:rsidP="001A45CD">
            <w:pPr>
              <w:pStyle w:val="TableCen"/>
            </w:pPr>
            <w:r>
              <w:t>3.0</w:t>
            </w:r>
          </w:p>
        </w:tc>
        <w:tc>
          <w:tcPr>
            <w:tcW w:w="1134" w:type="dxa"/>
            <w:tcBorders>
              <w:top w:val="single" w:sz="8" w:space="0" w:color="auto"/>
              <w:left w:val="single" w:sz="2" w:space="0" w:color="auto"/>
              <w:bottom w:val="single" w:sz="8" w:space="0" w:color="auto"/>
              <w:right w:val="single" w:sz="2" w:space="0" w:color="auto"/>
            </w:tcBorders>
            <w:vAlign w:val="center"/>
          </w:tcPr>
          <w:p w14:paraId="7300F084" w14:textId="77777777" w:rsidR="001A45CD" w:rsidRDefault="001A45CD" w:rsidP="001A45CD">
            <w:pPr>
              <w:pStyle w:val="TableCen"/>
            </w:pPr>
            <w:r>
              <w:t>General</w:t>
            </w:r>
          </w:p>
        </w:tc>
        <w:tc>
          <w:tcPr>
            <w:tcW w:w="5103" w:type="dxa"/>
            <w:tcBorders>
              <w:top w:val="single" w:sz="8" w:space="0" w:color="auto"/>
              <w:left w:val="single" w:sz="2" w:space="0" w:color="auto"/>
              <w:bottom w:val="single" w:sz="8" w:space="0" w:color="auto"/>
              <w:right w:val="single" w:sz="2" w:space="0" w:color="auto"/>
            </w:tcBorders>
            <w:vAlign w:val="center"/>
          </w:tcPr>
          <w:p w14:paraId="0617DDEF" w14:textId="77777777" w:rsidR="001A45CD" w:rsidRDefault="001A45CD" w:rsidP="001A45CD">
            <w:pPr>
              <w:pStyle w:val="Table"/>
            </w:pPr>
            <w:r>
              <w:t>Document name changed from ‘</w:t>
            </w:r>
            <w:r w:rsidRPr="00491846">
              <w:rPr>
                <w:i/>
              </w:rPr>
              <w:t>Reference Specifications for Civil Engineering Work</w:t>
            </w:r>
            <w:r>
              <w:t>’ to ‘</w:t>
            </w:r>
            <w:r w:rsidRPr="00491846">
              <w:rPr>
                <w:i/>
              </w:rPr>
              <w:t>Reference Specifications for Engineering Work</w:t>
            </w:r>
            <w:r>
              <w:t>’</w:t>
            </w:r>
          </w:p>
        </w:tc>
        <w:tc>
          <w:tcPr>
            <w:tcW w:w="1843" w:type="dxa"/>
            <w:tcBorders>
              <w:top w:val="single" w:sz="8" w:space="0" w:color="auto"/>
              <w:left w:val="single" w:sz="2" w:space="0" w:color="auto"/>
              <w:bottom w:val="single" w:sz="8" w:space="0" w:color="auto"/>
              <w:right w:val="nil"/>
            </w:tcBorders>
            <w:vAlign w:val="center"/>
          </w:tcPr>
          <w:p w14:paraId="5CA9D58A" w14:textId="77777777" w:rsidR="001A45CD" w:rsidRDefault="001A45CD" w:rsidP="001A45CD">
            <w:pPr>
              <w:pStyle w:val="TableCen"/>
            </w:pPr>
            <w:r>
              <w:t>May 2020</w:t>
            </w:r>
          </w:p>
        </w:tc>
      </w:tr>
      <w:tr w:rsidR="00DD6007" w14:paraId="1A6E8609" w14:textId="77777777" w:rsidTr="002917C1">
        <w:trPr>
          <w:trHeight w:val="340"/>
        </w:trPr>
        <w:tc>
          <w:tcPr>
            <w:tcW w:w="1134" w:type="dxa"/>
            <w:vMerge w:val="restart"/>
            <w:tcBorders>
              <w:top w:val="single" w:sz="8" w:space="0" w:color="auto"/>
              <w:left w:val="nil"/>
              <w:right w:val="single" w:sz="2" w:space="0" w:color="auto"/>
            </w:tcBorders>
            <w:vAlign w:val="center"/>
          </w:tcPr>
          <w:p w14:paraId="036D174F" w14:textId="77777777" w:rsidR="00DD6007" w:rsidRDefault="00DD6007" w:rsidP="00750CBF">
            <w:pPr>
              <w:pStyle w:val="TableCen"/>
            </w:pPr>
            <w:r>
              <w:t>4.0</w:t>
            </w:r>
          </w:p>
        </w:tc>
        <w:tc>
          <w:tcPr>
            <w:tcW w:w="1134" w:type="dxa"/>
            <w:tcBorders>
              <w:top w:val="single" w:sz="8" w:space="0" w:color="auto"/>
              <w:left w:val="single" w:sz="2" w:space="0" w:color="auto"/>
              <w:bottom w:val="single" w:sz="2" w:space="0" w:color="auto"/>
              <w:right w:val="single" w:sz="2" w:space="0" w:color="auto"/>
            </w:tcBorders>
            <w:vAlign w:val="center"/>
          </w:tcPr>
          <w:p w14:paraId="0B23DC7D" w14:textId="77777777" w:rsidR="00DD6007" w:rsidRDefault="00DD6007" w:rsidP="00750CBF">
            <w:pPr>
              <w:pStyle w:val="TableCen"/>
            </w:pPr>
            <w:r>
              <w:t>General</w:t>
            </w:r>
          </w:p>
        </w:tc>
        <w:tc>
          <w:tcPr>
            <w:tcW w:w="5103" w:type="dxa"/>
            <w:tcBorders>
              <w:top w:val="single" w:sz="8" w:space="0" w:color="auto"/>
              <w:left w:val="single" w:sz="2" w:space="0" w:color="auto"/>
              <w:bottom w:val="single" w:sz="2" w:space="0" w:color="auto"/>
              <w:right w:val="single" w:sz="2" w:space="0" w:color="auto"/>
            </w:tcBorders>
            <w:vAlign w:val="center"/>
          </w:tcPr>
          <w:p w14:paraId="79CE5005" w14:textId="77777777" w:rsidR="00DD6007" w:rsidRDefault="00DD6007" w:rsidP="00750CBF">
            <w:pPr>
              <w:pStyle w:val="Table"/>
            </w:pPr>
            <w:r>
              <w:t>Document name changed from ‘</w:t>
            </w:r>
            <w:r w:rsidRPr="00491846">
              <w:rPr>
                <w:i/>
              </w:rPr>
              <w:t>Reference Specifications for Civil Engineering Work</w:t>
            </w:r>
            <w:r>
              <w:t>’ to ‘</w:t>
            </w:r>
            <w:r w:rsidRPr="00491846">
              <w:rPr>
                <w:i/>
              </w:rPr>
              <w:t>Reference Specifications for Engineering Work</w:t>
            </w:r>
            <w:r>
              <w:t>’</w:t>
            </w:r>
          </w:p>
        </w:tc>
        <w:tc>
          <w:tcPr>
            <w:tcW w:w="1843" w:type="dxa"/>
            <w:vMerge w:val="restart"/>
            <w:tcBorders>
              <w:top w:val="single" w:sz="8" w:space="0" w:color="auto"/>
              <w:left w:val="single" w:sz="2" w:space="0" w:color="auto"/>
              <w:right w:val="nil"/>
            </w:tcBorders>
            <w:vAlign w:val="center"/>
          </w:tcPr>
          <w:p w14:paraId="7AE0BAE3" w14:textId="4D44B9D4" w:rsidR="00DD6007" w:rsidRDefault="00DD6007" w:rsidP="00750CBF">
            <w:pPr>
              <w:pStyle w:val="TableCen"/>
            </w:pPr>
            <w:r>
              <w:t>Ma</w:t>
            </w:r>
            <w:r w:rsidR="00474755">
              <w:t>r</w:t>
            </w:r>
            <w:r>
              <w:t xml:space="preserve"> 202</w:t>
            </w:r>
            <w:r w:rsidR="00474755">
              <w:t>1</w:t>
            </w:r>
          </w:p>
        </w:tc>
      </w:tr>
      <w:tr w:rsidR="00C94E9F" w14:paraId="3B806A19" w14:textId="77777777" w:rsidTr="002917C1">
        <w:trPr>
          <w:trHeight w:val="340"/>
        </w:trPr>
        <w:tc>
          <w:tcPr>
            <w:tcW w:w="1134" w:type="dxa"/>
            <w:vMerge/>
            <w:tcBorders>
              <w:left w:val="nil"/>
              <w:right w:val="single" w:sz="2" w:space="0" w:color="auto"/>
            </w:tcBorders>
            <w:vAlign w:val="center"/>
          </w:tcPr>
          <w:p w14:paraId="214486F9" w14:textId="77777777" w:rsidR="00C94E9F" w:rsidRDefault="00C94E9F" w:rsidP="00750CBF">
            <w:pPr>
              <w:pStyle w:val="TableCen"/>
            </w:pPr>
          </w:p>
        </w:tc>
        <w:tc>
          <w:tcPr>
            <w:tcW w:w="1134" w:type="dxa"/>
            <w:tcBorders>
              <w:top w:val="single" w:sz="2" w:space="0" w:color="auto"/>
              <w:left w:val="single" w:sz="2" w:space="0" w:color="auto"/>
              <w:bottom w:val="single" w:sz="2" w:space="0" w:color="auto"/>
              <w:right w:val="single" w:sz="2" w:space="0" w:color="auto"/>
            </w:tcBorders>
            <w:vAlign w:val="center"/>
          </w:tcPr>
          <w:p w14:paraId="5CFAC869" w14:textId="125CC6ED" w:rsidR="00C94E9F" w:rsidRDefault="00C94E9F" w:rsidP="00750CBF">
            <w:pPr>
              <w:pStyle w:val="TableCen"/>
            </w:pPr>
            <w:r>
              <w:t>1.4</w:t>
            </w:r>
          </w:p>
        </w:tc>
        <w:tc>
          <w:tcPr>
            <w:tcW w:w="5103" w:type="dxa"/>
            <w:tcBorders>
              <w:top w:val="single" w:sz="2" w:space="0" w:color="auto"/>
              <w:left w:val="single" w:sz="2" w:space="0" w:color="auto"/>
              <w:bottom w:val="single" w:sz="2" w:space="0" w:color="auto"/>
              <w:right w:val="single" w:sz="2" w:space="0" w:color="auto"/>
            </w:tcBorders>
            <w:vAlign w:val="center"/>
          </w:tcPr>
          <w:p w14:paraId="1BE748B3" w14:textId="070FE63D" w:rsidR="00C94E9F" w:rsidRDefault="00C94E9F" w:rsidP="00750CBF">
            <w:pPr>
              <w:pStyle w:val="Table"/>
            </w:pPr>
            <w:r>
              <w:t>Australian Standards references updated</w:t>
            </w:r>
            <w:r w:rsidR="0053434C">
              <w:t>.</w:t>
            </w:r>
          </w:p>
        </w:tc>
        <w:tc>
          <w:tcPr>
            <w:tcW w:w="1843" w:type="dxa"/>
            <w:vMerge/>
            <w:tcBorders>
              <w:left w:val="single" w:sz="2" w:space="0" w:color="auto"/>
              <w:right w:val="nil"/>
            </w:tcBorders>
            <w:vAlign w:val="center"/>
          </w:tcPr>
          <w:p w14:paraId="12DCCBBA" w14:textId="77777777" w:rsidR="00C94E9F" w:rsidRDefault="00C94E9F" w:rsidP="00750CBF">
            <w:pPr>
              <w:pStyle w:val="TableCen"/>
            </w:pPr>
          </w:p>
        </w:tc>
      </w:tr>
      <w:tr w:rsidR="00AE3531" w14:paraId="1D8FD774" w14:textId="77777777" w:rsidTr="002917C1">
        <w:trPr>
          <w:trHeight w:val="340"/>
        </w:trPr>
        <w:tc>
          <w:tcPr>
            <w:tcW w:w="1134" w:type="dxa"/>
            <w:vMerge/>
            <w:tcBorders>
              <w:left w:val="nil"/>
              <w:right w:val="single" w:sz="2" w:space="0" w:color="auto"/>
            </w:tcBorders>
            <w:vAlign w:val="center"/>
          </w:tcPr>
          <w:p w14:paraId="1D18CC95" w14:textId="77777777" w:rsidR="00AE3531" w:rsidRDefault="00AE3531" w:rsidP="00750CBF">
            <w:pPr>
              <w:pStyle w:val="TableCen"/>
            </w:pPr>
          </w:p>
        </w:tc>
        <w:tc>
          <w:tcPr>
            <w:tcW w:w="1134" w:type="dxa"/>
            <w:tcBorders>
              <w:top w:val="single" w:sz="2" w:space="0" w:color="auto"/>
              <w:left w:val="single" w:sz="2" w:space="0" w:color="auto"/>
              <w:bottom w:val="single" w:sz="2" w:space="0" w:color="auto"/>
              <w:right w:val="single" w:sz="2" w:space="0" w:color="auto"/>
            </w:tcBorders>
            <w:vAlign w:val="center"/>
          </w:tcPr>
          <w:p w14:paraId="5B6D2447" w14:textId="77777777" w:rsidR="00AE3531" w:rsidRDefault="00AE3531" w:rsidP="00750CBF">
            <w:pPr>
              <w:pStyle w:val="TableCen"/>
            </w:pPr>
            <w:r>
              <w:t>1.6</w:t>
            </w:r>
          </w:p>
        </w:tc>
        <w:tc>
          <w:tcPr>
            <w:tcW w:w="5103" w:type="dxa"/>
            <w:tcBorders>
              <w:top w:val="single" w:sz="2" w:space="0" w:color="auto"/>
              <w:left w:val="single" w:sz="2" w:space="0" w:color="auto"/>
              <w:bottom w:val="single" w:sz="2" w:space="0" w:color="auto"/>
              <w:right w:val="single" w:sz="2" w:space="0" w:color="auto"/>
            </w:tcBorders>
            <w:vAlign w:val="center"/>
          </w:tcPr>
          <w:p w14:paraId="0515A1D2" w14:textId="4B608478" w:rsidR="00AE3531" w:rsidRDefault="00AE3531" w:rsidP="00750CBF">
            <w:pPr>
              <w:pStyle w:val="Table"/>
            </w:pPr>
            <w:r>
              <w:t>‘Major roads’ and ‘Minor roads’ definit</w:t>
            </w:r>
            <w:permStart w:id="157180057" w:edGrp="everyone"/>
            <w:permEnd w:id="157180057"/>
            <w:r>
              <w:t>ions updated</w:t>
            </w:r>
            <w:r w:rsidR="007655E0">
              <w:t xml:space="preserve"> and </w:t>
            </w:r>
            <w:r w:rsidR="00A9203D">
              <w:t>‘</w:t>
            </w:r>
            <w:r w:rsidR="00A9203D" w:rsidRPr="00A9203D">
              <w:t>Primary freight routes and primary freight access</w:t>
            </w:r>
            <w:r w:rsidR="00A9203D">
              <w:t>’ definitions updated</w:t>
            </w:r>
            <w:r>
              <w:t>.</w:t>
            </w:r>
          </w:p>
        </w:tc>
        <w:tc>
          <w:tcPr>
            <w:tcW w:w="1843" w:type="dxa"/>
            <w:vMerge/>
            <w:tcBorders>
              <w:left w:val="single" w:sz="2" w:space="0" w:color="auto"/>
              <w:right w:val="nil"/>
            </w:tcBorders>
            <w:vAlign w:val="center"/>
          </w:tcPr>
          <w:p w14:paraId="29EDA997" w14:textId="77777777" w:rsidR="00AE3531" w:rsidRDefault="00AE3531" w:rsidP="00750CBF">
            <w:pPr>
              <w:pStyle w:val="TableCen"/>
            </w:pPr>
          </w:p>
        </w:tc>
      </w:tr>
      <w:tr w:rsidR="00282265" w14:paraId="04E00517" w14:textId="77777777" w:rsidTr="003233B7">
        <w:trPr>
          <w:trHeight w:val="340"/>
        </w:trPr>
        <w:tc>
          <w:tcPr>
            <w:tcW w:w="1134" w:type="dxa"/>
            <w:vMerge/>
            <w:tcBorders>
              <w:left w:val="nil"/>
              <w:right w:val="single" w:sz="2" w:space="0" w:color="auto"/>
            </w:tcBorders>
            <w:vAlign w:val="center"/>
          </w:tcPr>
          <w:p w14:paraId="32494F90" w14:textId="77777777" w:rsidR="00282265" w:rsidRDefault="00282265" w:rsidP="00750CBF">
            <w:pPr>
              <w:pStyle w:val="TableCen"/>
            </w:pPr>
          </w:p>
        </w:tc>
        <w:tc>
          <w:tcPr>
            <w:tcW w:w="1134" w:type="dxa"/>
            <w:vMerge w:val="restart"/>
            <w:tcBorders>
              <w:top w:val="single" w:sz="2" w:space="0" w:color="auto"/>
              <w:left w:val="single" w:sz="2" w:space="0" w:color="auto"/>
              <w:right w:val="single" w:sz="2" w:space="0" w:color="auto"/>
            </w:tcBorders>
            <w:vAlign w:val="center"/>
          </w:tcPr>
          <w:p w14:paraId="417E19A9" w14:textId="77777777" w:rsidR="00282265" w:rsidRDefault="00282265" w:rsidP="00750CBF">
            <w:pPr>
              <w:pStyle w:val="TableCen"/>
            </w:pPr>
            <w:r>
              <w:t>5.0</w:t>
            </w:r>
          </w:p>
        </w:tc>
        <w:tc>
          <w:tcPr>
            <w:tcW w:w="5103" w:type="dxa"/>
            <w:tcBorders>
              <w:top w:val="single" w:sz="2" w:space="0" w:color="auto"/>
              <w:left w:val="single" w:sz="2" w:space="0" w:color="auto"/>
              <w:bottom w:val="single" w:sz="2" w:space="0" w:color="auto"/>
              <w:right w:val="single" w:sz="2" w:space="0" w:color="auto"/>
            </w:tcBorders>
            <w:vAlign w:val="center"/>
          </w:tcPr>
          <w:p w14:paraId="1DAB33C6" w14:textId="77777777" w:rsidR="00282265" w:rsidRDefault="00282265" w:rsidP="00750CBF">
            <w:pPr>
              <w:pStyle w:val="Table"/>
            </w:pPr>
            <w:r>
              <w:t>Root barrier specification updated, proprietary product reference removed.</w:t>
            </w:r>
          </w:p>
        </w:tc>
        <w:tc>
          <w:tcPr>
            <w:tcW w:w="1843" w:type="dxa"/>
            <w:vMerge/>
            <w:tcBorders>
              <w:left w:val="single" w:sz="2" w:space="0" w:color="auto"/>
              <w:right w:val="nil"/>
            </w:tcBorders>
            <w:vAlign w:val="center"/>
          </w:tcPr>
          <w:p w14:paraId="4BEE026E" w14:textId="77777777" w:rsidR="00282265" w:rsidRDefault="00282265" w:rsidP="00750CBF">
            <w:pPr>
              <w:pStyle w:val="TableCen"/>
            </w:pPr>
          </w:p>
        </w:tc>
      </w:tr>
      <w:tr w:rsidR="00282265" w14:paraId="5AD10F8E" w14:textId="77777777" w:rsidTr="003233B7">
        <w:trPr>
          <w:trHeight w:val="340"/>
        </w:trPr>
        <w:tc>
          <w:tcPr>
            <w:tcW w:w="1134" w:type="dxa"/>
            <w:vMerge/>
            <w:tcBorders>
              <w:left w:val="nil"/>
              <w:right w:val="single" w:sz="2" w:space="0" w:color="auto"/>
            </w:tcBorders>
            <w:vAlign w:val="center"/>
          </w:tcPr>
          <w:p w14:paraId="5599C952" w14:textId="77777777" w:rsidR="00282265" w:rsidRDefault="00282265" w:rsidP="00750CBF">
            <w:pPr>
              <w:pStyle w:val="TableCen"/>
            </w:pPr>
          </w:p>
        </w:tc>
        <w:tc>
          <w:tcPr>
            <w:tcW w:w="1134" w:type="dxa"/>
            <w:vMerge/>
            <w:tcBorders>
              <w:left w:val="single" w:sz="2" w:space="0" w:color="auto"/>
              <w:bottom w:val="single" w:sz="2" w:space="0" w:color="auto"/>
              <w:right w:val="single" w:sz="2" w:space="0" w:color="auto"/>
            </w:tcBorders>
            <w:vAlign w:val="center"/>
          </w:tcPr>
          <w:p w14:paraId="07CD28EE" w14:textId="77777777" w:rsidR="00282265" w:rsidRDefault="00282265" w:rsidP="00750CBF">
            <w:pPr>
              <w:pStyle w:val="TableCen"/>
            </w:pPr>
          </w:p>
        </w:tc>
        <w:tc>
          <w:tcPr>
            <w:tcW w:w="5103" w:type="dxa"/>
            <w:tcBorders>
              <w:top w:val="single" w:sz="2" w:space="0" w:color="auto"/>
              <w:left w:val="single" w:sz="2" w:space="0" w:color="auto"/>
              <w:bottom w:val="single" w:sz="2" w:space="0" w:color="auto"/>
              <w:right w:val="single" w:sz="2" w:space="0" w:color="auto"/>
            </w:tcBorders>
            <w:vAlign w:val="center"/>
          </w:tcPr>
          <w:p w14:paraId="64A7F9A4" w14:textId="7C6A1086" w:rsidR="00282265" w:rsidRDefault="00282265" w:rsidP="00750CBF">
            <w:pPr>
              <w:pStyle w:val="Table"/>
            </w:pPr>
            <w:r w:rsidRPr="00282265">
              <w:t>Primary freight routes and primary freight access</w:t>
            </w:r>
            <w:r>
              <w:t xml:space="preserve"> added to Table</w:t>
            </w:r>
            <w:r w:rsidRPr="00DF46CF">
              <w:rPr>
                <w:iCs/>
              </w:rPr>
              <w:t> </w:t>
            </w:r>
            <w:r>
              <w:t>5.1</w:t>
            </w:r>
          </w:p>
        </w:tc>
        <w:tc>
          <w:tcPr>
            <w:tcW w:w="1843" w:type="dxa"/>
            <w:vMerge/>
            <w:tcBorders>
              <w:left w:val="single" w:sz="2" w:space="0" w:color="auto"/>
              <w:right w:val="nil"/>
            </w:tcBorders>
            <w:vAlign w:val="center"/>
          </w:tcPr>
          <w:p w14:paraId="1B20F7D9" w14:textId="77777777" w:rsidR="00282265" w:rsidRDefault="00282265" w:rsidP="00750CBF">
            <w:pPr>
              <w:pStyle w:val="TableCen"/>
            </w:pPr>
          </w:p>
        </w:tc>
      </w:tr>
      <w:tr w:rsidR="00DD6007" w14:paraId="459BC22B" w14:textId="77777777" w:rsidTr="002917C1">
        <w:trPr>
          <w:trHeight w:val="340"/>
        </w:trPr>
        <w:tc>
          <w:tcPr>
            <w:tcW w:w="1134" w:type="dxa"/>
            <w:vMerge/>
            <w:tcBorders>
              <w:left w:val="nil"/>
              <w:right w:val="single" w:sz="2" w:space="0" w:color="auto"/>
            </w:tcBorders>
            <w:vAlign w:val="center"/>
          </w:tcPr>
          <w:p w14:paraId="212FEFA4" w14:textId="77777777" w:rsidR="00DD6007" w:rsidRDefault="00DD6007" w:rsidP="00750CBF">
            <w:pPr>
              <w:pStyle w:val="TableCen"/>
            </w:pPr>
          </w:p>
        </w:tc>
        <w:tc>
          <w:tcPr>
            <w:tcW w:w="1134" w:type="dxa"/>
            <w:tcBorders>
              <w:top w:val="single" w:sz="2" w:space="0" w:color="auto"/>
              <w:left w:val="single" w:sz="2" w:space="0" w:color="auto"/>
              <w:bottom w:val="single" w:sz="2" w:space="0" w:color="auto"/>
              <w:right w:val="single" w:sz="2" w:space="0" w:color="auto"/>
            </w:tcBorders>
            <w:vAlign w:val="center"/>
          </w:tcPr>
          <w:p w14:paraId="47092777" w14:textId="77777777" w:rsidR="00DD6007" w:rsidRDefault="00DD6007" w:rsidP="00750CBF">
            <w:pPr>
              <w:pStyle w:val="TableCen"/>
            </w:pPr>
            <w:r w:rsidRPr="002C11E2">
              <w:t>6.0</w:t>
            </w:r>
          </w:p>
        </w:tc>
        <w:tc>
          <w:tcPr>
            <w:tcW w:w="5103" w:type="dxa"/>
            <w:tcBorders>
              <w:top w:val="single" w:sz="2" w:space="0" w:color="auto"/>
              <w:left w:val="single" w:sz="2" w:space="0" w:color="auto"/>
              <w:bottom w:val="single" w:sz="2" w:space="0" w:color="auto"/>
              <w:right w:val="single" w:sz="2" w:space="0" w:color="auto"/>
            </w:tcBorders>
            <w:vAlign w:val="center"/>
          </w:tcPr>
          <w:p w14:paraId="453BE59C" w14:textId="1A1A5BE7" w:rsidR="00DD6007" w:rsidRDefault="00DD6007" w:rsidP="004B634B">
            <w:pPr>
              <w:pStyle w:val="Table"/>
            </w:pPr>
            <w:r>
              <w:t xml:space="preserve">New Sub-section </w:t>
            </w:r>
            <w:r w:rsidRPr="002C11E2">
              <w:t>6.2</w:t>
            </w:r>
            <w:r>
              <w:t xml:space="preserve"> </w:t>
            </w:r>
            <w:r w:rsidRPr="004B634B">
              <w:rPr>
                <w:i/>
              </w:rPr>
              <w:t>REDUNDANT CONDUITS, PITS, SERVICES AND OTHER ASSETS</w:t>
            </w:r>
            <w:r>
              <w:t xml:space="preserve"> added to Section</w:t>
            </w:r>
            <w:r w:rsidR="00282265" w:rsidRPr="00DF46CF">
              <w:rPr>
                <w:iCs/>
              </w:rPr>
              <w:t> </w:t>
            </w:r>
            <w:r w:rsidRPr="004B634B">
              <w:rPr>
                <w:i/>
              </w:rPr>
              <w:t>6.0 UTILITY SERVICE INSTALLATION</w:t>
            </w:r>
            <w:r>
              <w:t>.</w:t>
            </w:r>
          </w:p>
        </w:tc>
        <w:tc>
          <w:tcPr>
            <w:tcW w:w="1843" w:type="dxa"/>
            <w:vMerge/>
            <w:tcBorders>
              <w:left w:val="single" w:sz="2" w:space="0" w:color="auto"/>
              <w:right w:val="nil"/>
            </w:tcBorders>
            <w:vAlign w:val="center"/>
          </w:tcPr>
          <w:p w14:paraId="25E4624C" w14:textId="77777777" w:rsidR="00DD6007" w:rsidRDefault="00DD6007" w:rsidP="00750CBF">
            <w:pPr>
              <w:pStyle w:val="TableCen"/>
            </w:pPr>
          </w:p>
        </w:tc>
      </w:tr>
      <w:tr w:rsidR="006B2B86" w14:paraId="769EA2BD" w14:textId="77777777" w:rsidTr="002917C1">
        <w:trPr>
          <w:trHeight w:val="340"/>
        </w:trPr>
        <w:tc>
          <w:tcPr>
            <w:tcW w:w="1134" w:type="dxa"/>
            <w:vMerge/>
            <w:tcBorders>
              <w:left w:val="nil"/>
              <w:right w:val="single" w:sz="2" w:space="0" w:color="auto"/>
            </w:tcBorders>
            <w:vAlign w:val="center"/>
          </w:tcPr>
          <w:p w14:paraId="102616AA" w14:textId="77777777" w:rsidR="006B2B86" w:rsidRDefault="006B2B86" w:rsidP="00750CBF">
            <w:pPr>
              <w:pStyle w:val="TableCen"/>
            </w:pPr>
          </w:p>
        </w:tc>
        <w:tc>
          <w:tcPr>
            <w:tcW w:w="1134" w:type="dxa"/>
            <w:tcBorders>
              <w:top w:val="single" w:sz="2" w:space="0" w:color="auto"/>
              <w:left w:val="single" w:sz="2" w:space="0" w:color="auto"/>
              <w:bottom w:val="single" w:sz="2" w:space="0" w:color="auto"/>
              <w:right w:val="single" w:sz="2" w:space="0" w:color="auto"/>
            </w:tcBorders>
            <w:vAlign w:val="center"/>
          </w:tcPr>
          <w:p w14:paraId="204024F1" w14:textId="5897D400" w:rsidR="006B2B86" w:rsidRPr="002C11E2" w:rsidRDefault="006B2B86" w:rsidP="00750CBF">
            <w:pPr>
              <w:pStyle w:val="TableCen"/>
            </w:pPr>
            <w:r>
              <w:t>8.0</w:t>
            </w:r>
          </w:p>
        </w:tc>
        <w:tc>
          <w:tcPr>
            <w:tcW w:w="5103" w:type="dxa"/>
            <w:tcBorders>
              <w:top w:val="single" w:sz="2" w:space="0" w:color="auto"/>
              <w:left w:val="single" w:sz="2" w:space="0" w:color="auto"/>
              <w:bottom w:val="single" w:sz="2" w:space="0" w:color="auto"/>
              <w:right w:val="single" w:sz="2" w:space="0" w:color="auto"/>
            </w:tcBorders>
            <w:vAlign w:val="center"/>
          </w:tcPr>
          <w:p w14:paraId="57D5F955" w14:textId="138C64FD" w:rsidR="006B2B86" w:rsidRDefault="006B2B86" w:rsidP="004B634B">
            <w:pPr>
              <w:pStyle w:val="Table"/>
            </w:pPr>
            <w:r>
              <w:t xml:space="preserve">Nominal stone </w:t>
            </w:r>
            <w:r w:rsidR="002F00AC">
              <w:t>size for Type</w:t>
            </w:r>
            <w:r w:rsidR="002F00AC" w:rsidRPr="00DF46CF">
              <w:rPr>
                <w:iCs/>
              </w:rPr>
              <w:t> </w:t>
            </w:r>
            <w:r w:rsidR="002F00AC">
              <w:t>3 asphalt mixed updated.</w:t>
            </w:r>
          </w:p>
        </w:tc>
        <w:tc>
          <w:tcPr>
            <w:tcW w:w="1843" w:type="dxa"/>
            <w:vMerge/>
            <w:tcBorders>
              <w:left w:val="single" w:sz="2" w:space="0" w:color="auto"/>
              <w:right w:val="nil"/>
            </w:tcBorders>
            <w:vAlign w:val="center"/>
          </w:tcPr>
          <w:p w14:paraId="46CB0C2B" w14:textId="77777777" w:rsidR="006B2B86" w:rsidRDefault="006B2B86" w:rsidP="00750CBF">
            <w:pPr>
              <w:pStyle w:val="TableCen"/>
            </w:pPr>
          </w:p>
        </w:tc>
      </w:tr>
      <w:tr w:rsidR="00BE19F9" w14:paraId="1292A50B" w14:textId="77777777" w:rsidTr="001A6317">
        <w:trPr>
          <w:trHeight w:val="340"/>
        </w:trPr>
        <w:tc>
          <w:tcPr>
            <w:tcW w:w="1134" w:type="dxa"/>
            <w:vMerge/>
            <w:tcBorders>
              <w:left w:val="nil"/>
              <w:right w:val="single" w:sz="2" w:space="0" w:color="auto"/>
            </w:tcBorders>
            <w:vAlign w:val="center"/>
          </w:tcPr>
          <w:p w14:paraId="0374CD2F" w14:textId="77777777" w:rsidR="00BE19F9" w:rsidRDefault="00BE19F9" w:rsidP="00750CBF">
            <w:pPr>
              <w:pStyle w:val="TableCen"/>
            </w:pPr>
          </w:p>
        </w:tc>
        <w:tc>
          <w:tcPr>
            <w:tcW w:w="1134" w:type="dxa"/>
            <w:vMerge w:val="restart"/>
            <w:tcBorders>
              <w:top w:val="single" w:sz="2" w:space="0" w:color="auto"/>
              <w:left w:val="single" w:sz="2" w:space="0" w:color="auto"/>
              <w:right w:val="single" w:sz="2" w:space="0" w:color="auto"/>
            </w:tcBorders>
            <w:vAlign w:val="center"/>
          </w:tcPr>
          <w:p w14:paraId="32F02438" w14:textId="77777777" w:rsidR="00BE19F9" w:rsidRPr="002C11E2" w:rsidRDefault="00BE19F9" w:rsidP="00750CBF">
            <w:pPr>
              <w:pStyle w:val="TableCen"/>
            </w:pPr>
            <w:r>
              <w:t>9.4</w:t>
            </w:r>
          </w:p>
        </w:tc>
        <w:tc>
          <w:tcPr>
            <w:tcW w:w="5103" w:type="dxa"/>
            <w:tcBorders>
              <w:top w:val="single" w:sz="2" w:space="0" w:color="auto"/>
              <w:left w:val="single" w:sz="2" w:space="0" w:color="auto"/>
              <w:bottom w:val="single" w:sz="2" w:space="0" w:color="auto"/>
              <w:right w:val="single" w:sz="2" w:space="0" w:color="auto"/>
            </w:tcBorders>
            <w:vAlign w:val="center"/>
          </w:tcPr>
          <w:p w14:paraId="41AA4F43" w14:textId="77777777" w:rsidR="00BE19F9" w:rsidRDefault="00BE19F9" w:rsidP="004B634B">
            <w:pPr>
              <w:pStyle w:val="Table"/>
            </w:pPr>
            <w:r>
              <w:t>‘Village Precinct Projects’ included in specialist areas.</w:t>
            </w:r>
          </w:p>
        </w:tc>
        <w:tc>
          <w:tcPr>
            <w:tcW w:w="1843" w:type="dxa"/>
            <w:vMerge/>
            <w:tcBorders>
              <w:left w:val="single" w:sz="2" w:space="0" w:color="auto"/>
              <w:right w:val="nil"/>
            </w:tcBorders>
            <w:vAlign w:val="center"/>
          </w:tcPr>
          <w:p w14:paraId="3DAF8BCA" w14:textId="77777777" w:rsidR="00BE19F9" w:rsidRDefault="00BE19F9" w:rsidP="00750CBF">
            <w:pPr>
              <w:pStyle w:val="TableCen"/>
            </w:pPr>
          </w:p>
        </w:tc>
      </w:tr>
      <w:tr w:rsidR="00BE19F9" w14:paraId="016E5DEC" w14:textId="77777777" w:rsidTr="001A6317">
        <w:trPr>
          <w:trHeight w:val="340"/>
        </w:trPr>
        <w:tc>
          <w:tcPr>
            <w:tcW w:w="1134" w:type="dxa"/>
            <w:vMerge/>
            <w:tcBorders>
              <w:left w:val="nil"/>
              <w:right w:val="single" w:sz="2" w:space="0" w:color="auto"/>
            </w:tcBorders>
            <w:vAlign w:val="center"/>
          </w:tcPr>
          <w:p w14:paraId="0D4D40A8" w14:textId="77777777" w:rsidR="00BE19F9" w:rsidRDefault="00BE19F9" w:rsidP="00750CBF">
            <w:pPr>
              <w:pStyle w:val="TableCen"/>
            </w:pPr>
          </w:p>
        </w:tc>
        <w:tc>
          <w:tcPr>
            <w:tcW w:w="1134" w:type="dxa"/>
            <w:vMerge/>
            <w:tcBorders>
              <w:left w:val="single" w:sz="2" w:space="0" w:color="auto"/>
              <w:bottom w:val="single" w:sz="2" w:space="0" w:color="auto"/>
              <w:right w:val="single" w:sz="2" w:space="0" w:color="auto"/>
            </w:tcBorders>
            <w:vAlign w:val="center"/>
          </w:tcPr>
          <w:p w14:paraId="67B61A83" w14:textId="77777777" w:rsidR="00BE19F9" w:rsidRDefault="00BE19F9" w:rsidP="00750CBF">
            <w:pPr>
              <w:pStyle w:val="TableCen"/>
            </w:pPr>
          </w:p>
        </w:tc>
        <w:tc>
          <w:tcPr>
            <w:tcW w:w="5103" w:type="dxa"/>
            <w:tcBorders>
              <w:top w:val="single" w:sz="2" w:space="0" w:color="auto"/>
              <w:left w:val="single" w:sz="2" w:space="0" w:color="auto"/>
              <w:bottom w:val="single" w:sz="2" w:space="0" w:color="auto"/>
              <w:right w:val="single" w:sz="2" w:space="0" w:color="auto"/>
            </w:tcBorders>
            <w:vAlign w:val="center"/>
          </w:tcPr>
          <w:p w14:paraId="5023F73E" w14:textId="31AF7DBD" w:rsidR="00BE19F9" w:rsidRDefault="00BE19F9" w:rsidP="004B634B">
            <w:pPr>
              <w:pStyle w:val="Table"/>
            </w:pPr>
            <w:r w:rsidRPr="00BE19F9">
              <w:t>Primary freight routes and primary freight access</w:t>
            </w:r>
            <w:r>
              <w:t xml:space="preserve"> added to Table</w:t>
            </w:r>
            <w:r w:rsidR="00E37302" w:rsidRPr="00DF46CF">
              <w:rPr>
                <w:iCs/>
              </w:rPr>
              <w:t> </w:t>
            </w:r>
            <w:r w:rsidR="00B135DF">
              <w:t>9.1</w:t>
            </w:r>
          </w:p>
        </w:tc>
        <w:tc>
          <w:tcPr>
            <w:tcW w:w="1843" w:type="dxa"/>
            <w:vMerge/>
            <w:tcBorders>
              <w:left w:val="single" w:sz="2" w:space="0" w:color="auto"/>
              <w:right w:val="nil"/>
            </w:tcBorders>
            <w:vAlign w:val="center"/>
          </w:tcPr>
          <w:p w14:paraId="0ED0F5B2" w14:textId="77777777" w:rsidR="00BE19F9" w:rsidRDefault="00BE19F9" w:rsidP="00750CBF">
            <w:pPr>
              <w:pStyle w:val="TableCen"/>
            </w:pPr>
          </w:p>
        </w:tc>
      </w:tr>
      <w:tr w:rsidR="00DD6007" w14:paraId="7B621468" w14:textId="77777777" w:rsidTr="00DD4BEA">
        <w:trPr>
          <w:trHeight w:val="340"/>
        </w:trPr>
        <w:tc>
          <w:tcPr>
            <w:tcW w:w="1134" w:type="dxa"/>
            <w:vMerge/>
            <w:tcBorders>
              <w:left w:val="nil"/>
              <w:bottom w:val="single" w:sz="12" w:space="0" w:color="auto"/>
              <w:right w:val="single" w:sz="2" w:space="0" w:color="auto"/>
            </w:tcBorders>
            <w:vAlign w:val="center"/>
          </w:tcPr>
          <w:p w14:paraId="1ED2569D" w14:textId="77777777" w:rsidR="00DD6007" w:rsidRDefault="00DD6007" w:rsidP="00750CBF">
            <w:pPr>
              <w:pStyle w:val="TableCen"/>
            </w:pPr>
          </w:p>
        </w:tc>
        <w:tc>
          <w:tcPr>
            <w:tcW w:w="1134" w:type="dxa"/>
            <w:tcBorders>
              <w:top w:val="single" w:sz="2" w:space="0" w:color="auto"/>
              <w:left w:val="single" w:sz="2" w:space="0" w:color="auto"/>
              <w:bottom w:val="single" w:sz="12" w:space="0" w:color="auto"/>
              <w:right w:val="single" w:sz="2" w:space="0" w:color="auto"/>
            </w:tcBorders>
            <w:vAlign w:val="center"/>
          </w:tcPr>
          <w:p w14:paraId="065180AF" w14:textId="77777777" w:rsidR="00DD6007" w:rsidRPr="002C11E2" w:rsidRDefault="00DD6007" w:rsidP="00750CBF">
            <w:pPr>
              <w:pStyle w:val="TableCen"/>
            </w:pPr>
            <w:r>
              <w:t>10.0</w:t>
            </w:r>
          </w:p>
        </w:tc>
        <w:tc>
          <w:tcPr>
            <w:tcW w:w="5103" w:type="dxa"/>
            <w:tcBorders>
              <w:top w:val="single" w:sz="2" w:space="0" w:color="auto"/>
              <w:left w:val="single" w:sz="2" w:space="0" w:color="auto"/>
              <w:bottom w:val="single" w:sz="12" w:space="0" w:color="auto"/>
              <w:right w:val="single" w:sz="2" w:space="0" w:color="auto"/>
            </w:tcBorders>
            <w:vAlign w:val="center"/>
          </w:tcPr>
          <w:p w14:paraId="7FC25D29" w14:textId="77777777" w:rsidR="00DD6007" w:rsidRDefault="00DD6007" w:rsidP="004B634B">
            <w:pPr>
              <w:pStyle w:val="Table"/>
            </w:pPr>
            <w:r>
              <w:t>Restoration requirements for private verge gardens added.</w:t>
            </w:r>
          </w:p>
        </w:tc>
        <w:tc>
          <w:tcPr>
            <w:tcW w:w="1843" w:type="dxa"/>
            <w:vMerge/>
            <w:tcBorders>
              <w:left w:val="single" w:sz="2" w:space="0" w:color="auto"/>
              <w:bottom w:val="single" w:sz="12" w:space="0" w:color="auto"/>
              <w:right w:val="nil"/>
            </w:tcBorders>
            <w:vAlign w:val="center"/>
          </w:tcPr>
          <w:p w14:paraId="5E7CF8CF" w14:textId="77777777" w:rsidR="00DD6007" w:rsidRDefault="00DD6007" w:rsidP="00750CBF">
            <w:pPr>
              <w:pStyle w:val="TableCen"/>
            </w:pPr>
          </w:p>
        </w:tc>
      </w:tr>
    </w:tbl>
    <w:p w14:paraId="7CB5D99B" w14:textId="77777777" w:rsidR="006E06D3" w:rsidRDefault="006E06D3" w:rsidP="00DF75DE">
      <w:pPr>
        <w:pStyle w:val="BlockText"/>
      </w:pPr>
    </w:p>
    <w:p w14:paraId="0E58E442" w14:textId="77777777" w:rsidR="006E06D3" w:rsidRDefault="006E06D3">
      <w:pPr>
        <w:jc w:val="center"/>
        <w:sectPr w:rsidR="006E06D3" w:rsidSect="00E75FAB">
          <w:headerReference w:type="default" r:id="rId17"/>
          <w:footerReference w:type="default" r:id="rId18"/>
          <w:pgSz w:w="11906" w:h="16838" w:code="9"/>
          <w:pgMar w:top="1134" w:right="1418" w:bottom="992" w:left="1134" w:header="1134" w:footer="851" w:gutter="0"/>
          <w:pgNumType w:fmt="lowerRoman" w:start="1"/>
          <w:cols w:space="720"/>
          <w:docGrid w:linePitch="272"/>
        </w:sectPr>
      </w:pPr>
    </w:p>
    <w:p w14:paraId="03396F6D" w14:textId="7576D71E" w:rsidR="006E06D3" w:rsidRPr="003E7717" w:rsidRDefault="00603E9A" w:rsidP="003E7717">
      <w:pPr>
        <w:pStyle w:val="BodyTextIndentBoldItalicCen"/>
      </w:pPr>
      <w:r w:rsidRPr="003E7717">
        <w:lastRenderedPageBreak/>
        <w:t>(</w:t>
      </w:r>
      <w:r w:rsidR="006E06D3" w:rsidRPr="003E7717">
        <w:t xml:space="preserve">This </w:t>
      </w:r>
      <w:r w:rsidRPr="003E7717">
        <w:t>Page Left Intentionally Blank)</w:t>
      </w:r>
    </w:p>
    <w:p w14:paraId="4D746BF5" w14:textId="77777777" w:rsidR="006E06D3" w:rsidRDefault="006E06D3">
      <w:pPr>
        <w:jc w:val="center"/>
        <w:sectPr w:rsidR="006E06D3" w:rsidSect="00E75FAB">
          <w:pgSz w:w="11906" w:h="16838" w:code="9"/>
          <w:pgMar w:top="1134" w:right="1418" w:bottom="992" w:left="1134" w:header="1134" w:footer="851" w:gutter="0"/>
          <w:pgNumType w:fmt="lowerRoman" w:start="1"/>
          <w:cols w:space="720"/>
          <w:vAlign w:val="center"/>
        </w:sectPr>
      </w:pPr>
    </w:p>
    <w:p w14:paraId="065E7B2A" w14:textId="77777777" w:rsidR="006E06D3" w:rsidRDefault="006E06D3" w:rsidP="005D2A38">
      <w:pPr>
        <w:pStyle w:val="Heading2"/>
        <w:numPr>
          <w:ilvl w:val="0"/>
          <w:numId w:val="0"/>
        </w:numPr>
        <w:ind w:left="709" w:hanging="709"/>
      </w:pPr>
      <w:bookmarkStart w:id="3" w:name="_Toc197934563"/>
      <w:bookmarkStart w:id="4" w:name="_Toc197935082"/>
      <w:bookmarkStart w:id="5" w:name="_Toc197936724"/>
      <w:r w:rsidRPr="005E132D">
        <w:lastRenderedPageBreak/>
        <w:t>TABLE OF CONTENTS</w:t>
      </w:r>
      <w:bookmarkEnd w:id="3"/>
      <w:bookmarkEnd w:id="4"/>
      <w:bookmarkEnd w:id="5"/>
    </w:p>
    <w:bookmarkStart w:id="6" w:name="_Toc493942064"/>
    <w:bookmarkStart w:id="7" w:name="_Toc493986903"/>
    <w:p w14:paraId="36CB7B32" w14:textId="7E9110BD" w:rsidR="00F66804" w:rsidRDefault="00F66804">
      <w:pPr>
        <w:pStyle w:val="TOC1"/>
        <w:rPr>
          <w:rFonts w:asciiTheme="minorHAnsi" w:eastAsiaTheme="minorEastAsia" w:hAnsiTheme="minorHAnsi" w:cstheme="minorBidi"/>
          <w:b w:val="0"/>
          <w:caps w:val="0"/>
          <w:noProof/>
          <w:sz w:val="22"/>
          <w:szCs w:val="22"/>
        </w:rPr>
      </w:pPr>
      <w:r>
        <w:fldChar w:fldCharType="begin"/>
      </w:r>
      <w:r>
        <w:instrText xml:space="preserve"> TOC \t "Heading 2,1,Heading 3,2,Heading 4,3,Cover Heading,1" </w:instrText>
      </w:r>
      <w:r>
        <w:fldChar w:fldCharType="separate"/>
      </w:r>
      <w:r>
        <w:rPr>
          <w:noProof/>
        </w:rPr>
        <w:t>1.0</w:t>
      </w:r>
      <w:r>
        <w:rPr>
          <w:rFonts w:asciiTheme="minorHAnsi" w:eastAsiaTheme="minorEastAsia" w:hAnsiTheme="minorHAnsi" w:cstheme="minorBidi"/>
          <w:b w:val="0"/>
          <w:caps w:val="0"/>
          <w:noProof/>
          <w:sz w:val="22"/>
          <w:szCs w:val="22"/>
        </w:rPr>
        <w:tab/>
      </w:r>
      <w:r>
        <w:rPr>
          <w:noProof/>
        </w:rPr>
        <w:t>GENERAL</w:t>
      </w:r>
      <w:r>
        <w:rPr>
          <w:noProof/>
        </w:rPr>
        <w:tab/>
      </w:r>
      <w:r>
        <w:rPr>
          <w:noProof/>
        </w:rPr>
        <w:fldChar w:fldCharType="begin"/>
      </w:r>
      <w:r>
        <w:rPr>
          <w:noProof/>
        </w:rPr>
        <w:instrText xml:space="preserve"> PAGEREF _Toc76024339 \h </w:instrText>
      </w:r>
      <w:r>
        <w:rPr>
          <w:noProof/>
        </w:rPr>
      </w:r>
      <w:r>
        <w:rPr>
          <w:noProof/>
        </w:rPr>
        <w:fldChar w:fldCharType="separate"/>
      </w:r>
      <w:r>
        <w:rPr>
          <w:noProof/>
        </w:rPr>
        <w:t>1</w:t>
      </w:r>
      <w:r>
        <w:rPr>
          <w:noProof/>
        </w:rPr>
        <w:fldChar w:fldCharType="end"/>
      </w:r>
    </w:p>
    <w:p w14:paraId="37420F9F" w14:textId="42EE46BB" w:rsidR="00F66804" w:rsidRDefault="00F66804" w:rsidP="006A065B">
      <w:pPr>
        <w:pStyle w:val="TOC2"/>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SCOPE</w:t>
      </w:r>
      <w:r>
        <w:rPr>
          <w:noProof/>
        </w:rPr>
        <w:tab/>
      </w:r>
      <w:r>
        <w:rPr>
          <w:noProof/>
        </w:rPr>
        <w:fldChar w:fldCharType="begin"/>
      </w:r>
      <w:r>
        <w:rPr>
          <w:noProof/>
        </w:rPr>
        <w:instrText xml:space="preserve"> PAGEREF _Toc76024340 \h </w:instrText>
      </w:r>
      <w:r>
        <w:rPr>
          <w:noProof/>
        </w:rPr>
      </w:r>
      <w:r>
        <w:rPr>
          <w:noProof/>
        </w:rPr>
        <w:fldChar w:fldCharType="separate"/>
      </w:r>
      <w:r>
        <w:rPr>
          <w:noProof/>
        </w:rPr>
        <w:t>1</w:t>
      </w:r>
      <w:r>
        <w:rPr>
          <w:noProof/>
        </w:rPr>
        <w:fldChar w:fldCharType="end"/>
      </w:r>
    </w:p>
    <w:p w14:paraId="7C5E1429" w14:textId="36804DA6" w:rsidR="00F66804" w:rsidRDefault="00F66804" w:rsidP="006A065B">
      <w:pPr>
        <w:pStyle w:val="TOC2"/>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INSTALLATION TECHNIQUES – NEW CONSTRUCTION PROJECTS</w:t>
      </w:r>
      <w:r>
        <w:rPr>
          <w:noProof/>
        </w:rPr>
        <w:tab/>
      </w:r>
      <w:r>
        <w:rPr>
          <w:noProof/>
        </w:rPr>
        <w:fldChar w:fldCharType="begin"/>
      </w:r>
      <w:r>
        <w:rPr>
          <w:noProof/>
        </w:rPr>
        <w:instrText xml:space="preserve"> PAGEREF _Toc76024341 \h </w:instrText>
      </w:r>
      <w:r>
        <w:rPr>
          <w:noProof/>
        </w:rPr>
      </w:r>
      <w:r>
        <w:rPr>
          <w:noProof/>
        </w:rPr>
        <w:fldChar w:fldCharType="separate"/>
      </w:r>
      <w:r>
        <w:rPr>
          <w:noProof/>
        </w:rPr>
        <w:t>1</w:t>
      </w:r>
      <w:r>
        <w:rPr>
          <w:noProof/>
        </w:rPr>
        <w:fldChar w:fldCharType="end"/>
      </w:r>
    </w:p>
    <w:p w14:paraId="40385B16" w14:textId="1A06F486" w:rsidR="00F66804" w:rsidRDefault="00F66804" w:rsidP="006A065B">
      <w:pPr>
        <w:pStyle w:val="TOC2"/>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INSTALLATION TECHNIQUES – EXISTING COUNCIL ASSETS</w:t>
      </w:r>
      <w:r>
        <w:rPr>
          <w:noProof/>
        </w:rPr>
        <w:tab/>
      </w:r>
      <w:r>
        <w:rPr>
          <w:noProof/>
        </w:rPr>
        <w:fldChar w:fldCharType="begin"/>
      </w:r>
      <w:r>
        <w:rPr>
          <w:noProof/>
        </w:rPr>
        <w:instrText xml:space="preserve"> PAGEREF _Toc76024342 \h </w:instrText>
      </w:r>
      <w:r>
        <w:rPr>
          <w:noProof/>
        </w:rPr>
      </w:r>
      <w:r>
        <w:rPr>
          <w:noProof/>
        </w:rPr>
        <w:fldChar w:fldCharType="separate"/>
      </w:r>
      <w:r>
        <w:rPr>
          <w:noProof/>
        </w:rPr>
        <w:t>1</w:t>
      </w:r>
      <w:r>
        <w:rPr>
          <w:noProof/>
        </w:rPr>
        <w:fldChar w:fldCharType="end"/>
      </w:r>
    </w:p>
    <w:p w14:paraId="4D0B2DF0" w14:textId="6577BBA3" w:rsidR="00F66804" w:rsidRDefault="00F66804" w:rsidP="006A065B">
      <w:pPr>
        <w:pStyle w:val="TOC2"/>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Standards</w:t>
      </w:r>
      <w:r>
        <w:rPr>
          <w:noProof/>
        </w:rPr>
        <w:tab/>
      </w:r>
      <w:r>
        <w:rPr>
          <w:noProof/>
        </w:rPr>
        <w:fldChar w:fldCharType="begin"/>
      </w:r>
      <w:r>
        <w:rPr>
          <w:noProof/>
        </w:rPr>
        <w:instrText xml:space="preserve"> PAGEREF _Toc76024343 \h </w:instrText>
      </w:r>
      <w:r>
        <w:rPr>
          <w:noProof/>
        </w:rPr>
      </w:r>
      <w:r>
        <w:rPr>
          <w:noProof/>
        </w:rPr>
        <w:fldChar w:fldCharType="separate"/>
      </w:r>
      <w:r>
        <w:rPr>
          <w:noProof/>
        </w:rPr>
        <w:t>1</w:t>
      </w:r>
      <w:r>
        <w:rPr>
          <w:noProof/>
        </w:rPr>
        <w:fldChar w:fldCharType="end"/>
      </w:r>
    </w:p>
    <w:p w14:paraId="40EE2CF3" w14:textId="5A3DA79E" w:rsidR="00F66804" w:rsidRDefault="00F66804">
      <w:pPr>
        <w:pStyle w:val="TOC1"/>
        <w:rPr>
          <w:rFonts w:asciiTheme="minorHAnsi" w:eastAsiaTheme="minorEastAsia" w:hAnsiTheme="minorHAnsi" w:cstheme="minorBidi"/>
          <w:b w:val="0"/>
          <w:caps w:val="0"/>
          <w:noProof/>
          <w:sz w:val="22"/>
          <w:szCs w:val="22"/>
        </w:rPr>
      </w:pPr>
      <w:r>
        <w:rPr>
          <w:noProof/>
        </w:rPr>
        <w:t>2.0</w:t>
      </w:r>
      <w:r>
        <w:rPr>
          <w:rFonts w:asciiTheme="minorHAnsi" w:eastAsiaTheme="minorEastAsia" w:hAnsiTheme="minorHAnsi" w:cstheme="minorBidi"/>
          <w:b w:val="0"/>
          <w:caps w:val="0"/>
          <w:noProof/>
          <w:sz w:val="22"/>
          <w:szCs w:val="22"/>
        </w:rPr>
        <w:tab/>
      </w:r>
      <w:r>
        <w:rPr>
          <w:noProof/>
        </w:rPr>
        <w:t>References</w:t>
      </w:r>
      <w:r>
        <w:rPr>
          <w:noProof/>
        </w:rPr>
        <w:tab/>
      </w:r>
      <w:r>
        <w:rPr>
          <w:noProof/>
        </w:rPr>
        <w:fldChar w:fldCharType="begin"/>
      </w:r>
      <w:r>
        <w:rPr>
          <w:noProof/>
        </w:rPr>
        <w:instrText xml:space="preserve"> PAGEREF _Toc76024344 \h </w:instrText>
      </w:r>
      <w:r>
        <w:rPr>
          <w:noProof/>
        </w:rPr>
      </w:r>
      <w:r>
        <w:rPr>
          <w:noProof/>
        </w:rPr>
        <w:fldChar w:fldCharType="separate"/>
      </w:r>
      <w:r>
        <w:rPr>
          <w:noProof/>
        </w:rPr>
        <w:t>2</w:t>
      </w:r>
      <w:r>
        <w:rPr>
          <w:noProof/>
        </w:rPr>
        <w:fldChar w:fldCharType="end"/>
      </w:r>
    </w:p>
    <w:p w14:paraId="0C3F3B2D" w14:textId="3CEF8D7D" w:rsidR="00F66804" w:rsidRDefault="00F66804" w:rsidP="006A065B">
      <w:pPr>
        <w:pStyle w:val="TOC2"/>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Definitions</w:t>
      </w:r>
      <w:r>
        <w:rPr>
          <w:noProof/>
        </w:rPr>
        <w:tab/>
      </w:r>
      <w:r>
        <w:rPr>
          <w:noProof/>
        </w:rPr>
        <w:fldChar w:fldCharType="begin"/>
      </w:r>
      <w:r>
        <w:rPr>
          <w:noProof/>
        </w:rPr>
        <w:instrText xml:space="preserve"> PAGEREF _Toc76024345 \h </w:instrText>
      </w:r>
      <w:r>
        <w:rPr>
          <w:noProof/>
        </w:rPr>
      </w:r>
      <w:r>
        <w:rPr>
          <w:noProof/>
        </w:rPr>
        <w:fldChar w:fldCharType="separate"/>
      </w:r>
      <w:r>
        <w:rPr>
          <w:noProof/>
        </w:rPr>
        <w:t>2</w:t>
      </w:r>
      <w:r>
        <w:rPr>
          <w:noProof/>
        </w:rPr>
        <w:fldChar w:fldCharType="end"/>
      </w:r>
    </w:p>
    <w:p w14:paraId="70CDD91A" w14:textId="6E711C95" w:rsidR="00F66804" w:rsidRDefault="00F66804" w:rsidP="006A065B">
      <w:pPr>
        <w:pStyle w:val="TOC2"/>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rPr>
        <w:t>Measurement</w:t>
      </w:r>
      <w:r>
        <w:rPr>
          <w:noProof/>
        </w:rPr>
        <w:tab/>
      </w:r>
      <w:r>
        <w:rPr>
          <w:noProof/>
        </w:rPr>
        <w:fldChar w:fldCharType="begin"/>
      </w:r>
      <w:r>
        <w:rPr>
          <w:noProof/>
        </w:rPr>
        <w:instrText xml:space="preserve"> PAGEREF _Toc76024346 \h </w:instrText>
      </w:r>
      <w:r>
        <w:rPr>
          <w:noProof/>
        </w:rPr>
      </w:r>
      <w:r>
        <w:rPr>
          <w:noProof/>
        </w:rPr>
        <w:fldChar w:fldCharType="separate"/>
      </w:r>
      <w:r>
        <w:rPr>
          <w:noProof/>
        </w:rPr>
        <w:t>3</w:t>
      </w:r>
      <w:r>
        <w:rPr>
          <w:noProof/>
        </w:rPr>
        <w:fldChar w:fldCharType="end"/>
      </w:r>
    </w:p>
    <w:p w14:paraId="240EBDA6" w14:textId="5C9420A6" w:rsidR="00F66804" w:rsidRDefault="00F66804">
      <w:pPr>
        <w:pStyle w:val="TOC1"/>
        <w:rPr>
          <w:rFonts w:asciiTheme="minorHAnsi" w:eastAsiaTheme="minorEastAsia" w:hAnsiTheme="minorHAnsi" w:cstheme="minorBidi"/>
          <w:b w:val="0"/>
          <w:caps w:val="0"/>
          <w:noProof/>
          <w:sz w:val="22"/>
          <w:szCs w:val="22"/>
        </w:rPr>
      </w:pPr>
      <w:r>
        <w:rPr>
          <w:noProof/>
        </w:rPr>
        <w:t>3.0</w:t>
      </w:r>
      <w:r>
        <w:rPr>
          <w:rFonts w:asciiTheme="minorHAnsi" w:eastAsiaTheme="minorEastAsia" w:hAnsiTheme="minorHAnsi" w:cstheme="minorBidi"/>
          <w:b w:val="0"/>
          <w:caps w:val="0"/>
          <w:noProof/>
          <w:sz w:val="22"/>
          <w:szCs w:val="22"/>
        </w:rPr>
        <w:tab/>
      </w:r>
      <w:r>
        <w:rPr>
          <w:noProof/>
        </w:rPr>
        <w:t>QUALITY</w:t>
      </w:r>
      <w:r>
        <w:rPr>
          <w:noProof/>
        </w:rPr>
        <w:tab/>
      </w:r>
      <w:r>
        <w:rPr>
          <w:noProof/>
        </w:rPr>
        <w:fldChar w:fldCharType="begin"/>
      </w:r>
      <w:r>
        <w:rPr>
          <w:noProof/>
        </w:rPr>
        <w:instrText xml:space="preserve"> PAGEREF _Toc76024347 \h </w:instrText>
      </w:r>
      <w:r>
        <w:rPr>
          <w:noProof/>
        </w:rPr>
      </w:r>
      <w:r>
        <w:rPr>
          <w:noProof/>
        </w:rPr>
        <w:fldChar w:fldCharType="separate"/>
      </w:r>
      <w:r>
        <w:rPr>
          <w:noProof/>
        </w:rPr>
        <w:t>3</w:t>
      </w:r>
      <w:r>
        <w:rPr>
          <w:noProof/>
        </w:rPr>
        <w:fldChar w:fldCharType="end"/>
      </w:r>
    </w:p>
    <w:p w14:paraId="648E3EE0" w14:textId="2E6F6166" w:rsidR="00F66804" w:rsidRDefault="00F66804" w:rsidP="006A065B">
      <w:pPr>
        <w:pStyle w:val="TOC2"/>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Inspection</w:t>
      </w:r>
      <w:r>
        <w:rPr>
          <w:noProof/>
        </w:rPr>
        <w:tab/>
      </w:r>
      <w:r>
        <w:rPr>
          <w:noProof/>
        </w:rPr>
        <w:fldChar w:fldCharType="begin"/>
      </w:r>
      <w:r>
        <w:rPr>
          <w:noProof/>
        </w:rPr>
        <w:instrText xml:space="preserve"> PAGEREF _Toc76024348 \h </w:instrText>
      </w:r>
      <w:r>
        <w:rPr>
          <w:noProof/>
        </w:rPr>
      </w:r>
      <w:r>
        <w:rPr>
          <w:noProof/>
        </w:rPr>
        <w:fldChar w:fldCharType="separate"/>
      </w:r>
      <w:r>
        <w:rPr>
          <w:noProof/>
        </w:rPr>
        <w:t>3</w:t>
      </w:r>
      <w:r>
        <w:rPr>
          <w:noProof/>
        </w:rPr>
        <w:fldChar w:fldCharType="end"/>
      </w:r>
    </w:p>
    <w:p w14:paraId="400F12B5" w14:textId="39991BDE" w:rsidR="00F66804" w:rsidRDefault="00F66804" w:rsidP="006A065B">
      <w:pPr>
        <w:pStyle w:val="TOC2"/>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Conduit Testing</w:t>
      </w:r>
      <w:r>
        <w:rPr>
          <w:noProof/>
        </w:rPr>
        <w:tab/>
      </w:r>
      <w:r>
        <w:rPr>
          <w:noProof/>
        </w:rPr>
        <w:fldChar w:fldCharType="begin"/>
      </w:r>
      <w:r>
        <w:rPr>
          <w:noProof/>
        </w:rPr>
        <w:instrText xml:space="preserve"> PAGEREF _Toc76024349 \h </w:instrText>
      </w:r>
      <w:r>
        <w:rPr>
          <w:noProof/>
        </w:rPr>
      </w:r>
      <w:r>
        <w:rPr>
          <w:noProof/>
        </w:rPr>
        <w:fldChar w:fldCharType="separate"/>
      </w:r>
      <w:r>
        <w:rPr>
          <w:noProof/>
        </w:rPr>
        <w:t>3</w:t>
      </w:r>
      <w:r>
        <w:rPr>
          <w:noProof/>
        </w:rPr>
        <w:fldChar w:fldCharType="end"/>
      </w:r>
    </w:p>
    <w:p w14:paraId="1D4D82D9" w14:textId="19636454" w:rsidR="00F66804" w:rsidRDefault="00F66804" w:rsidP="006A065B">
      <w:pPr>
        <w:pStyle w:val="TOC2"/>
        <w:rPr>
          <w:rFonts w:asciiTheme="minorHAnsi" w:eastAsiaTheme="minorEastAsia" w:hAnsiTheme="minorHAnsi" w:cstheme="minorBidi"/>
          <w:noProof/>
          <w:szCs w:val="22"/>
        </w:rPr>
      </w:pPr>
      <w:r>
        <w:rPr>
          <w:noProof/>
        </w:rPr>
        <w:t>3.3</w:t>
      </w:r>
      <w:r>
        <w:rPr>
          <w:rFonts w:asciiTheme="minorHAnsi" w:eastAsiaTheme="minorEastAsia" w:hAnsiTheme="minorHAnsi" w:cstheme="minorBidi"/>
          <w:noProof/>
          <w:szCs w:val="22"/>
        </w:rPr>
        <w:tab/>
      </w:r>
      <w:r>
        <w:rPr>
          <w:noProof/>
        </w:rPr>
        <w:t>Compaction Testing Requirements</w:t>
      </w:r>
      <w:r>
        <w:rPr>
          <w:noProof/>
        </w:rPr>
        <w:tab/>
      </w:r>
      <w:r>
        <w:rPr>
          <w:noProof/>
        </w:rPr>
        <w:fldChar w:fldCharType="begin"/>
      </w:r>
      <w:r>
        <w:rPr>
          <w:noProof/>
        </w:rPr>
        <w:instrText xml:space="preserve"> PAGEREF _Toc76024350 \h </w:instrText>
      </w:r>
      <w:r>
        <w:rPr>
          <w:noProof/>
        </w:rPr>
      </w:r>
      <w:r>
        <w:rPr>
          <w:noProof/>
        </w:rPr>
        <w:fldChar w:fldCharType="separate"/>
      </w:r>
      <w:r>
        <w:rPr>
          <w:noProof/>
        </w:rPr>
        <w:t>3</w:t>
      </w:r>
      <w:r>
        <w:rPr>
          <w:noProof/>
        </w:rPr>
        <w:fldChar w:fldCharType="end"/>
      </w:r>
    </w:p>
    <w:p w14:paraId="41A1712F" w14:textId="505F06D3" w:rsidR="00F66804" w:rsidRDefault="00F66804" w:rsidP="006A065B">
      <w:pPr>
        <w:pStyle w:val="TOC2"/>
        <w:rPr>
          <w:rFonts w:asciiTheme="minorHAnsi" w:eastAsiaTheme="minorEastAsia" w:hAnsiTheme="minorHAnsi" w:cstheme="minorBidi"/>
          <w:noProof/>
          <w:szCs w:val="22"/>
        </w:rPr>
      </w:pPr>
      <w:r>
        <w:rPr>
          <w:noProof/>
        </w:rPr>
        <w:t>3.4</w:t>
      </w:r>
      <w:r>
        <w:rPr>
          <w:rFonts w:asciiTheme="minorHAnsi" w:eastAsiaTheme="minorEastAsia" w:hAnsiTheme="minorHAnsi" w:cstheme="minorBidi"/>
          <w:noProof/>
          <w:szCs w:val="22"/>
        </w:rPr>
        <w:tab/>
      </w:r>
      <w:r>
        <w:rPr>
          <w:noProof/>
        </w:rPr>
        <w:t>CCTV Inspection</w:t>
      </w:r>
      <w:r>
        <w:rPr>
          <w:noProof/>
        </w:rPr>
        <w:tab/>
      </w:r>
      <w:r>
        <w:rPr>
          <w:noProof/>
        </w:rPr>
        <w:fldChar w:fldCharType="begin"/>
      </w:r>
      <w:r>
        <w:rPr>
          <w:noProof/>
        </w:rPr>
        <w:instrText xml:space="preserve"> PAGEREF _Toc76024351 \h </w:instrText>
      </w:r>
      <w:r>
        <w:rPr>
          <w:noProof/>
        </w:rPr>
      </w:r>
      <w:r>
        <w:rPr>
          <w:noProof/>
        </w:rPr>
        <w:fldChar w:fldCharType="separate"/>
      </w:r>
      <w:r>
        <w:rPr>
          <w:noProof/>
        </w:rPr>
        <w:t>4</w:t>
      </w:r>
      <w:r>
        <w:rPr>
          <w:noProof/>
        </w:rPr>
        <w:fldChar w:fldCharType="end"/>
      </w:r>
    </w:p>
    <w:p w14:paraId="697FF44F" w14:textId="4A36EC57" w:rsidR="00F66804" w:rsidRDefault="00F66804">
      <w:pPr>
        <w:pStyle w:val="TOC1"/>
        <w:rPr>
          <w:rFonts w:asciiTheme="minorHAnsi" w:eastAsiaTheme="minorEastAsia" w:hAnsiTheme="minorHAnsi" w:cstheme="minorBidi"/>
          <w:b w:val="0"/>
          <w:caps w:val="0"/>
          <w:noProof/>
          <w:sz w:val="22"/>
          <w:szCs w:val="22"/>
        </w:rPr>
      </w:pPr>
      <w:r>
        <w:rPr>
          <w:noProof/>
        </w:rPr>
        <w:t>4.0</w:t>
      </w:r>
      <w:r>
        <w:rPr>
          <w:rFonts w:asciiTheme="minorHAnsi" w:eastAsiaTheme="minorEastAsia" w:hAnsiTheme="minorHAnsi" w:cstheme="minorBidi"/>
          <w:b w:val="0"/>
          <w:caps w:val="0"/>
          <w:noProof/>
          <w:sz w:val="22"/>
          <w:szCs w:val="22"/>
        </w:rPr>
        <w:tab/>
      </w:r>
      <w:r>
        <w:rPr>
          <w:noProof/>
        </w:rPr>
        <w:t>Site management</w:t>
      </w:r>
      <w:r>
        <w:rPr>
          <w:noProof/>
        </w:rPr>
        <w:tab/>
      </w:r>
      <w:r>
        <w:rPr>
          <w:noProof/>
        </w:rPr>
        <w:fldChar w:fldCharType="begin"/>
      </w:r>
      <w:r>
        <w:rPr>
          <w:noProof/>
        </w:rPr>
        <w:instrText xml:space="preserve"> PAGEREF _Toc76024352 \h </w:instrText>
      </w:r>
      <w:r>
        <w:rPr>
          <w:noProof/>
        </w:rPr>
      </w:r>
      <w:r>
        <w:rPr>
          <w:noProof/>
        </w:rPr>
        <w:fldChar w:fldCharType="separate"/>
      </w:r>
      <w:r>
        <w:rPr>
          <w:noProof/>
        </w:rPr>
        <w:t>4</w:t>
      </w:r>
      <w:r>
        <w:rPr>
          <w:noProof/>
        </w:rPr>
        <w:fldChar w:fldCharType="end"/>
      </w:r>
    </w:p>
    <w:p w14:paraId="6CCC6B8A" w14:textId="14EA2501" w:rsidR="00F66804" w:rsidRDefault="00F66804" w:rsidP="006A065B">
      <w:pPr>
        <w:pStyle w:val="TOC2"/>
        <w:rPr>
          <w:rFonts w:asciiTheme="minorHAnsi" w:eastAsiaTheme="minorEastAsia" w:hAnsiTheme="minorHAnsi" w:cstheme="minorBidi"/>
          <w:noProof/>
          <w:szCs w:val="22"/>
        </w:rPr>
      </w:pPr>
      <w:r>
        <w:rPr>
          <w:noProof/>
        </w:rPr>
        <w:t>4.1</w:t>
      </w:r>
      <w:r>
        <w:rPr>
          <w:rFonts w:asciiTheme="minorHAnsi" w:eastAsiaTheme="minorEastAsia" w:hAnsiTheme="minorHAnsi" w:cstheme="minorBidi"/>
          <w:noProof/>
          <w:szCs w:val="22"/>
        </w:rPr>
        <w:tab/>
      </w:r>
      <w:r>
        <w:rPr>
          <w:noProof/>
        </w:rPr>
        <w:t>Traffic Control</w:t>
      </w:r>
      <w:r>
        <w:rPr>
          <w:noProof/>
        </w:rPr>
        <w:tab/>
      </w:r>
      <w:r>
        <w:rPr>
          <w:noProof/>
        </w:rPr>
        <w:fldChar w:fldCharType="begin"/>
      </w:r>
      <w:r>
        <w:rPr>
          <w:noProof/>
        </w:rPr>
        <w:instrText xml:space="preserve"> PAGEREF _Toc76024353 \h </w:instrText>
      </w:r>
      <w:r>
        <w:rPr>
          <w:noProof/>
        </w:rPr>
      </w:r>
      <w:r>
        <w:rPr>
          <w:noProof/>
        </w:rPr>
        <w:fldChar w:fldCharType="separate"/>
      </w:r>
      <w:r>
        <w:rPr>
          <w:noProof/>
        </w:rPr>
        <w:t>4</w:t>
      </w:r>
      <w:r>
        <w:rPr>
          <w:noProof/>
        </w:rPr>
        <w:fldChar w:fldCharType="end"/>
      </w:r>
    </w:p>
    <w:p w14:paraId="79467C19" w14:textId="0D0891D5" w:rsidR="00F66804" w:rsidRDefault="00F66804" w:rsidP="006A065B">
      <w:pPr>
        <w:pStyle w:val="TOC2"/>
        <w:rPr>
          <w:rFonts w:asciiTheme="minorHAnsi" w:eastAsiaTheme="minorEastAsia" w:hAnsiTheme="minorHAnsi" w:cstheme="minorBidi"/>
          <w:noProof/>
          <w:szCs w:val="22"/>
        </w:rPr>
      </w:pPr>
      <w:r>
        <w:rPr>
          <w:noProof/>
        </w:rPr>
        <w:t>4.2</w:t>
      </w:r>
      <w:r>
        <w:rPr>
          <w:rFonts w:asciiTheme="minorHAnsi" w:eastAsiaTheme="minorEastAsia" w:hAnsiTheme="minorHAnsi" w:cstheme="minorBidi"/>
          <w:noProof/>
          <w:szCs w:val="22"/>
        </w:rPr>
        <w:tab/>
      </w:r>
      <w:r>
        <w:rPr>
          <w:noProof/>
        </w:rPr>
        <w:t>Temporary Surfacing</w:t>
      </w:r>
      <w:r>
        <w:rPr>
          <w:noProof/>
        </w:rPr>
        <w:tab/>
      </w:r>
      <w:r>
        <w:rPr>
          <w:noProof/>
        </w:rPr>
        <w:fldChar w:fldCharType="begin"/>
      </w:r>
      <w:r>
        <w:rPr>
          <w:noProof/>
        </w:rPr>
        <w:instrText xml:space="preserve"> PAGEREF _Toc76024354 \h </w:instrText>
      </w:r>
      <w:r>
        <w:rPr>
          <w:noProof/>
        </w:rPr>
      </w:r>
      <w:r>
        <w:rPr>
          <w:noProof/>
        </w:rPr>
        <w:fldChar w:fldCharType="separate"/>
      </w:r>
      <w:r>
        <w:rPr>
          <w:noProof/>
        </w:rPr>
        <w:t>4</w:t>
      </w:r>
      <w:r>
        <w:rPr>
          <w:noProof/>
        </w:rPr>
        <w:fldChar w:fldCharType="end"/>
      </w:r>
    </w:p>
    <w:p w14:paraId="2013CBBC" w14:textId="6E530870" w:rsidR="00F66804" w:rsidRDefault="00F66804" w:rsidP="006A065B">
      <w:pPr>
        <w:pStyle w:val="TOC2"/>
        <w:rPr>
          <w:rFonts w:asciiTheme="minorHAnsi" w:eastAsiaTheme="minorEastAsia" w:hAnsiTheme="minorHAnsi" w:cstheme="minorBidi"/>
          <w:noProof/>
          <w:szCs w:val="22"/>
        </w:rPr>
      </w:pPr>
      <w:r>
        <w:rPr>
          <w:noProof/>
        </w:rPr>
        <w:t>4.3</w:t>
      </w:r>
      <w:r>
        <w:rPr>
          <w:rFonts w:asciiTheme="minorHAnsi" w:eastAsiaTheme="minorEastAsia" w:hAnsiTheme="minorHAnsi" w:cstheme="minorBidi"/>
          <w:noProof/>
          <w:szCs w:val="22"/>
        </w:rPr>
        <w:tab/>
      </w:r>
      <w:r>
        <w:rPr>
          <w:noProof/>
        </w:rPr>
        <w:t>Barricades</w:t>
      </w:r>
      <w:r>
        <w:rPr>
          <w:noProof/>
        </w:rPr>
        <w:tab/>
      </w:r>
      <w:r>
        <w:rPr>
          <w:noProof/>
        </w:rPr>
        <w:fldChar w:fldCharType="begin"/>
      </w:r>
      <w:r>
        <w:rPr>
          <w:noProof/>
        </w:rPr>
        <w:instrText xml:space="preserve"> PAGEREF _Toc76024355 \h </w:instrText>
      </w:r>
      <w:r>
        <w:rPr>
          <w:noProof/>
        </w:rPr>
      </w:r>
      <w:r>
        <w:rPr>
          <w:noProof/>
        </w:rPr>
        <w:fldChar w:fldCharType="separate"/>
      </w:r>
      <w:r>
        <w:rPr>
          <w:noProof/>
        </w:rPr>
        <w:t>4</w:t>
      </w:r>
      <w:r>
        <w:rPr>
          <w:noProof/>
        </w:rPr>
        <w:fldChar w:fldCharType="end"/>
      </w:r>
    </w:p>
    <w:p w14:paraId="327BC07E" w14:textId="7FEB2AC2" w:rsidR="00F66804" w:rsidRDefault="00F66804" w:rsidP="006A065B">
      <w:pPr>
        <w:pStyle w:val="TOC2"/>
        <w:rPr>
          <w:rFonts w:asciiTheme="minorHAnsi" w:eastAsiaTheme="minorEastAsia" w:hAnsiTheme="minorHAnsi" w:cstheme="minorBidi"/>
          <w:noProof/>
          <w:szCs w:val="22"/>
        </w:rPr>
      </w:pPr>
      <w:r>
        <w:rPr>
          <w:noProof/>
        </w:rPr>
        <w:t>4.4</w:t>
      </w:r>
      <w:r>
        <w:rPr>
          <w:rFonts w:asciiTheme="minorHAnsi" w:eastAsiaTheme="minorEastAsia" w:hAnsiTheme="minorHAnsi" w:cstheme="minorBidi"/>
          <w:noProof/>
          <w:szCs w:val="22"/>
        </w:rPr>
        <w:tab/>
      </w:r>
      <w:r>
        <w:rPr>
          <w:noProof/>
        </w:rPr>
        <w:t>Tree Protection</w:t>
      </w:r>
      <w:r>
        <w:rPr>
          <w:noProof/>
        </w:rPr>
        <w:tab/>
      </w:r>
      <w:r>
        <w:rPr>
          <w:noProof/>
        </w:rPr>
        <w:fldChar w:fldCharType="begin"/>
      </w:r>
      <w:r>
        <w:rPr>
          <w:noProof/>
        </w:rPr>
        <w:instrText xml:space="preserve"> PAGEREF _Toc76024356 \h </w:instrText>
      </w:r>
      <w:r>
        <w:rPr>
          <w:noProof/>
        </w:rPr>
      </w:r>
      <w:r>
        <w:rPr>
          <w:noProof/>
        </w:rPr>
        <w:fldChar w:fldCharType="separate"/>
      </w:r>
      <w:r>
        <w:rPr>
          <w:noProof/>
        </w:rPr>
        <w:t>5</w:t>
      </w:r>
      <w:r>
        <w:rPr>
          <w:noProof/>
        </w:rPr>
        <w:fldChar w:fldCharType="end"/>
      </w:r>
    </w:p>
    <w:p w14:paraId="50946967" w14:textId="568B41F2" w:rsidR="00F66804" w:rsidRDefault="00F66804" w:rsidP="006A065B">
      <w:pPr>
        <w:pStyle w:val="TOC2"/>
        <w:rPr>
          <w:rFonts w:asciiTheme="minorHAnsi" w:eastAsiaTheme="minorEastAsia" w:hAnsiTheme="minorHAnsi" w:cstheme="minorBidi"/>
          <w:noProof/>
          <w:szCs w:val="22"/>
        </w:rPr>
      </w:pPr>
      <w:r>
        <w:rPr>
          <w:noProof/>
        </w:rPr>
        <w:t>4.5</w:t>
      </w:r>
      <w:r>
        <w:rPr>
          <w:rFonts w:asciiTheme="minorHAnsi" w:eastAsiaTheme="minorEastAsia" w:hAnsiTheme="minorHAnsi" w:cstheme="minorBidi"/>
          <w:noProof/>
          <w:szCs w:val="22"/>
        </w:rPr>
        <w:tab/>
      </w:r>
      <w:r>
        <w:rPr>
          <w:noProof/>
        </w:rPr>
        <w:t>Existing Services</w:t>
      </w:r>
      <w:r>
        <w:rPr>
          <w:noProof/>
        </w:rPr>
        <w:tab/>
      </w:r>
      <w:r>
        <w:rPr>
          <w:noProof/>
        </w:rPr>
        <w:fldChar w:fldCharType="begin"/>
      </w:r>
      <w:r>
        <w:rPr>
          <w:noProof/>
        </w:rPr>
        <w:instrText xml:space="preserve"> PAGEREF _Toc76024357 \h </w:instrText>
      </w:r>
      <w:r>
        <w:rPr>
          <w:noProof/>
        </w:rPr>
      </w:r>
      <w:r>
        <w:rPr>
          <w:noProof/>
        </w:rPr>
        <w:fldChar w:fldCharType="separate"/>
      </w:r>
      <w:r>
        <w:rPr>
          <w:noProof/>
        </w:rPr>
        <w:t>5</w:t>
      </w:r>
      <w:r>
        <w:rPr>
          <w:noProof/>
        </w:rPr>
        <w:fldChar w:fldCharType="end"/>
      </w:r>
    </w:p>
    <w:p w14:paraId="689C8722" w14:textId="1D9A2A29" w:rsidR="00F66804" w:rsidRDefault="00F66804">
      <w:pPr>
        <w:pStyle w:val="TOC1"/>
        <w:rPr>
          <w:rFonts w:asciiTheme="minorHAnsi" w:eastAsiaTheme="minorEastAsia" w:hAnsiTheme="minorHAnsi" w:cstheme="minorBidi"/>
          <w:b w:val="0"/>
          <w:caps w:val="0"/>
          <w:noProof/>
          <w:sz w:val="22"/>
          <w:szCs w:val="22"/>
        </w:rPr>
      </w:pPr>
      <w:r>
        <w:rPr>
          <w:noProof/>
        </w:rPr>
        <w:t>5.0</w:t>
      </w:r>
      <w:r>
        <w:rPr>
          <w:rFonts w:asciiTheme="minorHAnsi" w:eastAsiaTheme="minorEastAsia" w:hAnsiTheme="minorHAnsi" w:cstheme="minorBidi"/>
          <w:b w:val="0"/>
          <w:caps w:val="0"/>
          <w:noProof/>
          <w:sz w:val="22"/>
          <w:szCs w:val="22"/>
        </w:rPr>
        <w:tab/>
      </w:r>
      <w:r>
        <w:rPr>
          <w:noProof/>
        </w:rPr>
        <w:t>trenchless technologies</w:t>
      </w:r>
      <w:r>
        <w:rPr>
          <w:noProof/>
        </w:rPr>
        <w:tab/>
      </w:r>
      <w:r>
        <w:rPr>
          <w:noProof/>
        </w:rPr>
        <w:fldChar w:fldCharType="begin"/>
      </w:r>
      <w:r>
        <w:rPr>
          <w:noProof/>
        </w:rPr>
        <w:instrText xml:space="preserve"> PAGEREF _Toc76024358 \h </w:instrText>
      </w:r>
      <w:r>
        <w:rPr>
          <w:noProof/>
        </w:rPr>
      </w:r>
      <w:r>
        <w:rPr>
          <w:noProof/>
        </w:rPr>
        <w:fldChar w:fldCharType="separate"/>
      </w:r>
      <w:r>
        <w:rPr>
          <w:noProof/>
        </w:rPr>
        <w:t>5</w:t>
      </w:r>
      <w:r>
        <w:rPr>
          <w:noProof/>
        </w:rPr>
        <w:fldChar w:fldCharType="end"/>
      </w:r>
    </w:p>
    <w:p w14:paraId="57F900B6" w14:textId="3AAD6918" w:rsidR="00F66804" w:rsidRDefault="00F66804">
      <w:pPr>
        <w:pStyle w:val="TOC1"/>
        <w:rPr>
          <w:rFonts w:asciiTheme="minorHAnsi" w:eastAsiaTheme="minorEastAsia" w:hAnsiTheme="minorHAnsi" w:cstheme="minorBidi"/>
          <w:b w:val="0"/>
          <w:caps w:val="0"/>
          <w:noProof/>
          <w:sz w:val="22"/>
          <w:szCs w:val="22"/>
        </w:rPr>
      </w:pPr>
      <w:r>
        <w:rPr>
          <w:noProof/>
        </w:rPr>
        <w:t>6.0</w:t>
      </w:r>
      <w:r>
        <w:rPr>
          <w:rFonts w:asciiTheme="minorHAnsi" w:eastAsiaTheme="minorEastAsia" w:hAnsiTheme="minorHAnsi" w:cstheme="minorBidi"/>
          <w:b w:val="0"/>
          <w:caps w:val="0"/>
          <w:noProof/>
          <w:sz w:val="22"/>
          <w:szCs w:val="22"/>
        </w:rPr>
        <w:tab/>
      </w:r>
      <w:r>
        <w:rPr>
          <w:noProof/>
        </w:rPr>
        <w:t>tRENCH technologies</w:t>
      </w:r>
      <w:r>
        <w:rPr>
          <w:noProof/>
        </w:rPr>
        <w:tab/>
      </w:r>
      <w:r>
        <w:rPr>
          <w:noProof/>
        </w:rPr>
        <w:fldChar w:fldCharType="begin"/>
      </w:r>
      <w:r>
        <w:rPr>
          <w:noProof/>
        </w:rPr>
        <w:instrText xml:space="preserve"> PAGEREF _Toc76024359 \h </w:instrText>
      </w:r>
      <w:r>
        <w:rPr>
          <w:noProof/>
        </w:rPr>
      </w:r>
      <w:r>
        <w:rPr>
          <w:noProof/>
        </w:rPr>
        <w:fldChar w:fldCharType="separate"/>
      </w:r>
      <w:r>
        <w:rPr>
          <w:noProof/>
        </w:rPr>
        <w:t>6</w:t>
      </w:r>
      <w:r>
        <w:rPr>
          <w:noProof/>
        </w:rPr>
        <w:fldChar w:fldCharType="end"/>
      </w:r>
    </w:p>
    <w:p w14:paraId="069D2C66" w14:textId="55FF5139" w:rsidR="00F66804" w:rsidRDefault="00F66804">
      <w:pPr>
        <w:pStyle w:val="TOC1"/>
        <w:rPr>
          <w:rFonts w:asciiTheme="minorHAnsi" w:eastAsiaTheme="minorEastAsia" w:hAnsiTheme="minorHAnsi" w:cstheme="minorBidi"/>
          <w:b w:val="0"/>
          <w:caps w:val="0"/>
          <w:noProof/>
          <w:sz w:val="22"/>
          <w:szCs w:val="22"/>
        </w:rPr>
      </w:pPr>
      <w:r>
        <w:rPr>
          <w:noProof/>
        </w:rPr>
        <w:t>7.0</w:t>
      </w:r>
      <w:r>
        <w:rPr>
          <w:rFonts w:asciiTheme="minorHAnsi" w:eastAsiaTheme="minorEastAsia" w:hAnsiTheme="minorHAnsi" w:cstheme="minorBidi"/>
          <w:b w:val="0"/>
          <w:caps w:val="0"/>
          <w:noProof/>
          <w:sz w:val="22"/>
          <w:szCs w:val="22"/>
        </w:rPr>
        <w:tab/>
      </w:r>
      <w:r>
        <w:rPr>
          <w:noProof/>
        </w:rPr>
        <w:t>UTILITY service installation</w:t>
      </w:r>
      <w:r>
        <w:rPr>
          <w:noProof/>
        </w:rPr>
        <w:tab/>
      </w:r>
      <w:r>
        <w:rPr>
          <w:noProof/>
        </w:rPr>
        <w:fldChar w:fldCharType="begin"/>
      </w:r>
      <w:r>
        <w:rPr>
          <w:noProof/>
        </w:rPr>
        <w:instrText xml:space="preserve"> PAGEREF _Toc76024360 \h </w:instrText>
      </w:r>
      <w:r>
        <w:rPr>
          <w:noProof/>
        </w:rPr>
      </w:r>
      <w:r>
        <w:rPr>
          <w:noProof/>
        </w:rPr>
        <w:fldChar w:fldCharType="separate"/>
      </w:r>
      <w:r>
        <w:rPr>
          <w:noProof/>
        </w:rPr>
        <w:t>7</w:t>
      </w:r>
      <w:r>
        <w:rPr>
          <w:noProof/>
        </w:rPr>
        <w:fldChar w:fldCharType="end"/>
      </w:r>
    </w:p>
    <w:p w14:paraId="56BCF635" w14:textId="466FDD25" w:rsidR="00F66804" w:rsidRDefault="00F66804" w:rsidP="006A065B">
      <w:pPr>
        <w:pStyle w:val="TOC2"/>
        <w:rPr>
          <w:rFonts w:asciiTheme="minorHAnsi" w:eastAsiaTheme="minorEastAsia" w:hAnsiTheme="minorHAnsi" w:cstheme="minorBidi"/>
          <w:noProof/>
          <w:szCs w:val="22"/>
        </w:rPr>
      </w:pPr>
      <w:r>
        <w:rPr>
          <w:noProof/>
        </w:rPr>
        <w:t>7.1</w:t>
      </w:r>
      <w:r>
        <w:rPr>
          <w:rFonts w:asciiTheme="minorHAnsi" w:eastAsiaTheme="minorEastAsia" w:hAnsiTheme="minorHAnsi" w:cstheme="minorBidi"/>
          <w:noProof/>
          <w:szCs w:val="22"/>
        </w:rPr>
        <w:tab/>
      </w:r>
      <w:r>
        <w:rPr>
          <w:noProof/>
        </w:rPr>
        <w:t>General</w:t>
      </w:r>
      <w:r>
        <w:rPr>
          <w:noProof/>
        </w:rPr>
        <w:tab/>
      </w:r>
      <w:r>
        <w:rPr>
          <w:noProof/>
        </w:rPr>
        <w:fldChar w:fldCharType="begin"/>
      </w:r>
      <w:r>
        <w:rPr>
          <w:noProof/>
        </w:rPr>
        <w:instrText xml:space="preserve"> PAGEREF _Toc76024361 \h </w:instrText>
      </w:r>
      <w:r>
        <w:rPr>
          <w:noProof/>
        </w:rPr>
      </w:r>
      <w:r>
        <w:rPr>
          <w:noProof/>
        </w:rPr>
        <w:fldChar w:fldCharType="separate"/>
      </w:r>
      <w:r>
        <w:rPr>
          <w:noProof/>
        </w:rPr>
        <w:t>7</w:t>
      </w:r>
      <w:r>
        <w:rPr>
          <w:noProof/>
        </w:rPr>
        <w:fldChar w:fldCharType="end"/>
      </w:r>
    </w:p>
    <w:p w14:paraId="2A3E2F17" w14:textId="5B6EC913" w:rsidR="00F66804" w:rsidRDefault="00F66804" w:rsidP="006A065B">
      <w:pPr>
        <w:pStyle w:val="TOC2"/>
        <w:rPr>
          <w:rFonts w:asciiTheme="minorHAnsi" w:eastAsiaTheme="minorEastAsia" w:hAnsiTheme="minorHAnsi" w:cstheme="minorBidi"/>
          <w:noProof/>
          <w:szCs w:val="22"/>
        </w:rPr>
      </w:pPr>
      <w:r>
        <w:rPr>
          <w:noProof/>
        </w:rPr>
        <w:t>7.2</w:t>
      </w:r>
      <w:r>
        <w:rPr>
          <w:rFonts w:asciiTheme="minorHAnsi" w:eastAsiaTheme="minorEastAsia" w:hAnsiTheme="minorHAnsi" w:cstheme="minorBidi"/>
          <w:noProof/>
          <w:szCs w:val="22"/>
        </w:rPr>
        <w:tab/>
      </w:r>
      <w:r>
        <w:rPr>
          <w:noProof/>
        </w:rPr>
        <w:t>Redundant Conduits, Pits, Services and Other Assets</w:t>
      </w:r>
      <w:r>
        <w:rPr>
          <w:noProof/>
        </w:rPr>
        <w:tab/>
      </w:r>
      <w:r>
        <w:rPr>
          <w:noProof/>
        </w:rPr>
        <w:fldChar w:fldCharType="begin"/>
      </w:r>
      <w:r>
        <w:rPr>
          <w:noProof/>
        </w:rPr>
        <w:instrText xml:space="preserve"> PAGEREF _Toc76024362 \h </w:instrText>
      </w:r>
      <w:r>
        <w:rPr>
          <w:noProof/>
        </w:rPr>
      </w:r>
      <w:r>
        <w:rPr>
          <w:noProof/>
        </w:rPr>
        <w:fldChar w:fldCharType="separate"/>
      </w:r>
      <w:r>
        <w:rPr>
          <w:noProof/>
        </w:rPr>
        <w:t>7</w:t>
      </w:r>
      <w:r>
        <w:rPr>
          <w:noProof/>
        </w:rPr>
        <w:fldChar w:fldCharType="end"/>
      </w:r>
    </w:p>
    <w:p w14:paraId="2EA1450C" w14:textId="7D63F660" w:rsidR="00F66804" w:rsidRDefault="00F66804" w:rsidP="006A065B">
      <w:pPr>
        <w:pStyle w:val="TOC3"/>
        <w:rPr>
          <w:rFonts w:asciiTheme="minorHAnsi" w:eastAsiaTheme="minorEastAsia" w:hAnsiTheme="minorHAnsi" w:cstheme="minorBidi"/>
          <w:sz w:val="22"/>
        </w:rPr>
      </w:pPr>
      <w:r>
        <w:t>7.2.1</w:t>
      </w:r>
      <w:r>
        <w:rPr>
          <w:rFonts w:asciiTheme="minorHAnsi" w:eastAsiaTheme="minorEastAsia" w:hAnsiTheme="minorHAnsi" w:cstheme="minorBidi"/>
          <w:sz w:val="22"/>
        </w:rPr>
        <w:tab/>
      </w:r>
      <w:r>
        <w:t>Redundant Asbestos Material</w:t>
      </w:r>
      <w:r>
        <w:tab/>
      </w:r>
      <w:r>
        <w:fldChar w:fldCharType="begin"/>
      </w:r>
      <w:r>
        <w:instrText xml:space="preserve"> PAGEREF _Toc76024363 \h </w:instrText>
      </w:r>
      <w:r>
        <w:fldChar w:fldCharType="separate"/>
      </w:r>
      <w:r>
        <w:t>8</w:t>
      </w:r>
      <w:r>
        <w:fldChar w:fldCharType="end"/>
      </w:r>
    </w:p>
    <w:p w14:paraId="7BE29FF8" w14:textId="4006D12D" w:rsidR="00F66804" w:rsidRDefault="00F66804" w:rsidP="006A065B">
      <w:pPr>
        <w:pStyle w:val="TOC2"/>
        <w:rPr>
          <w:rFonts w:asciiTheme="minorHAnsi" w:eastAsiaTheme="minorEastAsia" w:hAnsiTheme="minorHAnsi" w:cstheme="minorBidi"/>
          <w:noProof/>
          <w:szCs w:val="22"/>
        </w:rPr>
      </w:pPr>
      <w:r>
        <w:rPr>
          <w:noProof/>
        </w:rPr>
        <w:t>7.3</w:t>
      </w:r>
      <w:r>
        <w:rPr>
          <w:rFonts w:asciiTheme="minorHAnsi" w:eastAsiaTheme="minorEastAsia" w:hAnsiTheme="minorHAnsi" w:cstheme="minorBidi"/>
          <w:noProof/>
          <w:szCs w:val="22"/>
        </w:rPr>
        <w:tab/>
      </w:r>
      <w:r>
        <w:rPr>
          <w:noProof/>
        </w:rPr>
        <w:t>Marking Services</w:t>
      </w:r>
      <w:r>
        <w:rPr>
          <w:noProof/>
        </w:rPr>
        <w:tab/>
      </w:r>
      <w:r>
        <w:rPr>
          <w:noProof/>
        </w:rPr>
        <w:fldChar w:fldCharType="begin"/>
      </w:r>
      <w:r>
        <w:rPr>
          <w:noProof/>
        </w:rPr>
        <w:instrText xml:space="preserve"> PAGEREF _Toc76024364 \h </w:instrText>
      </w:r>
      <w:r>
        <w:rPr>
          <w:noProof/>
        </w:rPr>
      </w:r>
      <w:r>
        <w:rPr>
          <w:noProof/>
        </w:rPr>
        <w:fldChar w:fldCharType="separate"/>
      </w:r>
      <w:r>
        <w:rPr>
          <w:noProof/>
        </w:rPr>
        <w:t>8</w:t>
      </w:r>
      <w:r>
        <w:rPr>
          <w:noProof/>
        </w:rPr>
        <w:fldChar w:fldCharType="end"/>
      </w:r>
    </w:p>
    <w:p w14:paraId="401FD94A" w14:textId="1182DFEA" w:rsidR="00F66804" w:rsidRDefault="00F66804" w:rsidP="006A065B">
      <w:pPr>
        <w:pStyle w:val="TOC2"/>
        <w:rPr>
          <w:rFonts w:asciiTheme="minorHAnsi" w:eastAsiaTheme="minorEastAsia" w:hAnsiTheme="minorHAnsi" w:cstheme="minorBidi"/>
          <w:noProof/>
          <w:szCs w:val="22"/>
        </w:rPr>
      </w:pPr>
      <w:r>
        <w:rPr>
          <w:noProof/>
        </w:rPr>
        <w:t>7.4</w:t>
      </w:r>
      <w:r>
        <w:rPr>
          <w:rFonts w:asciiTheme="minorHAnsi" w:eastAsiaTheme="minorEastAsia" w:hAnsiTheme="minorHAnsi" w:cstheme="minorBidi"/>
          <w:noProof/>
          <w:szCs w:val="22"/>
        </w:rPr>
        <w:tab/>
      </w:r>
      <w:r>
        <w:rPr>
          <w:noProof/>
        </w:rPr>
        <w:t>Service Installation</w:t>
      </w:r>
      <w:r>
        <w:rPr>
          <w:noProof/>
        </w:rPr>
        <w:tab/>
      </w:r>
      <w:r>
        <w:rPr>
          <w:noProof/>
        </w:rPr>
        <w:fldChar w:fldCharType="begin"/>
      </w:r>
      <w:r>
        <w:rPr>
          <w:noProof/>
        </w:rPr>
        <w:instrText xml:space="preserve"> PAGEREF _Toc76024365 \h </w:instrText>
      </w:r>
      <w:r>
        <w:rPr>
          <w:noProof/>
        </w:rPr>
      </w:r>
      <w:r>
        <w:rPr>
          <w:noProof/>
        </w:rPr>
        <w:fldChar w:fldCharType="separate"/>
      </w:r>
      <w:r>
        <w:rPr>
          <w:noProof/>
        </w:rPr>
        <w:t>8</w:t>
      </w:r>
      <w:r>
        <w:rPr>
          <w:noProof/>
        </w:rPr>
        <w:fldChar w:fldCharType="end"/>
      </w:r>
    </w:p>
    <w:p w14:paraId="20DFD0D0" w14:textId="2A1885FE" w:rsidR="00F66804" w:rsidRDefault="00F66804" w:rsidP="006A065B">
      <w:pPr>
        <w:pStyle w:val="TOC2"/>
        <w:rPr>
          <w:rFonts w:asciiTheme="minorHAnsi" w:eastAsiaTheme="minorEastAsia" w:hAnsiTheme="minorHAnsi" w:cstheme="minorBidi"/>
          <w:noProof/>
          <w:szCs w:val="22"/>
        </w:rPr>
      </w:pPr>
      <w:r>
        <w:rPr>
          <w:noProof/>
        </w:rPr>
        <w:t>7.5</w:t>
      </w:r>
      <w:r>
        <w:rPr>
          <w:rFonts w:asciiTheme="minorHAnsi" w:eastAsiaTheme="minorEastAsia" w:hAnsiTheme="minorHAnsi" w:cstheme="minorBidi"/>
          <w:noProof/>
          <w:szCs w:val="22"/>
        </w:rPr>
        <w:tab/>
      </w:r>
      <w:r>
        <w:rPr>
          <w:noProof/>
        </w:rPr>
        <w:t>Service Conduits</w:t>
      </w:r>
      <w:r>
        <w:rPr>
          <w:noProof/>
        </w:rPr>
        <w:tab/>
      </w:r>
      <w:r>
        <w:rPr>
          <w:noProof/>
        </w:rPr>
        <w:fldChar w:fldCharType="begin"/>
      </w:r>
      <w:r>
        <w:rPr>
          <w:noProof/>
        </w:rPr>
        <w:instrText xml:space="preserve"> PAGEREF _Toc76024366 \h </w:instrText>
      </w:r>
      <w:r>
        <w:rPr>
          <w:noProof/>
        </w:rPr>
      </w:r>
      <w:r>
        <w:rPr>
          <w:noProof/>
        </w:rPr>
        <w:fldChar w:fldCharType="separate"/>
      </w:r>
      <w:r>
        <w:rPr>
          <w:noProof/>
        </w:rPr>
        <w:t>8</w:t>
      </w:r>
      <w:r>
        <w:rPr>
          <w:noProof/>
        </w:rPr>
        <w:fldChar w:fldCharType="end"/>
      </w:r>
    </w:p>
    <w:p w14:paraId="455A88BD" w14:textId="516DB256" w:rsidR="00F66804" w:rsidRDefault="00F66804">
      <w:pPr>
        <w:pStyle w:val="TOC1"/>
        <w:rPr>
          <w:rFonts w:asciiTheme="minorHAnsi" w:eastAsiaTheme="minorEastAsia" w:hAnsiTheme="minorHAnsi" w:cstheme="minorBidi"/>
          <w:b w:val="0"/>
          <w:caps w:val="0"/>
          <w:noProof/>
          <w:sz w:val="22"/>
          <w:szCs w:val="22"/>
        </w:rPr>
      </w:pPr>
      <w:r>
        <w:rPr>
          <w:noProof/>
        </w:rPr>
        <w:t>8.0</w:t>
      </w:r>
      <w:r>
        <w:rPr>
          <w:rFonts w:asciiTheme="minorHAnsi" w:eastAsiaTheme="minorEastAsia" w:hAnsiTheme="minorHAnsi" w:cstheme="minorBidi"/>
          <w:b w:val="0"/>
          <w:caps w:val="0"/>
          <w:noProof/>
          <w:sz w:val="22"/>
          <w:szCs w:val="22"/>
        </w:rPr>
        <w:tab/>
      </w:r>
      <w:r>
        <w:rPr>
          <w:noProof/>
        </w:rPr>
        <w:t>BACKFILLING</w:t>
      </w:r>
      <w:r>
        <w:rPr>
          <w:noProof/>
        </w:rPr>
        <w:tab/>
      </w:r>
      <w:r>
        <w:rPr>
          <w:noProof/>
        </w:rPr>
        <w:fldChar w:fldCharType="begin"/>
      </w:r>
      <w:r>
        <w:rPr>
          <w:noProof/>
        </w:rPr>
        <w:instrText xml:space="preserve"> PAGEREF _Toc76024367 \h </w:instrText>
      </w:r>
      <w:r>
        <w:rPr>
          <w:noProof/>
        </w:rPr>
      </w:r>
      <w:r>
        <w:rPr>
          <w:noProof/>
        </w:rPr>
        <w:fldChar w:fldCharType="separate"/>
      </w:r>
      <w:r>
        <w:rPr>
          <w:noProof/>
        </w:rPr>
        <w:t>9</w:t>
      </w:r>
      <w:r>
        <w:rPr>
          <w:noProof/>
        </w:rPr>
        <w:fldChar w:fldCharType="end"/>
      </w:r>
    </w:p>
    <w:p w14:paraId="3D3C97F2" w14:textId="7E26D5D3" w:rsidR="00F66804" w:rsidRDefault="00F66804" w:rsidP="006A065B">
      <w:pPr>
        <w:pStyle w:val="TOC2"/>
        <w:rPr>
          <w:rFonts w:asciiTheme="minorHAnsi" w:eastAsiaTheme="minorEastAsia" w:hAnsiTheme="minorHAnsi" w:cstheme="minorBidi"/>
          <w:noProof/>
          <w:szCs w:val="22"/>
        </w:rPr>
      </w:pPr>
      <w:r>
        <w:rPr>
          <w:noProof/>
        </w:rPr>
        <w:t>8.1</w:t>
      </w:r>
      <w:r>
        <w:rPr>
          <w:rFonts w:asciiTheme="minorHAnsi" w:eastAsiaTheme="minorEastAsia" w:hAnsiTheme="minorHAnsi" w:cstheme="minorBidi"/>
          <w:noProof/>
          <w:szCs w:val="22"/>
        </w:rPr>
        <w:tab/>
      </w:r>
      <w:r>
        <w:rPr>
          <w:noProof/>
        </w:rPr>
        <w:t>General</w:t>
      </w:r>
      <w:r>
        <w:rPr>
          <w:noProof/>
        </w:rPr>
        <w:tab/>
      </w:r>
      <w:r>
        <w:rPr>
          <w:noProof/>
        </w:rPr>
        <w:fldChar w:fldCharType="begin"/>
      </w:r>
      <w:r>
        <w:rPr>
          <w:noProof/>
        </w:rPr>
        <w:instrText xml:space="preserve"> PAGEREF _Toc76024368 \h </w:instrText>
      </w:r>
      <w:r>
        <w:rPr>
          <w:noProof/>
        </w:rPr>
      </w:r>
      <w:r>
        <w:rPr>
          <w:noProof/>
        </w:rPr>
        <w:fldChar w:fldCharType="separate"/>
      </w:r>
      <w:r>
        <w:rPr>
          <w:noProof/>
        </w:rPr>
        <w:t>9</w:t>
      </w:r>
      <w:r>
        <w:rPr>
          <w:noProof/>
        </w:rPr>
        <w:fldChar w:fldCharType="end"/>
      </w:r>
    </w:p>
    <w:p w14:paraId="589DFE39" w14:textId="73674DDF" w:rsidR="00F66804" w:rsidRDefault="00F66804" w:rsidP="006A065B">
      <w:pPr>
        <w:pStyle w:val="TOC2"/>
        <w:rPr>
          <w:rFonts w:asciiTheme="minorHAnsi" w:eastAsiaTheme="minorEastAsia" w:hAnsiTheme="minorHAnsi" w:cstheme="minorBidi"/>
          <w:noProof/>
          <w:szCs w:val="22"/>
        </w:rPr>
      </w:pPr>
      <w:r>
        <w:rPr>
          <w:noProof/>
        </w:rPr>
        <w:t>8.2</w:t>
      </w:r>
      <w:r>
        <w:rPr>
          <w:rFonts w:asciiTheme="minorHAnsi" w:eastAsiaTheme="minorEastAsia" w:hAnsiTheme="minorHAnsi" w:cstheme="minorBidi"/>
          <w:noProof/>
          <w:szCs w:val="22"/>
        </w:rPr>
        <w:tab/>
      </w:r>
      <w:r>
        <w:rPr>
          <w:noProof/>
        </w:rPr>
        <w:t>Permitted Materials</w:t>
      </w:r>
      <w:r>
        <w:rPr>
          <w:noProof/>
        </w:rPr>
        <w:tab/>
      </w:r>
      <w:r>
        <w:rPr>
          <w:noProof/>
        </w:rPr>
        <w:fldChar w:fldCharType="begin"/>
      </w:r>
      <w:r>
        <w:rPr>
          <w:noProof/>
        </w:rPr>
        <w:instrText xml:space="preserve"> PAGEREF _Toc76024369 \h </w:instrText>
      </w:r>
      <w:r>
        <w:rPr>
          <w:noProof/>
        </w:rPr>
      </w:r>
      <w:r>
        <w:rPr>
          <w:noProof/>
        </w:rPr>
        <w:fldChar w:fldCharType="separate"/>
      </w:r>
      <w:r>
        <w:rPr>
          <w:noProof/>
        </w:rPr>
        <w:t>9</w:t>
      </w:r>
      <w:r>
        <w:rPr>
          <w:noProof/>
        </w:rPr>
        <w:fldChar w:fldCharType="end"/>
      </w:r>
    </w:p>
    <w:p w14:paraId="402EAC58" w14:textId="77FCF5D2" w:rsidR="00F66804" w:rsidRDefault="00F66804" w:rsidP="006A065B">
      <w:pPr>
        <w:pStyle w:val="TOC2"/>
        <w:rPr>
          <w:rFonts w:asciiTheme="minorHAnsi" w:eastAsiaTheme="minorEastAsia" w:hAnsiTheme="minorHAnsi" w:cstheme="minorBidi"/>
          <w:noProof/>
          <w:szCs w:val="22"/>
        </w:rPr>
      </w:pPr>
      <w:r>
        <w:rPr>
          <w:noProof/>
        </w:rPr>
        <w:t>8.3</w:t>
      </w:r>
      <w:r>
        <w:rPr>
          <w:rFonts w:asciiTheme="minorHAnsi" w:eastAsiaTheme="minorEastAsia" w:hAnsiTheme="minorHAnsi" w:cstheme="minorBidi"/>
          <w:noProof/>
          <w:szCs w:val="22"/>
        </w:rPr>
        <w:tab/>
      </w:r>
      <w:r>
        <w:rPr>
          <w:noProof/>
        </w:rPr>
        <w:t>Permeability Characteristics</w:t>
      </w:r>
      <w:r>
        <w:rPr>
          <w:noProof/>
        </w:rPr>
        <w:tab/>
      </w:r>
      <w:r>
        <w:rPr>
          <w:noProof/>
        </w:rPr>
        <w:fldChar w:fldCharType="begin"/>
      </w:r>
      <w:r>
        <w:rPr>
          <w:noProof/>
        </w:rPr>
        <w:instrText xml:space="preserve"> PAGEREF _Toc76024370 \h </w:instrText>
      </w:r>
      <w:r>
        <w:rPr>
          <w:noProof/>
        </w:rPr>
      </w:r>
      <w:r>
        <w:rPr>
          <w:noProof/>
        </w:rPr>
        <w:fldChar w:fldCharType="separate"/>
      </w:r>
      <w:r>
        <w:rPr>
          <w:noProof/>
        </w:rPr>
        <w:t>10</w:t>
      </w:r>
      <w:r>
        <w:rPr>
          <w:noProof/>
        </w:rPr>
        <w:fldChar w:fldCharType="end"/>
      </w:r>
    </w:p>
    <w:p w14:paraId="59968B6D" w14:textId="1D798C2E" w:rsidR="00F66804" w:rsidRDefault="00F66804" w:rsidP="006A065B">
      <w:pPr>
        <w:pStyle w:val="TOC2"/>
        <w:rPr>
          <w:rFonts w:asciiTheme="minorHAnsi" w:eastAsiaTheme="minorEastAsia" w:hAnsiTheme="minorHAnsi" w:cstheme="minorBidi"/>
          <w:noProof/>
          <w:szCs w:val="22"/>
        </w:rPr>
      </w:pPr>
      <w:r>
        <w:rPr>
          <w:noProof/>
        </w:rPr>
        <w:t>8.4</w:t>
      </w:r>
      <w:r>
        <w:rPr>
          <w:rFonts w:asciiTheme="minorHAnsi" w:eastAsiaTheme="minorEastAsia" w:hAnsiTheme="minorHAnsi" w:cstheme="minorBidi"/>
          <w:noProof/>
          <w:szCs w:val="22"/>
        </w:rPr>
        <w:tab/>
      </w:r>
      <w:r>
        <w:rPr>
          <w:noProof/>
        </w:rPr>
        <w:t>Requirements of Acceptable Backfill Materials</w:t>
      </w:r>
      <w:r>
        <w:rPr>
          <w:noProof/>
        </w:rPr>
        <w:tab/>
      </w:r>
      <w:r>
        <w:rPr>
          <w:noProof/>
        </w:rPr>
        <w:fldChar w:fldCharType="begin"/>
      </w:r>
      <w:r>
        <w:rPr>
          <w:noProof/>
        </w:rPr>
        <w:instrText xml:space="preserve"> PAGEREF _Toc76024371 \h </w:instrText>
      </w:r>
      <w:r>
        <w:rPr>
          <w:noProof/>
        </w:rPr>
      </w:r>
      <w:r>
        <w:rPr>
          <w:noProof/>
        </w:rPr>
        <w:fldChar w:fldCharType="separate"/>
      </w:r>
      <w:r>
        <w:rPr>
          <w:noProof/>
        </w:rPr>
        <w:t>10</w:t>
      </w:r>
      <w:r>
        <w:rPr>
          <w:noProof/>
        </w:rPr>
        <w:fldChar w:fldCharType="end"/>
      </w:r>
    </w:p>
    <w:p w14:paraId="7F6FBE2B" w14:textId="4665E50A" w:rsidR="00F66804" w:rsidRDefault="00F66804" w:rsidP="006A065B">
      <w:pPr>
        <w:pStyle w:val="TOC2"/>
        <w:rPr>
          <w:rFonts w:asciiTheme="minorHAnsi" w:eastAsiaTheme="minorEastAsia" w:hAnsiTheme="minorHAnsi" w:cstheme="minorBidi"/>
          <w:noProof/>
          <w:szCs w:val="22"/>
        </w:rPr>
      </w:pPr>
      <w:r>
        <w:rPr>
          <w:noProof/>
        </w:rPr>
        <w:t>8.5</w:t>
      </w:r>
      <w:r>
        <w:rPr>
          <w:rFonts w:asciiTheme="minorHAnsi" w:eastAsiaTheme="minorEastAsia" w:hAnsiTheme="minorHAnsi" w:cstheme="minorBidi"/>
          <w:noProof/>
          <w:szCs w:val="22"/>
        </w:rPr>
        <w:tab/>
      </w:r>
      <w:r>
        <w:rPr>
          <w:noProof/>
        </w:rPr>
        <w:t>Execution</w:t>
      </w:r>
      <w:r>
        <w:rPr>
          <w:noProof/>
        </w:rPr>
        <w:tab/>
      </w:r>
      <w:r>
        <w:rPr>
          <w:noProof/>
        </w:rPr>
        <w:fldChar w:fldCharType="begin"/>
      </w:r>
      <w:r>
        <w:rPr>
          <w:noProof/>
        </w:rPr>
        <w:instrText xml:space="preserve"> PAGEREF _Toc76024372 \h </w:instrText>
      </w:r>
      <w:r>
        <w:rPr>
          <w:noProof/>
        </w:rPr>
      </w:r>
      <w:r>
        <w:rPr>
          <w:noProof/>
        </w:rPr>
        <w:fldChar w:fldCharType="separate"/>
      </w:r>
      <w:r>
        <w:rPr>
          <w:noProof/>
        </w:rPr>
        <w:t>10</w:t>
      </w:r>
      <w:r>
        <w:rPr>
          <w:noProof/>
        </w:rPr>
        <w:fldChar w:fldCharType="end"/>
      </w:r>
    </w:p>
    <w:p w14:paraId="7CDF7533" w14:textId="2D5C562F" w:rsidR="00F66804" w:rsidRDefault="00F66804">
      <w:pPr>
        <w:pStyle w:val="TOC1"/>
        <w:rPr>
          <w:rFonts w:asciiTheme="minorHAnsi" w:eastAsiaTheme="minorEastAsia" w:hAnsiTheme="minorHAnsi" w:cstheme="minorBidi"/>
          <w:b w:val="0"/>
          <w:caps w:val="0"/>
          <w:noProof/>
          <w:sz w:val="22"/>
          <w:szCs w:val="22"/>
        </w:rPr>
      </w:pPr>
      <w:r>
        <w:rPr>
          <w:noProof/>
        </w:rPr>
        <w:t>9.0</w:t>
      </w:r>
      <w:r>
        <w:rPr>
          <w:rFonts w:asciiTheme="minorHAnsi" w:eastAsiaTheme="minorEastAsia" w:hAnsiTheme="minorHAnsi" w:cstheme="minorBidi"/>
          <w:b w:val="0"/>
          <w:caps w:val="0"/>
          <w:noProof/>
          <w:sz w:val="22"/>
          <w:szCs w:val="22"/>
        </w:rPr>
        <w:tab/>
      </w:r>
      <w:r>
        <w:rPr>
          <w:noProof/>
        </w:rPr>
        <w:t>base RESTORATION</w:t>
      </w:r>
      <w:r>
        <w:rPr>
          <w:noProof/>
        </w:rPr>
        <w:tab/>
      </w:r>
      <w:r>
        <w:rPr>
          <w:noProof/>
        </w:rPr>
        <w:fldChar w:fldCharType="begin"/>
      </w:r>
      <w:r>
        <w:rPr>
          <w:noProof/>
        </w:rPr>
        <w:instrText xml:space="preserve"> PAGEREF _Toc76024373 \h </w:instrText>
      </w:r>
      <w:r>
        <w:rPr>
          <w:noProof/>
        </w:rPr>
      </w:r>
      <w:r>
        <w:rPr>
          <w:noProof/>
        </w:rPr>
        <w:fldChar w:fldCharType="separate"/>
      </w:r>
      <w:r>
        <w:rPr>
          <w:noProof/>
        </w:rPr>
        <w:t>12</w:t>
      </w:r>
      <w:r>
        <w:rPr>
          <w:noProof/>
        </w:rPr>
        <w:fldChar w:fldCharType="end"/>
      </w:r>
    </w:p>
    <w:p w14:paraId="23A00FDA" w14:textId="7BE9B406" w:rsidR="00F66804" w:rsidRDefault="00F66804">
      <w:pPr>
        <w:pStyle w:val="TOC1"/>
        <w:rPr>
          <w:rFonts w:asciiTheme="minorHAnsi" w:eastAsiaTheme="minorEastAsia" w:hAnsiTheme="minorHAnsi" w:cstheme="minorBidi"/>
          <w:b w:val="0"/>
          <w:caps w:val="0"/>
          <w:noProof/>
          <w:sz w:val="22"/>
          <w:szCs w:val="22"/>
        </w:rPr>
      </w:pPr>
      <w:r>
        <w:rPr>
          <w:noProof/>
        </w:rPr>
        <w:t>10.0</w:t>
      </w:r>
      <w:r>
        <w:rPr>
          <w:rFonts w:asciiTheme="minorHAnsi" w:eastAsiaTheme="minorEastAsia" w:hAnsiTheme="minorHAnsi" w:cstheme="minorBidi"/>
          <w:b w:val="0"/>
          <w:caps w:val="0"/>
          <w:noProof/>
          <w:sz w:val="22"/>
          <w:szCs w:val="22"/>
        </w:rPr>
        <w:tab/>
      </w:r>
      <w:r>
        <w:rPr>
          <w:noProof/>
        </w:rPr>
        <w:t>Surface RESTORATION</w:t>
      </w:r>
      <w:r>
        <w:rPr>
          <w:noProof/>
        </w:rPr>
        <w:tab/>
      </w:r>
      <w:r>
        <w:rPr>
          <w:noProof/>
        </w:rPr>
        <w:fldChar w:fldCharType="begin"/>
      </w:r>
      <w:r>
        <w:rPr>
          <w:noProof/>
        </w:rPr>
        <w:instrText xml:space="preserve"> PAGEREF _Toc76024374 \h </w:instrText>
      </w:r>
      <w:r>
        <w:rPr>
          <w:noProof/>
        </w:rPr>
      </w:r>
      <w:r>
        <w:rPr>
          <w:noProof/>
        </w:rPr>
        <w:fldChar w:fldCharType="separate"/>
      </w:r>
      <w:r>
        <w:rPr>
          <w:noProof/>
        </w:rPr>
        <w:t>13</w:t>
      </w:r>
      <w:r>
        <w:rPr>
          <w:noProof/>
        </w:rPr>
        <w:fldChar w:fldCharType="end"/>
      </w:r>
    </w:p>
    <w:p w14:paraId="4E8CEE71" w14:textId="0C6671F4" w:rsidR="00F66804" w:rsidRDefault="00F66804" w:rsidP="006A065B">
      <w:pPr>
        <w:pStyle w:val="TOC2"/>
        <w:rPr>
          <w:rFonts w:asciiTheme="minorHAnsi" w:eastAsiaTheme="minorEastAsia" w:hAnsiTheme="minorHAnsi" w:cstheme="minorBidi"/>
          <w:noProof/>
          <w:szCs w:val="22"/>
        </w:rPr>
      </w:pPr>
      <w:r>
        <w:rPr>
          <w:noProof/>
        </w:rPr>
        <w:t>10.1</w:t>
      </w:r>
      <w:r>
        <w:rPr>
          <w:rFonts w:asciiTheme="minorHAnsi" w:eastAsiaTheme="minorEastAsia" w:hAnsiTheme="minorHAnsi" w:cstheme="minorBidi"/>
          <w:noProof/>
          <w:szCs w:val="22"/>
        </w:rPr>
        <w:tab/>
      </w:r>
      <w:r>
        <w:rPr>
          <w:noProof/>
        </w:rPr>
        <w:t>General</w:t>
      </w:r>
      <w:r>
        <w:rPr>
          <w:noProof/>
        </w:rPr>
        <w:tab/>
      </w:r>
      <w:r>
        <w:rPr>
          <w:noProof/>
        </w:rPr>
        <w:fldChar w:fldCharType="begin"/>
      </w:r>
      <w:r>
        <w:rPr>
          <w:noProof/>
        </w:rPr>
        <w:instrText xml:space="preserve"> PAGEREF _Toc76024375 \h </w:instrText>
      </w:r>
      <w:r>
        <w:rPr>
          <w:noProof/>
        </w:rPr>
      </w:r>
      <w:r>
        <w:rPr>
          <w:noProof/>
        </w:rPr>
        <w:fldChar w:fldCharType="separate"/>
      </w:r>
      <w:r>
        <w:rPr>
          <w:noProof/>
        </w:rPr>
        <w:t>13</w:t>
      </w:r>
      <w:r>
        <w:rPr>
          <w:noProof/>
        </w:rPr>
        <w:fldChar w:fldCharType="end"/>
      </w:r>
    </w:p>
    <w:p w14:paraId="0FA45380" w14:textId="7FA05317" w:rsidR="00F66804" w:rsidRDefault="00F66804" w:rsidP="006A065B">
      <w:pPr>
        <w:pStyle w:val="TOC2"/>
        <w:rPr>
          <w:rFonts w:asciiTheme="minorHAnsi" w:eastAsiaTheme="minorEastAsia" w:hAnsiTheme="minorHAnsi" w:cstheme="minorBidi"/>
          <w:noProof/>
          <w:szCs w:val="22"/>
        </w:rPr>
      </w:pPr>
      <w:r>
        <w:rPr>
          <w:noProof/>
        </w:rPr>
        <w:t>10.2</w:t>
      </w:r>
      <w:r>
        <w:rPr>
          <w:rFonts w:asciiTheme="minorHAnsi" w:eastAsiaTheme="minorEastAsia" w:hAnsiTheme="minorHAnsi" w:cstheme="minorBidi"/>
          <w:noProof/>
          <w:szCs w:val="22"/>
        </w:rPr>
        <w:tab/>
      </w:r>
      <w:r>
        <w:rPr>
          <w:noProof/>
        </w:rPr>
        <w:t>Extent of Surface Reinstatement</w:t>
      </w:r>
      <w:r>
        <w:rPr>
          <w:noProof/>
        </w:rPr>
        <w:tab/>
      </w:r>
      <w:r>
        <w:rPr>
          <w:noProof/>
        </w:rPr>
        <w:fldChar w:fldCharType="begin"/>
      </w:r>
      <w:r>
        <w:rPr>
          <w:noProof/>
        </w:rPr>
        <w:instrText xml:space="preserve"> PAGEREF _Toc76024376 \h </w:instrText>
      </w:r>
      <w:r>
        <w:rPr>
          <w:noProof/>
        </w:rPr>
      </w:r>
      <w:r>
        <w:rPr>
          <w:noProof/>
        </w:rPr>
        <w:fldChar w:fldCharType="separate"/>
      </w:r>
      <w:r>
        <w:rPr>
          <w:noProof/>
        </w:rPr>
        <w:t>13</w:t>
      </w:r>
      <w:r>
        <w:rPr>
          <w:noProof/>
        </w:rPr>
        <w:fldChar w:fldCharType="end"/>
      </w:r>
    </w:p>
    <w:p w14:paraId="2E23FEF0" w14:textId="51C8FC23" w:rsidR="00F66804" w:rsidRDefault="00F66804" w:rsidP="006A065B">
      <w:pPr>
        <w:pStyle w:val="TOC2"/>
        <w:rPr>
          <w:rFonts w:asciiTheme="minorHAnsi" w:eastAsiaTheme="minorEastAsia" w:hAnsiTheme="minorHAnsi" w:cstheme="minorBidi"/>
          <w:noProof/>
          <w:szCs w:val="22"/>
        </w:rPr>
      </w:pPr>
      <w:r>
        <w:rPr>
          <w:noProof/>
        </w:rPr>
        <w:t>10.3</w:t>
      </w:r>
      <w:r>
        <w:rPr>
          <w:rFonts w:asciiTheme="minorHAnsi" w:eastAsiaTheme="minorEastAsia" w:hAnsiTheme="minorHAnsi" w:cstheme="minorBidi"/>
          <w:noProof/>
          <w:szCs w:val="22"/>
        </w:rPr>
        <w:tab/>
      </w:r>
      <w:r>
        <w:rPr>
          <w:noProof/>
        </w:rPr>
        <w:t>Surface Profile Tolerances</w:t>
      </w:r>
      <w:r>
        <w:rPr>
          <w:noProof/>
        </w:rPr>
        <w:tab/>
      </w:r>
      <w:r>
        <w:rPr>
          <w:noProof/>
        </w:rPr>
        <w:fldChar w:fldCharType="begin"/>
      </w:r>
      <w:r>
        <w:rPr>
          <w:noProof/>
        </w:rPr>
        <w:instrText xml:space="preserve"> PAGEREF _Toc76024377 \h </w:instrText>
      </w:r>
      <w:r>
        <w:rPr>
          <w:noProof/>
        </w:rPr>
      </w:r>
      <w:r>
        <w:rPr>
          <w:noProof/>
        </w:rPr>
        <w:fldChar w:fldCharType="separate"/>
      </w:r>
      <w:r>
        <w:rPr>
          <w:noProof/>
        </w:rPr>
        <w:t>13</w:t>
      </w:r>
      <w:r>
        <w:rPr>
          <w:noProof/>
        </w:rPr>
        <w:fldChar w:fldCharType="end"/>
      </w:r>
    </w:p>
    <w:p w14:paraId="35F801D3" w14:textId="689128F6" w:rsidR="00F66804" w:rsidRDefault="00F66804" w:rsidP="006A065B">
      <w:pPr>
        <w:pStyle w:val="TOC2"/>
        <w:rPr>
          <w:rFonts w:asciiTheme="minorHAnsi" w:eastAsiaTheme="minorEastAsia" w:hAnsiTheme="minorHAnsi" w:cstheme="minorBidi"/>
          <w:noProof/>
          <w:szCs w:val="22"/>
        </w:rPr>
      </w:pPr>
      <w:r>
        <w:rPr>
          <w:noProof/>
        </w:rPr>
        <w:t>10.4</w:t>
      </w:r>
      <w:r>
        <w:rPr>
          <w:rFonts w:asciiTheme="minorHAnsi" w:eastAsiaTheme="minorEastAsia" w:hAnsiTheme="minorHAnsi" w:cstheme="minorBidi"/>
          <w:noProof/>
          <w:szCs w:val="22"/>
        </w:rPr>
        <w:tab/>
      </w:r>
      <w:r>
        <w:rPr>
          <w:noProof/>
        </w:rPr>
        <w:t>Final Surface Reinstatement</w:t>
      </w:r>
      <w:r>
        <w:rPr>
          <w:noProof/>
        </w:rPr>
        <w:tab/>
      </w:r>
      <w:r>
        <w:rPr>
          <w:noProof/>
        </w:rPr>
        <w:fldChar w:fldCharType="begin"/>
      </w:r>
      <w:r>
        <w:rPr>
          <w:noProof/>
        </w:rPr>
        <w:instrText xml:space="preserve"> PAGEREF _Toc76024378 \h </w:instrText>
      </w:r>
      <w:r>
        <w:rPr>
          <w:noProof/>
        </w:rPr>
      </w:r>
      <w:r>
        <w:rPr>
          <w:noProof/>
        </w:rPr>
        <w:fldChar w:fldCharType="separate"/>
      </w:r>
      <w:r>
        <w:rPr>
          <w:noProof/>
        </w:rPr>
        <w:t>14</w:t>
      </w:r>
      <w:r>
        <w:rPr>
          <w:noProof/>
        </w:rPr>
        <w:fldChar w:fldCharType="end"/>
      </w:r>
    </w:p>
    <w:p w14:paraId="066ABDD1" w14:textId="7D640E6B" w:rsidR="00F66804" w:rsidRDefault="00F66804">
      <w:pPr>
        <w:pStyle w:val="TOC1"/>
        <w:rPr>
          <w:rFonts w:asciiTheme="minorHAnsi" w:eastAsiaTheme="minorEastAsia" w:hAnsiTheme="minorHAnsi" w:cstheme="minorBidi"/>
          <w:b w:val="0"/>
          <w:caps w:val="0"/>
          <w:noProof/>
          <w:sz w:val="22"/>
          <w:szCs w:val="22"/>
        </w:rPr>
      </w:pPr>
      <w:r>
        <w:rPr>
          <w:noProof/>
        </w:rPr>
        <w:t>11.0</w:t>
      </w:r>
      <w:r>
        <w:rPr>
          <w:rFonts w:asciiTheme="minorHAnsi" w:eastAsiaTheme="minorEastAsia" w:hAnsiTheme="minorHAnsi" w:cstheme="minorBidi"/>
          <w:b w:val="0"/>
          <w:caps w:val="0"/>
          <w:noProof/>
          <w:sz w:val="22"/>
          <w:szCs w:val="22"/>
        </w:rPr>
        <w:tab/>
      </w:r>
      <w:r>
        <w:rPr>
          <w:noProof/>
        </w:rPr>
        <w:t>RESTORATION OF OTHER ASSETS</w:t>
      </w:r>
      <w:r>
        <w:rPr>
          <w:noProof/>
        </w:rPr>
        <w:tab/>
      </w:r>
      <w:r>
        <w:rPr>
          <w:noProof/>
        </w:rPr>
        <w:fldChar w:fldCharType="begin"/>
      </w:r>
      <w:r>
        <w:rPr>
          <w:noProof/>
        </w:rPr>
        <w:instrText xml:space="preserve"> PAGEREF _Toc76024379 \h </w:instrText>
      </w:r>
      <w:r>
        <w:rPr>
          <w:noProof/>
        </w:rPr>
      </w:r>
      <w:r>
        <w:rPr>
          <w:noProof/>
        </w:rPr>
        <w:fldChar w:fldCharType="separate"/>
      </w:r>
      <w:r>
        <w:rPr>
          <w:noProof/>
        </w:rPr>
        <w:t>15</w:t>
      </w:r>
      <w:r>
        <w:rPr>
          <w:noProof/>
        </w:rPr>
        <w:fldChar w:fldCharType="end"/>
      </w:r>
    </w:p>
    <w:p w14:paraId="4800BD50" w14:textId="3C7D2437" w:rsidR="00F66804" w:rsidRDefault="00F66804" w:rsidP="006A065B">
      <w:pPr>
        <w:pStyle w:val="TOC2"/>
        <w:rPr>
          <w:rFonts w:asciiTheme="minorHAnsi" w:eastAsiaTheme="minorEastAsia" w:hAnsiTheme="minorHAnsi" w:cstheme="minorBidi"/>
          <w:noProof/>
          <w:szCs w:val="22"/>
        </w:rPr>
      </w:pPr>
      <w:r>
        <w:rPr>
          <w:noProof/>
        </w:rPr>
        <w:t>11.1</w:t>
      </w:r>
      <w:r>
        <w:rPr>
          <w:rFonts w:asciiTheme="minorHAnsi" w:eastAsiaTheme="minorEastAsia" w:hAnsiTheme="minorHAnsi" w:cstheme="minorBidi"/>
          <w:noProof/>
          <w:szCs w:val="22"/>
        </w:rPr>
        <w:tab/>
      </w:r>
      <w:r>
        <w:rPr>
          <w:noProof/>
        </w:rPr>
        <w:t>Verge Gardens</w:t>
      </w:r>
      <w:r>
        <w:rPr>
          <w:noProof/>
        </w:rPr>
        <w:tab/>
      </w:r>
      <w:r>
        <w:rPr>
          <w:noProof/>
        </w:rPr>
        <w:fldChar w:fldCharType="begin"/>
      </w:r>
      <w:r>
        <w:rPr>
          <w:noProof/>
        </w:rPr>
        <w:instrText xml:space="preserve"> PAGEREF _Toc76024380 \h </w:instrText>
      </w:r>
      <w:r>
        <w:rPr>
          <w:noProof/>
        </w:rPr>
      </w:r>
      <w:r>
        <w:rPr>
          <w:noProof/>
        </w:rPr>
        <w:fldChar w:fldCharType="separate"/>
      </w:r>
      <w:r>
        <w:rPr>
          <w:noProof/>
        </w:rPr>
        <w:t>15</w:t>
      </w:r>
      <w:r>
        <w:rPr>
          <w:noProof/>
        </w:rPr>
        <w:fldChar w:fldCharType="end"/>
      </w:r>
    </w:p>
    <w:p w14:paraId="5F6B7D5A" w14:textId="710409C5" w:rsidR="00F66804" w:rsidRDefault="00F66804" w:rsidP="006A065B">
      <w:pPr>
        <w:pStyle w:val="TOC2"/>
        <w:rPr>
          <w:rFonts w:asciiTheme="minorHAnsi" w:eastAsiaTheme="minorEastAsia" w:hAnsiTheme="minorHAnsi" w:cstheme="minorBidi"/>
          <w:noProof/>
          <w:szCs w:val="22"/>
        </w:rPr>
      </w:pPr>
      <w:r>
        <w:rPr>
          <w:noProof/>
        </w:rPr>
        <w:t>11.2</w:t>
      </w:r>
      <w:r>
        <w:rPr>
          <w:rFonts w:asciiTheme="minorHAnsi" w:eastAsiaTheme="minorEastAsia" w:hAnsiTheme="minorHAnsi" w:cstheme="minorBidi"/>
          <w:noProof/>
          <w:szCs w:val="22"/>
        </w:rPr>
        <w:tab/>
      </w:r>
      <w:r>
        <w:rPr>
          <w:noProof/>
        </w:rPr>
        <w:t>Traffic Signal Loops and Traffic Management Facilities</w:t>
      </w:r>
      <w:r>
        <w:rPr>
          <w:noProof/>
        </w:rPr>
        <w:tab/>
      </w:r>
      <w:r>
        <w:rPr>
          <w:noProof/>
        </w:rPr>
        <w:fldChar w:fldCharType="begin"/>
      </w:r>
      <w:r>
        <w:rPr>
          <w:noProof/>
        </w:rPr>
        <w:instrText xml:space="preserve"> PAGEREF _Toc76024381 \h </w:instrText>
      </w:r>
      <w:r>
        <w:rPr>
          <w:noProof/>
        </w:rPr>
      </w:r>
      <w:r>
        <w:rPr>
          <w:noProof/>
        </w:rPr>
        <w:fldChar w:fldCharType="separate"/>
      </w:r>
      <w:r>
        <w:rPr>
          <w:noProof/>
        </w:rPr>
        <w:t>15</w:t>
      </w:r>
      <w:r>
        <w:rPr>
          <w:noProof/>
        </w:rPr>
        <w:fldChar w:fldCharType="end"/>
      </w:r>
    </w:p>
    <w:p w14:paraId="24D0F900" w14:textId="39B4D6FD" w:rsidR="00026171" w:rsidRDefault="00F66804" w:rsidP="006A065B">
      <w:pPr>
        <w:pStyle w:val="TOC2"/>
      </w:pPr>
      <w:r>
        <w:fldChar w:fldCharType="end"/>
      </w:r>
    </w:p>
    <w:p w14:paraId="62841F88" w14:textId="77777777" w:rsidR="006E06D3" w:rsidRDefault="006E06D3">
      <w:pPr>
        <w:sectPr w:rsidR="006E06D3" w:rsidSect="00E75FAB">
          <w:footerReference w:type="default" r:id="rId19"/>
          <w:pgSz w:w="11906" w:h="16838" w:code="9"/>
          <w:pgMar w:top="1134" w:right="1418" w:bottom="992" w:left="1134" w:header="1134" w:footer="851" w:gutter="0"/>
          <w:pgNumType w:fmt="lowerRoman" w:start="1"/>
          <w:cols w:space="720"/>
          <w:docGrid w:linePitch="272"/>
        </w:sectPr>
      </w:pPr>
    </w:p>
    <w:p w14:paraId="01BA7E66" w14:textId="2848D95D" w:rsidR="00026171" w:rsidRPr="006E06D3" w:rsidRDefault="00603E9A" w:rsidP="003E7717">
      <w:pPr>
        <w:pStyle w:val="BodyTextIndentBoldItalicCen"/>
      </w:pPr>
      <w:r w:rsidRPr="006E06D3">
        <w:lastRenderedPageBreak/>
        <w:t>(</w:t>
      </w:r>
      <w:r w:rsidR="006E06D3" w:rsidRPr="006E06D3">
        <w:t xml:space="preserve">This </w:t>
      </w:r>
      <w:r w:rsidRPr="006E06D3">
        <w:t>Page Left Intentionally Blank)</w:t>
      </w:r>
    </w:p>
    <w:p w14:paraId="19F8A23E" w14:textId="77777777" w:rsidR="00026171" w:rsidRDefault="00026171">
      <w:pPr>
        <w:pStyle w:val="FootnoteText"/>
        <w:widowControl/>
        <w:rPr>
          <w:rFonts w:ascii="Arial" w:hAnsi="Arial"/>
          <w:snapToGrid/>
          <w:lang w:val="en-AU"/>
        </w:rPr>
        <w:sectPr w:rsidR="00026171" w:rsidSect="00E75FAB">
          <w:footerReference w:type="default" r:id="rId20"/>
          <w:pgSz w:w="11906" w:h="16838" w:code="9"/>
          <w:pgMar w:top="1134" w:right="1418" w:bottom="992" w:left="1134" w:header="1134" w:footer="851" w:gutter="0"/>
          <w:pgNumType w:fmt="lowerRoman" w:start="1"/>
          <w:cols w:space="720"/>
          <w:vAlign w:val="center"/>
        </w:sectPr>
      </w:pPr>
    </w:p>
    <w:p w14:paraId="7274E02A" w14:textId="77777777" w:rsidR="00026171" w:rsidRPr="00FC4C30" w:rsidRDefault="00026171" w:rsidP="00A35425">
      <w:pPr>
        <w:pStyle w:val="Heading2"/>
      </w:pPr>
      <w:bookmarkStart w:id="8" w:name="_Toc493942071"/>
      <w:bookmarkStart w:id="9" w:name="_Toc493986910"/>
      <w:bookmarkStart w:id="10" w:name="_Toc76024339"/>
      <w:bookmarkEnd w:id="6"/>
      <w:bookmarkEnd w:id="7"/>
      <w:r w:rsidRPr="00FC4C30">
        <w:lastRenderedPageBreak/>
        <w:t>GENERAL</w:t>
      </w:r>
      <w:bookmarkEnd w:id="8"/>
      <w:bookmarkEnd w:id="9"/>
      <w:bookmarkEnd w:id="10"/>
    </w:p>
    <w:p w14:paraId="08C89B94" w14:textId="406AB4A1" w:rsidR="00026171" w:rsidRPr="00F13C65" w:rsidRDefault="00F13C65" w:rsidP="00A35425">
      <w:pPr>
        <w:pStyle w:val="Heading3"/>
      </w:pPr>
      <w:bookmarkStart w:id="11" w:name="_Toc76024340"/>
      <w:r w:rsidRPr="00F13C65">
        <w:t>SCOPE</w:t>
      </w:r>
      <w:bookmarkEnd w:id="11"/>
    </w:p>
    <w:p w14:paraId="13053B09" w14:textId="77777777" w:rsidR="00026171" w:rsidRDefault="00B124B7" w:rsidP="00B2105C">
      <w:pPr>
        <w:pStyle w:val="BodyTextIndent"/>
      </w:pPr>
      <w:r>
        <w:t>This specification applies to the installation and maintenance of utility services</w:t>
      </w:r>
      <w:r w:rsidR="00026171">
        <w:t>.</w:t>
      </w:r>
      <w:r>
        <w:t xml:space="preserve">  These services may be installed </w:t>
      </w:r>
      <w:r w:rsidR="0042667B">
        <w:t>as part</w:t>
      </w:r>
      <w:r>
        <w:t xml:space="preserve"> of new construction projects </w:t>
      </w:r>
      <w:r w:rsidR="0042667B">
        <w:t>or across or along existing assets owned by Brisbane City Council.  These assets may include road carriageways, footpaths, and bikepaths within the road reserves or within other Council controlled land such as parks.</w:t>
      </w:r>
    </w:p>
    <w:p w14:paraId="4AB67992" w14:textId="25A2DE5A" w:rsidR="00CF3223" w:rsidRPr="00B028F0" w:rsidRDefault="00F13C65" w:rsidP="00A35425">
      <w:pPr>
        <w:pStyle w:val="Heading3"/>
      </w:pPr>
      <w:bookmarkStart w:id="12" w:name="_Toc76024341"/>
      <w:r w:rsidRPr="00B028F0">
        <w:t xml:space="preserve">INSTALLATION TECHNIQUES </w:t>
      </w:r>
      <w:r w:rsidRPr="00B028F0">
        <w:rPr>
          <w:rFonts w:hint="eastAsia"/>
        </w:rPr>
        <w:t>–</w:t>
      </w:r>
      <w:r w:rsidRPr="00B028F0">
        <w:t xml:space="preserve"> NEW CONSTRUCTION PROJECTS</w:t>
      </w:r>
      <w:bookmarkEnd w:id="12"/>
    </w:p>
    <w:p w14:paraId="5562C3CF" w14:textId="77777777" w:rsidR="00861D4C" w:rsidRDefault="00964C22" w:rsidP="00B2105C">
      <w:pPr>
        <w:pStyle w:val="BodyTextIndent"/>
      </w:pPr>
      <w:r>
        <w:t>Installation of services as part of new construction projects are to be undertaken prior to constructing pavements, footpaths, bikepaths and the like.</w:t>
      </w:r>
      <w:r w:rsidR="003B2052">
        <w:t xml:space="preserve">  Should this not occur, the service shall be installed using trenchless technology methods for all categories of roads.</w:t>
      </w:r>
    </w:p>
    <w:p w14:paraId="48FEBA02" w14:textId="1961F784" w:rsidR="0000397E" w:rsidRPr="00B028F0" w:rsidRDefault="00F13C65" w:rsidP="00A35425">
      <w:pPr>
        <w:pStyle w:val="Heading3"/>
      </w:pPr>
      <w:bookmarkStart w:id="13" w:name="_Toc76024342"/>
      <w:r w:rsidRPr="00B028F0">
        <w:t xml:space="preserve">INSTALLATION TECHNIQUES </w:t>
      </w:r>
      <w:r w:rsidRPr="00B028F0">
        <w:rPr>
          <w:rFonts w:hint="eastAsia"/>
        </w:rPr>
        <w:t>–</w:t>
      </w:r>
      <w:r w:rsidRPr="00B028F0">
        <w:t xml:space="preserve"> EXISTING COUNCIL ASSETS</w:t>
      </w:r>
      <w:bookmarkEnd w:id="13"/>
    </w:p>
    <w:p w14:paraId="6F32C873" w14:textId="77777777" w:rsidR="008428AA" w:rsidRDefault="008428AA" w:rsidP="008428AA">
      <w:pPr>
        <w:pStyle w:val="BodyTextIndent"/>
      </w:pPr>
      <w:r>
        <w:t>The following options</w:t>
      </w:r>
      <w:r w:rsidR="00610934">
        <w:t>, listed in preference order,</w:t>
      </w:r>
      <w:r>
        <w:t xml:space="preserve"> are available where it is necessary to place underground services</w:t>
      </w:r>
      <w:r w:rsidR="006E12E3">
        <w:t xml:space="preserve"> </w:t>
      </w:r>
      <w:r>
        <w:t>beneath</w:t>
      </w:r>
      <w:r w:rsidR="006E12E3">
        <w:t xml:space="preserve"> existing assets such as</w:t>
      </w:r>
      <w:r>
        <w:t xml:space="preserve"> the road pavement:</w:t>
      </w:r>
    </w:p>
    <w:p w14:paraId="0A40C8EF" w14:textId="77777777" w:rsidR="006E12E3" w:rsidRDefault="006E12E3" w:rsidP="006E12E3">
      <w:pPr>
        <w:pStyle w:val="BodyTextIndentDot"/>
      </w:pPr>
      <w:r>
        <w:t>Trenchless technology methods;</w:t>
      </w:r>
    </w:p>
    <w:p w14:paraId="726934B0" w14:textId="77777777" w:rsidR="006E12E3" w:rsidRDefault="006E12E3" w:rsidP="006E12E3">
      <w:pPr>
        <w:pStyle w:val="BodyTextIndentDot"/>
      </w:pPr>
      <w:r>
        <w:t>Utilise existing conduits/culverts; or</w:t>
      </w:r>
    </w:p>
    <w:p w14:paraId="49174929" w14:textId="77777777" w:rsidR="006E12E3" w:rsidRDefault="006E12E3" w:rsidP="006E12E3">
      <w:pPr>
        <w:pStyle w:val="BodyTextIndentDot"/>
      </w:pPr>
      <w:r>
        <w:t>Trench excavation and reinstatement.</w:t>
      </w:r>
    </w:p>
    <w:p w14:paraId="1D5E823D" w14:textId="77777777" w:rsidR="004A18B5" w:rsidRPr="004A18B5" w:rsidRDefault="004A18B5" w:rsidP="004A18B5">
      <w:pPr>
        <w:pStyle w:val="BodyTextIndent"/>
        <w:rPr>
          <w:b/>
          <w:u w:val="single"/>
        </w:rPr>
      </w:pPr>
      <w:r w:rsidRPr="004A18B5">
        <w:rPr>
          <w:b/>
          <w:u w:val="single"/>
        </w:rPr>
        <w:t xml:space="preserve">Trenchless </w:t>
      </w:r>
      <w:r w:rsidR="001904DD">
        <w:rPr>
          <w:b/>
          <w:u w:val="single"/>
        </w:rPr>
        <w:t>t</w:t>
      </w:r>
      <w:r w:rsidRPr="004A18B5">
        <w:rPr>
          <w:b/>
          <w:u w:val="single"/>
        </w:rPr>
        <w:t xml:space="preserve">echnology </w:t>
      </w:r>
      <w:r w:rsidR="001904DD">
        <w:rPr>
          <w:b/>
          <w:u w:val="single"/>
        </w:rPr>
        <w:t>m</w:t>
      </w:r>
      <w:r w:rsidRPr="004A18B5">
        <w:rPr>
          <w:b/>
          <w:u w:val="single"/>
        </w:rPr>
        <w:t>ethods</w:t>
      </w:r>
    </w:p>
    <w:p w14:paraId="4DB7178E" w14:textId="77777777" w:rsidR="00AF6B36" w:rsidRDefault="00AF6B36" w:rsidP="00AF6B36">
      <w:pPr>
        <w:pStyle w:val="BodyTextIndent"/>
      </w:pPr>
      <w:r>
        <w:t>Where underground services are to be placed beneath all existing District, Suburban, Industrial Access and Arterial Roads and any existing conduits or culverts cannot be used, trenchless technology methods shall be used unless otherwise approved in writing by Council.  Trenchless technology methods may also be used to cross all other c</w:t>
      </w:r>
      <w:r w:rsidR="00610934">
        <w:t>ategories</w:t>
      </w:r>
      <w:r>
        <w:t xml:space="preserve"> of existing Council roads.</w:t>
      </w:r>
    </w:p>
    <w:p w14:paraId="040F81AD" w14:textId="77777777" w:rsidR="00FF10E2" w:rsidRDefault="00FF10E2" w:rsidP="00FF10E2">
      <w:pPr>
        <w:pStyle w:val="BodyTextIndentDot"/>
        <w:numPr>
          <w:ilvl w:val="0"/>
          <w:numId w:val="0"/>
        </w:numPr>
        <w:ind w:left="709"/>
      </w:pPr>
      <w:r>
        <w:t>Based on a total life cycle, the cost of trenchless technology methods can often be less than that for trench excavation and reinstatement.</w:t>
      </w:r>
    </w:p>
    <w:p w14:paraId="61EE6A37" w14:textId="77777777" w:rsidR="00D2017D" w:rsidRPr="00D2017D" w:rsidRDefault="00D2017D" w:rsidP="00D2017D">
      <w:pPr>
        <w:pStyle w:val="BodyTextIndentDot"/>
        <w:numPr>
          <w:ilvl w:val="0"/>
          <w:numId w:val="0"/>
        </w:numPr>
        <w:ind w:left="709"/>
        <w:rPr>
          <w:b/>
          <w:u w:val="single"/>
        </w:rPr>
      </w:pPr>
      <w:r w:rsidRPr="00D2017D">
        <w:rPr>
          <w:b/>
          <w:u w:val="single"/>
        </w:rPr>
        <w:t xml:space="preserve">Using </w:t>
      </w:r>
      <w:r w:rsidR="001904DD">
        <w:rPr>
          <w:b/>
          <w:u w:val="single"/>
        </w:rPr>
        <w:t>e</w:t>
      </w:r>
      <w:r w:rsidRPr="00D2017D">
        <w:rPr>
          <w:b/>
          <w:u w:val="single"/>
        </w:rPr>
        <w:t xml:space="preserve">xisting </w:t>
      </w:r>
      <w:r w:rsidR="001904DD">
        <w:rPr>
          <w:b/>
          <w:u w:val="single"/>
        </w:rPr>
        <w:t>c</w:t>
      </w:r>
      <w:r w:rsidRPr="00D2017D">
        <w:rPr>
          <w:b/>
          <w:u w:val="single"/>
        </w:rPr>
        <w:t xml:space="preserve">onduits or </w:t>
      </w:r>
      <w:r w:rsidR="001904DD">
        <w:rPr>
          <w:b/>
          <w:u w:val="single"/>
        </w:rPr>
        <w:t>c</w:t>
      </w:r>
      <w:r w:rsidRPr="00D2017D">
        <w:rPr>
          <w:b/>
          <w:u w:val="single"/>
        </w:rPr>
        <w:t>ulverts</w:t>
      </w:r>
    </w:p>
    <w:p w14:paraId="126DABCE" w14:textId="77777777" w:rsidR="00D2017D" w:rsidRDefault="00D2017D" w:rsidP="00D2017D">
      <w:pPr>
        <w:pStyle w:val="BodyTextIndentDot"/>
        <w:numPr>
          <w:ilvl w:val="0"/>
          <w:numId w:val="0"/>
        </w:numPr>
        <w:ind w:left="709"/>
      </w:pPr>
      <w:r>
        <w:t xml:space="preserve">Where services can be installed in existing </w:t>
      </w:r>
      <w:r w:rsidR="00610934">
        <w:t xml:space="preserve">Council owned </w:t>
      </w:r>
      <w:r>
        <w:t>conduits or culverts, Council approval must be obtained prior to any installation being undertaken.  Generally culverts should not be used for permanent installations as these interfere with water flow.</w:t>
      </w:r>
    </w:p>
    <w:p w14:paraId="1464BFED" w14:textId="77777777" w:rsidR="00D2017D" w:rsidRDefault="00D2017D" w:rsidP="00D2017D">
      <w:pPr>
        <w:pStyle w:val="BodyTextIndentDot"/>
        <w:numPr>
          <w:ilvl w:val="0"/>
          <w:numId w:val="0"/>
        </w:numPr>
        <w:ind w:left="709"/>
      </w:pPr>
      <w:r>
        <w:t>Culverts should only be used for temporary situations where there is little risk to the road integrity.</w:t>
      </w:r>
    </w:p>
    <w:p w14:paraId="7823A283" w14:textId="77777777" w:rsidR="00D2017D" w:rsidRPr="00FF10E2" w:rsidRDefault="00D2017D" w:rsidP="00D2017D">
      <w:pPr>
        <w:pStyle w:val="BodyTextIndentDot"/>
        <w:numPr>
          <w:ilvl w:val="0"/>
          <w:numId w:val="0"/>
        </w:numPr>
        <w:ind w:left="709"/>
        <w:rPr>
          <w:b/>
          <w:u w:val="single"/>
        </w:rPr>
      </w:pPr>
      <w:r w:rsidRPr="00FF10E2">
        <w:rPr>
          <w:b/>
          <w:u w:val="single"/>
        </w:rPr>
        <w:t xml:space="preserve">Trench </w:t>
      </w:r>
      <w:r w:rsidR="001904DD">
        <w:rPr>
          <w:b/>
          <w:u w:val="single"/>
        </w:rPr>
        <w:t>e</w:t>
      </w:r>
      <w:r w:rsidRPr="00FF10E2">
        <w:rPr>
          <w:b/>
          <w:u w:val="single"/>
        </w:rPr>
        <w:t xml:space="preserve">xcavation and </w:t>
      </w:r>
      <w:r w:rsidR="001904DD">
        <w:rPr>
          <w:b/>
          <w:u w:val="single"/>
        </w:rPr>
        <w:t>r</w:t>
      </w:r>
      <w:r w:rsidRPr="00FF10E2">
        <w:rPr>
          <w:b/>
          <w:u w:val="single"/>
        </w:rPr>
        <w:t>einstatement</w:t>
      </w:r>
    </w:p>
    <w:p w14:paraId="0A1E7D5F" w14:textId="77777777" w:rsidR="001904DD" w:rsidRDefault="00B637EF" w:rsidP="00944E8A">
      <w:pPr>
        <w:pStyle w:val="BodyTextIndent"/>
      </w:pPr>
      <w:r>
        <w:t>Where services are installed across or along existing assets owned by Brisbane City Council, reinstatement of the trench backfill</w:t>
      </w:r>
      <w:r w:rsidR="0047517D">
        <w:t>, pavement</w:t>
      </w:r>
      <w:r>
        <w:t xml:space="preserve"> and surfacing layers shall be undertaken in accordance with this specification.</w:t>
      </w:r>
    </w:p>
    <w:p w14:paraId="4EBC49B4" w14:textId="77777777" w:rsidR="00AB3623" w:rsidRDefault="00AB3623" w:rsidP="00A35425">
      <w:pPr>
        <w:pStyle w:val="Heading3"/>
      </w:pPr>
      <w:bookmarkStart w:id="14" w:name="_Toc76024343"/>
      <w:r>
        <w:t>Standards</w:t>
      </w:r>
      <w:bookmarkEnd w:id="14"/>
    </w:p>
    <w:tbl>
      <w:tblPr>
        <w:tblW w:w="0" w:type="auto"/>
        <w:tblInd w:w="709" w:type="dxa"/>
        <w:tblLook w:val="0400" w:firstRow="0" w:lastRow="0" w:firstColumn="0" w:lastColumn="0" w:noHBand="0" w:noVBand="1"/>
      </w:tblPr>
      <w:tblGrid>
        <w:gridCol w:w="2234"/>
        <w:gridCol w:w="1701"/>
        <w:gridCol w:w="4642"/>
      </w:tblGrid>
      <w:tr w:rsidR="008217C1" w:rsidRPr="008217C1" w14:paraId="3DDB20F9" w14:textId="77777777" w:rsidTr="00F13C65">
        <w:trPr>
          <w:trHeight w:val="340"/>
        </w:trPr>
        <w:tc>
          <w:tcPr>
            <w:tcW w:w="2234" w:type="dxa"/>
            <w:vAlign w:val="center"/>
          </w:tcPr>
          <w:p w14:paraId="28644DF7" w14:textId="77777777" w:rsidR="008217C1" w:rsidRPr="008217C1" w:rsidRDefault="008217C1" w:rsidP="008217C1">
            <w:pPr>
              <w:spacing w:before="20" w:after="20"/>
              <w:rPr>
                <w:snapToGrid w:val="0"/>
                <w:sz w:val="18"/>
                <w:lang w:eastAsia="en-US"/>
              </w:rPr>
            </w:pPr>
            <w:r w:rsidRPr="008217C1">
              <w:rPr>
                <w:snapToGrid w:val="0"/>
                <w:sz w:val="18"/>
                <w:lang w:eastAsia="en-US"/>
              </w:rPr>
              <w:t>Australian Standard</w:t>
            </w:r>
          </w:p>
        </w:tc>
        <w:tc>
          <w:tcPr>
            <w:tcW w:w="1701" w:type="dxa"/>
            <w:vAlign w:val="center"/>
          </w:tcPr>
          <w:p w14:paraId="2B0FD2D3" w14:textId="77777777" w:rsidR="008217C1" w:rsidRPr="008217C1" w:rsidRDefault="008217C1" w:rsidP="008217C1">
            <w:pPr>
              <w:pStyle w:val="TableCen"/>
            </w:pPr>
            <w:r>
              <w:t>AS 289.5.1.1</w:t>
            </w:r>
          </w:p>
        </w:tc>
        <w:tc>
          <w:tcPr>
            <w:tcW w:w="4642" w:type="dxa"/>
            <w:vAlign w:val="center"/>
          </w:tcPr>
          <w:p w14:paraId="1917B72E" w14:textId="77777777" w:rsidR="008217C1" w:rsidRPr="008217C1" w:rsidRDefault="008217C1" w:rsidP="008217C1">
            <w:pPr>
              <w:pStyle w:val="Table"/>
            </w:pPr>
            <w:r>
              <w:t>Methods of testing soils for engineering purposes – Soil compaction and density tests – Determination of the dry density/moisture content relation of a soil using standard compactive effort</w:t>
            </w:r>
          </w:p>
        </w:tc>
      </w:tr>
      <w:tr w:rsidR="008217C1" w:rsidRPr="008217C1" w14:paraId="068214C9" w14:textId="77777777" w:rsidTr="00F13C65">
        <w:trPr>
          <w:trHeight w:val="340"/>
        </w:trPr>
        <w:tc>
          <w:tcPr>
            <w:tcW w:w="2234" w:type="dxa"/>
            <w:vAlign w:val="center"/>
          </w:tcPr>
          <w:p w14:paraId="1A8CD251" w14:textId="77777777" w:rsidR="008217C1" w:rsidRPr="008217C1" w:rsidRDefault="008217C1" w:rsidP="008217C1">
            <w:pPr>
              <w:spacing w:before="20" w:after="20"/>
              <w:rPr>
                <w:snapToGrid w:val="0"/>
                <w:sz w:val="18"/>
                <w:lang w:eastAsia="en-US"/>
              </w:rPr>
            </w:pPr>
            <w:r w:rsidRPr="008217C1">
              <w:rPr>
                <w:snapToGrid w:val="0"/>
                <w:sz w:val="18"/>
                <w:lang w:eastAsia="en-US"/>
              </w:rPr>
              <w:t>Australian Standard</w:t>
            </w:r>
          </w:p>
        </w:tc>
        <w:tc>
          <w:tcPr>
            <w:tcW w:w="1701" w:type="dxa"/>
            <w:vAlign w:val="center"/>
          </w:tcPr>
          <w:p w14:paraId="276D2972" w14:textId="77777777" w:rsidR="008217C1" w:rsidRPr="008217C1" w:rsidRDefault="008217C1" w:rsidP="008217C1">
            <w:pPr>
              <w:pStyle w:val="TableCen"/>
            </w:pPr>
            <w:r>
              <w:t>AS 1289.5.2.1</w:t>
            </w:r>
          </w:p>
        </w:tc>
        <w:tc>
          <w:tcPr>
            <w:tcW w:w="4642" w:type="dxa"/>
            <w:vAlign w:val="center"/>
          </w:tcPr>
          <w:p w14:paraId="21DBC0D9" w14:textId="62A811F2" w:rsidR="00B05F22" w:rsidRPr="008217C1" w:rsidRDefault="008217C1" w:rsidP="001E6704">
            <w:pPr>
              <w:pStyle w:val="Table"/>
            </w:pPr>
            <w:r>
              <w:t>Methods of testing soils for engineering purposes –</w:t>
            </w:r>
            <w:r w:rsidR="00B05F22" w:rsidRPr="00B05F22">
              <w:t xml:space="preserve">Soil </w:t>
            </w:r>
            <w:r w:rsidR="001E6704" w:rsidRPr="00B05F22">
              <w:t xml:space="preserve">compaction and density tests </w:t>
            </w:r>
            <w:r w:rsidR="00B05F22" w:rsidRPr="00B05F22">
              <w:t xml:space="preserve">- Determination </w:t>
            </w:r>
            <w:r w:rsidR="00306BBF" w:rsidRPr="00B05F22">
              <w:t>of the dry density/moisture content relation of a soil using modified compactive effort</w:t>
            </w:r>
          </w:p>
        </w:tc>
      </w:tr>
      <w:tr w:rsidR="008217C1" w:rsidRPr="008217C1" w14:paraId="2B77806A" w14:textId="77777777" w:rsidTr="00F13C65">
        <w:trPr>
          <w:trHeight w:val="340"/>
        </w:trPr>
        <w:tc>
          <w:tcPr>
            <w:tcW w:w="2234" w:type="dxa"/>
            <w:vAlign w:val="center"/>
          </w:tcPr>
          <w:p w14:paraId="47640F3A" w14:textId="77777777" w:rsidR="008217C1" w:rsidRPr="008217C1" w:rsidRDefault="008217C1" w:rsidP="008217C1">
            <w:pPr>
              <w:spacing w:before="20" w:after="20"/>
              <w:rPr>
                <w:snapToGrid w:val="0"/>
                <w:sz w:val="18"/>
                <w:lang w:eastAsia="en-US"/>
              </w:rPr>
            </w:pPr>
            <w:r w:rsidRPr="008217C1">
              <w:rPr>
                <w:snapToGrid w:val="0"/>
                <w:sz w:val="18"/>
                <w:lang w:eastAsia="en-US"/>
              </w:rPr>
              <w:t>Australian Standard</w:t>
            </w:r>
          </w:p>
        </w:tc>
        <w:tc>
          <w:tcPr>
            <w:tcW w:w="1701" w:type="dxa"/>
            <w:vAlign w:val="center"/>
          </w:tcPr>
          <w:p w14:paraId="64A9045A" w14:textId="77777777" w:rsidR="008217C1" w:rsidRPr="008217C1" w:rsidRDefault="008217C1" w:rsidP="008217C1">
            <w:pPr>
              <w:pStyle w:val="TableCen"/>
            </w:pPr>
            <w:r>
              <w:t>AS 1289.5.3.1</w:t>
            </w:r>
          </w:p>
        </w:tc>
        <w:tc>
          <w:tcPr>
            <w:tcW w:w="4642" w:type="dxa"/>
            <w:vAlign w:val="center"/>
          </w:tcPr>
          <w:p w14:paraId="4318DA32" w14:textId="77777777" w:rsidR="008217C1" w:rsidRPr="008217C1" w:rsidRDefault="008217C1" w:rsidP="008217C1">
            <w:pPr>
              <w:pStyle w:val="Table"/>
            </w:pPr>
            <w:r>
              <w:t>Methods of testing soils for engineering purposes – Soil compaction and density tests – Determination of the field density of a soil – Sand replacement method using a sand-cone pouring apparatus</w:t>
            </w:r>
          </w:p>
        </w:tc>
      </w:tr>
      <w:tr w:rsidR="008217C1" w:rsidRPr="008217C1" w14:paraId="3EEBFFE8" w14:textId="77777777" w:rsidTr="00F13C65">
        <w:trPr>
          <w:trHeight w:val="340"/>
        </w:trPr>
        <w:tc>
          <w:tcPr>
            <w:tcW w:w="2234" w:type="dxa"/>
            <w:vAlign w:val="center"/>
          </w:tcPr>
          <w:p w14:paraId="101CB2A8" w14:textId="77777777" w:rsidR="008217C1" w:rsidRPr="008217C1" w:rsidRDefault="008217C1" w:rsidP="008217C1">
            <w:pPr>
              <w:spacing w:before="20" w:after="20"/>
              <w:rPr>
                <w:snapToGrid w:val="0"/>
                <w:sz w:val="18"/>
                <w:lang w:eastAsia="en-US"/>
              </w:rPr>
            </w:pPr>
            <w:r w:rsidRPr="008217C1">
              <w:rPr>
                <w:snapToGrid w:val="0"/>
                <w:sz w:val="18"/>
                <w:lang w:eastAsia="en-US"/>
              </w:rPr>
              <w:t>Australian Standard</w:t>
            </w:r>
          </w:p>
        </w:tc>
        <w:tc>
          <w:tcPr>
            <w:tcW w:w="1701" w:type="dxa"/>
            <w:vAlign w:val="center"/>
          </w:tcPr>
          <w:p w14:paraId="37FE9BAB" w14:textId="77777777" w:rsidR="008217C1" w:rsidRPr="008217C1" w:rsidRDefault="008217C1" w:rsidP="008217C1">
            <w:pPr>
              <w:pStyle w:val="TableCen"/>
            </w:pPr>
            <w:r>
              <w:t>AS 1289.5.3.5</w:t>
            </w:r>
          </w:p>
        </w:tc>
        <w:tc>
          <w:tcPr>
            <w:tcW w:w="4642" w:type="dxa"/>
            <w:vAlign w:val="center"/>
          </w:tcPr>
          <w:p w14:paraId="3DA6B149" w14:textId="77777777" w:rsidR="008217C1" w:rsidRPr="008217C1" w:rsidRDefault="008217C1" w:rsidP="008217C1">
            <w:pPr>
              <w:pStyle w:val="Table"/>
            </w:pPr>
            <w:r>
              <w:t>Methods of testing soils for engineering purposes – Soil compaction and density tests – Determination of the field dry density of a soil – Water replacement method</w:t>
            </w:r>
          </w:p>
        </w:tc>
      </w:tr>
      <w:tr w:rsidR="008217C1" w:rsidRPr="008217C1" w14:paraId="1B521264" w14:textId="77777777" w:rsidTr="00F13C65">
        <w:trPr>
          <w:trHeight w:val="340"/>
        </w:trPr>
        <w:tc>
          <w:tcPr>
            <w:tcW w:w="2234" w:type="dxa"/>
            <w:vAlign w:val="center"/>
          </w:tcPr>
          <w:p w14:paraId="7EC53E92" w14:textId="77777777" w:rsidR="008217C1" w:rsidRPr="008217C1" w:rsidRDefault="008217C1" w:rsidP="008217C1">
            <w:pPr>
              <w:spacing w:before="20" w:after="20"/>
              <w:rPr>
                <w:snapToGrid w:val="0"/>
                <w:sz w:val="18"/>
                <w:lang w:eastAsia="en-US"/>
              </w:rPr>
            </w:pPr>
            <w:r w:rsidRPr="008217C1">
              <w:rPr>
                <w:snapToGrid w:val="0"/>
                <w:sz w:val="18"/>
                <w:lang w:eastAsia="en-US"/>
              </w:rPr>
              <w:t>Australian Standard</w:t>
            </w:r>
          </w:p>
        </w:tc>
        <w:tc>
          <w:tcPr>
            <w:tcW w:w="1701" w:type="dxa"/>
            <w:vAlign w:val="center"/>
          </w:tcPr>
          <w:p w14:paraId="6FFE5854" w14:textId="77777777" w:rsidR="008217C1" w:rsidRPr="008217C1" w:rsidRDefault="008217C1" w:rsidP="008217C1">
            <w:pPr>
              <w:pStyle w:val="TableCen"/>
            </w:pPr>
            <w:r>
              <w:t>AS 1289.5.4.1</w:t>
            </w:r>
          </w:p>
        </w:tc>
        <w:tc>
          <w:tcPr>
            <w:tcW w:w="4642" w:type="dxa"/>
            <w:vAlign w:val="center"/>
          </w:tcPr>
          <w:p w14:paraId="0B8F80EF" w14:textId="77777777" w:rsidR="008217C1" w:rsidRPr="008217C1" w:rsidRDefault="008217C1" w:rsidP="008217C1">
            <w:pPr>
              <w:pStyle w:val="Table"/>
            </w:pPr>
            <w:r>
              <w:t>Methods of testing soils for engineering purposes – Soil compaction and density tests – Compaction control test – Dry density ratio, moisture variation and moisture ratio</w:t>
            </w:r>
          </w:p>
        </w:tc>
      </w:tr>
      <w:tr w:rsidR="008217C1" w:rsidRPr="008217C1" w14:paraId="3442F5EF" w14:textId="77777777" w:rsidTr="00F13C65">
        <w:trPr>
          <w:trHeight w:val="340"/>
        </w:trPr>
        <w:tc>
          <w:tcPr>
            <w:tcW w:w="2234" w:type="dxa"/>
            <w:vAlign w:val="center"/>
          </w:tcPr>
          <w:p w14:paraId="36983755" w14:textId="77777777" w:rsidR="008217C1" w:rsidRPr="008217C1" w:rsidRDefault="008217C1" w:rsidP="008217C1">
            <w:pPr>
              <w:spacing w:before="20" w:after="20"/>
              <w:rPr>
                <w:snapToGrid w:val="0"/>
                <w:sz w:val="18"/>
                <w:lang w:eastAsia="en-US"/>
              </w:rPr>
            </w:pPr>
            <w:r w:rsidRPr="008217C1">
              <w:rPr>
                <w:snapToGrid w:val="0"/>
                <w:sz w:val="18"/>
                <w:lang w:eastAsia="en-US"/>
              </w:rPr>
              <w:lastRenderedPageBreak/>
              <w:t>Australian Standard</w:t>
            </w:r>
          </w:p>
        </w:tc>
        <w:tc>
          <w:tcPr>
            <w:tcW w:w="1701" w:type="dxa"/>
            <w:vAlign w:val="center"/>
          </w:tcPr>
          <w:p w14:paraId="088F89C7" w14:textId="77777777" w:rsidR="008217C1" w:rsidRPr="008217C1" w:rsidRDefault="008217C1" w:rsidP="008217C1">
            <w:pPr>
              <w:pStyle w:val="TableCen"/>
            </w:pPr>
            <w:r>
              <w:t>AS 289.5.6.1</w:t>
            </w:r>
          </w:p>
        </w:tc>
        <w:tc>
          <w:tcPr>
            <w:tcW w:w="4642" w:type="dxa"/>
            <w:vAlign w:val="center"/>
          </w:tcPr>
          <w:p w14:paraId="05A55F3A" w14:textId="77777777" w:rsidR="008217C1" w:rsidRPr="008217C1" w:rsidRDefault="008217C1" w:rsidP="008217C1">
            <w:pPr>
              <w:pStyle w:val="Table"/>
            </w:pPr>
            <w:r>
              <w:t>Methods of testing soils for engineering purposes – Soil compaction and density tests – Compaction control test – Density index method for a cohesionless material</w:t>
            </w:r>
          </w:p>
        </w:tc>
      </w:tr>
      <w:tr w:rsidR="008217C1" w:rsidRPr="008217C1" w14:paraId="063E32D9" w14:textId="77777777" w:rsidTr="00F13C65">
        <w:trPr>
          <w:trHeight w:val="340"/>
        </w:trPr>
        <w:tc>
          <w:tcPr>
            <w:tcW w:w="2234" w:type="dxa"/>
            <w:vAlign w:val="center"/>
          </w:tcPr>
          <w:p w14:paraId="07E19EB4" w14:textId="77777777" w:rsidR="008217C1" w:rsidRPr="008217C1" w:rsidRDefault="008217C1" w:rsidP="00444334">
            <w:pPr>
              <w:pStyle w:val="Table"/>
            </w:pPr>
            <w:r w:rsidRPr="008217C1">
              <w:t>Australian Standard</w:t>
            </w:r>
          </w:p>
        </w:tc>
        <w:tc>
          <w:tcPr>
            <w:tcW w:w="1701" w:type="dxa"/>
            <w:vAlign w:val="center"/>
          </w:tcPr>
          <w:p w14:paraId="759220CD" w14:textId="77777777" w:rsidR="008217C1" w:rsidRPr="008217C1" w:rsidRDefault="008217C1" w:rsidP="00444334">
            <w:pPr>
              <w:pStyle w:val="TableCen"/>
            </w:pPr>
            <w:r>
              <w:t>AS 1289.5.8.1</w:t>
            </w:r>
          </w:p>
        </w:tc>
        <w:tc>
          <w:tcPr>
            <w:tcW w:w="4642" w:type="dxa"/>
            <w:vAlign w:val="center"/>
          </w:tcPr>
          <w:p w14:paraId="02014845" w14:textId="77777777" w:rsidR="008217C1" w:rsidRPr="008217C1" w:rsidRDefault="008217C1" w:rsidP="00444334">
            <w:pPr>
              <w:pStyle w:val="Table"/>
            </w:pPr>
            <w:r>
              <w:t>Methods of testing soils for engineering purposes – Soil compaction and density tests – Determination of field density and field moisture content of a soil using a nuclear surface moisture–Density gauge – Direct transmission mode</w:t>
            </w:r>
          </w:p>
        </w:tc>
      </w:tr>
      <w:tr w:rsidR="008217C1" w:rsidRPr="008217C1" w14:paraId="297D67CD" w14:textId="77777777" w:rsidTr="00F13C65">
        <w:trPr>
          <w:trHeight w:val="340"/>
        </w:trPr>
        <w:tc>
          <w:tcPr>
            <w:tcW w:w="2234" w:type="dxa"/>
            <w:vAlign w:val="center"/>
          </w:tcPr>
          <w:p w14:paraId="1B314FA8" w14:textId="77777777" w:rsidR="008217C1" w:rsidRPr="008217C1" w:rsidRDefault="008217C1" w:rsidP="00444334">
            <w:pPr>
              <w:pStyle w:val="Table"/>
            </w:pPr>
            <w:r w:rsidRPr="008217C1">
              <w:t>Australian Standard</w:t>
            </w:r>
          </w:p>
        </w:tc>
        <w:tc>
          <w:tcPr>
            <w:tcW w:w="1701" w:type="dxa"/>
            <w:vAlign w:val="center"/>
          </w:tcPr>
          <w:p w14:paraId="4DC99991" w14:textId="77777777" w:rsidR="008217C1" w:rsidRPr="008217C1" w:rsidRDefault="008217C1" w:rsidP="00444334">
            <w:pPr>
              <w:pStyle w:val="TableCen"/>
            </w:pPr>
            <w:r>
              <w:t>AS 1289.5.8.4</w:t>
            </w:r>
          </w:p>
        </w:tc>
        <w:tc>
          <w:tcPr>
            <w:tcW w:w="4642" w:type="dxa"/>
            <w:vAlign w:val="center"/>
          </w:tcPr>
          <w:p w14:paraId="4A152D73" w14:textId="77777777" w:rsidR="008217C1" w:rsidRPr="008217C1" w:rsidRDefault="008217C1" w:rsidP="00444334">
            <w:pPr>
              <w:pStyle w:val="Table"/>
            </w:pPr>
            <w:r>
              <w:t>Methods of testing soils for engineering purposes – Soil compaction and density tests – Nuclear surface moisture-density gauges – Calibration using standard blocks</w:t>
            </w:r>
          </w:p>
        </w:tc>
      </w:tr>
      <w:tr w:rsidR="008217C1" w:rsidRPr="008217C1" w14:paraId="0ED0A131" w14:textId="77777777" w:rsidTr="00F13C65">
        <w:trPr>
          <w:trHeight w:val="340"/>
        </w:trPr>
        <w:tc>
          <w:tcPr>
            <w:tcW w:w="2234" w:type="dxa"/>
            <w:vAlign w:val="center"/>
          </w:tcPr>
          <w:p w14:paraId="4B03E0D7" w14:textId="77777777" w:rsidR="008217C1" w:rsidRPr="008217C1" w:rsidRDefault="008217C1" w:rsidP="00444334">
            <w:pPr>
              <w:pStyle w:val="Table"/>
            </w:pPr>
            <w:r w:rsidRPr="008217C1">
              <w:t>Australian Standard</w:t>
            </w:r>
          </w:p>
        </w:tc>
        <w:tc>
          <w:tcPr>
            <w:tcW w:w="1701" w:type="dxa"/>
            <w:vAlign w:val="center"/>
          </w:tcPr>
          <w:p w14:paraId="6ED568E0" w14:textId="77777777" w:rsidR="008217C1" w:rsidRPr="008217C1" w:rsidRDefault="008217C1" w:rsidP="00444334">
            <w:pPr>
              <w:pStyle w:val="TableCen"/>
            </w:pPr>
            <w:r>
              <w:t>AS 1379</w:t>
            </w:r>
          </w:p>
        </w:tc>
        <w:tc>
          <w:tcPr>
            <w:tcW w:w="4642" w:type="dxa"/>
            <w:vAlign w:val="center"/>
          </w:tcPr>
          <w:p w14:paraId="0C25523D" w14:textId="77777777" w:rsidR="008217C1" w:rsidRPr="008217C1" w:rsidRDefault="008217C1" w:rsidP="00444334">
            <w:pPr>
              <w:pStyle w:val="Table"/>
            </w:pPr>
            <w:r>
              <w:t>Specification and supply of concrete</w:t>
            </w:r>
          </w:p>
        </w:tc>
      </w:tr>
      <w:tr w:rsidR="008217C1" w:rsidRPr="008217C1" w14:paraId="4FCEAD6E" w14:textId="77777777" w:rsidTr="00F13C65">
        <w:trPr>
          <w:trHeight w:val="340"/>
        </w:trPr>
        <w:tc>
          <w:tcPr>
            <w:tcW w:w="2234" w:type="dxa"/>
            <w:vAlign w:val="center"/>
          </w:tcPr>
          <w:p w14:paraId="74C47CA9" w14:textId="77777777" w:rsidR="008217C1" w:rsidRPr="008217C1" w:rsidRDefault="008217C1" w:rsidP="00444334">
            <w:pPr>
              <w:pStyle w:val="Table"/>
            </w:pPr>
            <w:r w:rsidRPr="00B908C9">
              <w:t>Australian</w:t>
            </w:r>
            <w:r>
              <w:t>/New Zealand</w:t>
            </w:r>
            <w:r w:rsidRPr="00B908C9">
              <w:t xml:space="preserve"> Standard</w:t>
            </w:r>
          </w:p>
        </w:tc>
        <w:tc>
          <w:tcPr>
            <w:tcW w:w="1701" w:type="dxa"/>
            <w:vAlign w:val="center"/>
          </w:tcPr>
          <w:p w14:paraId="30EF5183" w14:textId="77777777" w:rsidR="008217C1" w:rsidRPr="008217C1" w:rsidRDefault="008217C1" w:rsidP="00444334">
            <w:pPr>
              <w:pStyle w:val="TableCen"/>
            </w:pPr>
            <w:r>
              <w:t>AS/NZS 1477</w:t>
            </w:r>
          </w:p>
        </w:tc>
        <w:tc>
          <w:tcPr>
            <w:tcW w:w="4642" w:type="dxa"/>
            <w:vAlign w:val="center"/>
          </w:tcPr>
          <w:p w14:paraId="6816DAA4" w14:textId="77777777" w:rsidR="008217C1" w:rsidRPr="008217C1" w:rsidRDefault="008217C1" w:rsidP="00444334">
            <w:pPr>
              <w:pStyle w:val="Table"/>
            </w:pPr>
            <w:r>
              <w:t>PVC pipes and fittings for pressure applications</w:t>
            </w:r>
          </w:p>
        </w:tc>
      </w:tr>
      <w:tr w:rsidR="008217C1" w:rsidRPr="008217C1" w14:paraId="6C85D40E" w14:textId="77777777" w:rsidTr="00F13C65">
        <w:trPr>
          <w:trHeight w:val="340"/>
        </w:trPr>
        <w:tc>
          <w:tcPr>
            <w:tcW w:w="2234" w:type="dxa"/>
            <w:vAlign w:val="center"/>
          </w:tcPr>
          <w:p w14:paraId="46E0255C" w14:textId="77777777" w:rsidR="008217C1" w:rsidRPr="008217C1" w:rsidRDefault="008217C1" w:rsidP="00444334">
            <w:pPr>
              <w:pStyle w:val="Table"/>
            </w:pPr>
            <w:r w:rsidRPr="00B908C9">
              <w:t>Australian</w:t>
            </w:r>
            <w:r>
              <w:t>/New Zealand</w:t>
            </w:r>
            <w:r w:rsidRPr="00B908C9">
              <w:t xml:space="preserve"> Standard</w:t>
            </w:r>
          </w:p>
        </w:tc>
        <w:tc>
          <w:tcPr>
            <w:tcW w:w="1701" w:type="dxa"/>
            <w:vAlign w:val="center"/>
          </w:tcPr>
          <w:p w14:paraId="20061071" w14:textId="77777777" w:rsidR="008217C1" w:rsidRPr="008217C1" w:rsidRDefault="008217C1" w:rsidP="00444334">
            <w:pPr>
              <w:pStyle w:val="TableCen"/>
            </w:pPr>
            <w:r>
              <w:t>AS/NZS 2032</w:t>
            </w:r>
          </w:p>
        </w:tc>
        <w:tc>
          <w:tcPr>
            <w:tcW w:w="4642" w:type="dxa"/>
            <w:vAlign w:val="center"/>
          </w:tcPr>
          <w:p w14:paraId="23B1869C" w14:textId="77777777" w:rsidR="008217C1" w:rsidRPr="008217C1" w:rsidRDefault="008217C1" w:rsidP="00444334">
            <w:pPr>
              <w:pStyle w:val="Table"/>
            </w:pPr>
            <w:r>
              <w:t>Installation of PVC pipe systems</w:t>
            </w:r>
          </w:p>
        </w:tc>
      </w:tr>
      <w:tr w:rsidR="008217C1" w:rsidRPr="008217C1" w14:paraId="10D494CE" w14:textId="77777777" w:rsidTr="00F13C65">
        <w:trPr>
          <w:trHeight w:val="340"/>
        </w:trPr>
        <w:tc>
          <w:tcPr>
            <w:tcW w:w="2234" w:type="dxa"/>
            <w:vAlign w:val="center"/>
          </w:tcPr>
          <w:p w14:paraId="6524FE91" w14:textId="77777777" w:rsidR="008217C1" w:rsidRPr="008217C1" w:rsidRDefault="008217C1" w:rsidP="00444334">
            <w:pPr>
              <w:pStyle w:val="Table"/>
            </w:pPr>
            <w:r w:rsidRPr="00B908C9">
              <w:t>Australian</w:t>
            </w:r>
            <w:r>
              <w:t>/New Zealand</w:t>
            </w:r>
            <w:r w:rsidRPr="00B908C9">
              <w:t xml:space="preserve"> Standard</w:t>
            </w:r>
          </w:p>
        </w:tc>
        <w:tc>
          <w:tcPr>
            <w:tcW w:w="1701" w:type="dxa"/>
            <w:vAlign w:val="center"/>
          </w:tcPr>
          <w:p w14:paraId="5746E6A7" w14:textId="77777777" w:rsidR="008217C1" w:rsidRPr="008217C1" w:rsidRDefault="008217C1" w:rsidP="00444334">
            <w:pPr>
              <w:pStyle w:val="TableCen"/>
            </w:pPr>
            <w:r>
              <w:t>AS/NZS 2033</w:t>
            </w:r>
          </w:p>
        </w:tc>
        <w:tc>
          <w:tcPr>
            <w:tcW w:w="4642" w:type="dxa"/>
            <w:vAlign w:val="center"/>
          </w:tcPr>
          <w:p w14:paraId="560B76AC" w14:textId="77777777" w:rsidR="008217C1" w:rsidRPr="008217C1" w:rsidRDefault="008217C1" w:rsidP="00444334">
            <w:pPr>
              <w:pStyle w:val="Table"/>
            </w:pPr>
            <w:r>
              <w:t>Installation of polyethylene pipe systems</w:t>
            </w:r>
          </w:p>
        </w:tc>
      </w:tr>
      <w:tr w:rsidR="008217C1" w:rsidRPr="008217C1" w14:paraId="5CFF3828" w14:textId="77777777" w:rsidTr="00F13C65">
        <w:trPr>
          <w:trHeight w:val="340"/>
        </w:trPr>
        <w:tc>
          <w:tcPr>
            <w:tcW w:w="2234" w:type="dxa"/>
            <w:vAlign w:val="center"/>
          </w:tcPr>
          <w:p w14:paraId="465D6107" w14:textId="77777777" w:rsidR="008217C1" w:rsidRPr="008217C1" w:rsidRDefault="008217C1" w:rsidP="00444334">
            <w:pPr>
              <w:pStyle w:val="Table"/>
            </w:pPr>
            <w:r w:rsidRPr="00B908C9">
              <w:t>Australian</w:t>
            </w:r>
            <w:r>
              <w:t>/New Zealand</w:t>
            </w:r>
            <w:r w:rsidRPr="00B908C9">
              <w:t xml:space="preserve"> Standard</w:t>
            </w:r>
          </w:p>
        </w:tc>
        <w:tc>
          <w:tcPr>
            <w:tcW w:w="1701" w:type="dxa"/>
            <w:vAlign w:val="center"/>
          </w:tcPr>
          <w:p w14:paraId="07601A3F" w14:textId="77777777" w:rsidR="008217C1" w:rsidRPr="008217C1" w:rsidRDefault="008217C1" w:rsidP="00444334">
            <w:pPr>
              <w:pStyle w:val="TableCen"/>
            </w:pPr>
            <w:r>
              <w:t>AS/NZS 2053</w:t>
            </w:r>
          </w:p>
        </w:tc>
        <w:tc>
          <w:tcPr>
            <w:tcW w:w="4642" w:type="dxa"/>
            <w:vAlign w:val="center"/>
          </w:tcPr>
          <w:p w14:paraId="0CDB880E" w14:textId="77777777" w:rsidR="008217C1" w:rsidRPr="008217C1" w:rsidRDefault="008217C1" w:rsidP="00444334">
            <w:pPr>
              <w:pStyle w:val="Table"/>
            </w:pPr>
            <w:r>
              <w:t>Conduits and fittings for electrical installations – General requirements</w:t>
            </w:r>
          </w:p>
        </w:tc>
      </w:tr>
      <w:tr w:rsidR="008217C1" w:rsidRPr="008217C1" w14:paraId="52FC89F9" w14:textId="77777777" w:rsidTr="00F13C65">
        <w:trPr>
          <w:trHeight w:val="340"/>
        </w:trPr>
        <w:tc>
          <w:tcPr>
            <w:tcW w:w="2234" w:type="dxa"/>
            <w:vAlign w:val="center"/>
          </w:tcPr>
          <w:p w14:paraId="461A43C7" w14:textId="77777777" w:rsidR="008217C1" w:rsidRPr="008217C1" w:rsidRDefault="008217C1" w:rsidP="00444334">
            <w:pPr>
              <w:pStyle w:val="Table"/>
            </w:pPr>
            <w:r w:rsidRPr="00B908C9">
              <w:t>Australian</w:t>
            </w:r>
            <w:r>
              <w:t>/New Zealand</w:t>
            </w:r>
            <w:r w:rsidRPr="00B908C9">
              <w:t xml:space="preserve"> Standard</w:t>
            </w:r>
          </w:p>
        </w:tc>
        <w:tc>
          <w:tcPr>
            <w:tcW w:w="1701" w:type="dxa"/>
            <w:vAlign w:val="center"/>
          </w:tcPr>
          <w:p w14:paraId="78A6FCAF" w14:textId="77777777" w:rsidR="008217C1" w:rsidRPr="008217C1" w:rsidRDefault="008217C1" w:rsidP="00444334">
            <w:pPr>
              <w:pStyle w:val="TableCen"/>
            </w:pPr>
            <w:r>
              <w:t>AS/NZS 2648</w:t>
            </w:r>
          </w:p>
        </w:tc>
        <w:tc>
          <w:tcPr>
            <w:tcW w:w="4642" w:type="dxa"/>
            <w:vAlign w:val="center"/>
          </w:tcPr>
          <w:p w14:paraId="3938CC25" w14:textId="77777777" w:rsidR="008217C1" w:rsidRPr="008217C1" w:rsidRDefault="008217C1" w:rsidP="00444334">
            <w:pPr>
              <w:pStyle w:val="Table"/>
            </w:pPr>
            <w:r>
              <w:t>Underground marking tape – Non-detectable tape</w:t>
            </w:r>
          </w:p>
        </w:tc>
      </w:tr>
      <w:tr w:rsidR="001E57A7" w:rsidRPr="008217C1" w14:paraId="065F6949" w14:textId="77777777" w:rsidTr="00F13C65">
        <w:trPr>
          <w:trHeight w:val="340"/>
        </w:trPr>
        <w:tc>
          <w:tcPr>
            <w:tcW w:w="2234" w:type="dxa"/>
            <w:vAlign w:val="center"/>
          </w:tcPr>
          <w:p w14:paraId="3D45E9D4" w14:textId="77777777" w:rsidR="001E57A7" w:rsidRPr="00B908C9" w:rsidRDefault="001E57A7" w:rsidP="001E57A7">
            <w:pPr>
              <w:pStyle w:val="Table"/>
            </w:pPr>
            <w:r w:rsidRPr="008217C1">
              <w:t>Australian Standard</w:t>
            </w:r>
          </w:p>
        </w:tc>
        <w:tc>
          <w:tcPr>
            <w:tcW w:w="1701" w:type="dxa"/>
            <w:vAlign w:val="center"/>
          </w:tcPr>
          <w:p w14:paraId="3E2831B9" w14:textId="77777777" w:rsidR="001E57A7" w:rsidRDefault="001E57A7" w:rsidP="001E57A7">
            <w:pPr>
              <w:pStyle w:val="TableCen"/>
            </w:pPr>
            <w:r>
              <w:t>AS 3706.4</w:t>
            </w:r>
          </w:p>
        </w:tc>
        <w:tc>
          <w:tcPr>
            <w:tcW w:w="4642" w:type="dxa"/>
            <w:vAlign w:val="center"/>
          </w:tcPr>
          <w:p w14:paraId="27085987" w14:textId="77777777" w:rsidR="001E57A7" w:rsidRDefault="001E57A7" w:rsidP="001E57A7">
            <w:pPr>
              <w:pStyle w:val="Table"/>
            </w:pPr>
            <w:r w:rsidRPr="001E57A7">
              <w:t xml:space="preserve">Geotextiles - Methods of test </w:t>
            </w:r>
            <w:r>
              <w:t xml:space="preserve">– </w:t>
            </w:r>
            <w:r w:rsidRPr="001E57A7">
              <w:t xml:space="preserve">Determination of burst strength </w:t>
            </w:r>
            <w:r>
              <w:t>–</w:t>
            </w:r>
            <w:r w:rsidRPr="001E57A7">
              <w:t xml:space="preserve"> California Bearing Ratio (CBR) </w:t>
            </w:r>
            <w:r>
              <w:t>–</w:t>
            </w:r>
            <w:r w:rsidRPr="001E57A7">
              <w:t xml:space="preserve"> Plunger method</w:t>
            </w:r>
          </w:p>
        </w:tc>
      </w:tr>
      <w:tr w:rsidR="001E57A7" w:rsidRPr="008217C1" w14:paraId="600CF341" w14:textId="77777777" w:rsidTr="00F13C65">
        <w:trPr>
          <w:trHeight w:val="340"/>
        </w:trPr>
        <w:tc>
          <w:tcPr>
            <w:tcW w:w="2234" w:type="dxa"/>
            <w:vAlign w:val="center"/>
          </w:tcPr>
          <w:p w14:paraId="1556D5D0" w14:textId="77777777" w:rsidR="001E57A7" w:rsidRPr="008217C1" w:rsidRDefault="001E57A7" w:rsidP="001E57A7">
            <w:pPr>
              <w:pStyle w:val="Table"/>
            </w:pPr>
            <w:r w:rsidRPr="00B908C9">
              <w:t>Australian</w:t>
            </w:r>
            <w:r>
              <w:t>/New Zealand</w:t>
            </w:r>
            <w:r w:rsidRPr="00B908C9">
              <w:t xml:space="preserve"> Standard</w:t>
            </w:r>
          </w:p>
        </w:tc>
        <w:tc>
          <w:tcPr>
            <w:tcW w:w="1701" w:type="dxa"/>
            <w:vAlign w:val="center"/>
          </w:tcPr>
          <w:p w14:paraId="3F553A32" w14:textId="77777777" w:rsidR="001E57A7" w:rsidRPr="008217C1" w:rsidRDefault="001E57A7" w:rsidP="001E57A7">
            <w:pPr>
              <w:pStyle w:val="TableCen"/>
            </w:pPr>
            <w:r>
              <w:t>AS/NZS 4130</w:t>
            </w:r>
          </w:p>
        </w:tc>
        <w:tc>
          <w:tcPr>
            <w:tcW w:w="4642" w:type="dxa"/>
            <w:vAlign w:val="center"/>
          </w:tcPr>
          <w:p w14:paraId="43A65B64" w14:textId="77777777" w:rsidR="001E57A7" w:rsidRPr="008217C1" w:rsidRDefault="001E57A7" w:rsidP="001E57A7">
            <w:pPr>
              <w:pStyle w:val="Table"/>
            </w:pPr>
            <w:r>
              <w:t>Polyethylene (PE) pipes for pressure applications</w:t>
            </w:r>
          </w:p>
        </w:tc>
      </w:tr>
      <w:tr w:rsidR="001E57A7" w:rsidRPr="008217C1" w14:paraId="5C10BD0B" w14:textId="77777777" w:rsidTr="00F13C65">
        <w:trPr>
          <w:trHeight w:val="340"/>
        </w:trPr>
        <w:tc>
          <w:tcPr>
            <w:tcW w:w="2234" w:type="dxa"/>
            <w:vAlign w:val="center"/>
          </w:tcPr>
          <w:p w14:paraId="6BDCDBFA" w14:textId="77777777" w:rsidR="001E57A7" w:rsidRPr="00B908C9" w:rsidRDefault="001E57A7" w:rsidP="001E57A7">
            <w:pPr>
              <w:pStyle w:val="Table"/>
            </w:pPr>
            <w:r w:rsidRPr="002344D7">
              <w:t>ASTM International</w:t>
            </w:r>
            <w:r>
              <w:t xml:space="preserve"> Standard</w:t>
            </w:r>
          </w:p>
        </w:tc>
        <w:tc>
          <w:tcPr>
            <w:tcW w:w="1701" w:type="dxa"/>
            <w:vAlign w:val="center"/>
          </w:tcPr>
          <w:p w14:paraId="12EFFE15" w14:textId="77777777" w:rsidR="001E57A7" w:rsidRDefault="001E57A7" w:rsidP="001E57A7">
            <w:pPr>
              <w:pStyle w:val="TableCen"/>
            </w:pPr>
            <w:r w:rsidRPr="002344D7">
              <w:t>ASTM</w:t>
            </w:r>
            <w:r>
              <w:t> </w:t>
            </w:r>
            <w:r w:rsidRPr="002344D7">
              <w:t>D412</w:t>
            </w:r>
          </w:p>
        </w:tc>
        <w:tc>
          <w:tcPr>
            <w:tcW w:w="4642" w:type="dxa"/>
            <w:vAlign w:val="center"/>
          </w:tcPr>
          <w:p w14:paraId="1BF333A3" w14:textId="77777777" w:rsidR="001E57A7" w:rsidRDefault="001E57A7" w:rsidP="001E57A7">
            <w:pPr>
              <w:pStyle w:val="Table"/>
            </w:pPr>
            <w:r w:rsidRPr="002344D7">
              <w:t xml:space="preserve">Tensile </w:t>
            </w:r>
            <w:r>
              <w:t>s</w:t>
            </w:r>
            <w:r w:rsidRPr="002344D7">
              <w:t xml:space="preserve">trength </w:t>
            </w:r>
            <w:r>
              <w:t>pr</w:t>
            </w:r>
            <w:r w:rsidRPr="002344D7">
              <w:t xml:space="preserve">operties of </w:t>
            </w:r>
            <w:r>
              <w:t>r</w:t>
            </w:r>
            <w:r w:rsidRPr="002344D7">
              <w:t xml:space="preserve">ubber and </w:t>
            </w:r>
            <w:r>
              <w:t>e</w:t>
            </w:r>
            <w:r w:rsidRPr="002344D7">
              <w:t>lastomers</w:t>
            </w:r>
          </w:p>
        </w:tc>
      </w:tr>
    </w:tbl>
    <w:p w14:paraId="09313E1E" w14:textId="77777777" w:rsidR="00026171" w:rsidRDefault="008843FC" w:rsidP="00A35425">
      <w:pPr>
        <w:pStyle w:val="Heading2"/>
      </w:pPr>
      <w:bookmarkStart w:id="15" w:name="_Toc76024344"/>
      <w:r w:rsidRPr="008843FC">
        <w:t>References</w:t>
      </w:r>
      <w:bookmarkEnd w:id="15"/>
    </w:p>
    <w:tbl>
      <w:tblPr>
        <w:tblW w:w="8613" w:type="dxa"/>
        <w:tblInd w:w="709" w:type="dxa"/>
        <w:tblLayout w:type="fixed"/>
        <w:tblLook w:val="0400" w:firstRow="0" w:lastRow="0" w:firstColumn="0" w:lastColumn="0" w:noHBand="0" w:noVBand="1"/>
      </w:tblPr>
      <w:tblGrid>
        <w:gridCol w:w="2518"/>
        <w:gridCol w:w="1417"/>
        <w:gridCol w:w="1276"/>
        <w:gridCol w:w="3402"/>
      </w:tblGrid>
      <w:tr w:rsidR="00444334" w:rsidRPr="00444334" w14:paraId="62C2248D" w14:textId="77777777" w:rsidTr="00F13C65">
        <w:trPr>
          <w:trHeight w:val="340"/>
        </w:trPr>
        <w:tc>
          <w:tcPr>
            <w:tcW w:w="2518" w:type="dxa"/>
            <w:vAlign w:val="center"/>
          </w:tcPr>
          <w:p w14:paraId="4128C6B0" w14:textId="77777777" w:rsidR="00444334" w:rsidRPr="00444334" w:rsidRDefault="00444334" w:rsidP="00444334">
            <w:pPr>
              <w:spacing w:before="20" w:after="20"/>
              <w:rPr>
                <w:snapToGrid w:val="0"/>
                <w:sz w:val="18"/>
                <w:lang w:eastAsia="en-US"/>
              </w:rPr>
            </w:pPr>
            <w:r w:rsidRPr="00444334">
              <w:rPr>
                <w:snapToGrid w:val="0"/>
                <w:sz w:val="18"/>
                <w:lang w:eastAsia="en-US"/>
              </w:rPr>
              <w:t>Queensland Department of Transport and Main Roads</w:t>
            </w:r>
          </w:p>
        </w:tc>
        <w:tc>
          <w:tcPr>
            <w:tcW w:w="1417" w:type="dxa"/>
            <w:vAlign w:val="center"/>
          </w:tcPr>
          <w:p w14:paraId="545B13D8" w14:textId="77777777" w:rsidR="00444334" w:rsidRPr="00444334" w:rsidRDefault="00444334" w:rsidP="00444334">
            <w:pPr>
              <w:pStyle w:val="TableCen"/>
            </w:pPr>
          </w:p>
        </w:tc>
        <w:tc>
          <w:tcPr>
            <w:tcW w:w="1276" w:type="dxa"/>
            <w:vAlign w:val="center"/>
          </w:tcPr>
          <w:p w14:paraId="4515315E" w14:textId="77777777" w:rsidR="00444334" w:rsidRPr="00444334" w:rsidRDefault="00444334" w:rsidP="00444334">
            <w:pPr>
              <w:pStyle w:val="TableCen"/>
            </w:pPr>
            <w:r>
              <w:t>MUTCD</w:t>
            </w:r>
          </w:p>
        </w:tc>
        <w:tc>
          <w:tcPr>
            <w:tcW w:w="3402" w:type="dxa"/>
            <w:vAlign w:val="center"/>
          </w:tcPr>
          <w:p w14:paraId="5913AC34" w14:textId="77777777" w:rsidR="00444334" w:rsidRPr="00444334" w:rsidRDefault="00444334" w:rsidP="00444334">
            <w:pPr>
              <w:pStyle w:val="Table"/>
            </w:pPr>
            <w:r w:rsidRPr="00C61437">
              <w:t>Queensland Manual or Uniform Traffic Control Devices</w:t>
            </w:r>
          </w:p>
        </w:tc>
      </w:tr>
      <w:tr w:rsidR="00444334" w:rsidRPr="00444334" w14:paraId="0196EA5C" w14:textId="77777777" w:rsidTr="00F13C65">
        <w:trPr>
          <w:trHeight w:val="340"/>
        </w:trPr>
        <w:tc>
          <w:tcPr>
            <w:tcW w:w="2518" w:type="dxa"/>
            <w:vAlign w:val="center"/>
          </w:tcPr>
          <w:p w14:paraId="4D011102" w14:textId="77777777" w:rsidR="00444334" w:rsidRPr="00444334" w:rsidRDefault="00444334" w:rsidP="00444334">
            <w:pPr>
              <w:spacing w:before="20" w:after="20"/>
              <w:rPr>
                <w:snapToGrid w:val="0"/>
                <w:sz w:val="18"/>
                <w:lang w:eastAsia="en-US"/>
              </w:rPr>
            </w:pPr>
            <w:r w:rsidRPr="00444334">
              <w:rPr>
                <w:snapToGrid w:val="0"/>
                <w:sz w:val="18"/>
                <w:lang w:eastAsia="en-US"/>
              </w:rPr>
              <w:t>Queensland Department of Transport and Main Roads</w:t>
            </w:r>
          </w:p>
        </w:tc>
        <w:tc>
          <w:tcPr>
            <w:tcW w:w="1417" w:type="dxa"/>
            <w:vAlign w:val="center"/>
          </w:tcPr>
          <w:p w14:paraId="3CF6671F" w14:textId="77777777" w:rsidR="00444334" w:rsidRPr="00444334" w:rsidRDefault="00444334" w:rsidP="00444334">
            <w:pPr>
              <w:pStyle w:val="TableCen"/>
            </w:pPr>
            <w:r w:rsidRPr="00444334">
              <w:t>Technical Specification</w:t>
            </w:r>
          </w:p>
        </w:tc>
        <w:tc>
          <w:tcPr>
            <w:tcW w:w="1276" w:type="dxa"/>
            <w:vAlign w:val="center"/>
          </w:tcPr>
          <w:p w14:paraId="53DEF198" w14:textId="77777777" w:rsidR="00444334" w:rsidRPr="00444334" w:rsidRDefault="00444334" w:rsidP="00444334">
            <w:pPr>
              <w:pStyle w:val="TableCen"/>
            </w:pPr>
            <w:r w:rsidRPr="00C61437">
              <w:t>MR</w:t>
            </w:r>
            <w:r>
              <w:t>T</w:t>
            </w:r>
            <w:r w:rsidRPr="00C61437">
              <w:t>S05</w:t>
            </w:r>
          </w:p>
        </w:tc>
        <w:tc>
          <w:tcPr>
            <w:tcW w:w="3402" w:type="dxa"/>
            <w:vAlign w:val="center"/>
          </w:tcPr>
          <w:p w14:paraId="2AE72C30" w14:textId="77777777" w:rsidR="00444334" w:rsidRPr="00444334" w:rsidRDefault="00444334" w:rsidP="00444334">
            <w:pPr>
              <w:pStyle w:val="Table"/>
            </w:pPr>
            <w:r w:rsidRPr="00C61437">
              <w:t>Unbound Pavements</w:t>
            </w:r>
          </w:p>
        </w:tc>
      </w:tr>
    </w:tbl>
    <w:p w14:paraId="15A97263" w14:textId="22670B73" w:rsidR="00026171" w:rsidRDefault="00026171" w:rsidP="00B2105C">
      <w:pPr>
        <w:pStyle w:val="BodyTextIndent"/>
      </w:pPr>
      <w:r>
        <w:t>Refer to the following other Reference Specifications</w:t>
      </w:r>
      <w:r w:rsidR="006B7914">
        <w:t xml:space="preserve"> for  Engineering Works</w:t>
      </w:r>
      <w:r>
        <w:t>:</w:t>
      </w:r>
    </w:p>
    <w:tbl>
      <w:tblPr>
        <w:tblW w:w="8613" w:type="dxa"/>
        <w:tblInd w:w="709" w:type="dxa"/>
        <w:tblLook w:val="0400" w:firstRow="0" w:lastRow="0" w:firstColumn="0" w:lastColumn="0" w:noHBand="0" w:noVBand="1"/>
      </w:tblPr>
      <w:tblGrid>
        <w:gridCol w:w="1081"/>
        <w:gridCol w:w="7532"/>
      </w:tblGrid>
      <w:tr w:rsidR="00444334" w:rsidRPr="00444334" w14:paraId="68235060" w14:textId="77777777" w:rsidTr="00F13C65">
        <w:trPr>
          <w:trHeight w:val="340"/>
        </w:trPr>
        <w:tc>
          <w:tcPr>
            <w:tcW w:w="1081" w:type="dxa"/>
            <w:vAlign w:val="center"/>
          </w:tcPr>
          <w:p w14:paraId="209604D4" w14:textId="77777777" w:rsidR="00444334" w:rsidRPr="00444334" w:rsidRDefault="00444334" w:rsidP="00444334">
            <w:pPr>
              <w:pStyle w:val="TableCen"/>
            </w:pPr>
            <w:r>
              <w:t>S110</w:t>
            </w:r>
          </w:p>
        </w:tc>
        <w:tc>
          <w:tcPr>
            <w:tcW w:w="7532" w:type="dxa"/>
            <w:vAlign w:val="center"/>
          </w:tcPr>
          <w:p w14:paraId="3643F539" w14:textId="77777777" w:rsidR="00444334" w:rsidRPr="00444334" w:rsidRDefault="00444334" w:rsidP="00444334">
            <w:pPr>
              <w:pStyle w:val="Table"/>
            </w:pPr>
            <w:r>
              <w:t>General Requirements</w:t>
            </w:r>
          </w:p>
        </w:tc>
      </w:tr>
      <w:tr w:rsidR="00444334" w:rsidRPr="00444334" w14:paraId="1C044B00" w14:textId="77777777" w:rsidTr="00F13C65">
        <w:trPr>
          <w:trHeight w:val="340"/>
        </w:trPr>
        <w:tc>
          <w:tcPr>
            <w:tcW w:w="1081" w:type="dxa"/>
            <w:vAlign w:val="center"/>
          </w:tcPr>
          <w:p w14:paraId="2DCF721B" w14:textId="77777777" w:rsidR="00444334" w:rsidRPr="00444334" w:rsidRDefault="00444334" w:rsidP="00444334">
            <w:pPr>
              <w:pStyle w:val="TableCen"/>
            </w:pPr>
            <w:r>
              <w:t>S120</w:t>
            </w:r>
          </w:p>
        </w:tc>
        <w:tc>
          <w:tcPr>
            <w:tcW w:w="7532" w:type="dxa"/>
            <w:vAlign w:val="center"/>
          </w:tcPr>
          <w:p w14:paraId="0A59399F" w14:textId="77777777" w:rsidR="00444334" w:rsidRPr="00444334" w:rsidRDefault="00444334" w:rsidP="00444334">
            <w:pPr>
              <w:pStyle w:val="Table"/>
            </w:pPr>
            <w:r>
              <w:t>Quality</w:t>
            </w:r>
          </w:p>
        </w:tc>
      </w:tr>
      <w:tr w:rsidR="00444334" w:rsidRPr="00444334" w14:paraId="3D52C8E3" w14:textId="77777777" w:rsidTr="00F13C65">
        <w:trPr>
          <w:trHeight w:val="340"/>
        </w:trPr>
        <w:tc>
          <w:tcPr>
            <w:tcW w:w="1081" w:type="dxa"/>
            <w:vAlign w:val="center"/>
          </w:tcPr>
          <w:p w14:paraId="6BBE085A" w14:textId="77777777" w:rsidR="00444334" w:rsidRPr="00444334" w:rsidRDefault="00444334" w:rsidP="00444334">
            <w:pPr>
              <w:pStyle w:val="TableCen"/>
            </w:pPr>
            <w:r w:rsidRPr="00444334">
              <w:t>S140</w:t>
            </w:r>
          </w:p>
        </w:tc>
        <w:tc>
          <w:tcPr>
            <w:tcW w:w="7532" w:type="dxa"/>
            <w:vAlign w:val="center"/>
          </w:tcPr>
          <w:p w14:paraId="74535E3A" w14:textId="77777777" w:rsidR="00444334" w:rsidRPr="00444334" w:rsidRDefault="00444334" w:rsidP="00444334">
            <w:pPr>
              <w:pStyle w:val="Table"/>
            </w:pPr>
            <w:r w:rsidRPr="00444334">
              <w:t>Earthworks</w:t>
            </w:r>
          </w:p>
        </w:tc>
      </w:tr>
      <w:tr w:rsidR="00444334" w:rsidRPr="00444334" w14:paraId="6CB662ED" w14:textId="77777777" w:rsidTr="00F13C65">
        <w:trPr>
          <w:trHeight w:val="340"/>
        </w:trPr>
        <w:tc>
          <w:tcPr>
            <w:tcW w:w="1081" w:type="dxa"/>
            <w:vAlign w:val="center"/>
          </w:tcPr>
          <w:p w14:paraId="2BF18302" w14:textId="77777777" w:rsidR="00444334" w:rsidRPr="00444334" w:rsidRDefault="00444334" w:rsidP="00444334">
            <w:pPr>
              <w:pStyle w:val="TableCen"/>
            </w:pPr>
            <w:r>
              <w:t>S160</w:t>
            </w:r>
          </w:p>
        </w:tc>
        <w:tc>
          <w:tcPr>
            <w:tcW w:w="7532" w:type="dxa"/>
            <w:vAlign w:val="center"/>
          </w:tcPr>
          <w:p w14:paraId="6B3BB5B2" w14:textId="77777777" w:rsidR="00444334" w:rsidRPr="00444334" w:rsidRDefault="00444334" w:rsidP="00444334">
            <w:pPr>
              <w:pStyle w:val="Table"/>
            </w:pPr>
            <w:r>
              <w:t>Drainage</w:t>
            </w:r>
          </w:p>
        </w:tc>
      </w:tr>
      <w:tr w:rsidR="00444334" w:rsidRPr="00444334" w14:paraId="7E505D17" w14:textId="77777777" w:rsidTr="00F13C65">
        <w:trPr>
          <w:trHeight w:val="340"/>
        </w:trPr>
        <w:tc>
          <w:tcPr>
            <w:tcW w:w="1081" w:type="dxa"/>
            <w:vAlign w:val="center"/>
          </w:tcPr>
          <w:p w14:paraId="2BFE0247" w14:textId="77777777" w:rsidR="00444334" w:rsidRPr="00444334" w:rsidRDefault="00444334" w:rsidP="00444334">
            <w:pPr>
              <w:pStyle w:val="TableCen"/>
            </w:pPr>
            <w:r>
              <w:t>S200</w:t>
            </w:r>
          </w:p>
        </w:tc>
        <w:tc>
          <w:tcPr>
            <w:tcW w:w="7532" w:type="dxa"/>
            <w:vAlign w:val="center"/>
          </w:tcPr>
          <w:p w14:paraId="4AAA3216" w14:textId="77777777" w:rsidR="00444334" w:rsidRPr="00444334" w:rsidRDefault="00444334" w:rsidP="00444334">
            <w:pPr>
              <w:pStyle w:val="Table"/>
            </w:pPr>
            <w:r>
              <w:t>Concrete Work</w:t>
            </w:r>
          </w:p>
        </w:tc>
      </w:tr>
      <w:tr w:rsidR="00444334" w:rsidRPr="00444334" w14:paraId="1C728699" w14:textId="77777777" w:rsidTr="00F13C65">
        <w:trPr>
          <w:trHeight w:val="340"/>
        </w:trPr>
        <w:tc>
          <w:tcPr>
            <w:tcW w:w="1081" w:type="dxa"/>
            <w:vAlign w:val="center"/>
          </w:tcPr>
          <w:p w14:paraId="6C103928" w14:textId="77777777" w:rsidR="00444334" w:rsidRPr="00444334" w:rsidRDefault="00444334" w:rsidP="00444334">
            <w:pPr>
              <w:pStyle w:val="TableCen"/>
            </w:pPr>
            <w:r w:rsidRPr="00444334">
              <w:t>S300</w:t>
            </w:r>
          </w:p>
        </w:tc>
        <w:tc>
          <w:tcPr>
            <w:tcW w:w="7532" w:type="dxa"/>
            <w:vAlign w:val="center"/>
          </w:tcPr>
          <w:p w14:paraId="456DB2D6" w14:textId="77777777" w:rsidR="00444334" w:rsidRPr="00444334" w:rsidRDefault="00444334" w:rsidP="00444334">
            <w:pPr>
              <w:pStyle w:val="Table"/>
            </w:pPr>
            <w:r w:rsidRPr="00444334">
              <w:t>Quarry Products</w:t>
            </w:r>
          </w:p>
        </w:tc>
      </w:tr>
      <w:tr w:rsidR="00444334" w:rsidRPr="00444334" w14:paraId="1B76E709" w14:textId="77777777" w:rsidTr="00F13C65">
        <w:trPr>
          <w:trHeight w:val="340"/>
        </w:trPr>
        <w:tc>
          <w:tcPr>
            <w:tcW w:w="1081" w:type="dxa"/>
            <w:vAlign w:val="center"/>
          </w:tcPr>
          <w:p w14:paraId="70A260AA" w14:textId="77777777" w:rsidR="00444334" w:rsidRPr="00444334" w:rsidRDefault="00444334" w:rsidP="00444334">
            <w:pPr>
              <w:pStyle w:val="TableCen"/>
            </w:pPr>
            <w:r w:rsidRPr="00444334">
              <w:t>S310</w:t>
            </w:r>
          </w:p>
        </w:tc>
        <w:tc>
          <w:tcPr>
            <w:tcW w:w="7532" w:type="dxa"/>
            <w:vAlign w:val="center"/>
          </w:tcPr>
          <w:p w14:paraId="206345BB" w14:textId="77777777" w:rsidR="00444334" w:rsidRPr="00444334" w:rsidRDefault="00444334" w:rsidP="00444334">
            <w:pPr>
              <w:pStyle w:val="Table"/>
            </w:pPr>
            <w:r w:rsidRPr="00444334">
              <w:t>Supply of Dense Graded Asphalt</w:t>
            </w:r>
          </w:p>
        </w:tc>
      </w:tr>
      <w:tr w:rsidR="00444334" w:rsidRPr="00444334" w14:paraId="5A0BE51B" w14:textId="77777777" w:rsidTr="00F13C65">
        <w:trPr>
          <w:trHeight w:val="340"/>
        </w:trPr>
        <w:tc>
          <w:tcPr>
            <w:tcW w:w="1081" w:type="dxa"/>
            <w:vAlign w:val="center"/>
          </w:tcPr>
          <w:p w14:paraId="3B89FE6A" w14:textId="77777777" w:rsidR="00444334" w:rsidRPr="00444334" w:rsidRDefault="00444334" w:rsidP="00444334">
            <w:pPr>
              <w:pStyle w:val="TableCen"/>
            </w:pPr>
            <w:r w:rsidRPr="00444334">
              <w:t>S320</w:t>
            </w:r>
          </w:p>
        </w:tc>
        <w:tc>
          <w:tcPr>
            <w:tcW w:w="7532" w:type="dxa"/>
            <w:vAlign w:val="center"/>
          </w:tcPr>
          <w:p w14:paraId="37F2008D" w14:textId="77777777" w:rsidR="00444334" w:rsidRPr="00444334" w:rsidRDefault="00444334" w:rsidP="00444334">
            <w:pPr>
              <w:pStyle w:val="Table"/>
            </w:pPr>
            <w:r w:rsidRPr="00444334">
              <w:t>Laying of Asphalt</w:t>
            </w:r>
          </w:p>
        </w:tc>
      </w:tr>
      <w:tr w:rsidR="00444334" w:rsidRPr="00444334" w14:paraId="5C65D780" w14:textId="77777777" w:rsidTr="00F13C65">
        <w:trPr>
          <w:trHeight w:val="340"/>
        </w:trPr>
        <w:tc>
          <w:tcPr>
            <w:tcW w:w="1081" w:type="dxa"/>
            <w:vAlign w:val="center"/>
          </w:tcPr>
          <w:p w14:paraId="15612C61" w14:textId="77777777" w:rsidR="00444334" w:rsidRPr="00444334" w:rsidRDefault="00444334" w:rsidP="00444334">
            <w:pPr>
              <w:pStyle w:val="TableCen"/>
            </w:pPr>
            <w:r w:rsidRPr="00444334">
              <w:t>S330</w:t>
            </w:r>
          </w:p>
        </w:tc>
        <w:tc>
          <w:tcPr>
            <w:tcW w:w="7532" w:type="dxa"/>
            <w:vAlign w:val="center"/>
          </w:tcPr>
          <w:p w14:paraId="4BF04A79" w14:textId="77777777" w:rsidR="00444334" w:rsidRPr="00444334" w:rsidRDefault="00444334" w:rsidP="00444334">
            <w:pPr>
              <w:pStyle w:val="Table"/>
            </w:pPr>
            <w:r w:rsidRPr="00444334">
              <w:t>Sprayed Bituminous Surfacing</w:t>
            </w:r>
          </w:p>
        </w:tc>
      </w:tr>
    </w:tbl>
    <w:p w14:paraId="4A0937A5" w14:textId="77777777" w:rsidR="00026171" w:rsidRDefault="006B7914" w:rsidP="00A35425">
      <w:pPr>
        <w:pStyle w:val="Heading3"/>
      </w:pPr>
      <w:bookmarkStart w:id="16" w:name="_Toc76024345"/>
      <w:r>
        <w:t>Defi</w:t>
      </w:r>
      <w:r w:rsidR="008843FC" w:rsidRPr="00B2105C">
        <w:t>nitions</w:t>
      </w:r>
      <w:bookmarkEnd w:id="16"/>
    </w:p>
    <w:p w14:paraId="5EA88F3A" w14:textId="314EBD23" w:rsidR="007D3572" w:rsidRPr="00A00CE6" w:rsidRDefault="007D3572" w:rsidP="00366B19">
      <w:pPr>
        <w:pStyle w:val="BodyTextIndent"/>
      </w:pPr>
      <w:r w:rsidRPr="00A00CE6">
        <w:rPr>
          <w:u w:val="single"/>
        </w:rPr>
        <w:t>Major roads</w:t>
      </w:r>
      <w:r w:rsidRPr="00A00CE6">
        <w:t xml:space="preserve">: </w:t>
      </w:r>
      <w:r w:rsidR="005E6300" w:rsidRPr="00A00CE6">
        <w:t xml:space="preserve">Arterial </w:t>
      </w:r>
      <w:r w:rsidR="00B86986" w:rsidRPr="00A00CE6">
        <w:t>roads</w:t>
      </w:r>
      <w:r w:rsidRPr="00A00CE6">
        <w:t xml:space="preserve">, </w:t>
      </w:r>
      <w:r w:rsidR="005E6300" w:rsidRPr="00A00CE6">
        <w:t>S</w:t>
      </w:r>
      <w:r w:rsidRPr="00A00CE6">
        <w:t xml:space="preserve">uburban </w:t>
      </w:r>
      <w:r w:rsidR="00B86986" w:rsidRPr="00A00CE6">
        <w:t>roads</w:t>
      </w:r>
      <w:r w:rsidRPr="00A00CE6">
        <w:t xml:space="preserve">, </w:t>
      </w:r>
      <w:r w:rsidR="005E6300" w:rsidRPr="00A00CE6">
        <w:t>D</w:t>
      </w:r>
      <w:r w:rsidRPr="00A00CE6">
        <w:t xml:space="preserve">istrict </w:t>
      </w:r>
      <w:r w:rsidR="00B86986" w:rsidRPr="00A00CE6">
        <w:t>road</w:t>
      </w:r>
      <w:r w:rsidRPr="00A00CE6">
        <w:t xml:space="preserve">s, </w:t>
      </w:r>
      <w:r w:rsidR="005E6300" w:rsidRPr="00A00CE6">
        <w:t>P</w:t>
      </w:r>
      <w:r w:rsidR="00B86986" w:rsidRPr="00A00CE6">
        <w:t xml:space="preserve">rimary freight routes, </w:t>
      </w:r>
      <w:r w:rsidR="005E6300" w:rsidRPr="00A00CE6">
        <w:t>P</w:t>
      </w:r>
      <w:r w:rsidR="00B86986" w:rsidRPr="00A00CE6">
        <w:t>rimary freight accesses</w:t>
      </w:r>
      <w:r w:rsidRPr="00A00CE6">
        <w:t xml:space="preserve"> </w:t>
      </w:r>
      <w:r w:rsidR="00654205" w:rsidRPr="00A00CE6">
        <w:t xml:space="preserve">as defined in the </w:t>
      </w:r>
      <w:r w:rsidR="00654205" w:rsidRPr="00A00CE6">
        <w:rPr>
          <w:i/>
          <w:iCs/>
        </w:rPr>
        <w:t xml:space="preserve">Infrastructure </w:t>
      </w:r>
      <w:r w:rsidR="416FD373" w:rsidRPr="00A00CE6">
        <w:rPr>
          <w:i/>
          <w:iCs/>
        </w:rPr>
        <w:t>d</w:t>
      </w:r>
      <w:r w:rsidR="00654205" w:rsidRPr="00A00CE6">
        <w:rPr>
          <w:i/>
          <w:iCs/>
        </w:rPr>
        <w:t xml:space="preserve">esign </w:t>
      </w:r>
      <w:r w:rsidR="146A62EF" w:rsidRPr="00A00CE6">
        <w:rPr>
          <w:i/>
          <w:iCs/>
        </w:rPr>
        <w:t>p</w:t>
      </w:r>
      <w:r w:rsidR="00654205" w:rsidRPr="00A00CE6">
        <w:rPr>
          <w:i/>
          <w:iCs/>
        </w:rPr>
        <w:t xml:space="preserve">lanning </w:t>
      </w:r>
      <w:r w:rsidR="2B84F07A" w:rsidRPr="00A00CE6">
        <w:rPr>
          <w:i/>
          <w:iCs/>
        </w:rPr>
        <w:t>s</w:t>
      </w:r>
      <w:r w:rsidR="00654205" w:rsidRPr="00A00CE6">
        <w:rPr>
          <w:i/>
          <w:iCs/>
        </w:rPr>
        <w:t xml:space="preserve">cheme </w:t>
      </w:r>
      <w:r w:rsidR="505A1002" w:rsidRPr="00A00CE6">
        <w:rPr>
          <w:i/>
          <w:iCs/>
        </w:rPr>
        <w:t>p</w:t>
      </w:r>
      <w:r w:rsidR="00654205" w:rsidRPr="00A00CE6">
        <w:rPr>
          <w:i/>
          <w:iCs/>
        </w:rPr>
        <w:t>olicy</w:t>
      </w:r>
      <w:r w:rsidR="00654205" w:rsidRPr="00A00CE6">
        <w:t>, and</w:t>
      </w:r>
      <w:r w:rsidR="005E6300" w:rsidRPr="00A00CE6">
        <w:t xml:space="preserve"> as</w:t>
      </w:r>
      <w:r w:rsidR="00654205" w:rsidRPr="00A00CE6">
        <w:t xml:space="preserve"> shown in the </w:t>
      </w:r>
      <w:r w:rsidR="00654205" w:rsidRPr="00A00CE6">
        <w:rPr>
          <w:i/>
          <w:iCs/>
        </w:rPr>
        <w:t xml:space="preserve">Road </w:t>
      </w:r>
      <w:r w:rsidR="4363CABB" w:rsidRPr="00A00CE6">
        <w:rPr>
          <w:i/>
          <w:iCs/>
        </w:rPr>
        <w:t>h</w:t>
      </w:r>
      <w:r w:rsidR="00654205" w:rsidRPr="00A00CE6">
        <w:rPr>
          <w:i/>
          <w:iCs/>
        </w:rPr>
        <w:t xml:space="preserve">ierarchy </w:t>
      </w:r>
      <w:r w:rsidR="614215DA" w:rsidRPr="00A00CE6">
        <w:rPr>
          <w:i/>
          <w:iCs/>
        </w:rPr>
        <w:t>o</w:t>
      </w:r>
      <w:r w:rsidR="00654205" w:rsidRPr="00A00CE6">
        <w:rPr>
          <w:i/>
          <w:iCs/>
        </w:rPr>
        <w:t>verlay</w:t>
      </w:r>
      <w:r w:rsidR="00654205" w:rsidRPr="00A00CE6">
        <w:t xml:space="preserve">, of </w:t>
      </w:r>
      <w:hyperlink r:id="rId21" w:history="1">
        <w:r w:rsidR="00654205" w:rsidRPr="00A00CE6">
          <w:rPr>
            <w:rStyle w:val="Hyperlink"/>
            <w:i/>
            <w:iCs/>
            <w:u w:val="none"/>
          </w:rPr>
          <w:t>Brisbane City Plan 2014</w:t>
        </w:r>
      </w:hyperlink>
      <w:r w:rsidRPr="00A00CE6">
        <w:t>.</w:t>
      </w:r>
    </w:p>
    <w:p w14:paraId="5245E099" w14:textId="00F540ED" w:rsidR="00151240" w:rsidRPr="00A00CE6" w:rsidRDefault="00151240" w:rsidP="00366B19">
      <w:pPr>
        <w:pStyle w:val="BodyTextIndent"/>
      </w:pPr>
      <w:r w:rsidRPr="00A00CE6">
        <w:rPr>
          <w:u w:val="single"/>
        </w:rPr>
        <w:t>Primary freight routes, Primary freight accesses</w:t>
      </w:r>
      <w:r w:rsidRPr="00A00CE6">
        <w:t xml:space="preserve">: Primary freight routes, Primary freight accesses as defined in the </w:t>
      </w:r>
      <w:r w:rsidRPr="00A00CE6">
        <w:rPr>
          <w:i/>
          <w:iCs/>
        </w:rPr>
        <w:t xml:space="preserve">Infrastructure </w:t>
      </w:r>
      <w:r w:rsidR="6F27B63D" w:rsidRPr="00A00CE6">
        <w:rPr>
          <w:i/>
          <w:iCs/>
        </w:rPr>
        <w:t>d</w:t>
      </w:r>
      <w:r w:rsidRPr="00A00CE6">
        <w:rPr>
          <w:i/>
          <w:iCs/>
        </w:rPr>
        <w:t xml:space="preserve">esign </w:t>
      </w:r>
      <w:r w:rsidR="5E3C7C82" w:rsidRPr="00A00CE6">
        <w:rPr>
          <w:i/>
          <w:iCs/>
        </w:rPr>
        <w:t>p</w:t>
      </w:r>
      <w:r w:rsidRPr="00A00CE6">
        <w:rPr>
          <w:i/>
          <w:iCs/>
        </w:rPr>
        <w:t xml:space="preserve">lanning </w:t>
      </w:r>
      <w:r w:rsidR="13C70FD9" w:rsidRPr="00A00CE6">
        <w:rPr>
          <w:i/>
          <w:iCs/>
        </w:rPr>
        <w:t>s</w:t>
      </w:r>
      <w:r w:rsidRPr="00A00CE6">
        <w:rPr>
          <w:i/>
          <w:iCs/>
        </w:rPr>
        <w:t xml:space="preserve">cheme </w:t>
      </w:r>
      <w:r w:rsidR="0378F178" w:rsidRPr="00A00CE6">
        <w:rPr>
          <w:i/>
          <w:iCs/>
        </w:rPr>
        <w:t>p</w:t>
      </w:r>
      <w:r w:rsidRPr="00A00CE6">
        <w:rPr>
          <w:i/>
          <w:iCs/>
        </w:rPr>
        <w:t>olicy</w:t>
      </w:r>
      <w:r w:rsidRPr="00A00CE6">
        <w:t xml:space="preserve">, and as shown in the </w:t>
      </w:r>
      <w:r w:rsidRPr="00A00CE6">
        <w:rPr>
          <w:i/>
          <w:iCs/>
        </w:rPr>
        <w:t xml:space="preserve">Road </w:t>
      </w:r>
      <w:r w:rsidR="3FF7FA57" w:rsidRPr="00A00CE6">
        <w:rPr>
          <w:i/>
          <w:iCs/>
        </w:rPr>
        <w:t>h</w:t>
      </w:r>
      <w:r w:rsidRPr="00A00CE6">
        <w:rPr>
          <w:i/>
          <w:iCs/>
        </w:rPr>
        <w:t xml:space="preserve">ierarchy </w:t>
      </w:r>
      <w:r w:rsidR="637190E2" w:rsidRPr="00A00CE6">
        <w:rPr>
          <w:i/>
          <w:iCs/>
        </w:rPr>
        <w:t>o</w:t>
      </w:r>
      <w:r w:rsidRPr="00A00CE6">
        <w:rPr>
          <w:i/>
          <w:iCs/>
        </w:rPr>
        <w:t>verlay</w:t>
      </w:r>
      <w:r w:rsidRPr="00A00CE6">
        <w:t xml:space="preserve">, of </w:t>
      </w:r>
      <w:hyperlink r:id="rId22" w:history="1">
        <w:r w:rsidRPr="00A00CE6">
          <w:rPr>
            <w:rStyle w:val="Hyperlink"/>
            <w:i/>
            <w:iCs/>
            <w:u w:val="none"/>
          </w:rPr>
          <w:t>Brisbane City Plan 2014</w:t>
        </w:r>
      </w:hyperlink>
      <w:r w:rsidRPr="00A00CE6">
        <w:t>.</w:t>
      </w:r>
      <w:r w:rsidR="005506DF" w:rsidRPr="00A00CE6">
        <w:t xml:space="preserve">  Design standards</w:t>
      </w:r>
      <w:r w:rsidR="0061762F" w:rsidRPr="00A00CE6">
        <w:t xml:space="preserve"> relating to the installation and maintenance of utility services </w:t>
      </w:r>
      <w:r w:rsidR="004223DD" w:rsidRPr="00A00CE6">
        <w:t>are</w:t>
      </w:r>
      <w:r w:rsidR="003D0DD2" w:rsidRPr="00A00CE6">
        <w:t xml:space="preserve"> as those for Major roads.</w:t>
      </w:r>
    </w:p>
    <w:p w14:paraId="038B9F8E" w14:textId="2F592E59" w:rsidR="007D3572" w:rsidRPr="007D3572" w:rsidRDefault="007D3572" w:rsidP="007D3572">
      <w:pPr>
        <w:pStyle w:val="BodyTextIndent"/>
        <w:rPr>
          <w:rFonts w:cs="Arial"/>
        </w:rPr>
      </w:pPr>
      <w:r w:rsidRPr="00A00CE6">
        <w:rPr>
          <w:rFonts w:cs="Arial"/>
          <w:u w:val="single"/>
        </w:rPr>
        <w:lastRenderedPageBreak/>
        <w:t>Minor roads</w:t>
      </w:r>
      <w:r w:rsidRPr="00A00CE6">
        <w:rPr>
          <w:rFonts w:cs="Arial"/>
        </w:rPr>
        <w:t xml:space="preserve">: </w:t>
      </w:r>
      <w:r w:rsidR="005E6300" w:rsidRPr="00A00CE6">
        <w:t xml:space="preserve">Neighbourhood roads, </w:t>
      </w:r>
      <w:r w:rsidR="005E6300" w:rsidRPr="00A00CE6">
        <w:rPr>
          <w:rFonts w:cs="Arial"/>
        </w:rPr>
        <w:t>L</w:t>
      </w:r>
      <w:r w:rsidRPr="00A00CE6">
        <w:rPr>
          <w:rFonts w:cs="Arial"/>
        </w:rPr>
        <w:t xml:space="preserve">ocal </w:t>
      </w:r>
      <w:r w:rsidR="005E6300" w:rsidRPr="00A00CE6">
        <w:rPr>
          <w:rFonts w:cs="Arial"/>
        </w:rPr>
        <w:t xml:space="preserve">roads </w:t>
      </w:r>
      <w:r w:rsidRPr="00A00CE6">
        <w:rPr>
          <w:rFonts w:cs="Arial"/>
        </w:rPr>
        <w:t xml:space="preserve">and </w:t>
      </w:r>
      <w:r w:rsidR="005E6300" w:rsidRPr="00A00CE6">
        <w:rPr>
          <w:rFonts w:cs="Arial"/>
        </w:rPr>
        <w:t>Laneways</w:t>
      </w:r>
      <w:r w:rsidR="005E6300" w:rsidRPr="00A00CE6">
        <w:t xml:space="preserve"> </w:t>
      </w:r>
      <w:r w:rsidR="00654205" w:rsidRPr="00A00CE6">
        <w:t xml:space="preserve">as defined in the </w:t>
      </w:r>
      <w:r w:rsidR="00654205" w:rsidRPr="00A00CE6">
        <w:rPr>
          <w:i/>
          <w:iCs/>
        </w:rPr>
        <w:t xml:space="preserve">Infrastructure </w:t>
      </w:r>
      <w:r w:rsidR="1A2AAD56" w:rsidRPr="00A00CE6">
        <w:rPr>
          <w:i/>
          <w:iCs/>
        </w:rPr>
        <w:t>d</w:t>
      </w:r>
      <w:r w:rsidR="00654205" w:rsidRPr="00A00CE6">
        <w:rPr>
          <w:i/>
          <w:iCs/>
        </w:rPr>
        <w:t xml:space="preserve">esign </w:t>
      </w:r>
      <w:r w:rsidR="5438794D" w:rsidRPr="00A00CE6">
        <w:rPr>
          <w:i/>
          <w:iCs/>
        </w:rPr>
        <w:t>p</w:t>
      </w:r>
      <w:r w:rsidR="00654205" w:rsidRPr="00A00CE6">
        <w:rPr>
          <w:i/>
          <w:iCs/>
        </w:rPr>
        <w:t xml:space="preserve">lanning </w:t>
      </w:r>
      <w:r w:rsidR="139EDFB8" w:rsidRPr="00A00CE6">
        <w:rPr>
          <w:i/>
          <w:iCs/>
        </w:rPr>
        <w:t>s</w:t>
      </w:r>
      <w:r w:rsidR="00654205" w:rsidRPr="00A00CE6">
        <w:rPr>
          <w:i/>
          <w:iCs/>
        </w:rPr>
        <w:t xml:space="preserve">cheme </w:t>
      </w:r>
      <w:r w:rsidR="578E06BC" w:rsidRPr="00A00CE6">
        <w:rPr>
          <w:i/>
          <w:iCs/>
        </w:rPr>
        <w:t>p</w:t>
      </w:r>
      <w:r w:rsidR="00654205" w:rsidRPr="00A00CE6">
        <w:rPr>
          <w:i/>
          <w:iCs/>
        </w:rPr>
        <w:t>olicy</w:t>
      </w:r>
      <w:r w:rsidR="00654205" w:rsidRPr="00A00CE6">
        <w:t xml:space="preserve">, and </w:t>
      </w:r>
      <w:r w:rsidR="005E6300" w:rsidRPr="00A00CE6">
        <w:t xml:space="preserve">as </w:t>
      </w:r>
      <w:r w:rsidR="00654205" w:rsidRPr="00A00CE6">
        <w:t xml:space="preserve">shown in the </w:t>
      </w:r>
      <w:r w:rsidR="00654205" w:rsidRPr="00A00CE6">
        <w:rPr>
          <w:i/>
          <w:iCs/>
        </w:rPr>
        <w:t xml:space="preserve">Road </w:t>
      </w:r>
      <w:r w:rsidR="211AFA90" w:rsidRPr="00A00CE6">
        <w:rPr>
          <w:i/>
          <w:iCs/>
        </w:rPr>
        <w:t>h</w:t>
      </w:r>
      <w:r w:rsidR="00654205" w:rsidRPr="00A00CE6">
        <w:rPr>
          <w:i/>
          <w:iCs/>
        </w:rPr>
        <w:t xml:space="preserve">ierarchy </w:t>
      </w:r>
      <w:r w:rsidR="1EDAC26D" w:rsidRPr="00A00CE6">
        <w:rPr>
          <w:i/>
          <w:iCs/>
        </w:rPr>
        <w:t>o</w:t>
      </w:r>
      <w:r w:rsidR="00654205" w:rsidRPr="00A00CE6">
        <w:rPr>
          <w:i/>
          <w:iCs/>
        </w:rPr>
        <w:t>verlay</w:t>
      </w:r>
      <w:r w:rsidR="00654205" w:rsidRPr="00A00CE6">
        <w:t xml:space="preserve">, of </w:t>
      </w:r>
      <w:hyperlink r:id="rId23" w:history="1">
        <w:r w:rsidR="00654205" w:rsidRPr="00A00CE6">
          <w:rPr>
            <w:rStyle w:val="Hyperlink"/>
            <w:i/>
            <w:iCs/>
            <w:u w:val="none"/>
          </w:rPr>
          <w:t>Brisbane City Plan 2014</w:t>
        </w:r>
      </w:hyperlink>
      <w:r w:rsidRPr="00A00CE6">
        <w:rPr>
          <w:rFonts w:cs="Arial"/>
        </w:rPr>
        <w:t>.</w:t>
      </w:r>
    </w:p>
    <w:p w14:paraId="1E74CB40" w14:textId="0A37C5F8" w:rsidR="00BE1561" w:rsidRPr="00446BF1" w:rsidRDefault="00BE1561" w:rsidP="003E4D8A">
      <w:pPr>
        <w:pStyle w:val="BodyTextIndent"/>
        <w:rPr>
          <w:rFonts w:cs="Arial"/>
        </w:rPr>
      </w:pPr>
      <w:r w:rsidRPr="00366B19">
        <w:rPr>
          <w:rFonts w:cs="Arial"/>
          <w:u w:val="single"/>
        </w:rPr>
        <w:t>Non-rippable material</w:t>
      </w:r>
      <w:r w:rsidRPr="00446BF1">
        <w:rPr>
          <w:rFonts w:cs="Arial"/>
        </w:rPr>
        <w:t xml:space="preserve">: As defined </w:t>
      </w:r>
      <w:r w:rsidR="00446BF1">
        <w:rPr>
          <w:rFonts w:cs="Arial"/>
        </w:rPr>
        <w:t xml:space="preserve">for confined excavation </w:t>
      </w:r>
      <w:r w:rsidRPr="00446BF1">
        <w:rPr>
          <w:rFonts w:cs="Arial"/>
        </w:rPr>
        <w:t xml:space="preserve">in </w:t>
      </w:r>
      <w:r w:rsidRPr="00446BF1">
        <w:rPr>
          <w:rFonts w:cs="Arial"/>
          <w:i/>
          <w:iCs/>
        </w:rPr>
        <w:t>Clause</w:t>
      </w:r>
      <w:r w:rsidR="001241A3">
        <w:t> </w:t>
      </w:r>
      <w:r w:rsidRPr="00446BF1">
        <w:rPr>
          <w:rFonts w:cs="Arial"/>
          <w:i/>
          <w:iCs/>
        </w:rPr>
        <w:t>7.8</w:t>
      </w:r>
      <w:r w:rsidR="00446BF1">
        <w:rPr>
          <w:rFonts w:cs="Arial"/>
          <w:i/>
          <w:iCs/>
        </w:rPr>
        <w:t xml:space="preserve"> </w:t>
      </w:r>
      <w:r w:rsidR="00446BF1" w:rsidRPr="00446BF1">
        <w:rPr>
          <w:rFonts w:cs="Arial"/>
          <w:iCs/>
        </w:rPr>
        <w:t>of</w:t>
      </w:r>
      <w:r w:rsidR="00446BF1">
        <w:rPr>
          <w:rFonts w:cs="Arial"/>
          <w:i/>
          <w:iCs/>
        </w:rPr>
        <w:t xml:space="preserve"> </w:t>
      </w:r>
      <w:r w:rsidR="00945905">
        <w:rPr>
          <w:rFonts w:cs="Arial"/>
          <w:i/>
          <w:iCs/>
        </w:rPr>
        <w:t xml:space="preserve">Reference Specification </w:t>
      </w:r>
      <w:r w:rsidR="00446BF1">
        <w:rPr>
          <w:rFonts w:cs="Arial"/>
          <w:i/>
          <w:iCs/>
        </w:rPr>
        <w:t>S140 Earthworks</w:t>
      </w:r>
      <w:r w:rsidRPr="00446BF1">
        <w:rPr>
          <w:rFonts w:cs="Arial"/>
        </w:rPr>
        <w:t>.</w:t>
      </w:r>
    </w:p>
    <w:p w14:paraId="01A626BA" w14:textId="77777777" w:rsidR="00026171" w:rsidRDefault="00026171" w:rsidP="003E4D8A">
      <w:pPr>
        <w:pStyle w:val="BodyTextIndent"/>
      </w:pPr>
      <w:r w:rsidRPr="00366B19">
        <w:rPr>
          <w:u w:val="single"/>
        </w:rPr>
        <w:t>Subgrade</w:t>
      </w:r>
      <w:r>
        <w:t>: The prepared formation on which a pavement or slab is constructed or the top portion of earthworks immediately below the pavement or slab.  Subgrade is considered to be the top 150 mm in cuttings and the top 300 mm in embankment unless stated otherwise.</w:t>
      </w:r>
    </w:p>
    <w:p w14:paraId="5E286431" w14:textId="77777777" w:rsidR="00026171" w:rsidRDefault="00026171" w:rsidP="003E4D8A">
      <w:pPr>
        <w:pStyle w:val="BodyTextIndent"/>
      </w:pPr>
      <w:r w:rsidRPr="00366B19">
        <w:rPr>
          <w:u w:val="single"/>
        </w:rPr>
        <w:t>Relative compaction</w:t>
      </w:r>
      <w:r>
        <w:t>: The ratio between the field bulk density and the bulk density of the material when compacted in the laboratory.</w:t>
      </w:r>
    </w:p>
    <w:p w14:paraId="4E98959A" w14:textId="77777777" w:rsidR="00026171" w:rsidRDefault="008843FC" w:rsidP="00A35425">
      <w:pPr>
        <w:pStyle w:val="Heading3"/>
      </w:pPr>
      <w:bookmarkStart w:id="17" w:name="_Toc76024346"/>
      <w:r w:rsidRPr="00B2105C">
        <w:t>Measurement</w:t>
      </w:r>
      <w:bookmarkEnd w:id="17"/>
    </w:p>
    <w:p w14:paraId="4EB0062B" w14:textId="77777777" w:rsidR="00026171" w:rsidRDefault="00026171" w:rsidP="003E4D8A">
      <w:pPr>
        <w:pStyle w:val="BodyTextIndentBoldUnderline"/>
      </w:pPr>
      <w:r>
        <w:t>General</w:t>
      </w:r>
    </w:p>
    <w:p w14:paraId="51E97590" w14:textId="77777777" w:rsidR="00026171" w:rsidRDefault="00026171" w:rsidP="003E4D8A">
      <w:pPr>
        <w:pStyle w:val="BodyTextIndent"/>
      </w:pPr>
      <w:r>
        <w:t xml:space="preserve">If provisional quantities are specified, or there have been variations to the </w:t>
      </w:r>
      <w:r w:rsidR="00DB1E16">
        <w:t>designed</w:t>
      </w:r>
      <w:r>
        <w:t xml:space="preserve"> dimensions of excavations, do not commence backfilling until the quantities of excavation and backfilling have been agreed and recorded.</w:t>
      </w:r>
    </w:p>
    <w:p w14:paraId="044FFC45" w14:textId="77777777" w:rsidR="00026171" w:rsidRDefault="00026171" w:rsidP="003E4D8A">
      <w:pPr>
        <w:pStyle w:val="BodyTextIndentBoldUnderline"/>
      </w:pPr>
      <w:r>
        <w:t>Measurement of non-rippable material</w:t>
      </w:r>
    </w:p>
    <w:p w14:paraId="0B8D8636" w14:textId="77777777" w:rsidR="00026171" w:rsidRDefault="00026171" w:rsidP="003E4D8A">
      <w:pPr>
        <w:pStyle w:val="BodyTextIndent"/>
      </w:pPr>
      <w:r>
        <w:t>If payment is to be claimed for excavation in non-rippable material, do not remove the material until the level and (if applicable) class of material have been determined.</w:t>
      </w:r>
    </w:p>
    <w:p w14:paraId="4F62805C" w14:textId="77777777" w:rsidR="00026171" w:rsidRDefault="00026171" w:rsidP="00A35425">
      <w:pPr>
        <w:pStyle w:val="Heading2"/>
      </w:pPr>
      <w:bookmarkStart w:id="18" w:name="_Toc493942072"/>
      <w:bookmarkStart w:id="19" w:name="_Toc493986911"/>
      <w:bookmarkStart w:id="20" w:name="_Toc76024347"/>
      <w:r w:rsidRPr="007C10CA">
        <w:t>QUALITY</w:t>
      </w:r>
      <w:bookmarkEnd w:id="18"/>
      <w:bookmarkEnd w:id="19"/>
      <w:bookmarkEnd w:id="20"/>
    </w:p>
    <w:p w14:paraId="10E332D9" w14:textId="77777777" w:rsidR="00026171" w:rsidRDefault="008843FC" w:rsidP="00A35425">
      <w:pPr>
        <w:pStyle w:val="Heading3"/>
      </w:pPr>
      <w:bookmarkStart w:id="21" w:name="_Toc76024348"/>
      <w:r w:rsidRPr="007C10CA">
        <w:t>Inspection</w:t>
      </w:r>
      <w:bookmarkEnd w:id="21"/>
    </w:p>
    <w:p w14:paraId="7722781C" w14:textId="77777777" w:rsidR="00026171" w:rsidRDefault="00026171" w:rsidP="003E4D8A">
      <w:pPr>
        <w:pStyle w:val="BodyTextIndentBoldUnderline"/>
        <w:rPr>
          <w:i/>
        </w:rPr>
      </w:pPr>
      <w:r>
        <w:t>Witness points</w:t>
      </w:r>
    </w:p>
    <w:p w14:paraId="0066BCBE" w14:textId="77777777" w:rsidR="00026171" w:rsidRDefault="00026171" w:rsidP="003E4D8A">
      <w:pPr>
        <w:pStyle w:val="BodyTextIndent"/>
      </w:pPr>
      <w:r>
        <w:rPr>
          <w:i/>
        </w:rPr>
        <w:t>Refer annexure</w:t>
      </w:r>
      <w:r>
        <w:t>.  Give sufficient notice so that inspection may be made of the following stages:</w:t>
      </w:r>
    </w:p>
    <w:p w14:paraId="00636E2A" w14:textId="77777777" w:rsidR="00026171" w:rsidRDefault="00026171" w:rsidP="003E4D8A">
      <w:pPr>
        <w:pStyle w:val="BodyTextIndentDot"/>
      </w:pPr>
      <w:r>
        <w:t>Trenches excavated before laying the service or drain.</w:t>
      </w:r>
    </w:p>
    <w:p w14:paraId="0185EA06" w14:textId="77777777" w:rsidR="00026171" w:rsidRDefault="00026171" w:rsidP="003E4D8A">
      <w:pPr>
        <w:pStyle w:val="BodyTextIndentDot"/>
      </w:pPr>
      <w:r>
        <w:t>Services or drains laid in trenches and ready for backfilling.</w:t>
      </w:r>
    </w:p>
    <w:p w14:paraId="096FA2D7" w14:textId="77777777" w:rsidR="00026171" w:rsidRDefault="00026171" w:rsidP="003E4D8A">
      <w:pPr>
        <w:pStyle w:val="BodyTextIndentDot"/>
      </w:pPr>
      <w:r>
        <w:t>Any boring or jacking operation.</w:t>
      </w:r>
    </w:p>
    <w:p w14:paraId="1AC6C890" w14:textId="77777777" w:rsidR="00026171" w:rsidRDefault="00026171" w:rsidP="003E4D8A">
      <w:pPr>
        <w:pStyle w:val="BodyTextIndentDot"/>
      </w:pPr>
      <w:r>
        <w:t>Service conduits ready for testing.</w:t>
      </w:r>
      <w:r>
        <w:fldChar w:fldCharType="begin"/>
      </w:r>
      <w:r>
        <w:instrText>ADVANCE \d3</w:instrText>
      </w:r>
      <w:r>
        <w:fldChar w:fldCharType="end"/>
      </w:r>
      <w:r>
        <w:fldChar w:fldCharType="begin"/>
      </w:r>
      <w:r>
        <w:instrText>ADVANCE \u3</w:instrText>
      </w:r>
      <w:r>
        <w:fldChar w:fldCharType="end"/>
      </w:r>
      <w:r>
        <w:fldChar w:fldCharType="begin"/>
      </w:r>
      <w:r>
        <w:instrText>ADVANCE \d3</w:instrText>
      </w:r>
      <w:r>
        <w:fldChar w:fldCharType="end"/>
      </w:r>
      <w:r>
        <w:fldChar w:fldCharType="begin"/>
      </w:r>
      <w:r>
        <w:instrText>ADVANCE \u3</w:instrText>
      </w:r>
      <w:r>
        <w:fldChar w:fldCharType="end"/>
      </w:r>
    </w:p>
    <w:p w14:paraId="57090529" w14:textId="77777777" w:rsidR="00E478EB" w:rsidRDefault="008843FC" w:rsidP="00A35425">
      <w:pPr>
        <w:pStyle w:val="Heading3"/>
      </w:pPr>
      <w:bookmarkStart w:id="22" w:name="_Toc76024349"/>
      <w:r>
        <w:t>Conduit Testing</w:t>
      </w:r>
      <w:bookmarkEnd w:id="22"/>
    </w:p>
    <w:p w14:paraId="1017DD26" w14:textId="77777777" w:rsidR="00D77A7F" w:rsidRDefault="00D77A7F" w:rsidP="003E4D8A">
      <w:pPr>
        <w:pStyle w:val="BodyTextIndent"/>
      </w:pPr>
      <w:r>
        <w:t>Time: Test all conduits after completion of subgrade preparation</w:t>
      </w:r>
      <w:r w:rsidR="009B4C2E">
        <w:t xml:space="preserve"> or trench backfilling</w:t>
      </w:r>
      <w:r>
        <w:t xml:space="preserve"> and before commencement of pavement construction.</w:t>
      </w:r>
    </w:p>
    <w:p w14:paraId="7E8BB9D1" w14:textId="77777777" w:rsidR="00D77A7F" w:rsidRDefault="00420CD5" w:rsidP="003E4D8A">
      <w:pPr>
        <w:pStyle w:val="BodyTextIndent"/>
      </w:pPr>
      <w:r>
        <w:t>Test: C</w:t>
      </w:r>
      <w:r w:rsidRPr="00AC72AD">
        <w:t>onduits must be tested by easily passing a mandrel at least 80% of the conduit’s nominal internal diameter through the conduit.</w:t>
      </w:r>
    </w:p>
    <w:p w14:paraId="51647DE9" w14:textId="77777777" w:rsidR="00D77A7F" w:rsidRPr="00962D96" w:rsidRDefault="008843FC" w:rsidP="00A35425">
      <w:pPr>
        <w:pStyle w:val="Heading3"/>
      </w:pPr>
      <w:bookmarkStart w:id="23" w:name="_Toc76024350"/>
      <w:r w:rsidRPr="003E4D8A">
        <w:t>Compaction</w:t>
      </w:r>
      <w:r>
        <w:t xml:space="preserve"> Testing Requirements</w:t>
      </w:r>
      <w:bookmarkEnd w:id="23"/>
    </w:p>
    <w:p w14:paraId="173F3E92" w14:textId="77777777" w:rsidR="00514925" w:rsidRDefault="00514925" w:rsidP="00514925">
      <w:pPr>
        <w:pStyle w:val="BodyTextIndent2"/>
        <w:jc w:val="both"/>
        <w:rPr>
          <w:b/>
          <w:sz w:val="22"/>
          <w:u w:val="single"/>
        </w:rPr>
      </w:pPr>
      <w:r>
        <w:rPr>
          <w:b/>
          <w:sz w:val="22"/>
          <w:u w:val="single"/>
        </w:rPr>
        <w:t>General</w:t>
      </w:r>
    </w:p>
    <w:p w14:paraId="7050223B" w14:textId="77777777" w:rsidR="00514925" w:rsidRDefault="00514925" w:rsidP="003E4D8A">
      <w:pPr>
        <w:pStyle w:val="BodyTextIndent"/>
      </w:pPr>
      <w:r>
        <w:t>Compaction testing is not required for isolated patches less than 2 m</w:t>
      </w:r>
      <w:r>
        <w:rPr>
          <w:vertAlign w:val="superscript"/>
        </w:rPr>
        <w:t>2</w:t>
      </w:r>
      <w:r>
        <w:t xml:space="preserve"> in size.  Patches are usually associated with the installation of service connections or carrying out repair work.  Patches are typically characterised by width to length ratios less than two.</w:t>
      </w:r>
    </w:p>
    <w:p w14:paraId="4D3E1E4E" w14:textId="77777777" w:rsidR="00514925" w:rsidRDefault="00A3525D" w:rsidP="003E4D8A">
      <w:pPr>
        <w:pStyle w:val="BodyTextIndentBoldUnderline"/>
      </w:pPr>
      <w:r>
        <w:t>Trench b</w:t>
      </w:r>
      <w:r w:rsidR="00514925">
        <w:t>ackfill</w:t>
      </w:r>
      <w:r>
        <w:t xml:space="preserve"> to subgrade level</w:t>
      </w:r>
    </w:p>
    <w:p w14:paraId="631D6D53" w14:textId="77777777" w:rsidR="00514925" w:rsidRPr="003E4D8A" w:rsidRDefault="00514925" w:rsidP="003E4D8A">
      <w:pPr>
        <w:pStyle w:val="BodyTextIndent"/>
      </w:pPr>
      <w:r w:rsidRPr="00673051">
        <w:rPr>
          <w:u w:val="single"/>
        </w:rPr>
        <w:t>Maximum dry density</w:t>
      </w:r>
      <w:r w:rsidRPr="003E4D8A">
        <w:t xml:space="preserve">: Standard compactive effort to </w:t>
      </w:r>
      <w:r w:rsidRPr="00722CEB">
        <w:rPr>
          <w:i/>
        </w:rPr>
        <w:t>AS 1289.5.1.1</w:t>
      </w:r>
      <w:r w:rsidRPr="003E4D8A">
        <w:t>.</w:t>
      </w:r>
    </w:p>
    <w:p w14:paraId="7AF804EE" w14:textId="77777777" w:rsidR="00514925" w:rsidRPr="003E4D8A" w:rsidRDefault="00514925" w:rsidP="003E4D8A">
      <w:pPr>
        <w:pStyle w:val="BodyTextIndent"/>
      </w:pPr>
      <w:r w:rsidRPr="00673051">
        <w:rPr>
          <w:u w:val="single"/>
        </w:rPr>
        <w:t>Field dry density</w:t>
      </w:r>
      <w:r w:rsidRPr="003E4D8A">
        <w:t xml:space="preserve">: To </w:t>
      </w:r>
      <w:r w:rsidRPr="00722CEB">
        <w:rPr>
          <w:i/>
        </w:rPr>
        <w:t>AS</w:t>
      </w:r>
      <w:r w:rsidR="007F7D07" w:rsidRPr="00722CEB">
        <w:rPr>
          <w:i/>
        </w:rPr>
        <w:t> </w:t>
      </w:r>
      <w:r w:rsidRPr="00722CEB">
        <w:rPr>
          <w:i/>
        </w:rPr>
        <w:t>1289.5.3.1</w:t>
      </w:r>
      <w:r w:rsidRPr="003E4D8A">
        <w:t xml:space="preserve">, </w:t>
      </w:r>
      <w:r w:rsidRPr="00722CEB">
        <w:rPr>
          <w:i/>
        </w:rPr>
        <w:t>AS</w:t>
      </w:r>
      <w:r w:rsidR="007F7D07" w:rsidRPr="00722CEB">
        <w:rPr>
          <w:i/>
        </w:rPr>
        <w:t> </w:t>
      </w:r>
      <w:r w:rsidRPr="00722CEB">
        <w:rPr>
          <w:i/>
        </w:rPr>
        <w:t>1289.5.3.5</w:t>
      </w:r>
      <w:r w:rsidRPr="003E4D8A">
        <w:t xml:space="preserve"> or </w:t>
      </w:r>
      <w:r w:rsidRPr="00722CEB">
        <w:rPr>
          <w:i/>
        </w:rPr>
        <w:t>AS</w:t>
      </w:r>
      <w:r w:rsidR="007F7D07" w:rsidRPr="00722CEB">
        <w:rPr>
          <w:i/>
        </w:rPr>
        <w:t> </w:t>
      </w:r>
      <w:r w:rsidRPr="00722CEB">
        <w:rPr>
          <w:i/>
        </w:rPr>
        <w:t>1289.5.8.1</w:t>
      </w:r>
      <w:r w:rsidRPr="003E4D8A">
        <w:t>.</w:t>
      </w:r>
    </w:p>
    <w:p w14:paraId="17E2215D" w14:textId="77777777" w:rsidR="00514925" w:rsidRPr="003E4D8A" w:rsidRDefault="00514925" w:rsidP="003E4D8A">
      <w:pPr>
        <w:pStyle w:val="BodyTextIndent"/>
      </w:pPr>
      <w:r w:rsidRPr="00673051">
        <w:rPr>
          <w:u w:val="single"/>
        </w:rPr>
        <w:t>Density index for cohesionless soils</w:t>
      </w:r>
      <w:r w:rsidRPr="003E4D8A">
        <w:t xml:space="preserve">: Determine in accordance with </w:t>
      </w:r>
      <w:r w:rsidRPr="00722CEB">
        <w:rPr>
          <w:i/>
        </w:rPr>
        <w:t>AS 1289.5.6.1</w:t>
      </w:r>
      <w:r w:rsidRPr="003E4D8A">
        <w:t>.</w:t>
      </w:r>
    </w:p>
    <w:p w14:paraId="5926ACD9" w14:textId="6D7D6D5E" w:rsidR="00514925" w:rsidRDefault="00514925" w:rsidP="003E4D8A">
      <w:pPr>
        <w:pStyle w:val="BodyTextIndent"/>
      </w:pPr>
      <w:r w:rsidRPr="00673051">
        <w:rPr>
          <w:u w:val="single"/>
        </w:rPr>
        <w:t>Test frequency</w:t>
      </w:r>
      <w:r w:rsidRPr="003E4D8A">
        <w:t>: 1</w:t>
      </w:r>
      <w:r w:rsidR="00EF6BD0" w:rsidRPr="00DF46CF">
        <w:rPr>
          <w:iCs/>
        </w:rPr>
        <w:t> </w:t>
      </w:r>
      <w:r w:rsidRPr="003E4D8A">
        <w:t>field density test per 2</w:t>
      </w:r>
      <w:r w:rsidR="00EF6BD0" w:rsidRPr="00DF46CF">
        <w:rPr>
          <w:iCs/>
        </w:rPr>
        <w:t> </w:t>
      </w:r>
      <w:r w:rsidRPr="003E4D8A">
        <w:t>layers for every 40</w:t>
      </w:r>
      <w:r w:rsidR="00EF6BD0" w:rsidRPr="00DF46CF">
        <w:rPr>
          <w:iCs/>
        </w:rPr>
        <w:t> </w:t>
      </w:r>
      <w:r w:rsidRPr="003E4D8A">
        <w:t>linear</w:t>
      </w:r>
      <w:r w:rsidR="00EF6BD0" w:rsidRPr="00DF46CF">
        <w:rPr>
          <w:iCs/>
        </w:rPr>
        <w:t> </w:t>
      </w:r>
      <w:r w:rsidRPr="003E4D8A">
        <w:t>metres of trench or for the part</w:t>
      </w:r>
      <w:r>
        <w:t xml:space="preserve"> thereof.</w:t>
      </w:r>
    </w:p>
    <w:p w14:paraId="3BC1E649" w14:textId="5AC9A391" w:rsidR="00514925" w:rsidRDefault="00514925" w:rsidP="003E4D8A">
      <w:pPr>
        <w:pStyle w:val="BodyTextIndentBoldUnderline"/>
      </w:pPr>
      <w:r>
        <w:t>Unbound pavement</w:t>
      </w:r>
    </w:p>
    <w:p w14:paraId="18AC561D" w14:textId="77777777" w:rsidR="00514925" w:rsidRDefault="00514925" w:rsidP="003E4D8A">
      <w:pPr>
        <w:pStyle w:val="BodyTextIndent"/>
      </w:pPr>
      <w:r w:rsidRPr="00EF6BD0">
        <w:rPr>
          <w:u w:val="single"/>
        </w:rPr>
        <w:t>Maximum dry density</w:t>
      </w:r>
      <w:r>
        <w:t xml:space="preserve">: Modified compactive effort in accordance with </w:t>
      </w:r>
      <w:r w:rsidRPr="00722CEB">
        <w:rPr>
          <w:i/>
        </w:rPr>
        <w:t>AS 1289.5.2.1</w:t>
      </w:r>
      <w:r>
        <w:t>.</w:t>
      </w:r>
    </w:p>
    <w:p w14:paraId="267056FA" w14:textId="77777777" w:rsidR="00514925" w:rsidRDefault="00514925" w:rsidP="003E4D8A">
      <w:pPr>
        <w:pStyle w:val="BodyTextIndent"/>
      </w:pPr>
      <w:r w:rsidRPr="00EF6BD0">
        <w:rPr>
          <w:u w:val="single"/>
        </w:rPr>
        <w:t>Field dry density</w:t>
      </w:r>
      <w:r>
        <w:t xml:space="preserve">: To </w:t>
      </w:r>
      <w:r w:rsidRPr="00722CEB">
        <w:rPr>
          <w:i/>
        </w:rPr>
        <w:t>AS</w:t>
      </w:r>
      <w:r w:rsidR="00722CEB" w:rsidRPr="003E4D8A">
        <w:t> </w:t>
      </w:r>
      <w:r w:rsidRPr="00722CEB">
        <w:rPr>
          <w:i/>
        </w:rPr>
        <w:t>1289.5.3.1</w:t>
      </w:r>
      <w:r>
        <w:t xml:space="preserve">, </w:t>
      </w:r>
      <w:r w:rsidRPr="00722CEB">
        <w:rPr>
          <w:i/>
        </w:rPr>
        <w:t>AS</w:t>
      </w:r>
      <w:r w:rsidR="00722CEB" w:rsidRPr="003E4D8A">
        <w:t> </w:t>
      </w:r>
      <w:r w:rsidRPr="00722CEB">
        <w:rPr>
          <w:i/>
        </w:rPr>
        <w:t>1289.5.3.5</w:t>
      </w:r>
      <w:r>
        <w:t xml:space="preserve"> or </w:t>
      </w:r>
      <w:r w:rsidRPr="00722CEB">
        <w:rPr>
          <w:i/>
        </w:rPr>
        <w:t>AS</w:t>
      </w:r>
      <w:r w:rsidR="00722CEB" w:rsidRPr="00722CEB">
        <w:rPr>
          <w:i/>
        </w:rPr>
        <w:t> </w:t>
      </w:r>
      <w:r w:rsidRPr="00722CEB">
        <w:rPr>
          <w:i/>
        </w:rPr>
        <w:t>1289.5.8.1</w:t>
      </w:r>
      <w:r>
        <w:t>.</w:t>
      </w:r>
    </w:p>
    <w:p w14:paraId="3EC57064" w14:textId="559B714F" w:rsidR="00514925" w:rsidRDefault="00514925" w:rsidP="003E4D8A">
      <w:pPr>
        <w:pStyle w:val="BodyTextIndent"/>
      </w:pPr>
      <w:r w:rsidRPr="00EF6BD0">
        <w:rPr>
          <w:u w:val="single"/>
        </w:rPr>
        <w:t>Test frequency</w:t>
      </w:r>
      <w:r>
        <w:t xml:space="preserve">: 1 </w:t>
      </w:r>
      <w:r w:rsidR="00214694">
        <w:t>in-</w:t>
      </w:r>
      <w:r>
        <w:t>situ density test per single compacted layer of work for every 40 linear metres of trench or for the part thereof.</w:t>
      </w:r>
    </w:p>
    <w:p w14:paraId="417765EB" w14:textId="77777777" w:rsidR="00A35425" w:rsidRDefault="00A35425" w:rsidP="00A35425">
      <w:pPr>
        <w:pStyle w:val="BodyText"/>
        <w:rPr>
          <w:u w:val="single"/>
        </w:rPr>
      </w:pPr>
      <w:r>
        <w:br w:type="page"/>
      </w:r>
    </w:p>
    <w:p w14:paraId="37756F51" w14:textId="2F6E9C85" w:rsidR="00514925" w:rsidRDefault="00514925" w:rsidP="003E4D8A">
      <w:pPr>
        <w:pStyle w:val="BodyTextIndentBoldUnderline"/>
      </w:pPr>
      <w:r>
        <w:lastRenderedPageBreak/>
        <w:t>Asphalt</w:t>
      </w:r>
    </w:p>
    <w:p w14:paraId="2F3C38BD" w14:textId="77777777" w:rsidR="00514925" w:rsidRDefault="00514925" w:rsidP="003E4D8A">
      <w:pPr>
        <w:pStyle w:val="BodyTextIndent"/>
      </w:pPr>
      <w:r w:rsidRPr="00EF6BD0">
        <w:rPr>
          <w:u w:val="single"/>
        </w:rPr>
        <w:t>Test frequency</w:t>
      </w:r>
      <w:r>
        <w:t>: 1 density test per single compacted layer of work for every 40 linear metres of trench or for the part thereof.</w:t>
      </w:r>
    </w:p>
    <w:p w14:paraId="34597AFC" w14:textId="77777777" w:rsidR="00514925" w:rsidRDefault="00514925" w:rsidP="003E4D8A">
      <w:pPr>
        <w:pStyle w:val="BodyTextIndentBoldUnderline"/>
      </w:pPr>
      <w:r>
        <w:t>Concrete</w:t>
      </w:r>
    </w:p>
    <w:p w14:paraId="67CFE498" w14:textId="77777777" w:rsidR="00514925" w:rsidRDefault="00514925" w:rsidP="003E4D8A">
      <w:pPr>
        <w:pStyle w:val="BodyTextIndent"/>
      </w:pPr>
      <w:r w:rsidRPr="00EF6BD0">
        <w:rPr>
          <w:u w:val="single"/>
        </w:rPr>
        <w:t>Concrete supply</w:t>
      </w:r>
      <w:r>
        <w:t xml:space="preserve">: Supply concrete that is subject to production assessment by the supplier in accordance with </w:t>
      </w:r>
      <w:r w:rsidRPr="009506DF">
        <w:rPr>
          <w:i/>
        </w:rPr>
        <w:t>AS 1379</w:t>
      </w:r>
      <w:r>
        <w:t>.</w:t>
      </w:r>
    </w:p>
    <w:p w14:paraId="2D818D43" w14:textId="77777777" w:rsidR="00514925" w:rsidRDefault="00514925" w:rsidP="003E4D8A">
      <w:pPr>
        <w:pStyle w:val="BodyTextIndent"/>
      </w:pPr>
      <w:r w:rsidRPr="00EF6BD0">
        <w:rPr>
          <w:u w:val="single"/>
        </w:rPr>
        <w:t>Slump</w:t>
      </w:r>
      <w:r>
        <w:t>: Test at least one sample from each batch before placing concrete from that batch in the work.  Take the samples at the point of discharge on site.</w:t>
      </w:r>
    </w:p>
    <w:p w14:paraId="5E150859" w14:textId="77777777" w:rsidR="009B4C2E" w:rsidRPr="00962D96" w:rsidRDefault="000938C4" w:rsidP="00A35425">
      <w:pPr>
        <w:pStyle w:val="Heading3"/>
      </w:pPr>
      <w:bookmarkStart w:id="24" w:name="_Toc76024351"/>
      <w:r>
        <w:t>CCTV Inspection</w:t>
      </w:r>
      <w:bookmarkEnd w:id="24"/>
    </w:p>
    <w:p w14:paraId="67EE2355" w14:textId="77777777" w:rsidR="009B4C2E" w:rsidRDefault="00BD45CE" w:rsidP="009B4C2E">
      <w:pPr>
        <w:pStyle w:val="BodyTextIndent2"/>
        <w:jc w:val="both"/>
        <w:rPr>
          <w:b/>
          <w:sz w:val="22"/>
          <w:u w:val="single"/>
        </w:rPr>
      </w:pPr>
      <w:r>
        <w:rPr>
          <w:b/>
          <w:sz w:val="22"/>
          <w:u w:val="single"/>
        </w:rPr>
        <w:t>Existing enclosed stormwater drains</w:t>
      </w:r>
    </w:p>
    <w:p w14:paraId="35CE6E63" w14:textId="77777777" w:rsidR="00BD45CE" w:rsidRDefault="005F3005" w:rsidP="00BD45CE">
      <w:pPr>
        <w:pStyle w:val="BodyTextIndent"/>
      </w:pPr>
      <w:r>
        <w:t xml:space="preserve">Where the new trench or service </w:t>
      </w:r>
      <w:r w:rsidR="003B72B9">
        <w:t>passe</w:t>
      </w:r>
      <w:r>
        <w:t xml:space="preserve">s </w:t>
      </w:r>
      <w:r w:rsidR="001045F3">
        <w:t xml:space="preserve">an existing stormwater pipe (either vertically or horizontally) </w:t>
      </w:r>
      <w:r>
        <w:t xml:space="preserve">within </w:t>
      </w:r>
      <w:r w:rsidR="001045F3">
        <w:t xml:space="preserve">a distance equal to diameter of the existing stormwater pipe or </w:t>
      </w:r>
      <w:r>
        <w:t>0.5m</w:t>
      </w:r>
      <w:r w:rsidR="001045F3">
        <w:t>,</w:t>
      </w:r>
      <w:r>
        <w:t xml:space="preserve"> </w:t>
      </w:r>
      <w:r w:rsidR="001045F3">
        <w:t>whichever is greater</w:t>
      </w:r>
      <w:r>
        <w:t>, p</w:t>
      </w:r>
      <w:r w:rsidR="00BD45CE">
        <w:t>ipe surveys are required to determine the condition of existing enclosed stormwater drains at the pre</w:t>
      </w:r>
      <w:r w:rsidR="007645BE">
        <w:t>-</w:t>
      </w:r>
      <w:r w:rsidR="00BD45CE">
        <w:t xml:space="preserve"> and post</w:t>
      </w:r>
      <w:r w:rsidR="007645BE">
        <w:t>-</w:t>
      </w:r>
      <w:r w:rsidR="00BD45CE">
        <w:t xml:space="preserve">construction stages.  The applicant must submit both a hardcopy report and a video display of the </w:t>
      </w:r>
      <w:r w:rsidR="007645BE">
        <w:t xml:space="preserve">pre- and post-construction </w:t>
      </w:r>
      <w:r w:rsidR="00BD45CE">
        <w:t>closed circuit television camera (CCTV) inspection</w:t>
      </w:r>
      <w:r w:rsidR="007645BE">
        <w:t>s</w:t>
      </w:r>
      <w:r w:rsidR="00BD45CE">
        <w:t>.</w:t>
      </w:r>
    </w:p>
    <w:p w14:paraId="4B6DA521" w14:textId="5BDCA4F3" w:rsidR="00BD45CE" w:rsidRDefault="00BD45CE" w:rsidP="00BD45CE">
      <w:pPr>
        <w:pStyle w:val="BodyTextIndent"/>
      </w:pPr>
      <w:r>
        <w:t xml:space="preserve">The CCTV inspection report and video must be viewed </w:t>
      </w:r>
      <w:r w:rsidR="001A45CD">
        <w:t xml:space="preserve">and accepted </w:t>
      </w:r>
      <w:r>
        <w:t>by a</w:t>
      </w:r>
      <w:r w:rsidR="003B72B9">
        <w:t xml:space="preserve"> </w:t>
      </w:r>
      <w:r w:rsidR="001A45CD">
        <w:t xml:space="preserve">suitably qualified </w:t>
      </w:r>
      <w:r w:rsidR="003B72B9">
        <w:t>Registered Professional Engineer, Queensland</w:t>
      </w:r>
      <w:r>
        <w:t xml:space="preserve"> </w:t>
      </w:r>
      <w:r w:rsidR="003B72B9">
        <w:t>(</w:t>
      </w:r>
      <w:r>
        <w:t>RPEQ</w:t>
      </w:r>
      <w:r w:rsidR="003B72B9">
        <w:t>)</w:t>
      </w:r>
      <w:r>
        <w:t xml:space="preserve"> prior to submission to Council.  Any additional defects should be </w:t>
      </w:r>
      <w:r w:rsidR="00214694">
        <w:t>identified,</w:t>
      </w:r>
      <w:r>
        <w:t xml:space="preserve"> and remedial measures recommended by the RPEQ.  Remedial measures for all additional defects must be submitted to Council for approval. Once the remedial measures have been completed, a follow up survey is required to demonstrate that they have been carried out to Council’s satisfaction.</w:t>
      </w:r>
    </w:p>
    <w:p w14:paraId="4864C2AC" w14:textId="77777777" w:rsidR="00BD45CE" w:rsidRDefault="00BD45CE" w:rsidP="00BD45CE">
      <w:pPr>
        <w:pStyle w:val="BodyTextIndent2"/>
        <w:jc w:val="both"/>
        <w:rPr>
          <w:b/>
          <w:sz w:val="22"/>
          <w:u w:val="single"/>
        </w:rPr>
      </w:pPr>
      <w:r>
        <w:rPr>
          <w:b/>
          <w:sz w:val="22"/>
          <w:u w:val="single"/>
        </w:rPr>
        <w:t>New enclosed stormwater drains</w:t>
      </w:r>
    </w:p>
    <w:p w14:paraId="5C8D1899" w14:textId="77777777" w:rsidR="009B4C2E" w:rsidRDefault="00CB2525" w:rsidP="00BD45CE">
      <w:pPr>
        <w:pStyle w:val="BodyTextIndent"/>
      </w:pPr>
      <w:r>
        <w:t xml:space="preserve">Undertake closed circuit television camera (CCTV) inspection of </w:t>
      </w:r>
      <w:r w:rsidR="00BD45CE">
        <w:t xml:space="preserve">new </w:t>
      </w:r>
      <w:r>
        <w:t>enclosed stormwater drains to demonstrate that the pipes have not sustained any premature cracking during installation.</w:t>
      </w:r>
    </w:p>
    <w:p w14:paraId="2BF596CD" w14:textId="77777777" w:rsidR="00A07DCC" w:rsidRDefault="00A07DCC" w:rsidP="00A35425">
      <w:pPr>
        <w:pStyle w:val="Heading2"/>
      </w:pPr>
      <w:bookmarkStart w:id="25" w:name="_Toc76024352"/>
      <w:r>
        <w:t>Site management</w:t>
      </w:r>
      <w:bookmarkEnd w:id="25"/>
    </w:p>
    <w:p w14:paraId="07A6FB8F" w14:textId="77777777" w:rsidR="00A3525D" w:rsidRDefault="000938C4" w:rsidP="00A35425">
      <w:pPr>
        <w:pStyle w:val="Heading3"/>
      </w:pPr>
      <w:bookmarkStart w:id="26" w:name="_Toc76024353"/>
      <w:r>
        <w:t>T</w:t>
      </w:r>
      <w:r w:rsidR="00A3525D">
        <w:t xml:space="preserve">raffic </w:t>
      </w:r>
      <w:r>
        <w:t>C</w:t>
      </w:r>
      <w:r w:rsidR="00A3525D">
        <w:t>ontrol</w:t>
      </w:r>
      <w:bookmarkEnd w:id="26"/>
    </w:p>
    <w:p w14:paraId="2C0D628F" w14:textId="77777777" w:rsidR="00A3525D" w:rsidRDefault="00A3525D" w:rsidP="00A3525D">
      <w:pPr>
        <w:pStyle w:val="BodyTextIndent"/>
      </w:pPr>
      <w:r w:rsidRPr="00EF6BD0">
        <w:rPr>
          <w:u w:val="single"/>
        </w:rPr>
        <w:t>General</w:t>
      </w:r>
      <w:r>
        <w:t>: Traffic control shall be undertaken in accordance with the approved Traffic Management Plans and Permits.</w:t>
      </w:r>
    </w:p>
    <w:p w14:paraId="188AD7FA" w14:textId="77777777" w:rsidR="00A3525D" w:rsidRDefault="00A3525D" w:rsidP="00A3525D">
      <w:pPr>
        <w:pStyle w:val="BodyTextIndent"/>
      </w:pPr>
      <w:r w:rsidRPr="00EF6BD0">
        <w:rPr>
          <w:u w:val="single"/>
        </w:rPr>
        <w:t>Method</w:t>
      </w:r>
      <w:r>
        <w:t xml:space="preserve">: Provide for traffic while undertaking the works in accordance with the requirements of </w:t>
      </w:r>
      <w:r w:rsidRPr="00F0269C">
        <w:rPr>
          <w:i/>
        </w:rPr>
        <w:t>Manual of Uniform Traffic Control Devices (Queensland), Part 3: Works on Roads</w:t>
      </w:r>
      <w:r>
        <w:t>.</w:t>
      </w:r>
    </w:p>
    <w:p w14:paraId="218C4500" w14:textId="77777777" w:rsidR="00B957BC" w:rsidRDefault="000938C4" w:rsidP="00A35425">
      <w:pPr>
        <w:pStyle w:val="Heading3"/>
      </w:pPr>
      <w:bookmarkStart w:id="27" w:name="_Toc76024354"/>
      <w:r>
        <w:t>Temporary</w:t>
      </w:r>
      <w:r w:rsidR="00B957BC">
        <w:t xml:space="preserve"> </w:t>
      </w:r>
      <w:r>
        <w:t>S</w:t>
      </w:r>
      <w:r w:rsidR="00B957BC">
        <w:t>urfacing</w:t>
      </w:r>
      <w:bookmarkEnd w:id="27"/>
    </w:p>
    <w:p w14:paraId="1D3FC6CD" w14:textId="77777777" w:rsidR="00F324D2" w:rsidRDefault="00B957BC" w:rsidP="00B957BC">
      <w:pPr>
        <w:pStyle w:val="BodyTextIndent"/>
      </w:pPr>
      <w:r w:rsidRPr="00B957BC">
        <w:t>All roads</w:t>
      </w:r>
      <w:r>
        <w:t>,</w:t>
      </w:r>
      <w:r w:rsidRPr="00B957BC">
        <w:t xml:space="preserve"> footways</w:t>
      </w:r>
      <w:r>
        <w:t>, bikeways and other accessible areas</w:t>
      </w:r>
      <w:r w:rsidRPr="00B957BC">
        <w:t xml:space="preserve"> must be made safe </w:t>
      </w:r>
      <w:r w:rsidR="003B72B9">
        <w:t>for</w:t>
      </w:r>
      <w:r w:rsidRPr="00B957BC">
        <w:t xml:space="preserve"> the </w:t>
      </w:r>
      <w:r w:rsidR="00D20E51">
        <w:t>passage</w:t>
      </w:r>
      <w:r w:rsidRPr="00B957BC">
        <w:t xml:space="preserve"> of vehicle and pedestrian traffic</w:t>
      </w:r>
      <w:r w:rsidR="003B72B9">
        <w:t xml:space="preserve"> before the area is opened to traffic</w:t>
      </w:r>
      <w:r w:rsidR="005C4129">
        <w:t>, either temporarily or permanently</w:t>
      </w:r>
      <w:r w:rsidRPr="00B957BC">
        <w:t>.</w:t>
      </w:r>
    </w:p>
    <w:p w14:paraId="32BA69FC" w14:textId="77777777" w:rsidR="00B957BC" w:rsidRPr="005432ED" w:rsidRDefault="00F2236E" w:rsidP="00B957BC">
      <w:pPr>
        <w:pStyle w:val="BodyTextIndent"/>
      </w:pPr>
      <w:r w:rsidRPr="00B957BC">
        <w:t>All surfaces opened to vehicles or pedestrians must be</w:t>
      </w:r>
      <w:r>
        <w:t xml:space="preserve"> either permanently or</w:t>
      </w:r>
      <w:r w:rsidRPr="00B957BC">
        <w:t xml:space="preserve"> temporarily</w:t>
      </w:r>
      <w:r>
        <w:t xml:space="preserve"> </w:t>
      </w:r>
      <w:r w:rsidRPr="00B957BC">
        <w:t>sealed.</w:t>
      </w:r>
      <w:r>
        <w:t xml:space="preserve"> </w:t>
      </w:r>
      <w:r w:rsidRPr="00B957BC">
        <w:t xml:space="preserve"> </w:t>
      </w:r>
      <w:r>
        <w:t>R</w:t>
      </w:r>
      <w:r w:rsidR="00F324D2">
        <w:t xml:space="preserve">einstatement </w:t>
      </w:r>
      <w:r>
        <w:t xml:space="preserve">of the final permanent surface </w:t>
      </w:r>
      <w:r w:rsidR="00F324D2">
        <w:t>m</w:t>
      </w:r>
      <w:r>
        <w:t>ay</w:t>
      </w:r>
      <w:r w:rsidR="00F324D2">
        <w:t xml:space="preserve"> be delayed</w:t>
      </w:r>
      <w:r>
        <w:t xml:space="preserve"> while the full length of the service is being installed and until testing is completed.  Any</w:t>
      </w:r>
      <w:r w:rsidR="00B957BC" w:rsidRPr="00B957BC">
        <w:t xml:space="preserve"> temporary restorations must have a level and sealed surface</w:t>
      </w:r>
      <w:r w:rsidR="00A046B5">
        <w:t xml:space="preserve"> that is flush with the surrounding surface</w:t>
      </w:r>
      <w:r w:rsidR="00B957BC" w:rsidRPr="00B957BC">
        <w:t xml:space="preserve">. </w:t>
      </w:r>
      <w:r w:rsidR="00B957BC">
        <w:t xml:space="preserve"> U</w:t>
      </w:r>
      <w:r w:rsidR="00B957BC" w:rsidRPr="00B957BC">
        <w:t>se steel plates, turf, cold mix asphalt or hot mix asphalt.</w:t>
      </w:r>
      <w:r w:rsidR="00B957BC">
        <w:t xml:space="preserve"> </w:t>
      </w:r>
      <w:r w:rsidR="00B957BC" w:rsidRPr="00B957BC">
        <w:t xml:space="preserve"> It is not acceptable to </w:t>
      </w:r>
      <w:r w:rsidR="00BB4723">
        <w:t>leave</w:t>
      </w:r>
      <w:r w:rsidR="00B957BC" w:rsidRPr="00B957BC">
        <w:t xml:space="preserve"> gravel, </w:t>
      </w:r>
      <w:r w:rsidR="00A046B5">
        <w:t xml:space="preserve">crusher </w:t>
      </w:r>
      <w:r w:rsidR="00B957BC" w:rsidRPr="00B957BC">
        <w:t>dust</w:t>
      </w:r>
      <w:r w:rsidR="00A046B5">
        <w:t xml:space="preserve">, </w:t>
      </w:r>
      <w:r w:rsidR="001A45CD">
        <w:t>decomposed granite material (</w:t>
      </w:r>
      <w:r w:rsidR="00A046B5">
        <w:t>“deco”</w:t>
      </w:r>
      <w:r w:rsidR="001A45CD">
        <w:t>)</w:t>
      </w:r>
      <w:r w:rsidR="005C4129">
        <w:t>, any other unbound material</w:t>
      </w:r>
      <w:r w:rsidR="00B957BC" w:rsidRPr="00B957BC">
        <w:t xml:space="preserve"> or </w:t>
      </w:r>
      <w:r w:rsidR="00BB4723">
        <w:t>lean</w:t>
      </w:r>
      <w:r w:rsidR="00B957BC" w:rsidRPr="00B957BC">
        <w:t xml:space="preserve"> mix concrete</w:t>
      </w:r>
      <w:r w:rsidR="00BB4723">
        <w:t xml:space="preserve"> </w:t>
      </w:r>
      <w:r w:rsidR="00BB4723" w:rsidRPr="00B957BC">
        <w:t>exposed</w:t>
      </w:r>
      <w:r w:rsidR="00BB4723">
        <w:t xml:space="preserve"> as the temporary surfacing</w:t>
      </w:r>
      <w:r w:rsidR="00B957BC" w:rsidRPr="00B957BC">
        <w:t>.</w:t>
      </w:r>
    </w:p>
    <w:p w14:paraId="3480B546" w14:textId="77777777" w:rsidR="00567F7B" w:rsidRPr="006E2DBD" w:rsidRDefault="008D5BFB" w:rsidP="00567F7B">
      <w:pPr>
        <w:pStyle w:val="BodyTextIndent"/>
      </w:pPr>
      <w:r>
        <w:t>Use of</w:t>
      </w:r>
      <w:r w:rsidR="006E2DBD">
        <w:t xml:space="preserve"> steel plates </w:t>
      </w:r>
      <w:r w:rsidR="00F324D2">
        <w:t xml:space="preserve">must comply with </w:t>
      </w:r>
      <w:r w:rsidR="00567F7B" w:rsidRPr="00945905">
        <w:rPr>
          <w:i/>
        </w:rPr>
        <w:t>Brisbane City Council</w:t>
      </w:r>
      <w:r w:rsidR="00F324D2" w:rsidRPr="00945905">
        <w:rPr>
          <w:i/>
        </w:rPr>
        <w:t xml:space="preserve"> </w:t>
      </w:r>
      <w:r w:rsidR="00567F7B" w:rsidRPr="00945905">
        <w:rPr>
          <w:i/>
        </w:rPr>
        <w:t>Technical Note</w:t>
      </w:r>
      <w:r w:rsidR="00F324D2" w:rsidRPr="00945905">
        <w:rPr>
          <w:i/>
        </w:rPr>
        <w:t xml:space="preserve">, </w:t>
      </w:r>
      <w:r w:rsidR="00567F7B" w:rsidRPr="00945905">
        <w:rPr>
          <w:i/>
        </w:rPr>
        <w:t>TN01 Temporary Access Covers</w:t>
      </w:r>
      <w:r w:rsidR="00F324D2">
        <w:t>.</w:t>
      </w:r>
    </w:p>
    <w:p w14:paraId="48B71845" w14:textId="77777777" w:rsidR="0001053A" w:rsidRDefault="008843FC" w:rsidP="00A35425">
      <w:pPr>
        <w:pStyle w:val="Heading3"/>
      </w:pPr>
      <w:bookmarkStart w:id="28" w:name="_Toc76024355"/>
      <w:r w:rsidRPr="003E4D8A">
        <w:t>Barricades</w:t>
      </w:r>
      <w:bookmarkEnd w:id="28"/>
    </w:p>
    <w:p w14:paraId="332AE0BD" w14:textId="77777777" w:rsidR="0001053A" w:rsidRDefault="0001053A" w:rsidP="003E4D8A">
      <w:pPr>
        <w:pStyle w:val="BodyTextIndent"/>
      </w:pPr>
      <w:r>
        <w:t>Provide and maintain signs, barricades, lights, trench covers and trench crossovers required for vehicular and pedestrian management until such time as services are installed and the surface reinstated.</w:t>
      </w:r>
    </w:p>
    <w:p w14:paraId="0EFC8C0E" w14:textId="77777777" w:rsidR="0001053A" w:rsidRDefault="00124115" w:rsidP="003E4D8A">
      <w:pPr>
        <w:pStyle w:val="BodyTextIndent"/>
      </w:pPr>
      <w:r>
        <w:t>Regularly inspect t</w:t>
      </w:r>
      <w:r w:rsidR="0001053A">
        <w:t xml:space="preserve">he condition of barricades used around trenches and access points </w:t>
      </w:r>
      <w:r>
        <w:t>and immediately rectify any deficiencies that present a potential hazard.</w:t>
      </w:r>
    </w:p>
    <w:p w14:paraId="09959CF4" w14:textId="77777777" w:rsidR="00124115" w:rsidRDefault="008843FC" w:rsidP="00A35425">
      <w:pPr>
        <w:pStyle w:val="Heading3"/>
      </w:pPr>
      <w:bookmarkStart w:id="29" w:name="_Toc76024356"/>
      <w:r w:rsidRPr="003E4D8A">
        <w:lastRenderedPageBreak/>
        <w:t>Tree</w:t>
      </w:r>
      <w:r>
        <w:t xml:space="preserve"> Protection</w:t>
      </w:r>
      <w:bookmarkEnd w:id="29"/>
    </w:p>
    <w:p w14:paraId="4BB2E208" w14:textId="77777777" w:rsidR="00124115" w:rsidRDefault="00E5060F" w:rsidP="003E4D8A">
      <w:pPr>
        <w:pStyle w:val="BodyTextIndent"/>
        <w:rPr>
          <w:i/>
        </w:rPr>
      </w:pPr>
      <w:r>
        <w:t xml:space="preserve">Comply with the requirements of </w:t>
      </w:r>
      <w:r w:rsidRPr="00945905">
        <w:rPr>
          <w:i/>
        </w:rPr>
        <w:t>Reference Specification</w:t>
      </w:r>
      <w:r>
        <w:t xml:space="preserve"> </w:t>
      </w:r>
      <w:r>
        <w:rPr>
          <w:i/>
        </w:rPr>
        <w:t>S140 Earthworks.</w:t>
      </w:r>
    </w:p>
    <w:p w14:paraId="289618E3" w14:textId="77777777" w:rsidR="00B957BC" w:rsidRDefault="00B957BC" w:rsidP="00B957BC">
      <w:pPr>
        <w:pStyle w:val="BodyTextIndent"/>
      </w:pPr>
      <w:r w:rsidRPr="00A64018">
        <w:t>If there is a chance</w:t>
      </w:r>
      <w:r w:rsidR="00A64018">
        <w:t xml:space="preserve"> </w:t>
      </w:r>
      <w:r w:rsidR="00A64018" w:rsidRPr="00A64018">
        <w:t>that root systems or canopies of any street trees</w:t>
      </w:r>
      <w:r w:rsidRPr="00A64018">
        <w:t xml:space="preserve"> may be damaged, notify Council’s </w:t>
      </w:r>
      <w:r w:rsidR="00E537C4">
        <w:t>arboriculture officer</w:t>
      </w:r>
      <w:r w:rsidR="00E537C4" w:rsidRPr="00A64018">
        <w:t xml:space="preserve"> </w:t>
      </w:r>
      <w:r w:rsidR="00511321">
        <w:t xml:space="preserve">and arrange an inspection </w:t>
      </w:r>
      <w:r w:rsidRPr="00A64018">
        <w:t>prior to commencing work.</w:t>
      </w:r>
    </w:p>
    <w:p w14:paraId="214576FC" w14:textId="77777777" w:rsidR="00511321" w:rsidRDefault="00511321" w:rsidP="00A35425">
      <w:pPr>
        <w:pStyle w:val="Heading3"/>
      </w:pPr>
      <w:bookmarkStart w:id="30" w:name="_Toc76024357"/>
      <w:r>
        <w:t>E</w:t>
      </w:r>
      <w:r w:rsidR="00C55787">
        <w:t>xisting</w:t>
      </w:r>
      <w:r>
        <w:t xml:space="preserve"> S</w:t>
      </w:r>
      <w:r w:rsidR="00C55787">
        <w:t>ervices</w:t>
      </w:r>
      <w:bookmarkEnd w:id="30"/>
    </w:p>
    <w:p w14:paraId="00F27612" w14:textId="77777777" w:rsidR="005C74D7" w:rsidRDefault="005C74D7" w:rsidP="005C74D7">
      <w:pPr>
        <w:pStyle w:val="BodyTextIndent"/>
      </w:pPr>
      <w:r w:rsidRPr="00EF6BD0">
        <w:rPr>
          <w:u w:val="single"/>
        </w:rPr>
        <w:t>Approval</w:t>
      </w:r>
      <w:r>
        <w:t>: Obtain approval from service owner to undertake excavation in the vicinity of their services.</w:t>
      </w:r>
    </w:p>
    <w:p w14:paraId="70A83FD1" w14:textId="77777777" w:rsidR="00511321" w:rsidRDefault="00511321" w:rsidP="00511321">
      <w:pPr>
        <w:pStyle w:val="BodyTextIndent"/>
      </w:pPr>
      <w:r w:rsidRPr="00EF6BD0">
        <w:rPr>
          <w:u w:val="single"/>
        </w:rPr>
        <w:t>Marking</w:t>
      </w:r>
      <w:r>
        <w:t>:</w:t>
      </w:r>
      <w:r w:rsidRPr="00FF7E3B">
        <w:t xml:space="preserve"> </w:t>
      </w:r>
      <w:r>
        <w:t>Before commencing ground works, locate</w:t>
      </w:r>
      <w:r w:rsidR="00A925B7">
        <w:t>,</w:t>
      </w:r>
      <w:r>
        <w:t xml:space="preserve"> mark </w:t>
      </w:r>
      <w:r w:rsidR="00A925B7">
        <w:t xml:space="preserve">and identify </w:t>
      </w:r>
      <w:r>
        <w:t>existing underground services in the areas that will be affected by the earthworks operations.  Hand excavation of trial holes may be necessary to determine the alignment and depth of services prior to excavating with machinery.</w:t>
      </w:r>
    </w:p>
    <w:p w14:paraId="01A5265F" w14:textId="77777777" w:rsidR="00511321" w:rsidRDefault="00511321" w:rsidP="00511321">
      <w:pPr>
        <w:pStyle w:val="BodyTextIndent"/>
      </w:pPr>
      <w:r w:rsidRPr="00EF6BD0">
        <w:rPr>
          <w:u w:val="single"/>
        </w:rPr>
        <w:t>Protection</w:t>
      </w:r>
      <w:r>
        <w:t>: Protect existing services from damage during the works.</w:t>
      </w:r>
    </w:p>
    <w:p w14:paraId="37BDC9AD" w14:textId="77777777" w:rsidR="003527F7" w:rsidRDefault="003527F7" w:rsidP="00511321">
      <w:pPr>
        <w:pStyle w:val="BodyTextIndent"/>
      </w:pPr>
      <w:r w:rsidRPr="00EF6BD0">
        <w:rPr>
          <w:u w:val="single"/>
        </w:rPr>
        <w:t>Completion</w:t>
      </w:r>
      <w:r>
        <w:t xml:space="preserve">: </w:t>
      </w:r>
      <w:r w:rsidR="00A925B7">
        <w:t>Prior to completion of surface reinstatement, r</w:t>
      </w:r>
      <w:r>
        <w:t>emove any temporary marks (eg paint) used to locate</w:t>
      </w:r>
      <w:r w:rsidR="00A925B7">
        <w:t>,</w:t>
      </w:r>
      <w:r>
        <w:t xml:space="preserve"> mark </w:t>
      </w:r>
      <w:r w:rsidR="00A925B7">
        <w:t xml:space="preserve">and identify </w:t>
      </w:r>
      <w:r>
        <w:t>underground services</w:t>
      </w:r>
      <w:r w:rsidR="00A925B7">
        <w:t>.</w:t>
      </w:r>
    </w:p>
    <w:p w14:paraId="06EED06A" w14:textId="77777777" w:rsidR="00985AC3" w:rsidRPr="00985AC3" w:rsidRDefault="00FF10E2" w:rsidP="00A35425">
      <w:pPr>
        <w:pStyle w:val="Heading2"/>
      </w:pPr>
      <w:bookmarkStart w:id="31" w:name="_Toc76024358"/>
      <w:bookmarkStart w:id="32" w:name="_Toc493942074"/>
      <w:bookmarkStart w:id="33" w:name="_Toc493986913"/>
      <w:r>
        <w:t>trenchless technologies</w:t>
      </w:r>
      <w:bookmarkEnd w:id="31"/>
    </w:p>
    <w:p w14:paraId="12BE13EE" w14:textId="77777777" w:rsidR="00DD3A6D" w:rsidRPr="00DD3A6D" w:rsidRDefault="00E5586E" w:rsidP="003E4D8A">
      <w:pPr>
        <w:pStyle w:val="BodyTextIndentBoldUnderline"/>
      </w:pPr>
      <w:r>
        <w:t>General</w:t>
      </w:r>
    </w:p>
    <w:p w14:paraId="210F4563" w14:textId="77777777" w:rsidR="00AF6B36" w:rsidRDefault="00945905" w:rsidP="00AF6B36">
      <w:pPr>
        <w:pStyle w:val="BodyTextIndent"/>
      </w:pPr>
      <w:r>
        <w:rPr>
          <w:i/>
        </w:rPr>
        <w:t xml:space="preserve">Refer Annexure.  </w:t>
      </w:r>
      <w:r w:rsidR="00AF6B36">
        <w:t>There are numerous methods available for the installation of underground services without the need to excavate a trench.  There is no single trenchless technology method that is best for all types of crossings.  Site conditions and constraints as well as the purpose of the crossing must be considered when a method is selected.  Trenchless technology methods that may be approved by Council include the following:</w:t>
      </w:r>
    </w:p>
    <w:p w14:paraId="61E5BC15" w14:textId="77777777" w:rsidR="00AF6B36" w:rsidRDefault="00AF6B36" w:rsidP="00AF6B36">
      <w:pPr>
        <w:pStyle w:val="BodyTextIndentDot"/>
      </w:pPr>
      <w:r>
        <w:t>Auger Boring;</w:t>
      </w:r>
    </w:p>
    <w:p w14:paraId="456D58A8" w14:textId="77777777" w:rsidR="00AF6B36" w:rsidRDefault="00AF6B36" w:rsidP="00AF6B36">
      <w:pPr>
        <w:pStyle w:val="BodyTextIndentDot"/>
      </w:pPr>
      <w:r>
        <w:t>Slurry Boring;</w:t>
      </w:r>
    </w:p>
    <w:p w14:paraId="0EEEF582" w14:textId="77777777" w:rsidR="00AF6B36" w:rsidRDefault="00AF6B36" w:rsidP="00AF6B36">
      <w:pPr>
        <w:pStyle w:val="BodyTextIndentDot"/>
      </w:pPr>
      <w:r>
        <w:t>Micro</w:t>
      </w:r>
      <w:r w:rsidR="00511321">
        <w:t>-tunnelling</w:t>
      </w:r>
      <w:r>
        <w:t>;</w:t>
      </w:r>
    </w:p>
    <w:p w14:paraId="004D32DA" w14:textId="77777777" w:rsidR="00AF6B36" w:rsidRDefault="00AF6B36" w:rsidP="00AF6B36">
      <w:pPr>
        <w:pStyle w:val="BodyTextIndentDot"/>
      </w:pPr>
      <w:r>
        <w:t>Horizontal Directional Drilling;</w:t>
      </w:r>
    </w:p>
    <w:p w14:paraId="2CA498A2" w14:textId="77777777" w:rsidR="00AF6B36" w:rsidRDefault="00AF6B36" w:rsidP="00AF6B36">
      <w:pPr>
        <w:pStyle w:val="BodyTextIndentDot"/>
      </w:pPr>
      <w:r>
        <w:t>Pipe Ramming;</w:t>
      </w:r>
    </w:p>
    <w:p w14:paraId="4180449D" w14:textId="77777777" w:rsidR="00AF6B36" w:rsidRDefault="00AF6B36" w:rsidP="00AF6B36">
      <w:pPr>
        <w:pStyle w:val="BodyTextIndentDot"/>
      </w:pPr>
      <w:r>
        <w:t>Pipe Jacking; and</w:t>
      </w:r>
    </w:p>
    <w:p w14:paraId="70D50104" w14:textId="77777777" w:rsidR="00AF6B36" w:rsidRDefault="00AF6B36" w:rsidP="00AF6B36">
      <w:pPr>
        <w:pStyle w:val="BodyTextIndentDot"/>
      </w:pPr>
      <w:r w:rsidRPr="004A18B5">
        <w:t>Thrust Boring.</w:t>
      </w:r>
    </w:p>
    <w:p w14:paraId="3694E952" w14:textId="77777777" w:rsidR="00DD3A6D" w:rsidRPr="00DD3A6D" w:rsidRDefault="00985AC3" w:rsidP="003E4D8A">
      <w:pPr>
        <w:pStyle w:val="BodyTextIndentBoldUnderline"/>
      </w:pPr>
      <w:r w:rsidRPr="00DD3A6D">
        <w:t>Execution</w:t>
      </w:r>
    </w:p>
    <w:p w14:paraId="09C7B3CD" w14:textId="77777777" w:rsidR="00985AC3" w:rsidRDefault="00985AC3" w:rsidP="003E4D8A">
      <w:pPr>
        <w:pStyle w:val="BodyTextIndent"/>
      </w:pPr>
      <w:r>
        <w:t>Undertake boring or jacking by specialist operators with experience in similar works (diameter, length, ground conditions), using purpose-made equipment capable of maintaining correct lines and levels of completed conduits.  Ensure a tight fit to the service pipe or casing.</w:t>
      </w:r>
    </w:p>
    <w:p w14:paraId="4D497E1D" w14:textId="77777777" w:rsidR="00DD3A6D" w:rsidRDefault="00985AC3" w:rsidP="003E4D8A">
      <w:pPr>
        <w:pStyle w:val="BodyTextIndentBoldUnderline"/>
      </w:pPr>
      <w:r w:rsidRPr="00DD3A6D">
        <w:t>Protective conduits, concrete encasement, ducts or enveloping pipes</w:t>
      </w:r>
    </w:p>
    <w:p w14:paraId="1777F2AF" w14:textId="01FCC82B" w:rsidR="00985AC3" w:rsidRDefault="00985AC3" w:rsidP="000D5D5B">
      <w:pPr>
        <w:pStyle w:val="BodyTextIndent"/>
      </w:pPr>
      <w:r>
        <w:t xml:space="preserve">Extend protective casing a </w:t>
      </w:r>
      <w:r w:rsidR="0006670C">
        <w:t>minimum of one</w:t>
      </w:r>
      <w:r w:rsidR="00B2213E" w:rsidRPr="00DF46CF">
        <w:rPr>
          <w:iCs/>
        </w:rPr>
        <w:t> </w:t>
      </w:r>
      <w:r w:rsidR="0006670C">
        <w:t>(1)</w:t>
      </w:r>
      <w:r w:rsidR="00B2213E" w:rsidRPr="00DF46CF">
        <w:rPr>
          <w:iCs/>
        </w:rPr>
        <w:t> </w:t>
      </w:r>
      <w:r w:rsidR="0006670C">
        <w:t xml:space="preserve">metre </w:t>
      </w:r>
      <w:r>
        <w:t>beyond batters</w:t>
      </w:r>
      <w:r w:rsidR="0006670C">
        <w:t xml:space="preserve"> and</w:t>
      </w:r>
      <w:r>
        <w:t xml:space="preserve"> table drains and </w:t>
      </w:r>
      <w:r w:rsidR="0006670C">
        <w:t>a minimum of 300</w:t>
      </w:r>
      <w:r w:rsidR="00214694" w:rsidRPr="00171367">
        <w:rPr>
          <w:iCs/>
        </w:rPr>
        <w:t> </w:t>
      </w:r>
      <w:r w:rsidR="0006670C">
        <w:t xml:space="preserve">mm beyond the rear of existing or proposed </w:t>
      </w:r>
      <w:r>
        <w:t xml:space="preserve">kerb.  Provide protective casing to all pressurised services (such as </w:t>
      </w:r>
      <w:r w:rsidR="00214694">
        <w:t>high-pressure</w:t>
      </w:r>
      <w:r>
        <w:t xml:space="preserve"> gas, combustible fluids, water mains and rising sewer mains); any service that conveys potentially hazardous substances which may be damaged during construction or maintenance operations; and in any one of the following instances:</w:t>
      </w:r>
    </w:p>
    <w:p w14:paraId="6FA5D65F" w14:textId="77777777" w:rsidR="00985AC3" w:rsidRDefault="00985AC3" w:rsidP="003E4D8A">
      <w:pPr>
        <w:pStyle w:val="BodyTextIndentDot"/>
      </w:pPr>
      <w:r>
        <w:t>Where the cover provided is less than minimum requirement.</w:t>
      </w:r>
    </w:p>
    <w:p w14:paraId="481E008F" w14:textId="77777777" w:rsidR="00985AC3" w:rsidRDefault="00985AC3" w:rsidP="003E4D8A">
      <w:pPr>
        <w:pStyle w:val="BodyTextIndentDot"/>
      </w:pPr>
      <w:r>
        <w:t>Near the footings of a bridge or other structure.</w:t>
      </w:r>
    </w:p>
    <w:p w14:paraId="42084624" w14:textId="77777777" w:rsidR="00985AC3" w:rsidRDefault="00985AC3" w:rsidP="003E4D8A">
      <w:pPr>
        <w:pStyle w:val="BodyTextIndentDot"/>
      </w:pPr>
      <w:r>
        <w:t>Near other locations where there may be a hazard.</w:t>
      </w:r>
    </w:p>
    <w:p w14:paraId="5277A4E6" w14:textId="69E7A44D" w:rsidR="00D245B0" w:rsidRDefault="000D5D5B" w:rsidP="00D245B0">
      <w:pPr>
        <w:pStyle w:val="BodyTextIndent"/>
      </w:pPr>
      <w:r>
        <w:t xml:space="preserve">The protective casing shall be either </w:t>
      </w:r>
      <w:r w:rsidR="00334BF7">
        <w:t>Class</w:t>
      </w:r>
      <w:r w:rsidR="00334BF7" w:rsidRPr="00DF46CF">
        <w:rPr>
          <w:iCs/>
        </w:rPr>
        <w:t> </w:t>
      </w:r>
      <w:r>
        <w:t>4 reinforced concrete pipe or steel pipe designed to withstand the pressure in the carrier pipe should it fail.</w:t>
      </w:r>
    </w:p>
    <w:p w14:paraId="52FDF2E1" w14:textId="77777777" w:rsidR="00985AC3" w:rsidRDefault="00985AC3" w:rsidP="003E4D8A">
      <w:pPr>
        <w:pStyle w:val="BodyTextIndent"/>
      </w:pPr>
      <w:r w:rsidRPr="00961B11">
        <w:rPr>
          <w:u w:val="single"/>
        </w:rPr>
        <w:t>Cased bore hole</w:t>
      </w:r>
      <w:r>
        <w:t>: The diameter of the bored hole must not exceed the diameter of the pipe or service by more than 50 mm</w:t>
      </w:r>
      <w:r w:rsidR="00EC7D5F">
        <w:t>.</w:t>
      </w:r>
      <w:r w:rsidR="000F4237">
        <w:t xml:space="preserve"> </w:t>
      </w:r>
    </w:p>
    <w:p w14:paraId="735B8E15" w14:textId="77777777" w:rsidR="00985AC3" w:rsidRDefault="00985AC3" w:rsidP="003E4D8A">
      <w:pPr>
        <w:pStyle w:val="BodyTextIndent"/>
      </w:pPr>
      <w:r w:rsidRPr="00961B11">
        <w:rPr>
          <w:u w:val="single"/>
        </w:rPr>
        <w:t>Uncased bore hole</w:t>
      </w:r>
      <w:r>
        <w:t>: The diameter of the uncased hole</w:t>
      </w:r>
      <w:r w:rsidR="00E03287">
        <w:t xml:space="preserve"> under pavements</w:t>
      </w:r>
      <w:r>
        <w:t xml:space="preserve"> must not exceed 100 mm</w:t>
      </w:r>
      <w:r w:rsidR="00EC7D5F">
        <w:t xml:space="preserve"> unless the void surrounding the pipe or service i</w:t>
      </w:r>
      <w:r w:rsidR="00A909C6">
        <w:t>s</w:t>
      </w:r>
      <w:r w:rsidR="00EC7D5F">
        <w:t xml:space="preserve"> filled</w:t>
      </w:r>
      <w:r w:rsidR="006B2317">
        <w:t>.</w:t>
      </w:r>
    </w:p>
    <w:p w14:paraId="1A66AE7F" w14:textId="77777777" w:rsidR="00985AC3" w:rsidRDefault="00985AC3" w:rsidP="003E4D8A">
      <w:pPr>
        <w:pStyle w:val="BodyTextIndent"/>
      </w:pPr>
      <w:r w:rsidRPr="00961B11">
        <w:rPr>
          <w:u w:val="single"/>
        </w:rPr>
        <w:t>Cavities and voids</w:t>
      </w:r>
      <w:r>
        <w:t>: Fill cavities and voids by pressure grouting.  Fill voids between the bored hole and the pipe or service</w:t>
      </w:r>
      <w:r w:rsidR="0006670C">
        <w:t xml:space="preserve"> where </w:t>
      </w:r>
      <w:r w:rsidR="001736CD">
        <w:t>the diameter of the bored hole exceeds 200mm</w:t>
      </w:r>
      <w:r w:rsidR="00A909C6">
        <w:t xml:space="preserve"> with non-compressible material</w:t>
      </w:r>
      <w:r w:rsidR="00E5586E">
        <w:t>.  W</w:t>
      </w:r>
      <w:r>
        <w:t>here required</w:t>
      </w:r>
      <w:r w:rsidR="006B2317">
        <w:t xml:space="preserve"> by the service authority</w:t>
      </w:r>
      <w:r>
        <w:t xml:space="preserve">, </w:t>
      </w:r>
      <w:r w:rsidR="00E5586E">
        <w:t xml:space="preserve">fill voids </w:t>
      </w:r>
      <w:r>
        <w:t>between the service and the enveloping casing.</w:t>
      </w:r>
    </w:p>
    <w:p w14:paraId="70410325" w14:textId="77777777" w:rsidR="00026171" w:rsidRPr="00AA5994" w:rsidRDefault="008471CD" w:rsidP="00A35425">
      <w:pPr>
        <w:pStyle w:val="Heading2"/>
      </w:pPr>
      <w:bookmarkStart w:id="34" w:name="_Toc493942080"/>
      <w:bookmarkStart w:id="35" w:name="_Toc493986919"/>
      <w:bookmarkStart w:id="36" w:name="_Toc76024359"/>
      <w:bookmarkEnd w:id="32"/>
      <w:bookmarkEnd w:id="33"/>
      <w:r>
        <w:lastRenderedPageBreak/>
        <w:t>t</w:t>
      </w:r>
      <w:r w:rsidR="00026171" w:rsidRPr="00AA5994">
        <w:t>RENCH</w:t>
      </w:r>
      <w:bookmarkEnd w:id="34"/>
      <w:bookmarkEnd w:id="35"/>
      <w:r>
        <w:t xml:space="preserve"> technologies</w:t>
      </w:r>
      <w:bookmarkEnd w:id="36"/>
    </w:p>
    <w:p w14:paraId="09228773" w14:textId="77777777" w:rsidR="00945905" w:rsidRPr="00945905" w:rsidRDefault="00945905" w:rsidP="00945905">
      <w:pPr>
        <w:pStyle w:val="BodyText"/>
        <w:rPr>
          <w:i/>
        </w:rPr>
      </w:pPr>
      <w:r w:rsidRPr="00945905">
        <w:rPr>
          <w:i/>
        </w:rPr>
        <w:t>Refer Annexure.</w:t>
      </w:r>
    </w:p>
    <w:p w14:paraId="0CB2F490" w14:textId="77777777" w:rsidR="00026171" w:rsidRPr="00AA5994" w:rsidRDefault="00026171" w:rsidP="00C738AF">
      <w:pPr>
        <w:pStyle w:val="BodyTextIndentBoldUnderline"/>
      </w:pPr>
      <w:r w:rsidRPr="00C738AF">
        <w:t>Existing</w:t>
      </w:r>
      <w:r w:rsidRPr="00AA5994">
        <w:t xml:space="preserve"> surfaces</w:t>
      </w:r>
    </w:p>
    <w:p w14:paraId="485CEB1D" w14:textId="77777777" w:rsidR="008471CD" w:rsidRDefault="00026171" w:rsidP="00C738AF">
      <w:pPr>
        <w:pStyle w:val="BodyTextIndent"/>
      </w:pPr>
      <w:r w:rsidRPr="00961B11">
        <w:rPr>
          <w:u w:val="single"/>
        </w:rPr>
        <w:t>Saw cutting</w:t>
      </w:r>
      <w:r>
        <w:t xml:space="preserve">: Before excavating trenches, saw cut existing concrete and bituminous surfaces to provide a straight even joint during the </w:t>
      </w:r>
      <w:r w:rsidR="008471CD">
        <w:t>restoration</w:t>
      </w:r>
      <w:r>
        <w:t xml:space="preserve">.  </w:t>
      </w:r>
    </w:p>
    <w:p w14:paraId="2FB49738" w14:textId="77777777" w:rsidR="00271EDE" w:rsidRDefault="00026171" w:rsidP="00C738AF">
      <w:pPr>
        <w:pStyle w:val="BodyTextIndent"/>
      </w:pPr>
      <w:r>
        <w:t xml:space="preserve">In road carriageway, saw cut </w:t>
      </w:r>
      <w:r w:rsidR="00271EDE">
        <w:t xml:space="preserve">to requirements of </w:t>
      </w:r>
      <w:r w:rsidR="00271EDE" w:rsidRPr="00722CEB">
        <w:rPr>
          <w:i/>
        </w:rPr>
        <w:t xml:space="preserve">Standard Drawing </w:t>
      </w:r>
      <w:r w:rsidR="00722CEB" w:rsidRPr="00722CEB">
        <w:rPr>
          <w:i/>
        </w:rPr>
        <w:t>BSD-2042</w:t>
      </w:r>
      <w:r w:rsidR="00271EDE">
        <w:t>.</w:t>
      </w:r>
    </w:p>
    <w:p w14:paraId="3E1A1776" w14:textId="77777777" w:rsidR="008471CD" w:rsidRDefault="00026171" w:rsidP="00C738AF">
      <w:pPr>
        <w:pStyle w:val="BodyTextIndent"/>
      </w:pPr>
      <w:r>
        <w:t xml:space="preserve">In road verge, </w:t>
      </w:r>
      <w:r w:rsidR="00885387">
        <w:t xml:space="preserve">footpaths and bikeways, </w:t>
      </w:r>
      <w:r>
        <w:t>saw cut t</w:t>
      </w:r>
      <w:r w:rsidR="00885387">
        <w:t>o</w:t>
      </w:r>
      <w:r>
        <w:t xml:space="preserve"> </w:t>
      </w:r>
      <w:r w:rsidR="00885387">
        <w:t xml:space="preserve">requirements of </w:t>
      </w:r>
      <w:r w:rsidR="00885387" w:rsidRPr="00722CEB">
        <w:rPr>
          <w:i/>
        </w:rPr>
        <w:t xml:space="preserve">Standard Drawing </w:t>
      </w:r>
      <w:r w:rsidR="00722CEB" w:rsidRPr="00722CEB">
        <w:rPr>
          <w:i/>
        </w:rPr>
        <w:t>BSD-2043</w:t>
      </w:r>
      <w:r>
        <w:t>.</w:t>
      </w:r>
    </w:p>
    <w:p w14:paraId="0A02D4B9" w14:textId="77777777" w:rsidR="00271EDE" w:rsidRDefault="00885387" w:rsidP="00C738AF">
      <w:pPr>
        <w:pStyle w:val="BodyTextIndent"/>
      </w:pPr>
      <w:r>
        <w:t>An</w:t>
      </w:r>
      <w:r w:rsidR="00F26D0B">
        <w:t>y</w:t>
      </w:r>
      <w:r>
        <w:t xml:space="preserve"> other locations, saw cut </w:t>
      </w:r>
      <w:r w:rsidR="00271EDE">
        <w:t>150 mm clear of the trench walls.</w:t>
      </w:r>
    </w:p>
    <w:p w14:paraId="29A7824B" w14:textId="77777777" w:rsidR="00026171" w:rsidRDefault="00026171" w:rsidP="00C738AF">
      <w:pPr>
        <w:pStyle w:val="BodyTextIndent"/>
      </w:pPr>
      <w:r>
        <w:t>Position saw cut to coincide with any grooved pattern line or contraction joint or expansion joint in concrete paving, if the saw cutting is undertaken within 600 mm of these elements.</w:t>
      </w:r>
    </w:p>
    <w:p w14:paraId="1A3E3CDB" w14:textId="77777777" w:rsidR="00026171" w:rsidRDefault="00026171" w:rsidP="00C738AF">
      <w:pPr>
        <w:pStyle w:val="BodyTextIndent"/>
      </w:pPr>
      <w:r w:rsidRPr="00961B11">
        <w:rPr>
          <w:u w:val="single"/>
        </w:rPr>
        <w:t>Unit paving</w:t>
      </w:r>
      <w:r>
        <w:t>: Lift and store unit paving for later reinstatement.</w:t>
      </w:r>
    </w:p>
    <w:p w14:paraId="60B16D95" w14:textId="77777777" w:rsidR="00026171" w:rsidRDefault="00026171" w:rsidP="00C738AF">
      <w:pPr>
        <w:pStyle w:val="BodyTextIndentBoldUnderline"/>
      </w:pPr>
      <w:r>
        <w:t>Excavation</w:t>
      </w:r>
    </w:p>
    <w:p w14:paraId="11C5C6AC" w14:textId="77777777" w:rsidR="00026171" w:rsidRDefault="00026171" w:rsidP="00C738AF">
      <w:pPr>
        <w:pStyle w:val="BodyTextIndent"/>
      </w:pPr>
      <w:r w:rsidRPr="00961B11">
        <w:rPr>
          <w:u w:val="single"/>
        </w:rPr>
        <w:t>Alignment</w:t>
      </w:r>
      <w:r>
        <w:t xml:space="preserve">: Excavate for underground services to the required lines, levels and grades.  Generally make the trenches straight between </w:t>
      </w:r>
      <w:r w:rsidR="00B26EE6">
        <w:t>maintenance</w:t>
      </w:r>
      <w:r>
        <w:t xml:space="preserve"> access </w:t>
      </w:r>
      <w:r w:rsidR="00B26EE6">
        <w:t>points</w:t>
      </w:r>
      <w:r>
        <w:t>, inspection points and junctions, with vertical sides and uniform grades.</w:t>
      </w:r>
    </w:p>
    <w:p w14:paraId="6B636A48" w14:textId="77777777" w:rsidR="00026171" w:rsidRDefault="00026171" w:rsidP="00C738AF">
      <w:pPr>
        <w:pStyle w:val="BodyTextIndent"/>
      </w:pPr>
      <w:r w:rsidRPr="00961B11">
        <w:rPr>
          <w:u w:val="single"/>
        </w:rPr>
        <w:t>Timing</w:t>
      </w:r>
      <w:r>
        <w:t xml:space="preserve">: </w:t>
      </w:r>
      <w:r w:rsidR="00F620CD">
        <w:t xml:space="preserve">In new construction projects, </w:t>
      </w:r>
      <w:r>
        <w:t>excavate trench before any paving or topsoiling and grassing operations</w:t>
      </w:r>
      <w:r w:rsidR="00F620CD">
        <w:t>,</w:t>
      </w:r>
      <w:r w:rsidR="00F620CD" w:rsidRPr="00F620CD">
        <w:t xml:space="preserve"> </w:t>
      </w:r>
      <w:r w:rsidR="00F620CD">
        <w:t>unless approved otherwise by the Superintendent</w:t>
      </w:r>
      <w:r>
        <w:t>.</w:t>
      </w:r>
    </w:p>
    <w:p w14:paraId="5FF13607" w14:textId="77777777" w:rsidR="00026171" w:rsidRDefault="00026171" w:rsidP="00C738AF">
      <w:pPr>
        <w:pStyle w:val="BodyTextIndentBoldUnderline"/>
      </w:pPr>
      <w:r>
        <w:t>Trench widths</w:t>
      </w:r>
    </w:p>
    <w:p w14:paraId="43B29DB5" w14:textId="77777777" w:rsidR="00026171" w:rsidRDefault="00026171" w:rsidP="00C738AF">
      <w:pPr>
        <w:pStyle w:val="BodyTextIndent"/>
      </w:pPr>
      <w:r>
        <w:t>Keep trench widths to the minimum consistent with the laying and bedding of the relevant service</w:t>
      </w:r>
      <w:r w:rsidR="00962D66">
        <w:t>,</w:t>
      </w:r>
      <w:r>
        <w:t xml:space="preserve"> construction of </w:t>
      </w:r>
      <w:r w:rsidR="00B26EE6">
        <w:t>maintenance access points</w:t>
      </w:r>
      <w:r>
        <w:t xml:space="preserve"> and pits</w:t>
      </w:r>
      <w:r w:rsidR="00962D66">
        <w:t>, and compaction of the trench backfill</w:t>
      </w:r>
      <w:r>
        <w:t xml:space="preserve">.  For drainage trenches, comply with </w:t>
      </w:r>
      <w:r w:rsidRPr="00722CEB">
        <w:rPr>
          <w:i/>
        </w:rPr>
        <w:t xml:space="preserve">Standard Drawing </w:t>
      </w:r>
      <w:r w:rsidR="00722CEB" w:rsidRPr="00722CEB">
        <w:rPr>
          <w:i/>
        </w:rPr>
        <w:t>BSD-8011</w:t>
      </w:r>
      <w:r>
        <w:t>.</w:t>
      </w:r>
    </w:p>
    <w:p w14:paraId="36590990" w14:textId="77777777" w:rsidR="00026171" w:rsidRDefault="00026171" w:rsidP="00C738AF">
      <w:pPr>
        <w:pStyle w:val="BodyTextIndentBoldUnderline"/>
      </w:pPr>
      <w:r>
        <w:t>Trench depths</w:t>
      </w:r>
    </w:p>
    <w:p w14:paraId="10D0A6DE" w14:textId="6082DEF5" w:rsidR="00F26D0B" w:rsidRDefault="00026171" w:rsidP="00082718">
      <w:pPr>
        <w:pStyle w:val="BodyTextIndent"/>
      </w:pPr>
      <w:r>
        <w:t xml:space="preserve">Excavate as required </w:t>
      </w:r>
      <w:r w:rsidR="00082718">
        <w:t>to achieve the following minimum cover over the top of the conduit or service, where the service is not placed in a conduit.  If</w:t>
      </w:r>
      <w:r>
        <w:t xml:space="preserve"> the relevant Service Authority</w:t>
      </w:r>
      <w:r w:rsidR="00082718">
        <w:t xml:space="preserve"> </w:t>
      </w:r>
      <w:r w:rsidR="00B75016">
        <w:t>specifies</w:t>
      </w:r>
      <w:r w:rsidR="00082718">
        <w:t xml:space="preserve"> minimum </w:t>
      </w:r>
      <w:r>
        <w:t>cover</w:t>
      </w:r>
      <w:r w:rsidR="00082718">
        <w:t>,</w:t>
      </w:r>
      <w:r>
        <w:t xml:space="preserve"> </w:t>
      </w:r>
      <w:r w:rsidR="00B75016">
        <w:t>ensure that the</w:t>
      </w:r>
      <w:r w:rsidR="00082718">
        <w:t xml:space="preserve"> minimum cover</w:t>
      </w:r>
      <w:r w:rsidR="00B75016">
        <w:t xml:space="preserve"> will be maintained during future pavement rehabilitation</w:t>
      </w:r>
      <w:r w:rsidR="00A909C6">
        <w:t xml:space="preserve"> –</w:t>
      </w:r>
      <w:r w:rsidR="0013103B">
        <w:t xml:space="preserve"> </w:t>
      </w:r>
      <w:r w:rsidR="00A909C6">
        <w:t xml:space="preserve">allow </w:t>
      </w:r>
      <w:r w:rsidR="0013103B">
        <w:t>for 600</w:t>
      </w:r>
      <w:r w:rsidR="00722CEB">
        <w:t> </w:t>
      </w:r>
      <w:r w:rsidR="0013103B">
        <w:t>mm to be removed on major roads</w:t>
      </w:r>
      <w:r w:rsidR="001F5611">
        <w:t xml:space="preserve"> and freight routes</w:t>
      </w:r>
      <w:r w:rsidR="0013103B">
        <w:t xml:space="preserve"> and 250</w:t>
      </w:r>
      <w:r w:rsidR="00722CEB">
        <w:t> </w:t>
      </w:r>
      <w:r w:rsidR="0013103B">
        <w:t>mm on minor roads as part of future pavement rehabi</w:t>
      </w:r>
      <w:r w:rsidR="00722CEB">
        <w:t>lita</w:t>
      </w:r>
      <w:r w:rsidR="0013103B">
        <w:t>tion</w:t>
      </w:r>
      <w:r w:rsidR="00082718">
        <w:t>.</w:t>
      </w:r>
    </w:p>
    <w:p w14:paraId="2F9E460D" w14:textId="1C17C9FA" w:rsidR="004352CA" w:rsidRDefault="004352CA" w:rsidP="007F7D07">
      <w:pPr>
        <w:pStyle w:val="TableIDNum"/>
      </w:pPr>
      <w:r>
        <w:t>Table</w:t>
      </w:r>
      <w:r w:rsidR="00067B1A" w:rsidRPr="00DF46CF">
        <w:rPr>
          <w:iCs/>
        </w:rPr>
        <w:t> </w:t>
      </w:r>
      <w:r>
        <w:t>5.1 – Minimum cover requirements</w:t>
      </w:r>
    </w:p>
    <w:tbl>
      <w:tblPr>
        <w:tblW w:w="8505" w:type="dxa"/>
        <w:tblInd w:w="829" w:type="dxa"/>
        <w:tblBorders>
          <w:top w:val="single" w:sz="12" w:space="0" w:color="000000"/>
          <w:left w:val="nil"/>
          <w:bottom w:val="single" w:sz="12" w:space="0" w:color="000000"/>
          <w:right w:val="nil"/>
          <w:insideH w:val="nil"/>
          <w:insideV w:val="nil"/>
        </w:tblBorders>
        <w:tblLayout w:type="fixed"/>
        <w:tblCellMar>
          <w:left w:w="120" w:type="dxa"/>
          <w:right w:w="120" w:type="dxa"/>
        </w:tblCellMar>
        <w:tblLook w:val="00A0" w:firstRow="1" w:lastRow="0" w:firstColumn="1" w:lastColumn="0" w:noHBand="0" w:noVBand="0"/>
      </w:tblPr>
      <w:tblGrid>
        <w:gridCol w:w="3969"/>
        <w:gridCol w:w="4536"/>
      </w:tblGrid>
      <w:tr w:rsidR="004352CA" w14:paraId="34214A06" w14:textId="77777777" w:rsidTr="007F7D07">
        <w:trPr>
          <w:cantSplit/>
          <w:trHeight w:val="397"/>
        </w:trPr>
        <w:tc>
          <w:tcPr>
            <w:tcW w:w="3969" w:type="dxa"/>
            <w:tcBorders>
              <w:top w:val="single" w:sz="12" w:space="0" w:color="000000"/>
              <w:left w:val="nil"/>
              <w:bottom w:val="single" w:sz="12" w:space="0" w:color="000000"/>
              <w:right w:val="nil"/>
            </w:tcBorders>
            <w:shd w:val="pct10" w:color="auto" w:fill="auto"/>
            <w:vAlign w:val="center"/>
          </w:tcPr>
          <w:p w14:paraId="65F22B6D" w14:textId="77777777" w:rsidR="004352CA" w:rsidRDefault="004352CA" w:rsidP="00336CF4">
            <w:pPr>
              <w:pStyle w:val="TableHeadCen"/>
              <w:jc w:val="left"/>
            </w:pPr>
            <w:r>
              <w:t>Location of service</w:t>
            </w:r>
          </w:p>
        </w:tc>
        <w:tc>
          <w:tcPr>
            <w:tcW w:w="4536" w:type="dxa"/>
            <w:tcBorders>
              <w:top w:val="single" w:sz="12" w:space="0" w:color="000000"/>
              <w:left w:val="nil"/>
              <w:bottom w:val="single" w:sz="12" w:space="0" w:color="000000"/>
              <w:right w:val="nil"/>
            </w:tcBorders>
            <w:shd w:val="pct10" w:color="auto" w:fill="auto"/>
            <w:vAlign w:val="center"/>
          </w:tcPr>
          <w:p w14:paraId="1678D21C" w14:textId="77777777" w:rsidR="004352CA" w:rsidRDefault="004352CA" w:rsidP="00336CF4">
            <w:pPr>
              <w:pStyle w:val="TableHeadCen"/>
            </w:pPr>
            <w:r>
              <w:t xml:space="preserve">Minimum </w:t>
            </w:r>
            <w:r w:rsidR="00B6430F">
              <w:t>c</w:t>
            </w:r>
            <w:r>
              <w:t>over</w:t>
            </w:r>
          </w:p>
        </w:tc>
      </w:tr>
      <w:tr w:rsidR="00BB1C36" w14:paraId="5ECD214A" w14:textId="77777777" w:rsidTr="00CA6356">
        <w:trPr>
          <w:cantSplit/>
          <w:trHeight w:val="340"/>
        </w:trPr>
        <w:tc>
          <w:tcPr>
            <w:tcW w:w="3969" w:type="dxa"/>
            <w:tcBorders>
              <w:top w:val="single" w:sz="12" w:space="0" w:color="000000"/>
              <w:left w:val="nil"/>
              <w:bottom w:val="single" w:sz="6" w:space="0" w:color="000000"/>
              <w:right w:val="nil"/>
            </w:tcBorders>
            <w:vAlign w:val="center"/>
          </w:tcPr>
          <w:p w14:paraId="7C219773" w14:textId="77777777" w:rsidR="00BB1C36" w:rsidRDefault="00BB1C36" w:rsidP="009F53B9">
            <w:pPr>
              <w:pStyle w:val="Table"/>
            </w:pPr>
            <w:r>
              <w:t>Major Road</w:t>
            </w:r>
            <w:r w:rsidRPr="00383496">
              <w:rPr>
                <w:i/>
                <w:vertAlign w:val="superscript"/>
              </w:rPr>
              <w:t>(1)</w:t>
            </w:r>
            <w:r w:rsidRPr="00383496">
              <w:t xml:space="preserve"> </w:t>
            </w:r>
            <w:r>
              <w:t>pavements</w:t>
            </w:r>
          </w:p>
        </w:tc>
        <w:tc>
          <w:tcPr>
            <w:tcW w:w="4536" w:type="dxa"/>
            <w:vMerge w:val="restart"/>
            <w:tcBorders>
              <w:top w:val="single" w:sz="12" w:space="0" w:color="000000"/>
              <w:left w:val="nil"/>
              <w:right w:val="nil"/>
            </w:tcBorders>
            <w:vAlign w:val="center"/>
          </w:tcPr>
          <w:p w14:paraId="2FBC1DB9" w14:textId="77777777" w:rsidR="00BB1C36" w:rsidRDefault="00BB1C36" w:rsidP="00336CF4">
            <w:pPr>
              <w:pStyle w:val="TableCen"/>
            </w:pPr>
            <w:r>
              <w:t>1,200 mm</w:t>
            </w:r>
          </w:p>
        </w:tc>
      </w:tr>
      <w:tr w:rsidR="00BB1C36" w14:paraId="0CEC5888" w14:textId="77777777" w:rsidTr="00CA6356">
        <w:trPr>
          <w:cantSplit/>
          <w:trHeight w:val="340"/>
        </w:trPr>
        <w:tc>
          <w:tcPr>
            <w:tcW w:w="3969" w:type="dxa"/>
            <w:tcBorders>
              <w:top w:val="single" w:sz="6" w:space="0" w:color="000000"/>
              <w:left w:val="nil"/>
              <w:bottom w:val="single" w:sz="6" w:space="0" w:color="000000"/>
              <w:right w:val="nil"/>
            </w:tcBorders>
            <w:vAlign w:val="center"/>
          </w:tcPr>
          <w:p w14:paraId="0E3486D7" w14:textId="054F6548" w:rsidR="00BB1C36" w:rsidRPr="00A00CE6" w:rsidRDefault="00BB1C36" w:rsidP="00383496">
            <w:pPr>
              <w:pStyle w:val="Table"/>
            </w:pPr>
            <w:r w:rsidRPr="00A00CE6">
              <w:t>Primary Freight Routes and Primary Freight Accesses</w:t>
            </w:r>
            <w:r w:rsidRPr="00A00CE6">
              <w:rPr>
                <w:i/>
                <w:vertAlign w:val="superscript"/>
              </w:rPr>
              <w:t>(1)</w:t>
            </w:r>
            <w:r w:rsidRPr="00A00CE6">
              <w:t xml:space="preserve"> pavements</w:t>
            </w:r>
          </w:p>
        </w:tc>
        <w:tc>
          <w:tcPr>
            <w:tcW w:w="4536" w:type="dxa"/>
            <w:vMerge/>
            <w:tcBorders>
              <w:left w:val="nil"/>
              <w:bottom w:val="single" w:sz="6" w:space="0" w:color="000000"/>
              <w:right w:val="nil"/>
            </w:tcBorders>
            <w:vAlign w:val="center"/>
          </w:tcPr>
          <w:p w14:paraId="102595B1" w14:textId="77777777" w:rsidR="00BB1C36" w:rsidRDefault="00BB1C36" w:rsidP="00336CF4">
            <w:pPr>
              <w:pStyle w:val="TableCen"/>
            </w:pPr>
          </w:p>
        </w:tc>
      </w:tr>
      <w:tr w:rsidR="004352CA" w14:paraId="02DA161B" w14:textId="77777777" w:rsidTr="007F7D07">
        <w:trPr>
          <w:cantSplit/>
          <w:trHeight w:val="340"/>
        </w:trPr>
        <w:tc>
          <w:tcPr>
            <w:tcW w:w="3969" w:type="dxa"/>
            <w:tcBorders>
              <w:top w:val="single" w:sz="6" w:space="0" w:color="000000"/>
              <w:left w:val="nil"/>
              <w:bottom w:val="single" w:sz="6" w:space="0" w:color="000000"/>
              <w:right w:val="nil"/>
            </w:tcBorders>
            <w:vAlign w:val="center"/>
          </w:tcPr>
          <w:p w14:paraId="7E8300FA" w14:textId="77777777" w:rsidR="004352CA" w:rsidRDefault="00B6430F" w:rsidP="00383496">
            <w:pPr>
              <w:pStyle w:val="Table"/>
            </w:pPr>
            <w:r>
              <w:t>Minor Road</w:t>
            </w:r>
            <w:r w:rsidR="00383496">
              <w:rPr>
                <w:i/>
                <w:vertAlign w:val="superscript"/>
              </w:rPr>
              <w:t>(1)</w:t>
            </w:r>
            <w:r>
              <w:t xml:space="preserve"> </w:t>
            </w:r>
            <w:r w:rsidR="009F53B9">
              <w:t>pavements</w:t>
            </w:r>
          </w:p>
        </w:tc>
        <w:tc>
          <w:tcPr>
            <w:tcW w:w="4536" w:type="dxa"/>
            <w:tcBorders>
              <w:top w:val="single" w:sz="6" w:space="0" w:color="000000"/>
              <w:left w:val="nil"/>
              <w:bottom w:val="single" w:sz="6" w:space="0" w:color="000000"/>
              <w:right w:val="nil"/>
            </w:tcBorders>
            <w:vAlign w:val="center"/>
          </w:tcPr>
          <w:p w14:paraId="02C962A5" w14:textId="77777777" w:rsidR="004352CA" w:rsidRDefault="00B6430F" w:rsidP="00336CF4">
            <w:pPr>
              <w:pStyle w:val="TableCen"/>
            </w:pPr>
            <w:r>
              <w:t>750</w:t>
            </w:r>
            <w:r w:rsidR="00722CEB">
              <w:t> </w:t>
            </w:r>
            <w:r>
              <w:t>mm</w:t>
            </w:r>
          </w:p>
        </w:tc>
      </w:tr>
      <w:tr w:rsidR="004352CA" w14:paraId="654BAABC" w14:textId="77777777" w:rsidTr="007F7D07">
        <w:trPr>
          <w:cantSplit/>
          <w:trHeight w:val="340"/>
        </w:trPr>
        <w:tc>
          <w:tcPr>
            <w:tcW w:w="3969" w:type="dxa"/>
            <w:tcBorders>
              <w:top w:val="single" w:sz="6" w:space="0" w:color="000000"/>
              <w:left w:val="nil"/>
              <w:bottom w:val="single" w:sz="6" w:space="0" w:color="000000"/>
              <w:right w:val="nil"/>
            </w:tcBorders>
            <w:vAlign w:val="center"/>
          </w:tcPr>
          <w:p w14:paraId="038ECC34" w14:textId="77777777" w:rsidR="004352CA" w:rsidRDefault="00B6430F" w:rsidP="00336CF4">
            <w:pPr>
              <w:pStyle w:val="Table"/>
            </w:pPr>
            <w:r>
              <w:t>Road verges, footpaths, bikeways</w:t>
            </w:r>
          </w:p>
        </w:tc>
        <w:tc>
          <w:tcPr>
            <w:tcW w:w="4536" w:type="dxa"/>
            <w:tcBorders>
              <w:top w:val="single" w:sz="6" w:space="0" w:color="000000"/>
              <w:left w:val="nil"/>
              <w:bottom w:val="single" w:sz="6" w:space="0" w:color="000000"/>
              <w:right w:val="nil"/>
            </w:tcBorders>
            <w:vAlign w:val="center"/>
          </w:tcPr>
          <w:p w14:paraId="183C8875" w14:textId="77777777" w:rsidR="004352CA" w:rsidRDefault="00B6430F" w:rsidP="00336CF4">
            <w:pPr>
              <w:pStyle w:val="TableCen"/>
            </w:pPr>
            <w:r>
              <w:t>600</w:t>
            </w:r>
            <w:r w:rsidR="00722CEB">
              <w:t> </w:t>
            </w:r>
            <w:r>
              <w:t>mm</w:t>
            </w:r>
          </w:p>
        </w:tc>
      </w:tr>
      <w:tr w:rsidR="00B6430F" w14:paraId="3CF9FF79" w14:textId="77777777" w:rsidTr="007F7D07">
        <w:trPr>
          <w:cantSplit/>
          <w:trHeight w:val="340"/>
        </w:trPr>
        <w:tc>
          <w:tcPr>
            <w:tcW w:w="3969" w:type="dxa"/>
            <w:tcBorders>
              <w:top w:val="single" w:sz="6" w:space="0" w:color="000000"/>
              <w:left w:val="nil"/>
              <w:bottom w:val="single" w:sz="12" w:space="0" w:color="000000"/>
              <w:right w:val="nil"/>
            </w:tcBorders>
            <w:vAlign w:val="center"/>
          </w:tcPr>
          <w:p w14:paraId="22E1E433" w14:textId="77777777" w:rsidR="00B6430F" w:rsidRDefault="00B6430F" w:rsidP="00336CF4">
            <w:pPr>
              <w:pStyle w:val="Table"/>
            </w:pPr>
            <w:r>
              <w:t>All other areas</w:t>
            </w:r>
          </w:p>
        </w:tc>
        <w:tc>
          <w:tcPr>
            <w:tcW w:w="4536" w:type="dxa"/>
            <w:tcBorders>
              <w:top w:val="single" w:sz="6" w:space="0" w:color="000000"/>
              <w:left w:val="nil"/>
              <w:bottom w:val="single" w:sz="12" w:space="0" w:color="000000"/>
              <w:right w:val="nil"/>
            </w:tcBorders>
            <w:vAlign w:val="center"/>
          </w:tcPr>
          <w:p w14:paraId="4EFC37EB" w14:textId="77777777" w:rsidR="00B6430F" w:rsidRDefault="00B6430F" w:rsidP="00336CF4">
            <w:pPr>
              <w:pStyle w:val="TableCen"/>
            </w:pPr>
            <w:r>
              <w:t>600</w:t>
            </w:r>
            <w:r w:rsidR="00722CEB">
              <w:t> </w:t>
            </w:r>
            <w:r>
              <w:t>mm</w:t>
            </w:r>
          </w:p>
        </w:tc>
      </w:tr>
    </w:tbl>
    <w:p w14:paraId="5DCA9B46" w14:textId="3B4D18A3" w:rsidR="001E57A7" w:rsidRPr="009F53B9" w:rsidRDefault="00383496" w:rsidP="00366B19">
      <w:pPr>
        <w:pStyle w:val="BodyTextIndent"/>
        <w:tabs>
          <w:tab w:val="left" w:pos="993"/>
        </w:tabs>
        <w:ind w:left="993" w:hanging="273"/>
        <w:rPr>
          <w:i/>
          <w:sz w:val="18"/>
          <w:szCs w:val="18"/>
          <w:u w:val="single"/>
        </w:rPr>
      </w:pPr>
      <w:r>
        <w:rPr>
          <w:i/>
          <w:sz w:val="18"/>
          <w:szCs w:val="18"/>
          <w:vertAlign w:val="superscript"/>
        </w:rPr>
        <w:t>(1)</w:t>
      </w:r>
      <w:r w:rsidR="00366B19" w:rsidRPr="009F53B9">
        <w:rPr>
          <w:i/>
          <w:sz w:val="18"/>
          <w:szCs w:val="18"/>
        </w:rPr>
        <w:tab/>
        <w:t>Refer to Section</w:t>
      </w:r>
      <w:r w:rsidR="009F53B9" w:rsidRPr="009F53B9">
        <w:rPr>
          <w:i/>
          <w:sz w:val="18"/>
          <w:szCs w:val="18"/>
        </w:rPr>
        <w:t> </w:t>
      </w:r>
      <w:r w:rsidR="00366B19" w:rsidRPr="009F53B9">
        <w:rPr>
          <w:i/>
          <w:sz w:val="18"/>
          <w:szCs w:val="18"/>
        </w:rPr>
        <w:t>1.6 for Definition</w:t>
      </w:r>
      <w:r w:rsidR="009F53B9">
        <w:rPr>
          <w:i/>
          <w:sz w:val="18"/>
          <w:szCs w:val="18"/>
        </w:rPr>
        <w:t xml:space="preserve"> o</w:t>
      </w:r>
      <w:r>
        <w:rPr>
          <w:i/>
          <w:sz w:val="18"/>
          <w:szCs w:val="18"/>
        </w:rPr>
        <w:t>f</w:t>
      </w:r>
      <w:r w:rsidR="009F53B9">
        <w:rPr>
          <w:i/>
          <w:sz w:val="18"/>
          <w:szCs w:val="18"/>
        </w:rPr>
        <w:t xml:space="preserve"> Major and Minor Road</w:t>
      </w:r>
      <w:r w:rsidR="00366B19" w:rsidRPr="009F53B9">
        <w:rPr>
          <w:i/>
          <w:sz w:val="18"/>
          <w:szCs w:val="18"/>
        </w:rPr>
        <w:t>s</w:t>
      </w:r>
      <w:r w:rsidR="00BB1C36">
        <w:rPr>
          <w:i/>
          <w:sz w:val="18"/>
          <w:szCs w:val="18"/>
        </w:rPr>
        <w:t xml:space="preserve"> and </w:t>
      </w:r>
      <w:r w:rsidR="00BB1C36" w:rsidRPr="00BB1C36">
        <w:rPr>
          <w:i/>
          <w:sz w:val="18"/>
          <w:szCs w:val="18"/>
        </w:rPr>
        <w:t>Primary freight routes, Primary freight accesses</w:t>
      </w:r>
      <w:r w:rsidR="009F53B9" w:rsidRPr="009F53B9">
        <w:rPr>
          <w:i/>
          <w:sz w:val="18"/>
          <w:szCs w:val="18"/>
        </w:rPr>
        <w:t>.</w:t>
      </w:r>
    </w:p>
    <w:p w14:paraId="486E662F" w14:textId="77777777" w:rsidR="003D493A" w:rsidRDefault="00026171" w:rsidP="00C738AF">
      <w:pPr>
        <w:pStyle w:val="BodyTextIndentBoldUnderline"/>
      </w:pPr>
      <w:r>
        <w:t>Support of adjacent construction</w:t>
      </w:r>
    </w:p>
    <w:p w14:paraId="4E52FC0E" w14:textId="77777777" w:rsidR="00DD2E53" w:rsidRDefault="003D493A" w:rsidP="00C738AF">
      <w:pPr>
        <w:pStyle w:val="BodyTextIndent"/>
      </w:pPr>
      <w:r w:rsidRPr="00961B11">
        <w:rPr>
          <w:u w:val="single"/>
        </w:rPr>
        <w:t>Shoring of trench and excavation</w:t>
      </w:r>
      <w:r w:rsidRPr="00150A9A">
        <w:t>: Where required, erect and maintain shoring to prevent trench collapse</w:t>
      </w:r>
      <w:r w:rsidR="00150A9A" w:rsidRPr="00150A9A">
        <w:t xml:space="preserve"> or to provide supports to adjacent structures, sufficient to prevent damage arising from the works.</w:t>
      </w:r>
    </w:p>
    <w:p w14:paraId="609C7CE6" w14:textId="77777777" w:rsidR="003D493A" w:rsidRDefault="003D493A" w:rsidP="00C738AF">
      <w:pPr>
        <w:pStyle w:val="BodyTextIndent"/>
      </w:pPr>
      <w:r w:rsidRPr="00961B11">
        <w:rPr>
          <w:u w:val="single"/>
        </w:rPr>
        <w:t>Lateral supports</w:t>
      </w:r>
      <w:r>
        <w:t>: Provide lateral support using shoring.</w:t>
      </w:r>
    </w:p>
    <w:p w14:paraId="6E707F42" w14:textId="77777777" w:rsidR="003D493A" w:rsidRDefault="003D493A" w:rsidP="00C738AF">
      <w:pPr>
        <w:pStyle w:val="BodyTextIndent"/>
      </w:pPr>
      <w:r w:rsidRPr="00961B11">
        <w:rPr>
          <w:u w:val="single"/>
        </w:rPr>
        <w:t>Vertical supports</w:t>
      </w:r>
      <w:r>
        <w:t>: Provide vertical support where necessary using piling or underpinning or both.</w:t>
      </w:r>
    </w:p>
    <w:p w14:paraId="6CCF02E8" w14:textId="77777777" w:rsidR="003D493A" w:rsidRDefault="003D493A" w:rsidP="00C738AF">
      <w:pPr>
        <w:pStyle w:val="BodyTextIndent"/>
      </w:pPr>
      <w:r>
        <w:t>If permanent supports for adjacent structures are necessary and are not described, give notice and obtain instructions.</w:t>
      </w:r>
    </w:p>
    <w:p w14:paraId="5CAF68E7" w14:textId="77777777" w:rsidR="00026171" w:rsidRDefault="00026171" w:rsidP="00C738AF">
      <w:pPr>
        <w:pStyle w:val="BodyTextIndentBoldUnderline"/>
      </w:pPr>
      <w:r>
        <w:t>Obstructions</w:t>
      </w:r>
    </w:p>
    <w:p w14:paraId="5058520A" w14:textId="77777777" w:rsidR="00026171" w:rsidRDefault="00DD3A6D" w:rsidP="00C738AF">
      <w:pPr>
        <w:pStyle w:val="BodyTextIndent"/>
      </w:pPr>
      <w:r>
        <w:t xml:space="preserve">Remove </w:t>
      </w:r>
      <w:r w:rsidR="00026171" w:rsidRPr="002C7957">
        <w:t>sharp projections</w:t>
      </w:r>
      <w:r>
        <w:t xml:space="preserve"> from trenches</w:t>
      </w:r>
      <w:r w:rsidR="00026171" w:rsidRPr="002C7957">
        <w:t>.  Remove other obstructions including stumps and boulders, which may interfere with services or bedding.</w:t>
      </w:r>
    </w:p>
    <w:p w14:paraId="67502797" w14:textId="77777777" w:rsidR="005F55B8" w:rsidRDefault="005F55B8" w:rsidP="00C738AF">
      <w:pPr>
        <w:pStyle w:val="BodyTextIndent"/>
      </w:pPr>
      <w:r>
        <w:t>Before c</w:t>
      </w:r>
      <w:r w:rsidRPr="002C7957">
        <w:t>ut</w:t>
      </w:r>
      <w:r>
        <w:t>ting</w:t>
      </w:r>
      <w:r w:rsidRPr="002C7957">
        <w:t xml:space="preserve"> back roots</w:t>
      </w:r>
      <w:r w:rsidR="009D47AD">
        <w:t xml:space="preserve"> of street trees</w:t>
      </w:r>
      <w:r w:rsidRPr="002C7957">
        <w:t xml:space="preserve"> encountered in trenches to </w:t>
      </w:r>
      <w:r w:rsidR="009D47AD">
        <w:t xml:space="preserve">be </w:t>
      </w:r>
      <w:r w:rsidRPr="002C7957">
        <w:t>clear of services</w:t>
      </w:r>
      <w:r w:rsidR="009D47AD">
        <w:t xml:space="preserve">, </w:t>
      </w:r>
      <w:r w:rsidR="009D47AD" w:rsidRPr="00A64018">
        <w:t xml:space="preserve">notify Council’s </w:t>
      </w:r>
      <w:r w:rsidR="009D47AD">
        <w:t>arboriculture officer.</w:t>
      </w:r>
    </w:p>
    <w:p w14:paraId="090BC385" w14:textId="712BD074" w:rsidR="00E537C4" w:rsidRPr="00A00CE6" w:rsidRDefault="005F55B8" w:rsidP="00EA2EF8">
      <w:pPr>
        <w:pStyle w:val="BodyTextIndent"/>
      </w:pPr>
      <w:r w:rsidRPr="00A00CE6">
        <w:lastRenderedPageBreak/>
        <w:t xml:space="preserve">Where the service trench passes between existing street trees and the road pavement, install </w:t>
      </w:r>
      <w:r w:rsidR="00EA2EF8" w:rsidRPr="00A00CE6">
        <w:t xml:space="preserve">a </w:t>
      </w:r>
      <w:r w:rsidR="00067B1A" w:rsidRPr="00A00CE6">
        <w:t>High-Density</w:t>
      </w:r>
      <w:r w:rsidR="00EA2EF8" w:rsidRPr="00A00CE6">
        <w:t xml:space="preserve"> Polyethylene (HDPE)</w:t>
      </w:r>
      <w:r w:rsidR="00EA2EF8" w:rsidRPr="00A00CE6" w:rsidDel="00EA2EF8">
        <w:t xml:space="preserve"> </w:t>
      </w:r>
      <w:r w:rsidR="00EA2EF8" w:rsidRPr="00A00CE6">
        <w:t>root barrier</w:t>
      </w:r>
      <w:r w:rsidRPr="00A00CE6">
        <w:t xml:space="preserve"> </w:t>
      </w:r>
      <w:r w:rsidR="00057FC7" w:rsidRPr="00A00CE6">
        <w:t xml:space="preserve">to a </w:t>
      </w:r>
      <w:r w:rsidRPr="00A00CE6">
        <w:t>minimum of 600</w:t>
      </w:r>
      <w:r w:rsidR="00722CEB" w:rsidRPr="00A00CE6">
        <w:t> </w:t>
      </w:r>
      <w:r w:rsidRPr="00A00CE6">
        <w:t xml:space="preserve">mm depth to the tree side of the trench in accordance with </w:t>
      </w:r>
      <w:r w:rsidR="00722CEB" w:rsidRPr="00A00CE6">
        <w:rPr>
          <w:i/>
        </w:rPr>
        <w:t xml:space="preserve">Standard Drawing </w:t>
      </w:r>
      <w:r w:rsidR="009506DF" w:rsidRPr="00A00CE6">
        <w:rPr>
          <w:i/>
        </w:rPr>
        <w:t>BSD-9082</w:t>
      </w:r>
      <w:r w:rsidRPr="00A00CE6">
        <w:t xml:space="preserve">. </w:t>
      </w:r>
      <w:r w:rsidR="00EA2EF8" w:rsidRPr="00A00CE6">
        <w:t xml:space="preserve"> The HDPE root barrier shall </w:t>
      </w:r>
      <w:r w:rsidR="00057FC7" w:rsidRPr="00A00CE6">
        <w:t>have the following characteristics</w:t>
      </w:r>
      <w:r w:rsidR="00EA2EF8" w:rsidRPr="00A00CE6">
        <w:t>:</w:t>
      </w:r>
    </w:p>
    <w:p w14:paraId="23587BDE" w14:textId="77777777" w:rsidR="00EA2EF8" w:rsidRPr="00A00CE6" w:rsidRDefault="00057FC7" w:rsidP="00EA2EF8">
      <w:pPr>
        <w:pStyle w:val="BodyTextIndentDot"/>
      </w:pPr>
      <w:r w:rsidRPr="00A00CE6">
        <w:t>Nominal m</w:t>
      </w:r>
      <w:r w:rsidR="00EA2EF8" w:rsidRPr="00A00CE6">
        <w:t>ass: 750 gm/m</w:t>
      </w:r>
      <w:permStart w:id="1440481401" w:edGrp="everyone"/>
      <w:r w:rsidR="00EA2EF8" w:rsidRPr="00A00CE6">
        <w:rPr>
          <w:vertAlign w:val="superscript"/>
        </w:rPr>
        <w:t>2</w:t>
      </w:r>
      <w:permEnd w:id="1440481401"/>
      <w:r w:rsidR="00EA2EF8" w:rsidRPr="00A00CE6">
        <w:t>;</w:t>
      </w:r>
    </w:p>
    <w:p w14:paraId="1494B01E" w14:textId="77777777" w:rsidR="00057FC7" w:rsidRPr="00A00CE6" w:rsidRDefault="00AB7334" w:rsidP="00057FC7">
      <w:pPr>
        <w:pStyle w:val="BodyTextIndentDot"/>
      </w:pPr>
      <w:r w:rsidRPr="00A00CE6">
        <w:t>D</w:t>
      </w:r>
      <w:r w:rsidR="00057FC7" w:rsidRPr="00A00CE6">
        <w:t xml:space="preserve">esirable </w:t>
      </w:r>
      <w:r w:rsidRPr="00A00CE6">
        <w:t xml:space="preserve">nominal </w:t>
      </w:r>
      <w:r w:rsidR="00057FC7" w:rsidRPr="00A00CE6">
        <w:t>wall thickness: 1.0 mm;</w:t>
      </w:r>
    </w:p>
    <w:p w14:paraId="273538C8" w14:textId="77777777" w:rsidR="00EA2EF8" w:rsidRPr="00A00CE6" w:rsidRDefault="00AB7334" w:rsidP="00EA2EF8">
      <w:pPr>
        <w:pStyle w:val="BodyTextIndentDot"/>
      </w:pPr>
      <w:r w:rsidRPr="00A00CE6">
        <w:t>Minimum n</w:t>
      </w:r>
      <w:r w:rsidR="00057FC7" w:rsidRPr="00A00CE6">
        <w:t>ominal w</w:t>
      </w:r>
      <w:r w:rsidR="00EA2EF8" w:rsidRPr="00A00CE6">
        <w:t>all thickness: 0.75 </w:t>
      </w:r>
      <w:r w:rsidR="00057FC7" w:rsidRPr="00A00CE6">
        <w:t>mm</w:t>
      </w:r>
      <w:r w:rsidR="00EA2EF8" w:rsidRPr="00A00CE6">
        <w:t>;</w:t>
      </w:r>
    </w:p>
    <w:p w14:paraId="3FD007E1" w14:textId="77777777" w:rsidR="00EA2EF8" w:rsidRPr="00A00CE6" w:rsidRDefault="00057FC7" w:rsidP="00EA2EF8">
      <w:pPr>
        <w:pStyle w:val="BodyTextIndentDot"/>
      </w:pPr>
      <w:r w:rsidRPr="00A00CE6">
        <w:t xml:space="preserve">Nominal </w:t>
      </w:r>
      <w:r w:rsidR="00EA2EF8" w:rsidRPr="00A00CE6">
        <w:t>Tensile strength (MD</w:t>
      </w:r>
      <w:r w:rsidR="002344D7" w:rsidRPr="00A00CE6">
        <w:t xml:space="preserve"> to </w:t>
      </w:r>
      <w:r w:rsidR="002344D7" w:rsidRPr="00A00CE6">
        <w:rPr>
          <w:i/>
        </w:rPr>
        <w:t>ASTM</w:t>
      </w:r>
      <w:r w:rsidRPr="00A00CE6">
        <w:rPr>
          <w:i/>
        </w:rPr>
        <w:t> </w:t>
      </w:r>
      <w:r w:rsidR="002344D7" w:rsidRPr="00A00CE6">
        <w:rPr>
          <w:i/>
        </w:rPr>
        <w:t>D412</w:t>
      </w:r>
      <w:r w:rsidR="00EA2EF8" w:rsidRPr="00A00CE6">
        <w:t>): 19</w:t>
      </w:r>
      <w:r w:rsidRPr="00A00CE6">
        <w:t> </w:t>
      </w:r>
      <w:r w:rsidR="002344D7" w:rsidRPr="00A00CE6">
        <w:t>kN/m;</w:t>
      </w:r>
    </w:p>
    <w:p w14:paraId="2ACB178F" w14:textId="77777777" w:rsidR="002344D7" w:rsidRPr="00A00CE6" w:rsidRDefault="00057FC7" w:rsidP="002344D7">
      <w:pPr>
        <w:pStyle w:val="BodyTextIndentDot"/>
      </w:pPr>
      <w:r w:rsidRPr="00A00CE6">
        <w:t xml:space="preserve">Nominal </w:t>
      </w:r>
      <w:r w:rsidR="002344D7" w:rsidRPr="00A00CE6">
        <w:t xml:space="preserve">Tensile strength (TD to </w:t>
      </w:r>
      <w:r w:rsidR="002344D7" w:rsidRPr="00A00CE6">
        <w:rPr>
          <w:i/>
        </w:rPr>
        <w:t>ASTM</w:t>
      </w:r>
      <w:r w:rsidRPr="00A00CE6">
        <w:rPr>
          <w:i/>
        </w:rPr>
        <w:t> </w:t>
      </w:r>
      <w:r w:rsidR="002344D7" w:rsidRPr="00A00CE6">
        <w:rPr>
          <w:i/>
        </w:rPr>
        <w:t>D412</w:t>
      </w:r>
      <w:r w:rsidR="002344D7" w:rsidRPr="00A00CE6">
        <w:t>): 19</w:t>
      </w:r>
      <w:r w:rsidRPr="00A00CE6">
        <w:t> </w:t>
      </w:r>
      <w:r w:rsidR="002344D7" w:rsidRPr="00A00CE6">
        <w:t>kN/m;</w:t>
      </w:r>
    </w:p>
    <w:p w14:paraId="4C53941A" w14:textId="77777777" w:rsidR="002344D7" w:rsidRPr="00BE7A61" w:rsidRDefault="002344D7" w:rsidP="00EA2EF8">
      <w:pPr>
        <w:pStyle w:val="BodyTextIndentDot"/>
      </w:pPr>
      <w:r w:rsidRPr="00A00CE6">
        <w:t>Burst strength (</w:t>
      </w:r>
      <w:r w:rsidR="00057FC7" w:rsidRPr="00A00CE6">
        <w:t>to</w:t>
      </w:r>
      <w:r w:rsidRPr="00A00CE6">
        <w:t xml:space="preserve"> </w:t>
      </w:r>
      <w:r w:rsidRPr="00A00CE6">
        <w:rPr>
          <w:i/>
        </w:rPr>
        <w:t>AS</w:t>
      </w:r>
      <w:r w:rsidR="00057FC7" w:rsidRPr="00A00CE6">
        <w:rPr>
          <w:i/>
        </w:rPr>
        <w:t> </w:t>
      </w:r>
      <w:r w:rsidRPr="00A00CE6">
        <w:rPr>
          <w:i/>
        </w:rPr>
        <w:t>3706.4</w:t>
      </w:r>
      <w:r w:rsidRPr="00A00CE6">
        <w:t>): 1100 N</w:t>
      </w:r>
    </w:p>
    <w:p w14:paraId="3D658A67" w14:textId="77777777" w:rsidR="00026171" w:rsidRDefault="00026171" w:rsidP="00C738AF">
      <w:pPr>
        <w:pStyle w:val="BodyTextIndentBoldUnderline"/>
      </w:pPr>
      <w:r>
        <w:t>Dewatering</w:t>
      </w:r>
    </w:p>
    <w:p w14:paraId="7B7B6CE7" w14:textId="77777777" w:rsidR="00026171" w:rsidRDefault="00026171" w:rsidP="00C738AF">
      <w:pPr>
        <w:pStyle w:val="BodyTextIndent"/>
      </w:pPr>
      <w:r w:rsidRPr="002C7957">
        <w:t>Keep trenches free of water.  Place bedding material, services and backfilling on firm ground free of surface water.</w:t>
      </w:r>
    </w:p>
    <w:p w14:paraId="490DD1CE" w14:textId="77777777" w:rsidR="00AA4B40" w:rsidRPr="002C7957" w:rsidRDefault="00AA4B40" w:rsidP="00C738AF">
      <w:pPr>
        <w:pStyle w:val="BodyTextIndent"/>
      </w:pPr>
      <w:r>
        <w:t xml:space="preserve">Where surrounding material becomes saturated during excavation </w:t>
      </w:r>
      <w:r w:rsidR="00722CEB">
        <w:t>e.g.</w:t>
      </w:r>
      <w:r>
        <w:t xml:space="preserve"> emergency repairs to water and sewerage services, remove saturated material surrounding the excavation to expose</w:t>
      </w:r>
      <w:r w:rsidR="00D9247E">
        <w:t xml:space="preserve"> dry, stable material and replace with trench backfill in accordance with this Specification.</w:t>
      </w:r>
    </w:p>
    <w:p w14:paraId="3236974A" w14:textId="77777777" w:rsidR="00026171" w:rsidRDefault="00026171" w:rsidP="00C738AF">
      <w:pPr>
        <w:pStyle w:val="BodyTextIndentBoldUnderline"/>
      </w:pPr>
      <w:r>
        <w:t>Excess excavation</w:t>
      </w:r>
    </w:p>
    <w:p w14:paraId="7356C859" w14:textId="77777777" w:rsidR="00026171" w:rsidRPr="00646D9E" w:rsidRDefault="00026171" w:rsidP="00C738AF">
      <w:pPr>
        <w:pStyle w:val="BodyTextIndent"/>
      </w:pPr>
      <w:r w:rsidRPr="00646D9E">
        <w:t>If trench excavation exceeds the correct depth, ensure that the surface of the native material is uniformly graded (that is free of low spots) and reinstate to the correct depth and bearing value using compacted bedding material or grade N20 concrete.</w:t>
      </w:r>
    </w:p>
    <w:p w14:paraId="6350EFB2" w14:textId="77777777" w:rsidR="00D77180" w:rsidRPr="00E55142" w:rsidRDefault="00D77180" w:rsidP="00D77180">
      <w:pPr>
        <w:pStyle w:val="BodyTextIndent2"/>
        <w:jc w:val="both"/>
        <w:rPr>
          <w:b/>
          <w:u w:val="single"/>
        </w:rPr>
      </w:pPr>
      <w:r w:rsidRPr="00E55142">
        <w:rPr>
          <w:b/>
          <w:u w:val="single"/>
        </w:rPr>
        <w:t>Non-rippable Material</w:t>
      </w:r>
    </w:p>
    <w:p w14:paraId="33087920" w14:textId="77777777" w:rsidR="00646D9E" w:rsidRDefault="00D77180" w:rsidP="00C738AF">
      <w:pPr>
        <w:pStyle w:val="BodyTextIndent"/>
      </w:pPr>
      <w:r>
        <w:t xml:space="preserve">Where the methods of measurement require differentiation of non-rippable material, refer to </w:t>
      </w:r>
      <w:r w:rsidRPr="00945905">
        <w:rPr>
          <w:i/>
        </w:rPr>
        <w:t>Reference Specification</w:t>
      </w:r>
      <w:r>
        <w:t xml:space="preserve"> </w:t>
      </w:r>
      <w:r>
        <w:rPr>
          <w:i/>
        </w:rPr>
        <w:t>S140 Earthworks</w:t>
      </w:r>
      <w:r w:rsidR="00646D9E">
        <w:t>.</w:t>
      </w:r>
    </w:p>
    <w:p w14:paraId="671B84F5" w14:textId="77777777" w:rsidR="00D77180" w:rsidRDefault="00D77180" w:rsidP="00C738AF">
      <w:pPr>
        <w:pStyle w:val="BodyTextIndentBoldUnderline"/>
      </w:pPr>
      <w:r>
        <w:t>Explosives</w:t>
      </w:r>
    </w:p>
    <w:p w14:paraId="25C89E05" w14:textId="77777777" w:rsidR="00D77180" w:rsidRDefault="00D77180" w:rsidP="00C738AF">
      <w:pPr>
        <w:pStyle w:val="BodyTextIndent"/>
      </w:pPr>
      <w:r>
        <w:t>Do not use explosives</w:t>
      </w:r>
      <w:r w:rsidR="00124115">
        <w:t>.</w:t>
      </w:r>
    </w:p>
    <w:p w14:paraId="1C62F8B1" w14:textId="77777777" w:rsidR="0095410D" w:rsidRDefault="00C61A35" w:rsidP="00A35425">
      <w:pPr>
        <w:pStyle w:val="Heading2"/>
      </w:pPr>
      <w:bookmarkStart w:id="37" w:name="_Toc76024360"/>
      <w:r>
        <w:t xml:space="preserve">UTILITY </w:t>
      </w:r>
      <w:r w:rsidR="0095410D">
        <w:t>service installation</w:t>
      </w:r>
      <w:bookmarkEnd w:id="37"/>
    </w:p>
    <w:p w14:paraId="1BEB4DBC" w14:textId="77777777" w:rsidR="0095410D" w:rsidRDefault="008843FC" w:rsidP="00A35425">
      <w:pPr>
        <w:pStyle w:val="Heading3"/>
      </w:pPr>
      <w:bookmarkStart w:id="38" w:name="_Toc76024361"/>
      <w:r w:rsidRPr="00C738AF">
        <w:t>General</w:t>
      </w:r>
      <w:bookmarkEnd w:id="38"/>
    </w:p>
    <w:p w14:paraId="2D11D7F3" w14:textId="77777777" w:rsidR="00DC65E2" w:rsidRDefault="0013103B" w:rsidP="00C738AF">
      <w:pPr>
        <w:pStyle w:val="BodyTextIndent"/>
        <w:rPr>
          <w:b/>
          <w:u w:val="single"/>
        </w:rPr>
      </w:pPr>
      <w:r w:rsidRPr="00DC65E2">
        <w:rPr>
          <w:b/>
          <w:u w:val="single"/>
        </w:rPr>
        <w:t>New Developments</w:t>
      </w:r>
    </w:p>
    <w:p w14:paraId="20965707" w14:textId="77777777" w:rsidR="0095410D" w:rsidRDefault="0095410D" w:rsidP="009506DF">
      <w:pPr>
        <w:pStyle w:val="BodyTextIndent"/>
      </w:pPr>
      <w:r>
        <w:t xml:space="preserve">Locate services within the designated corridors to comply with the relevant </w:t>
      </w:r>
      <w:r w:rsidRPr="009506DF">
        <w:rPr>
          <w:i/>
        </w:rPr>
        <w:t>Standard Drawing</w:t>
      </w:r>
      <w:r w:rsidR="009506DF">
        <w:rPr>
          <w:i/>
        </w:rPr>
        <w:t>s</w:t>
      </w:r>
      <w:r w:rsidRPr="009506DF">
        <w:rPr>
          <w:i/>
        </w:rPr>
        <w:t xml:space="preserve"> </w:t>
      </w:r>
      <w:r w:rsidR="009506DF" w:rsidRPr="009506DF">
        <w:rPr>
          <w:i/>
        </w:rPr>
        <w:t xml:space="preserve">BSD-1013 </w:t>
      </w:r>
      <w:r w:rsidR="009506DF" w:rsidRPr="009506DF">
        <w:t>and</w:t>
      </w:r>
      <w:r w:rsidR="009506DF" w:rsidRPr="009506DF">
        <w:rPr>
          <w:i/>
        </w:rPr>
        <w:t xml:space="preserve"> BSD-1014</w:t>
      </w:r>
      <w:r w:rsidR="009506DF">
        <w:t xml:space="preserve"> or </w:t>
      </w:r>
      <w:r w:rsidR="009506DF" w:rsidRPr="009506DF">
        <w:rPr>
          <w:i/>
        </w:rPr>
        <w:t>BSD-1015</w:t>
      </w:r>
      <w:r w:rsidR="009506DF">
        <w:t xml:space="preserve"> and </w:t>
      </w:r>
      <w:r w:rsidR="009506DF" w:rsidRPr="009506DF">
        <w:rPr>
          <w:i/>
        </w:rPr>
        <w:t>BSD-1016</w:t>
      </w:r>
      <w:r w:rsidR="009506DF">
        <w:t xml:space="preserve"> </w:t>
      </w:r>
      <w:r w:rsidR="007D0062">
        <w:t>where applicable</w:t>
      </w:r>
      <w:r w:rsidR="00F620CD">
        <w:t>.</w:t>
      </w:r>
      <w:r w:rsidR="007D0062">
        <w:t xml:space="preserve">  Provide </w:t>
      </w:r>
      <w:r w:rsidR="009506DF">
        <w:t>minimum</w:t>
      </w:r>
      <w:r w:rsidR="007D0062">
        <w:t xml:space="preserve"> cover</w:t>
      </w:r>
      <w:r w:rsidR="0044799A">
        <w:t xml:space="preserve"> to service </w:t>
      </w:r>
      <w:r w:rsidR="007D0062">
        <w:t>as specified in Table 5.1</w:t>
      </w:r>
      <w:r w:rsidR="00962D66">
        <w:t xml:space="preserve"> or as required by the service owner, whichever is greater</w:t>
      </w:r>
      <w:r w:rsidR="007D0062">
        <w:t>.</w:t>
      </w:r>
    </w:p>
    <w:p w14:paraId="77CBB53C" w14:textId="77777777" w:rsidR="00DC65E2" w:rsidRDefault="0013103B" w:rsidP="003C09E1">
      <w:pPr>
        <w:pStyle w:val="BodyTextIndent"/>
      </w:pPr>
      <w:r w:rsidRPr="00DC65E2">
        <w:rPr>
          <w:b/>
          <w:u w:val="single"/>
        </w:rPr>
        <w:t>Existing Develop</w:t>
      </w:r>
      <w:r w:rsidR="00DC65E2">
        <w:rPr>
          <w:b/>
          <w:u w:val="single"/>
        </w:rPr>
        <w:t>ed Areas</w:t>
      </w:r>
    </w:p>
    <w:p w14:paraId="5CF4B149" w14:textId="77777777" w:rsidR="00DC65E2" w:rsidRDefault="00DC65E2" w:rsidP="003C09E1">
      <w:pPr>
        <w:pStyle w:val="BodyTextIndent"/>
      </w:pPr>
      <w:r>
        <w:t xml:space="preserve">Use the horizontal alignment assigned to that service </w:t>
      </w:r>
      <w:r w:rsidR="002A3684">
        <w:t>type at the time that the area was originally developed.  Consult with Council to confirm the alignment for that particular service.</w:t>
      </w:r>
    </w:p>
    <w:p w14:paraId="32422C57" w14:textId="77777777" w:rsidR="002A3684" w:rsidRDefault="002A3684" w:rsidP="003C09E1">
      <w:pPr>
        <w:pStyle w:val="BodyTextIndent"/>
      </w:pPr>
      <w:r>
        <w:t>When upgrading or replacing existing services</w:t>
      </w:r>
      <w:r w:rsidR="00235953">
        <w:t>, reuse the existing alignment and remove old conduits and equipment where practical.</w:t>
      </w:r>
    </w:p>
    <w:p w14:paraId="2FABD1E2" w14:textId="65BA235D" w:rsidR="003C09E1" w:rsidRDefault="003C09E1" w:rsidP="003C09E1">
      <w:pPr>
        <w:pStyle w:val="BodyTextIndent"/>
      </w:pPr>
      <w:r>
        <w:t>Services installed across existing pavements are to be perpendicular (90</w:t>
      </w:r>
      <w:r w:rsidR="007B34C4">
        <w:rPr>
          <w:rFonts w:cs="Arial"/>
        </w:rPr>
        <w:t>°</w:t>
      </w:r>
      <w:r>
        <w:t>) to the kerb or shoulder.  Services installed along existing pavements are to be parallel to the centreline and are not to be installed directly beneath the normal ‘wheel paths’ of road users.  Manhole(s), valve(s) or other surface mounted structures are not to be installed directly beneath the normal ‘wheel paths’ of road users.</w:t>
      </w:r>
    </w:p>
    <w:p w14:paraId="6D9FA17E" w14:textId="77777777" w:rsidR="00734224" w:rsidRPr="00A00CE6" w:rsidRDefault="00734224" w:rsidP="00A35425">
      <w:pPr>
        <w:pStyle w:val="Heading3"/>
      </w:pPr>
      <w:bookmarkStart w:id="39" w:name="_Toc76024362"/>
      <w:r w:rsidRPr="00A00CE6">
        <w:t>Redundant Conduits, Pits, Services and Other Assets</w:t>
      </w:r>
      <w:bookmarkEnd w:id="39"/>
    </w:p>
    <w:p w14:paraId="2003492D" w14:textId="2DFB498D" w:rsidR="00734224" w:rsidRPr="00A00CE6" w:rsidRDefault="00734224" w:rsidP="003C09E1">
      <w:pPr>
        <w:pStyle w:val="BodyTextIndent"/>
      </w:pPr>
      <w:r w:rsidRPr="00A00CE6">
        <w:t xml:space="preserve">Where an installation is to replace, </w:t>
      </w:r>
      <w:r w:rsidR="00E43672" w:rsidRPr="00A00CE6">
        <w:t xml:space="preserve">abandon </w:t>
      </w:r>
      <w:r w:rsidRPr="00A00CE6">
        <w:t xml:space="preserve">or make redundant an existing asset such as a conduit, pit, service or any other asset, this redundant or </w:t>
      </w:r>
      <w:r w:rsidR="1B976A90" w:rsidRPr="00A00CE6">
        <w:t>abanoned</w:t>
      </w:r>
      <w:r w:rsidRPr="00A00CE6">
        <w:t xml:space="preserve"> </w:t>
      </w:r>
      <w:r w:rsidR="00682A3F" w:rsidRPr="00A00CE6">
        <w:t xml:space="preserve">asset </w:t>
      </w:r>
      <w:r w:rsidR="002C4411" w:rsidRPr="00A00CE6">
        <w:t xml:space="preserve">shall be exhumed from its location and the area restored in accordance with </w:t>
      </w:r>
      <w:r w:rsidR="00682A3F" w:rsidRPr="00A00CE6">
        <w:t xml:space="preserve">this </w:t>
      </w:r>
      <w:r w:rsidR="002C4411" w:rsidRPr="00A00CE6">
        <w:t>specification.</w:t>
      </w:r>
    </w:p>
    <w:p w14:paraId="391AF420" w14:textId="77777777" w:rsidR="002C4411" w:rsidRPr="00A00CE6" w:rsidRDefault="002C4411" w:rsidP="002C4411">
      <w:pPr>
        <w:pStyle w:val="BodyTextIndent"/>
        <w:rPr>
          <w:b/>
          <w:bCs/>
          <w:u w:val="single"/>
        </w:rPr>
      </w:pPr>
      <w:r w:rsidRPr="00A00CE6">
        <w:rPr>
          <w:b/>
          <w:bCs/>
          <w:u w:val="single"/>
        </w:rPr>
        <w:t>Exceptions</w:t>
      </w:r>
    </w:p>
    <w:p w14:paraId="5A1452FB" w14:textId="77777777" w:rsidR="002C4411" w:rsidRPr="00A00CE6" w:rsidRDefault="002C4411" w:rsidP="003C09E1">
      <w:pPr>
        <w:pStyle w:val="BodyTextIndent"/>
      </w:pPr>
      <w:r w:rsidRPr="00A00CE6">
        <w:t>Where is not practicable to exhume an existing asset due to site constraints such as protected vegetation, adverse topography or ground conditions, or not being located within Council controlled area, the redundant asset shall be:</w:t>
      </w:r>
    </w:p>
    <w:p w14:paraId="58C03B7A" w14:textId="77777777" w:rsidR="002C4411" w:rsidRPr="00A00CE6" w:rsidRDefault="002C4411" w:rsidP="002C4411">
      <w:pPr>
        <w:pStyle w:val="BodyTextIndentDot"/>
      </w:pPr>
      <w:r w:rsidRPr="00A00CE6">
        <w:t>Cap</w:t>
      </w:r>
      <w:r w:rsidR="00E43672" w:rsidRPr="00A00CE6">
        <w:t>/seal</w:t>
      </w:r>
      <w:r w:rsidRPr="00A00CE6">
        <w:t xml:space="preserve"> both ends;</w:t>
      </w:r>
    </w:p>
    <w:p w14:paraId="61B69E6B" w14:textId="77777777" w:rsidR="002C4411" w:rsidRPr="00A00CE6" w:rsidRDefault="002C4411" w:rsidP="002C4411">
      <w:pPr>
        <w:pStyle w:val="BodyTextIndentDot"/>
      </w:pPr>
      <w:r w:rsidRPr="00A00CE6">
        <w:lastRenderedPageBreak/>
        <w:t xml:space="preserve">Completely filled with a </w:t>
      </w:r>
      <w:r w:rsidR="00E43672" w:rsidRPr="00A00CE6">
        <w:t xml:space="preserve">non-compressible, </w:t>
      </w:r>
      <w:r w:rsidRPr="00A00CE6">
        <w:t xml:space="preserve">flowable, self-setting material so as to ensure that the </w:t>
      </w:r>
      <w:r w:rsidR="00E43672" w:rsidRPr="00A00CE6">
        <w:t xml:space="preserve">redundant service </w:t>
      </w:r>
      <w:r w:rsidRPr="00A00CE6">
        <w:t xml:space="preserve">cannot collapse </w:t>
      </w:r>
      <w:r w:rsidR="004B4E3F" w:rsidRPr="00A00CE6">
        <w:t>or fail; and</w:t>
      </w:r>
    </w:p>
    <w:p w14:paraId="35E86CAD" w14:textId="77777777" w:rsidR="004B4E3F" w:rsidRPr="00A00CE6" w:rsidRDefault="004B4E3F" w:rsidP="002C4411">
      <w:pPr>
        <w:pStyle w:val="BodyTextIndentDot"/>
      </w:pPr>
      <w:r w:rsidRPr="00A00CE6">
        <w:t xml:space="preserve">Ensure that the redundant asset is recorded, and is reportable, on location services such as </w:t>
      </w:r>
      <w:r w:rsidRPr="00A00CE6">
        <w:rPr>
          <w:i/>
        </w:rPr>
        <w:t>Dial Before You Dig</w:t>
      </w:r>
      <w:r w:rsidRPr="00A00CE6">
        <w:t>.</w:t>
      </w:r>
    </w:p>
    <w:p w14:paraId="309E01B7" w14:textId="77777777" w:rsidR="004B4E3F" w:rsidRPr="00A35425" w:rsidRDefault="00682A3F" w:rsidP="00A35425">
      <w:pPr>
        <w:pStyle w:val="Heading4"/>
      </w:pPr>
      <w:bookmarkStart w:id="40" w:name="_Toc76024363"/>
      <w:r w:rsidRPr="00A35425">
        <w:t>Redundant Asbestos Material</w:t>
      </w:r>
      <w:bookmarkEnd w:id="40"/>
    </w:p>
    <w:p w14:paraId="38B48D4B" w14:textId="77777777" w:rsidR="002C11E2" w:rsidRPr="00A00CE6" w:rsidRDefault="002C11E2" w:rsidP="004B4E3F">
      <w:pPr>
        <w:pStyle w:val="BodyTextIndent"/>
      </w:pPr>
      <w:r w:rsidRPr="00A00CE6">
        <w:t xml:space="preserve">All </w:t>
      </w:r>
      <w:r w:rsidR="005C0627" w:rsidRPr="00A00CE6">
        <w:t xml:space="preserve">redundant </w:t>
      </w:r>
      <w:r w:rsidRPr="00A00CE6">
        <w:t>asbestos materials are to be either:</w:t>
      </w:r>
    </w:p>
    <w:p w14:paraId="019D387D" w14:textId="77777777" w:rsidR="002C11E2" w:rsidRPr="00A00CE6" w:rsidRDefault="002C11E2" w:rsidP="00682A3F">
      <w:pPr>
        <w:pStyle w:val="BodyTextIndentDot"/>
      </w:pPr>
      <w:r w:rsidRPr="00A00CE6">
        <w:t xml:space="preserve">Removed in a safe manner in accordance with current legislation and guidelines; </w:t>
      </w:r>
      <w:r w:rsidR="005C0627" w:rsidRPr="00A00CE6">
        <w:t>and/</w:t>
      </w:r>
      <w:r w:rsidRPr="00A00CE6">
        <w:t>or</w:t>
      </w:r>
    </w:p>
    <w:p w14:paraId="078CB668" w14:textId="77777777" w:rsidR="004B4E3F" w:rsidRPr="00A00CE6" w:rsidRDefault="002C11E2" w:rsidP="00682A3F">
      <w:pPr>
        <w:pStyle w:val="BodyTextIndentDot"/>
      </w:pPr>
      <w:r w:rsidRPr="00A00CE6">
        <w:t>Sealed or encapsulated in</w:t>
      </w:r>
      <w:r w:rsidR="00682A3F" w:rsidRPr="00A00CE6">
        <w:t>-situ in</w:t>
      </w:r>
      <w:r w:rsidRPr="00A00CE6">
        <w:t xml:space="preserve"> a manner so </w:t>
      </w:r>
      <w:r w:rsidR="00682A3F" w:rsidRPr="00A00CE6">
        <w:t>that the material</w:t>
      </w:r>
      <w:r w:rsidRPr="00A00CE6">
        <w:t xml:space="preserve"> will not be disturbed or accidently accessed by any future works or excavation.</w:t>
      </w:r>
    </w:p>
    <w:p w14:paraId="3C3E6097" w14:textId="77777777" w:rsidR="002C11E2" w:rsidRPr="00682A3F" w:rsidRDefault="002C11E2" w:rsidP="004B4E3F">
      <w:pPr>
        <w:pStyle w:val="BodyTextIndent"/>
      </w:pPr>
      <w:r w:rsidRPr="00A00CE6">
        <w:t xml:space="preserve">Any asbestos material </w:t>
      </w:r>
      <w:r w:rsidR="00682A3F" w:rsidRPr="00A00CE6">
        <w:t xml:space="preserve">left in-situ shall be clearly identified and recorded on </w:t>
      </w:r>
      <w:r w:rsidR="005C0627" w:rsidRPr="00A00CE6">
        <w:t>a</w:t>
      </w:r>
      <w:r w:rsidR="00682A3F" w:rsidRPr="00A00CE6">
        <w:t xml:space="preserve"> location services such as </w:t>
      </w:r>
      <w:r w:rsidR="00682A3F" w:rsidRPr="00A00CE6">
        <w:rPr>
          <w:i/>
        </w:rPr>
        <w:t>Dial Before You Dig</w:t>
      </w:r>
      <w:r w:rsidR="00682A3F" w:rsidRPr="00A00CE6">
        <w:t xml:space="preserve"> and remain</w:t>
      </w:r>
      <w:r w:rsidR="005C0627" w:rsidRPr="00A00CE6">
        <w:t>s</w:t>
      </w:r>
      <w:r w:rsidR="00682A3F" w:rsidRPr="00A00CE6">
        <w:t xml:space="preserve"> the </w:t>
      </w:r>
      <w:r w:rsidR="005C0627" w:rsidRPr="00A00CE6">
        <w:t xml:space="preserve">property and </w:t>
      </w:r>
      <w:r w:rsidR="00682A3F" w:rsidRPr="00A00CE6">
        <w:t>responsibility of the original service authority and/or owner.</w:t>
      </w:r>
      <w:r w:rsidR="005C0627" w:rsidRPr="00A00CE6">
        <w:t xml:space="preserve">  The cost for any future removal and remediation shall be borne by the original service authority and/or owner.</w:t>
      </w:r>
    </w:p>
    <w:p w14:paraId="400C57A9" w14:textId="77777777" w:rsidR="004D44D8" w:rsidRDefault="008843FC" w:rsidP="00A35425">
      <w:pPr>
        <w:pStyle w:val="Heading3"/>
      </w:pPr>
      <w:bookmarkStart w:id="41" w:name="_Toc76024364"/>
      <w:r w:rsidRPr="00C738AF">
        <w:t>Marking</w:t>
      </w:r>
      <w:r>
        <w:t xml:space="preserve"> </w:t>
      </w:r>
      <w:r w:rsidRPr="00A35425">
        <w:t>Services</w:t>
      </w:r>
      <w:bookmarkEnd w:id="41"/>
    </w:p>
    <w:p w14:paraId="348BC59D" w14:textId="5D95212B" w:rsidR="004D44D8" w:rsidRDefault="004D44D8" w:rsidP="00C738AF">
      <w:pPr>
        <w:pStyle w:val="BodyTextIndent"/>
      </w:pPr>
      <w:r w:rsidRPr="009341A8">
        <w:rPr>
          <w:u w:val="single"/>
        </w:rPr>
        <w:t>Temporary markers</w:t>
      </w:r>
      <w:r>
        <w:t>: Provide clearly labelled 50 mm</w:t>
      </w:r>
      <w:r w:rsidR="0094375F" w:rsidRPr="00DF46CF">
        <w:rPr>
          <w:iCs/>
        </w:rPr>
        <w:t> </w:t>
      </w:r>
      <w:r>
        <w:t>x</w:t>
      </w:r>
      <w:r w:rsidR="00663166" w:rsidRPr="00DF46CF">
        <w:rPr>
          <w:iCs/>
        </w:rPr>
        <w:t> </w:t>
      </w:r>
      <w:r>
        <w:t>50 mm stakes directly above the ends of each conduit run.</w:t>
      </w:r>
    </w:p>
    <w:p w14:paraId="7128DBFE" w14:textId="77777777" w:rsidR="004D44D8" w:rsidRDefault="004D44D8" w:rsidP="00C738AF">
      <w:pPr>
        <w:pStyle w:val="BodyTextIndent"/>
      </w:pPr>
      <w:r w:rsidRPr="009341A8">
        <w:rPr>
          <w:u w:val="single"/>
        </w:rPr>
        <w:t>Underground marking tape</w:t>
      </w:r>
      <w:r>
        <w:t xml:space="preserve">: Provide buried marking tape to all public utility services in accordance with the requirements of </w:t>
      </w:r>
      <w:r w:rsidRPr="00722CEB">
        <w:rPr>
          <w:i/>
        </w:rPr>
        <w:t>AS/NZS 2648</w:t>
      </w:r>
      <w:r>
        <w:t>.</w:t>
      </w:r>
    </w:p>
    <w:p w14:paraId="478C95CF" w14:textId="1CB82A3D" w:rsidR="004D44D8" w:rsidRDefault="004D44D8" w:rsidP="00C738AF">
      <w:pPr>
        <w:pStyle w:val="BodyTextIndent"/>
      </w:pPr>
      <w:r w:rsidRPr="002F00AC">
        <w:rPr>
          <w:u w:val="single"/>
        </w:rPr>
        <w:t>Brass marker discs</w:t>
      </w:r>
      <w:r>
        <w:t>: Install brass marker discs embossed with the relevant symbols at the kerb and channel to indicate location of each service or conduit crossings.  In location where there is no kerb and channel, construct 225 mm wide x 450 mm long x 75 mm thick grade N25 concrete block, with</w:t>
      </w:r>
      <w:r w:rsidR="00962D66">
        <w:t xml:space="preserve"> an</w:t>
      </w:r>
      <w:r>
        <w:t xml:space="preserve"> indentation for the indicator disc centrally placed on the top face of each block.</w:t>
      </w:r>
      <w:r w:rsidR="00CA2C3F">
        <w:t xml:space="preserve">  The concrete block shall be located 500</w:t>
      </w:r>
      <w:r w:rsidR="00663166" w:rsidRPr="00DF46CF">
        <w:rPr>
          <w:iCs/>
        </w:rPr>
        <w:t> </w:t>
      </w:r>
      <w:r w:rsidR="00CA2C3F">
        <w:t xml:space="preserve">mm from and with </w:t>
      </w:r>
      <w:r w:rsidR="004418ED">
        <w:t xml:space="preserve">the </w:t>
      </w:r>
      <w:r w:rsidR="00CA2C3F">
        <w:t>long edge parallel to sealed edge of the pavement</w:t>
      </w:r>
      <w:r w:rsidR="00962D66">
        <w:t xml:space="preserve"> and set flush with the surrounding surface</w:t>
      </w:r>
      <w:r w:rsidR="004418ED">
        <w:t>.</w:t>
      </w:r>
    </w:p>
    <w:p w14:paraId="775C0DD2" w14:textId="77777777" w:rsidR="00C61A35" w:rsidRDefault="008843FC" w:rsidP="00A35425">
      <w:pPr>
        <w:pStyle w:val="Heading3"/>
      </w:pPr>
      <w:bookmarkStart w:id="42" w:name="_Toc76024365"/>
      <w:r w:rsidRPr="00C738AF">
        <w:t>Service</w:t>
      </w:r>
      <w:r>
        <w:t xml:space="preserve"> Installation</w:t>
      </w:r>
      <w:bookmarkEnd w:id="42"/>
    </w:p>
    <w:p w14:paraId="218B3983" w14:textId="77777777" w:rsidR="00830906" w:rsidRDefault="00830906" w:rsidP="00C738AF">
      <w:pPr>
        <w:pStyle w:val="BodyTextIndent"/>
      </w:pPr>
      <w:r w:rsidRPr="002F00AC">
        <w:rPr>
          <w:u w:val="single"/>
        </w:rPr>
        <w:t>Requirement</w:t>
      </w:r>
      <w:r>
        <w:t xml:space="preserve">: Supply and install stormwater pipes and culverts in accordance with </w:t>
      </w:r>
      <w:r w:rsidRPr="00945905">
        <w:rPr>
          <w:i/>
        </w:rPr>
        <w:t xml:space="preserve">Reference Specification </w:t>
      </w:r>
      <w:r w:rsidRPr="00830906">
        <w:rPr>
          <w:i/>
        </w:rPr>
        <w:t>S160 Drainage</w:t>
      </w:r>
      <w:r>
        <w:t>.  Install pipes and bedding for reticulated pipe network systems (water, sewerage, gas etc)</w:t>
      </w:r>
      <w:r w:rsidR="004418ED">
        <w:t>, pipes conveying combustible or flammable liquids and communication and electrical cables and conduits</w:t>
      </w:r>
      <w:r>
        <w:t xml:space="preserve"> </w:t>
      </w:r>
      <w:r w:rsidR="00FC4ADA">
        <w:t xml:space="preserve">in accordance with the requirements of the appropriate service provider.  Backfill trenches and reinstate </w:t>
      </w:r>
      <w:r w:rsidR="00A41087">
        <w:t xml:space="preserve">existing Brisbane City Council assets </w:t>
      </w:r>
      <w:r w:rsidR="00FC4ADA">
        <w:t>in accordance with this specification.</w:t>
      </w:r>
    </w:p>
    <w:p w14:paraId="752A12C1" w14:textId="77777777" w:rsidR="00C61A35" w:rsidRDefault="008843FC" w:rsidP="00A35425">
      <w:pPr>
        <w:pStyle w:val="Heading3"/>
      </w:pPr>
      <w:bookmarkStart w:id="43" w:name="_Toc76024366"/>
      <w:r w:rsidRPr="00C738AF">
        <w:t>Service</w:t>
      </w:r>
      <w:r>
        <w:t xml:space="preserve"> Conduits</w:t>
      </w:r>
      <w:bookmarkEnd w:id="43"/>
    </w:p>
    <w:p w14:paraId="6A1E70D8" w14:textId="77777777" w:rsidR="00F620CD" w:rsidRDefault="00F620CD" w:rsidP="00C738AF">
      <w:pPr>
        <w:pStyle w:val="BodyTextIndent"/>
        <w:rPr>
          <w:b/>
          <w:sz w:val="22"/>
          <w:u w:val="single"/>
        </w:rPr>
      </w:pPr>
      <w:r>
        <w:t>Provide conduits that pass inspections and tests required by the appropriate Service Authority.</w:t>
      </w:r>
    </w:p>
    <w:p w14:paraId="2CDBFCB1" w14:textId="77777777" w:rsidR="00FC4ADA" w:rsidRDefault="00FC4ADA" w:rsidP="00C738AF">
      <w:pPr>
        <w:pStyle w:val="BodyTextIndentBoldUnderline"/>
      </w:pPr>
      <w:r>
        <w:t>Materials</w:t>
      </w:r>
    </w:p>
    <w:p w14:paraId="0E79CD33" w14:textId="77777777" w:rsidR="00C61A35" w:rsidRDefault="00C61A35" w:rsidP="00C738AF">
      <w:pPr>
        <w:pStyle w:val="BodyTextIndent"/>
      </w:pPr>
      <w:r w:rsidRPr="002F00AC">
        <w:rPr>
          <w:u w:val="single"/>
        </w:rPr>
        <w:t>Electricity conduit</w:t>
      </w:r>
      <w:r>
        <w:t xml:space="preserve">: Supply conduit to comply with the “Heavy Duty” requirements of </w:t>
      </w:r>
      <w:r w:rsidRPr="00722CEB">
        <w:rPr>
          <w:i/>
        </w:rPr>
        <w:t>AS</w:t>
      </w:r>
      <w:r w:rsidR="00B908C9">
        <w:rPr>
          <w:i/>
        </w:rPr>
        <w:t>/NZS</w:t>
      </w:r>
      <w:r w:rsidRPr="00722CEB">
        <w:rPr>
          <w:i/>
        </w:rPr>
        <w:t> 2053</w:t>
      </w:r>
      <w:r>
        <w:t xml:space="preserve">.  Also refer to Energex publication titled </w:t>
      </w:r>
      <w:r>
        <w:rPr>
          <w:i/>
        </w:rPr>
        <w:t>Underground Distribution Construction</w:t>
      </w:r>
      <w:r>
        <w:t>.</w:t>
      </w:r>
    </w:p>
    <w:p w14:paraId="71C1C829" w14:textId="77777777" w:rsidR="00C61A35" w:rsidRDefault="00C61A35" w:rsidP="00C738AF">
      <w:pPr>
        <w:pStyle w:val="BodyTextIndent"/>
      </w:pPr>
      <w:r w:rsidRPr="002F00AC">
        <w:rPr>
          <w:u w:val="single"/>
        </w:rPr>
        <w:t>Gas conduit</w:t>
      </w:r>
      <w:r>
        <w:t xml:space="preserve">: Supply conduit to comply with </w:t>
      </w:r>
      <w:r w:rsidRPr="00722CEB">
        <w:rPr>
          <w:i/>
        </w:rPr>
        <w:t>AS</w:t>
      </w:r>
      <w:r w:rsidR="00B908C9">
        <w:rPr>
          <w:i/>
        </w:rPr>
        <w:t>/NZS</w:t>
      </w:r>
      <w:r w:rsidRPr="00722CEB">
        <w:rPr>
          <w:i/>
        </w:rPr>
        <w:t> 4130</w:t>
      </w:r>
      <w:r>
        <w:t>.</w:t>
      </w:r>
    </w:p>
    <w:p w14:paraId="3228B44C" w14:textId="77777777" w:rsidR="00C61A35" w:rsidRDefault="00C61A35" w:rsidP="00C738AF">
      <w:pPr>
        <w:pStyle w:val="BodyTextIndent"/>
      </w:pPr>
      <w:r w:rsidRPr="002F00AC">
        <w:rPr>
          <w:u w:val="single"/>
        </w:rPr>
        <w:t>Water conduit</w:t>
      </w:r>
      <w:r>
        <w:t xml:space="preserve">: Supply conduit to comply with </w:t>
      </w:r>
      <w:r w:rsidRPr="00722CEB">
        <w:rPr>
          <w:i/>
        </w:rPr>
        <w:t>AS</w:t>
      </w:r>
      <w:r w:rsidR="00B908C9">
        <w:rPr>
          <w:i/>
        </w:rPr>
        <w:t>/NZS</w:t>
      </w:r>
      <w:r w:rsidRPr="00722CEB">
        <w:rPr>
          <w:i/>
        </w:rPr>
        <w:t> 1477</w:t>
      </w:r>
      <w:r>
        <w:t>.</w:t>
      </w:r>
    </w:p>
    <w:p w14:paraId="5E99948F" w14:textId="6A3E4300" w:rsidR="00C61A35" w:rsidRPr="009B1ACF" w:rsidRDefault="00081888" w:rsidP="00C738AF">
      <w:pPr>
        <w:pStyle w:val="BodyTextIndent"/>
        <w:rPr>
          <w:i/>
        </w:rPr>
      </w:pPr>
      <w:r w:rsidRPr="002F00AC">
        <w:rPr>
          <w:u w:val="single"/>
        </w:rPr>
        <w:t>Telecommunications conduit</w:t>
      </w:r>
      <w:r w:rsidRPr="00DE343D">
        <w:t xml:space="preserve">: Supply </w:t>
      </w:r>
      <w:r>
        <w:t xml:space="preserve">white </w:t>
      </w:r>
      <w:r w:rsidR="00945905">
        <w:t xml:space="preserve">uPVC </w:t>
      </w:r>
      <w:r w:rsidRPr="00DE343D">
        <w:t xml:space="preserve">conduit to comply with </w:t>
      </w:r>
      <w:r w:rsidRPr="00722CEB">
        <w:rPr>
          <w:i/>
        </w:rPr>
        <w:t>AS 1477</w:t>
      </w:r>
      <w:r>
        <w:t>.  Class PN</w:t>
      </w:r>
      <w:r w:rsidR="006F1B71" w:rsidRPr="00722CEB">
        <w:rPr>
          <w:i/>
        </w:rPr>
        <w:t> </w:t>
      </w:r>
      <w:r>
        <w:t>9 shall be used for 80</w:t>
      </w:r>
      <w:r w:rsidR="00722CEB">
        <w:t> </w:t>
      </w:r>
      <w:r>
        <w:t>mm and 100</w:t>
      </w:r>
      <w:r w:rsidR="00722CEB">
        <w:t> </w:t>
      </w:r>
      <w:r>
        <w:t>mm diameter, and class PN12 for 65</w:t>
      </w:r>
      <w:r w:rsidR="00722CEB">
        <w:t> </w:t>
      </w:r>
      <w:r>
        <w:t>mm and smaller diameters.</w:t>
      </w:r>
    </w:p>
    <w:p w14:paraId="44E520B1" w14:textId="77777777" w:rsidR="008E0629" w:rsidRDefault="008E0629" w:rsidP="00C738AF">
      <w:pPr>
        <w:pStyle w:val="BodyTextIndentBoldUnderline"/>
      </w:pPr>
      <w:r>
        <w:t>Installation</w:t>
      </w:r>
    </w:p>
    <w:p w14:paraId="252411FA" w14:textId="77777777" w:rsidR="0095410D" w:rsidRDefault="0095410D" w:rsidP="00C738AF">
      <w:pPr>
        <w:pStyle w:val="BodyTextIndent"/>
      </w:pPr>
      <w:r w:rsidRPr="002F00AC">
        <w:rPr>
          <w:u w:val="single"/>
        </w:rPr>
        <w:t>UPVC pipe systems</w:t>
      </w:r>
      <w:r>
        <w:t xml:space="preserve">: Conform to the installation requirements of </w:t>
      </w:r>
      <w:r w:rsidRPr="00722CEB">
        <w:rPr>
          <w:i/>
        </w:rPr>
        <w:t>AS</w:t>
      </w:r>
      <w:r w:rsidR="00B908C9">
        <w:rPr>
          <w:i/>
        </w:rPr>
        <w:t>/NZS</w:t>
      </w:r>
      <w:r w:rsidRPr="00722CEB">
        <w:rPr>
          <w:i/>
        </w:rPr>
        <w:t> 2032</w:t>
      </w:r>
      <w:r>
        <w:t xml:space="preserve"> except where specified herein.</w:t>
      </w:r>
    </w:p>
    <w:p w14:paraId="73D257F8" w14:textId="77777777" w:rsidR="0095410D" w:rsidRDefault="0095410D" w:rsidP="00C738AF">
      <w:pPr>
        <w:pStyle w:val="BodyTextIndent"/>
      </w:pPr>
      <w:r w:rsidRPr="002F00AC">
        <w:rPr>
          <w:u w:val="single"/>
        </w:rPr>
        <w:t>Polyethylene pipe systems</w:t>
      </w:r>
      <w:r>
        <w:t xml:space="preserve">: Conform to the installation requirements of </w:t>
      </w:r>
      <w:r w:rsidRPr="00722CEB">
        <w:rPr>
          <w:i/>
        </w:rPr>
        <w:t>AS</w:t>
      </w:r>
      <w:r w:rsidR="00B908C9">
        <w:rPr>
          <w:i/>
        </w:rPr>
        <w:t>/NZS</w:t>
      </w:r>
      <w:r w:rsidRPr="00722CEB">
        <w:rPr>
          <w:i/>
        </w:rPr>
        <w:t> 2033</w:t>
      </w:r>
      <w:r>
        <w:t xml:space="preserve"> except where specified herein.</w:t>
      </w:r>
    </w:p>
    <w:p w14:paraId="6785AF1D" w14:textId="77777777" w:rsidR="0095410D" w:rsidRDefault="0095410D" w:rsidP="00C738AF">
      <w:pPr>
        <w:pStyle w:val="BodyTextIndent"/>
      </w:pPr>
      <w:r w:rsidRPr="00C25DD3">
        <w:rPr>
          <w:u w:val="single"/>
        </w:rPr>
        <w:t>Bedding material</w:t>
      </w:r>
      <w:r>
        <w:t>: Bedding sand consisting of clean sharp washed river sand or 5 - 7 mm nominal size screenings (recycled concrete or clean crushed rock) free of salt, clay or organic contaminants.  Comply with Table </w:t>
      </w:r>
      <w:r w:rsidR="00E10C04">
        <w:t>6</w:t>
      </w:r>
      <w:r>
        <w:t>.1 for grading requirements.</w:t>
      </w:r>
      <w:r w:rsidR="001F202B">
        <w:t xml:space="preserve">  If the relevant Service Authority requires a </w:t>
      </w:r>
      <w:r w:rsidR="00903DE6">
        <w:t>different</w:t>
      </w:r>
      <w:r w:rsidR="001F202B">
        <w:t xml:space="preserve"> form of bedding material</w:t>
      </w:r>
      <w:r w:rsidR="00903DE6">
        <w:t xml:space="preserve">, </w:t>
      </w:r>
      <w:r w:rsidR="001F202B">
        <w:t xml:space="preserve">provide that </w:t>
      </w:r>
      <w:r w:rsidR="00903DE6">
        <w:t>bedding material</w:t>
      </w:r>
      <w:r w:rsidR="001F202B">
        <w:t>.</w:t>
      </w:r>
    </w:p>
    <w:p w14:paraId="071F7698" w14:textId="77777777" w:rsidR="00A35425" w:rsidRDefault="00A35425" w:rsidP="00A35425">
      <w:pPr>
        <w:pStyle w:val="BodyText"/>
        <w:rPr>
          <w:sz w:val="18"/>
        </w:rPr>
      </w:pPr>
      <w:r>
        <w:br w:type="page"/>
      </w:r>
    </w:p>
    <w:p w14:paraId="0E9BECA4" w14:textId="70444BDE" w:rsidR="007F3105" w:rsidRDefault="007F3105" w:rsidP="00D46EA8">
      <w:pPr>
        <w:pStyle w:val="TableIDNum"/>
      </w:pPr>
      <w:r>
        <w:lastRenderedPageBreak/>
        <w:t>Table</w:t>
      </w:r>
      <w:r w:rsidR="00663166" w:rsidRPr="00DF46CF">
        <w:rPr>
          <w:iCs/>
        </w:rPr>
        <w:t> </w:t>
      </w:r>
      <w:r w:rsidR="00E10C04">
        <w:t>6</w:t>
      </w:r>
      <w:r>
        <w:t xml:space="preserve">.1 </w:t>
      </w:r>
      <w:r w:rsidR="00C738AF">
        <w:t>–</w:t>
      </w:r>
      <w:r>
        <w:t xml:space="preserve"> Grading of bedding material</w:t>
      </w:r>
    </w:p>
    <w:tbl>
      <w:tblPr>
        <w:tblW w:w="8505" w:type="dxa"/>
        <w:tblInd w:w="817"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2693"/>
        <w:gridCol w:w="2906"/>
        <w:gridCol w:w="2906"/>
      </w:tblGrid>
      <w:tr w:rsidR="007F3105" w14:paraId="3FBF40BA" w14:textId="77777777" w:rsidTr="00D46EA8">
        <w:trPr>
          <w:cantSplit/>
          <w:trHeight w:val="397"/>
          <w:tblHeader/>
        </w:trPr>
        <w:tc>
          <w:tcPr>
            <w:tcW w:w="2693" w:type="dxa"/>
            <w:vMerge w:val="restart"/>
            <w:tcBorders>
              <w:top w:val="single" w:sz="12" w:space="0" w:color="000000"/>
              <w:left w:val="nil"/>
              <w:bottom w:val="single" w:sz="2" w:space="0" w:color="000000"/>
              <w:right w:val="single" w:sz="2" w:space="0" w:color="000000"/>
            </w:tcBorders>
            <w:shd w:val="pct10" w:color="auto" w:fill="auto"/>
            <w:vAlign w:val="center"/>
          </w:tcPr>
          <w:p w14:paraId="0ED201C9" w14:textId="77777777" w:rsidR="007F3105" w:rsidRDefault="007F3105" w:rsidP="00B21E7D">
            <w:pPr>
              <w:pStyle w:val="TableHeadCen"/>
            </w:pPr>
            <w:r>
              <w:t>A.S. sieve (mm)</w:t>
            </w:r>
          </w:p>
        </w:tc>
        <w:tc>
          <w:tcPr>
            <w:tcW w:w="5812" w:type="dxa"/>
            <w:gridSpan w:val="2"/>
            <w:tcBorders>
              <w:top w:val="single" w:sz="12" w:space="0" w:color="000000"/>
              <w:left w:val="single" w:sz="2" w:space="0" w:color="000000"/>
              <w:bottom w:val="single" w:sz="2" w:space="0" w:color="000000"/>
              <w:right w:val="nil"/>
            </w:tcBorders>
            <w:shd w:val="pct10" w:color="auto" w:fill="auto"/>
            <w:vAlign w:val="center"/>
          </w:tcPr>
          <w:p w14:paraId="299B23F5" w14:textId="77777777" w:rsidR="007F3105" w:rsidRDefault="007F3105" w:rsidP="00B21E7D">
            <w:pPr>
              <w:pStyle w:val="TableHeadCen"/>
            </w:pPr>
            <w:r>
              <w:t>Percentage passing by weight</w:t>
            </w:r>
          </w:p>
        </w:tc>
      </w:tr>
      <w:tr w:rsidR="007F3105" w14:paraId="52B5F1FD" w14:textId="77777777" w:rsidTr="00D46EA8">
        <w:trPr>
          <w:cantSplit/>
          <w:trHeight w:val="397"/>
          <w:tblHeader/>
        </w:trPr>
        <w:tc>
          <w:tcPr>
            <w:tcW w:w="2693" w:type="dxa"/>
            <w:vMerge/>
            <w:tcBorders>
              <w:top w:val="single" w:sz="2" w:space="0" w:color="000000"/>
              <w:left w:val="nil"/>
              <w:bottom w:val="single" w:sz="12" w:space="0" w:color="000000"/>
              <w:right w:val="single" w:sz="2" w:space="0" w:color="000000"/>
            </w:tcBorders>
            <w:shd w:val="pct10" w:color="auto" w:fill="auto"/>
            <w:vAlign w:val="center"/>
          </w:tcPr>
          <w:p w14:paraId="2722E76E" w14:textId="77777777" w:rsidR="007F3105" w:rsidRDefault="007F3105" w:rsidP="00080403">
            <w:pPr>
              <w:pStyle w:val="Notes"/>
              <w:rPr>
                <w:rFonts w:ascii="Arial" w:hAnsi="Arial"/>
              </w:rPr>
            </w:pPr>
          </w:p>
        </w:tc>
        <w:tc>
          <w:tcPr>
            <w:tcW w:w="2906" w:type="dxa"/>
            <w:tcBorders>
              <w:top w:val="single" w:sz="2" w:space="0" w:color="000000"/>
              <w:left w:val="single" w:sz="2" w:space="0" w:color="000000"/>
              <w:bottom w:val="single" w:sz="12" w:space="0" w:color="000000"/>
              <w:right w:val="single" w:sz="2" w:space="0" w:color="000000"/>
            </w:tcBorders>
            <w:shd w:val="pct10" w:color="auto" w:fill="auto"/>
            <w:vAlign w:val="center"/>
          </w:tcPr>
          <w:p w14:paraId="011521DC" w14:textId="77777777" w:rsidR="007F3105" w:rsidRDefault="007F3105" w:rsidP="00B21E7D">
            <w:pPr>
              <w:pStyle w:val="TableHeadCen"/>
            </w:pPr>
            <w:r>
              <w:t>Bedding sand</w:t>
            </w:r>
          </w:p>
        </w:tc>
        <w:tc>
          <w:tcPr>
            <w:tcW w:w="2906" w:type="dxa"/>
            <w:tcBorders>
              <w:top w:val="single" w:sz="2" w:space="0" w:color="000000"/>
              <w:left w:val="single" w:sz="2" w:space="0" w:color="000000"/>
              <w:bottom w:val="single" w:sz="12" w:space="0" w:color="000000"/>
              <w:right w:val="nil"/>
            </w:tcBorders>
            <w:shd w:val="pct10" w:color="auto" w:fill="auto"/>
            <w:vAlign w:val="center"/>
          </w:tcPr>
          <w:p w14:paraId="22C09F8F" w14:textId="77777777" w:rsidR="007F3105" w:rsidRDefault="007F3105" w:rsidP="00734224">
            <w:pPr>
              <w:pStyle w:val="TableHeadCen"/>
            </w:pPr>
            <w:r>
              <w:t>5 </w:t>
            </w:r>
            <w:r w:rsidR="00080403">
              <w:t>–</w:t>
            </w:r>
            <w:r>
              <w:t> 7</w:t>
            </w:r>
            <w:r w:rsidR="00734224">
              <w:t> </w:t>
            </w:r>
            <w:r>
              <w:t>mm screenings</w:t>
            </w:r>
          </w:p>
        </w:tc>
      </w:tr>
      <w:tr w:rsidR="007F3105" w14:paraId="72F9388B" w14:textId="77777777" w:rsidTr="00D46EA8">
        <w:trPr>
          <w:cantSplit/>
          <w:trHeight w:val="340"/>
        </w:trPr>
        <w:tc>
          <w:tcPr>
            <w:tcW w:w="2693" w:type="dxa"/>
            <w:tcBorders>
              <w:top w:val="single" w:sz="12" w:space="0" w:color="000000"/>
              <w:left w:val="nil"/>
              <w:bottom w:val="single" w:sz="2" w:space="0" w:color="000000"/>
              <w:right w:val="single" w:sz="2" w:space="0" w:color="000000"/>
            </w:tcBorders>
            <w:vAlign w:val="center"/>
          </w:tcPr>
          <w:p w14:paraId="29114F5D" w14:textId="77777777" w:rsidR="007F3105" w:rsidRDefault="007F3105" w:rsidP="00B21E7D">
            <w:pPr>
              <w:pStyle w:val="TableCen"/>
            </w:pPr>
            <w:r>
              <w:t>9.50</w:t>
            </w:r>
          </w:p>
        </w:tc>
        <w:tc>
          <w:tcPr>
            <w:tcW w:w="2906" w:type="dxa"/>
            <w:tcBorders>
              <w:top w:val="single" w:sz="12" w:space="0" w:color="000000"/>
              <w:left w:val="single" w:sz="2" w:space="0" w:color="000000"/>
              <w:bottom w:val="single" w:sz="2" w:space="0" w:color="000000"/>
              <w:right w:val="single" w:sz="2" w:space="0" w:color="000000"/>
            </w:tcBorders>
            <w:vAlign w:val="center"/>
          </w:tcPr>
          <w:p w14:paraId="181E79DB" w14:textId="77777777" w:rsidR="007F3105" w:rsidRPr="006F1B71" w:rsidRDefault="007F3105" w:rsidP="00B21E7D">
            <w:pPr>
              <w:pStyle w:val="TableCen"/>
            </w:pPr>
          </w:p>
        </w:tc>
        <w:tc>
          <w:tcPr>
            <w:tcW w:w="2906" w:type="dxa"/>
            <w:tcBorders>
              <w:top w:val="single" w:sz="12" w:space="0" w:color="000000"/>
              <w:left w:val="single" w:sz="2" w:space="0" w:color="000000"/>
              <w:bottom w:val="single" w:sz="2" w:space="0" w:color="000000"/>
              <w:right w:val="nil"/>
            </w:tcBorders>
            <w:vAlign w:val="center"/>
          </w:tcPr>
          <w:p w14:paraId="64357C94" w14:textId="77777777" w:rsidR="007F3105" w:rsidRPr="006F1B71" w:rsidRDefault="007F3105" w:rsidP="00B21E7D">
            <w:pPr>
              <w:pStyle w:val="TableCen"/>
            </w:pPr>
            <w:r w:rsidRPr="006F1B71">
              <w:t>100</w:t>
            </w:r>
          </w:p>
        </w:tc>
      </w:tr>
      <w:tr w:rsidR="007F3105" w14:paraId="2F75D80C" w14:textId="77777777" w:rsidTr="00D46EA8">
        <w:trPr>
          <w:cantSplit/>
          <w:trHeight w:val="340"/>
        </w:trPr>
        <w:tc>
          <w:tcPr>
            <w:tcW w:w="2693" w:type="dxa"/>
            <w:tcBorders>
              <w:top w:val="single" w:sz="2" w:space="0" w:color="000000"/>
              <w:left w:val="nil"/>
              <w:bottom w:val="single" w:sz="2" w:space="0" w:color="000000"/>
              <w:right w:val="single" w:sz="2" w:space="0" w:color="000000"/>
            </w:tcBorders>
            <w:vAlign w:val="center"/>
          </w:tcPr>
          <w:p w14:paraId="5DFB1339" w14:textId="77777777" w:rsidR="007F3105" w:rsidRDefault="007F3105" w:rsidP="00B21E7D">
            <w:pPr>
              <w:pStyle w:val="TableCen"/>
            </w:pPr>
            <w:r>
              <w:t>6.70</w:t>
            </w:r>
          </w:p>
        </w:tc>
        <w:tc>
          <w:tcPr>
            <w:tcW w:w="2906" w:type="dxa"/>
            <w:tcBorders>
              <w:top w:val="single" w:sz="2" w:space="0" w:color="000000"/>
              <w:left w:val="single" w:sz="2" w:space="0" w:color="000000"/>
              <w:bottom w:val="single" w:sz="2" w:space="0" w:color="000000"/>
              <w:right w:val="single" w:sz="2" w:space="0" w:color="000000"/>
            </w:tcBorders>
            <w:vAlign w:val="center"/>
          </w:tcPr>
          <w:p w14:paraId="041D4CC0" w14:textId="77777777" w:rsidR="007F3105" w:rsidRPr="006F1B71" w:rsidRDefault="007F3105" w:rsidP="00B21E7D">
            <w:pPr>
              <w:pStyle w:val="TableCen"/>
            </w:pPr>
          </w:p>
        </w:tc>
        <w:tc>
          <w:tcPr>
            <w:tcW w:w="2906" w:type="dxa"/>
            <w:tcBorders>
              <w:top w:val="single" w:sz="2" w:space="0" w:color="000000"/>
              <w:left w:val="single" w:sz="2" w:space="0" w:color="000000"/>
              <w:bottom w:val="single" w:sz="2" w:space="0" w:color="000000"/>
              <w:right w:val="nil"/>
            </w:tcBorders>
            <w:vAlign w:val="center"/>
          </w:tcPr>
          <w:p w14:paraId="73160976" w14:textId="77777777" w:rsidR="007F3105" w:rsidRPr="006F1B71" w:rsidRDefault="007F3105" w:rsidP="006F1B71">
            <w:pPr>
              <w:pStyle w:val="TableCen"/>
            </w:pPr>
            <w:r w:rsidRPr="006F1B71">
              <w:t>85</w:t>
            </w:r>
            <w:r w:rsidR="006F1B71" w:rsidRPr="006F1B71">
              <w:t> - </w:t>
            </w:r>
            <w:r w:rsidRPr="006F1B71">
              <w:t>100</w:t>
            </w:r>
          </w:p>
        </w:tc>
      </w:tr>
      <w:tr w:rsidR="007F3105" w14:paraId="64657B97" w14:textId="77777777" w:rsidTr="00D46EA8">
        <w:trPr>
          <w:cantSplit/>
          <w:trHeight w:val="340"/>
        </w:trPr>
        <w:tc>
          <w:tcPr>
            <w:tcW w:w="2693" w:type="dxa"/>
            <w:tcBorders>
              <w:top w:val="single" w:sz="2" w:space="0" w:color="000000"/>
              <w:left w:val="nil"/>
              <w:bottom w:val="single" w:sz="2" w:space="0" w:color="000000"/>
              <w:right w:val="single" w:sz="2" w:space="0" w:color="000000"/>
            </w:tcBorders>
            <w:vAlign w:val="center"/>
          </w:tcPr>
          <w:p w14:paraId="56EE18A7" w14:textId="77777777" w:rsidR="007F3105" w:rsidRDefault="007F3105" w:rsidP="00B21E7D">
            <w:pPr>
              <w:pStyle w:val="TableCen"/>
            </w:pPr>
            <w:r>
              <w:t>4.75</w:t>
            </w:r>
          </w:p>
        </w:tc>
        <w:tc>
          <w:tcPr>
            <w:tcW w:w="2906" w:type="dxa"/>
            <w:tcBorders>
              <w:top w:val="single" w:sz="2" w:space="0" w:color="000000"/>
              <w:left w:val="single" w:sz="2" w:space="0" w:color="000000"/>
              <w:bottom w:val="single" w:sz="2" w:space="0" w:color="000000"/>
              <w:right w:val="single" w:sz="2" w:space="0" w:color="000000"/>
            </w:tcBorders>
            <w:vAlign w:val="center"/>
          </w:tcPr>
          <w:p w14:paraId="0734A5C6" w14:textId="77777777" w:rsidR="007F3105" w:rsidRPr="006F1B71" w:rsidRDefault="007F3105" w:rsidP="00B21E7D">
            <w:pPr>
              <w:pStyle w:val="TableCen"/>
            </w:pPr>
            <w:r w:rsidRPr="006F1B71">
              <w:t>100</w:t>
            </w:r>
          </w:p>
        </w:tc>
        <w:tc>
          <w:tcPr>
            <w:tcW w:w="2906" w:type="dxa"/>
            <w:tcBorders>
              <w:top w:val="single" w:sz="2" w:space="0" w:color="000000"/>
              <w:left w:val="single" w:sz="2" w:space="0" w:color="000000"/>
              <w:bottom w:val="single" w:sz="2" w:space="0" w:color="000000"/>
              <w:right w:val="nil"/>
            </w:tcBorders>
            <w:vAlign w:val="center"/>
          </w:tcPr>
          <w:p w14:paraId="09C84E03" w14:textId="77777777" w:rsidR="007F3105" w:rsidRPr="006F1B71" w:rsidRDefault="007F3105" w:rsidP="006F1B71">
            <w:pPr>
              <w:pStyle w:val="TableCen"/>
            </w:pPr>
            <w:r w:rsidRPr="006F1B71">
              <w:t>30</w:t>
            </w:r>
            <w:r w:rsidR="006F1B71" w:rsidRPr="006F1B71">
              <w:t> - </w:t>
            </w:r>
            <w:r w:rsidRPr="006F1B71">
              <w:t>85</w:t>
            </w:r>
          </w:p>
        </w:tc>
      </w:tr>
      <w:tr w:rsidR="007F3105" w14:paraId="08C26849" w14:textId="77777777" w:rsidTr="00D46EA8">
        <w:trPr>
          <w:cantSplit/>
          <w:trHeight w:val="340"/>
        </w:trPr>
        <w:tc>
          <w:tcPr>
            <w:tcW w:w="2693" w:type="dxa"/>
            <w:tcBorders>
              <w:top w:val="single" w:sz="2" w:space="0" w:color="000000"/>
              <w:left w:val="nil"/>
              <w:bottom w:val="single" w:sz="2" w:space="0" w:color="000000"/>
              <w:right w:val="single" w:sz="2" w:space="0" w:color="000000"/>
            </w:tcBorders>
            <w:vAlign w:val="center"/>
          </w:tcPr>
          <w:p w14:paraId="24433A08" w14:textId="77777777" w:rsidR="007F3105" w:rsidRDefault="007F3105" w:rsidP="00B21E7D">
            <w:pPr>
              <w:pStyle w:val="TableCen"/>
            </w:pPr>
            <w:r>
              <w:t>2.36</w:t>
            </w:r>
          </w:p>
        </w:tc>
        <w:tc>
          <w:tcPr>
            <w:tcW w:w="2906" w:type="dxa"/>
            <w:tcBorders>
              <w:top w:val="single" w:sz="2" w:space="0" w:color="000000"/>
              <w:left w:val="single" w:sz="2" w:space="0" w:color="000000"/>
              <w:bottom w:val="single" w:sz="2" w:space="0" w:color="000000"/>
              <w:right w:val="single" w:sz="2" w:space="0" w:color="000000"/>
            </w:tcBorders>
            <w:vAlign w:val="center"/>
          </w:tcPr>
          <w:p w14:paraId="42160725" w14:textId="77777777" w:rsidR="007F3105" w:rsidRPr="006F1B71" w:rsidRDefault="007F3105" w:rsidP="006F1B71">
            <w:pPr>
              <w:pStyle w:val="TableCen"/>
            </w:pPr>
            <w:r w:rsidRPr="006F1B71">
              <w:t>80</w:t>
            </w:r>
            <w:r w:rsidR="006F1B71" w:rsidRPr="006F1B71">
              <w:t> - </w:t>
            </w:r>
            <w:r w:rsidRPr="006F1B71">
              <w:t>100</w:t>
            </w:r>
          </w:p>
        </w:tc>
        <w:tc>
          <w:tcPr>
            <w:tcW w:w="2906" w:type="dxa"/>
            <w:tcBorders>
              <w:top w:val="single" w:sz="2" w:space="0" w:color="000000"/>
              <w:left w:val="single" w:sz="2" w:space="0" w:color="000000"/>
              <w:bottom w:val="single" w:sz="2" w:space="0" w:color="000000"/>
              <w:right w:val="nil"/>
            </w:tcBorders>
            <w:vAlign w:val="center"/>
          </w:tcPr>
          <w:p w14:paraId="621CDFCB" w14:textId="77777777" w:rsidR="007F3105" w:rsidRPr="006F1B71" w:rsidRDefault="007F3105" w:rsidP="006F1B71">
            <w:pPr>
              <w:pStyle w:val="TableCen"/>
            </w:pPr>
            <w:r w:rsidRPr="006F1B71">
              <w:t>0</w:t>
            </w:r>
            <w:r w:rsidR="006F1B71" w:rsidRPr="006F1B71">
              <w:t xml:space="preserve"> -  </w:t>
            </w:r>
            <w:r w:rsidRPr="006F1B71">
              <w:t>30</w:t>
            </w:r>
          </w:p>
        </w:tc>
      </w:tr>
      <w:tr w:rsidR="007F3105" w14:paraId="53A9C851" w14:textId="77777777" w:rsidTr="00D46EA8">
        <w:trPr>
          <w:cantSplit/>
          <w:trHeight w:val="340"/>
        </w:trPr>
        <w:tc>
          <w:tcPr>
            <w:tcW w:w="2693" w:type="dxa"/>
            <w:tcBorders>
              <w:top w:val="single" w:sz="2" w:space="0" w:color="000000"/>
              <w:left w:val="nil"/>
              <w:bottom w:val="single" w:sz="2" w:space="0" w:color="000000"/>
              <w:right w:val="single" w:sz="2" w:space="0" w:color="000000"/>
            </w:tcBorders>
            <w:vAlign w:val="center"/>
          </w:tcPr>
          <w:p w14:paraId="25275D76" w14:textId="77777777" w:rsidR="007F3105" w:rsidRDefault="007F3105" w:rsidP="00B21E7D">
            <w:pPr>
              <w:pStyle w:val="TableCen"/>
            </w:pPr>
            <w:r>
              <w:t>1.18</w:t>
            </w:r>
          </w:p>
        </w:tc>
        <w:tc>
          <w:tcPr>
            <w:tcW w:w="2906" w:type="dxa"/>
            <w:tcBorders>
              <w:top w:val="single" w:sz="2" w:space="0" w:color="000000"/>
              <w:left w:val="single" w:sz="2" w:space="0" w:color="000000"/>
              <w:bottom w:val="single" w:sz="2" w:space="0" w:color="000000"/>
              <w:right w:val="single" w:sz="2" w:space="0" w:color="000000"/>
            </w:tcBorders>
            <w:vAlign w:val="center"/>
          </w:tcPr>
          <w:p w14:paraId="72394065" w14:textId="77777777" w:rsidR="007F3105" w:rsidRPr="006F1B71" w:rsidRDefault="007F3105" w:rsidP="00B21E7D">
            <w:pPr>
              <w:pStyle w:val="TableCen"/>
            </w:pPr>
          </w:p>
        </w:tc>
        <w:tc>
          <w:tcPr>
            <w:tcW w:w="2906" w:type="dxa"/>
            <w:tcBorders>
              <w:top w:val="single" w:sz="2" w:space="0" w:color="000000"/>
              <w:left w:val="single" w:sz="2" w:space="0" w:color="000000"/>
              <w:bottom w:val="single" w:sz="2" w:space="0" w:color="000000"/>
              <w:right w:val="nil"/>
            </w:tcBorders>
            <w:vAlign w:val="center"/>
          </w:tcPr>
          <w:p w14:paraId="19685C4D" w14:textId="77777777" w:rsidR="007F3105" w:rsidRPr="006F1B71" w:rsidRDefault="007F3105" w:rsidP="006F1B71">
            <w:pPr>
              <w:pStyle w:val="TableCen"/>
            </w:pPr>
            <w:r w:rsidRPr="006F1B71">
              <w:t>0</w:t>
            </w:r>
            <w:r w:rsidR="006F1B71" w:rsidRPr="006F1B71">
              <w:t> - </w:t>
            </w:r>
            <w:r w:rsidRPr="006F1B71">
              <w:t>5</w:t>
            </w:r>
          </w:p>
        </w:tc>
      </w:tr>
      <w:tr w:rsidR="007F3105" w14:paraId="0BBF869D" w14:textId="77777777" w:rsidTr="00D46EA8">
        <w:trPr>
          <w:cantSplit/>
          <w:trHeight w:val="340"/>
        </w:trPr>
        <w:tc>
          <w:tcPr>
            <w:tcW w:w="2693" w:type="dxa"/>
            <w:tcBorders>
              <w:top w:val="single" w:sz="2" w:space="0" w:color="000000"/>
              <w:left w:val="nil"/>
              <w:bottom w:val="single" w:sz="12" w:space="0" w:color="000000"/>
              <w:right w:val="single" w:sz="2" w:space="0" w:color="000000"/>
            </w:tcBorders>
            <w:vAlign w:val="center"/>
          </w:tcPr>
          <w:p w14:paraId="3376BD2B" w14:textId="77777777" w:rsidR="007F3105" w:rsidRDefault="007F3105" w:rsidP="00B21E7D">
            <w:pPr>
              <w:pStyle w:val="TableCen"/>
            </w:pPr>
            <w:r>
              <w:t>0.075</w:t>
            </w:r>
          </w:p>
        </w:tc>
        <w:tc>
          <w:tcPr>
            <w:tcW w:w="2906" w:type="dxa"/>
            <w:tcBorders>
              <w:top w:val="single" w:sz="2" w:space="0" w:color="000000"/>
              <w:left w:val="single" w:sz="2" w:space="0" w:color="000000"/>
              <w:bottom w:val="single" w:sz="12" w:space="0" w:color="000000"/>
              <w:right w:val="single" w:sz="2" w:space="0" w:color="000000"/>
            </w:tcBorders>
            <w:vAlign w:val="center"/>
          </w:tcPr>
          <w:p w14:paraId="6D43EA1E" w14:textId="77777777" w:rsidR="007F3105" w:rsidRPr="006F1B71" w:rsidRDefault="007F3105" w:rsidP="006F1B71">
            <w:pPr>
              <w:pStyle w:val="TableCen"/>
            </w:pPr>
            <w:r w:rsidRPr="006F1B71">
              <w:t>0</w:t>
            </w:r>
            <w:r w:rsidR="006F1B71" w:rsidRPr="006F1B71">
              <w:t> - </w:t>
            </w:r>
            <w:r w:rsidRPr="006F1B71">
              <w:t>15</w:t>
            </w:r>
          </w:p>
        </w:tc>
        <w:tc>
          <w:tcPr>
            <w:tcW w:w="2906" w:type="dxa"/>
            <w:tcBorders>
              <w:top w:val="single" w:sz="2" w:space="0" w:color="000000"/>
              <w:left w:val="single" w:sz="2" w:space="0" w:color="000000"/>
              <w:bottom w:val="single" w:sz="12" w:space="0" w:color="000000"/>
              <w:right w:val="nil"/>
            </w:tcBorders>
            <w:vAlign w:val="center"/>
          </w:tcPr>
          <w:p w14:paraId="61797662" w14:textId="77777777" w:rsidR="007F3105" w:rsidRPr="006F1B71" w:rsidRDefault="007F3105" w:rsidP="00B21E7D">
            <w:pPr>
              <w:pStyle w:val="TableCen"/>
            </w:pPr>
          </w:p>
        </w:tc>
      </w:tr>
    </w:tbl>
    <w:p w14:paraId="4D9BF5EC" w14:textId="77777777" w:rsidR="0095410D" w:rsidRDefault="0095410D" w:rsidP="00080403">
      <w:pPr>
        <w:pStyle w:val="BodyTextIndent"/>
      </w:pPr>
      <w:r w:rsidRPr="00C25DD3">
        <w:rPr>
          <w:u w:val="single"/>
        </w:rPr>
        <w:t>Pipe support</w:t>
      </w:r>
      <w:r>
        <w:t>: Use identical bedding material for pipe underlay, side support and overlay.  Place pipe on a minimum 75 mm thick compacted underlay.  Extend bedding material to provide a minimum cover of 150 mm over the conduit.</w:t>
      </w:r>
    </w:p>
    <w:p w14:paraId="7336441C" w14:textId="77777777" w:rsidR="0095410D" w:rsidRDefault="0095410D" w:rsidP="00080403">
      <w:pPr>
        <w:pStyle w:val="BodyTextIndent"/>
      </w:pPr>
      <w:r w:rsidRPr="00C25DD3">
        <w:rPr>
          <w:u w:val="single"/>
        </w:rPr>
        <w:t>Draw rop</w:t>
      </w:r>
      <w:r>
        <w:t xml:space="preserve">e: </w:t>
      </w:r>
      <w:r w:rsidR="005A51CD">
        <w:t>For electricity and telecommunications conduits, provi</w:t>
      </w:r>
      <w:r>
        <w:t>de a 4 mm diameter synthetic polypropylene filament rope.  Install draw ropes with a minimum of 1.5 m of slack in each pit and rope ends firmly secured to prevent the ends being lost in the conduit.  Provide joints in the rope capable of resisting the same tensile load as the unjointed rope and that do not appreciably increase the diameter of the rope.</w:t>
      </w:r>
    </w:p>
    <w:p w14:paraId="03DFDD29" w14:textId="77777777" w:rsidR="0095410D" w:rsidRDefault="0095410D" w:rsidP="00080403">
      <w:pPr>
        <w:pStyle w:val="BodyTextIndent"/>
      </w:pPr>
      <w:r w:rsidRPr="00C25DD3">
        <w:rPr>
          <w:u w:val="single"/>
        </w:rPr>
        <w:t>End plugs</w:t>
      </w:r>
      <w:r>
        <w:t>: Plug or cap the ends of all conduits with suitable fittings to prevent the entry of foreign matter.</w:t>
      </w:r>
    </w:p>
    <w:p w14:paraId="3E343274" w14:textId="77777777" w:rsidR="00026171" w:rsidRPr="0095410D" w:rsidRDefault="00026171" w:rsidP="00A35425">
      <w:pPr>
        <w:pStyle w:val="Heading2"/>
      </w:pPr>
      <w:bookmarkStart w:id="44" w:name="_Toc76024367"/>
      <w:r w:rsidRPr="0095410D">
        <w:t>BACKFILLING</w:t>
      </w:r>
      <w:bookmarkEnd w:id="44"/>
    </w:p>
    <w:p w14:paraId="73806DB2" w14:textId="77777777" w:rsidR="00026171" w:rsidRPr="009668BC" w:rsidRDefault="008843FC" w:rsidP="00A35425">
      <w:pPr>
        <w:pStyle w:val="Heading3"/>
      </w:pPr>
      <w:bookmarkStart w:id="45" w:name="_Toc76024368"/>
      <w:r w:rsidRPr="00080403">
        <w:t>General</w:t>
      </w:r>
      <w:bookmarkEnd w:id="45"/>
    </w:p>
    <w:p w14:paraId="20FD3289" w14:textId="77777777" w:rsidR="00026171" w:rsidRDefault="00026171" w:rsidP="00080403">
      <w:pPr>
        <w:pStyle w:val="BodyTextIndent"/>
      </w:pPr>
      <w:r w:rsidRPr="00C25DD3">
        <w:rPr>
          <w:u w:val="single"/>
        </w:rPr>
        <w:t>Extent of backfill</w:t>
      </w:r>
      <w:r>
        <w:t xml:space="preserve">: </w:t>
      </w:r>
      <w:r w:rsidR="005060C5">
        <w:t>Unless specified otherwise, a</w:t>
      </w:r>
      <w:r>
        <w:t>bove the pipe surround but terminate at the underside of the pavement, that is, at the subgrade level.  Do not cause discontinuity in the pavement structure.</w:t>
      </w:r>
      <w:r w:rsidR="002E64EC">
        <w:t xml:space="preserve">  Do not re-use excavated materials in the pavement structural layers.</w:t>
      </w:r>
    </w:p>
    <w:p w14:paraId="2C8888C3" w14:textId="77777777" w:rsidR="00026171" w:rsidRDefault="00026171" w:rsidP="00080403">
      <w:pPr>
        <w:pStyle w:val="BodyTextIndent"/>
      </w:pPr>
      <w:r w:rsidRPr="00C25DD3">
        <w:rPr>
          <w:u w:val="single"/>
        </w:rPr>
        <w:t>Timing</w:t>
      </w:r>
      <w:r>
        <w:t>: Backfill trenches as soon as possible after the pipe or service has been laid and bedded, if possible on the same working day.</w:t>
      </w:r>
    </w:p>
    <w:p w14:paraId="0CF37643" w14:textId="77777777" w:rsidR="00026171" w:rsidRPr="00DE343D" w:rsidRDefault="00026171" w:rsidP="009830A7">
      <w:pPr>
        <w:pStyle w:val="BodyTextIndent"/>
      </w:pPr>
      <w:r w:rsidRPr="00C25DD3">
        <w:rPr>
          <w:u w:val="single"/>
        </w:rPr>
        <w:t>Construction loads</w:t>
      </w:r>
      <w:r w:rsidRPr="00DE343D">
        <w:t>: Select appropriate compaction plant compatible with the minimum pipe cover to the service</w:t>
      </w:r>
      <w:r w:rsidR="005060C5" w:rsidRPr="00DE343D">
        <w:t xml:space="preserve"> in accordance with manufacturer/supplier recommendation</w:t>
      </w:r>
      <w:r w:rsidR="009830A7">
        <w:t xml:space="preserve"> and to ensure that the pipe or conduit is not overstressed at any stage during the construction activity</w:t>
      </w:r>
      <w:r w:rsidRPr="00DE343D">
        <w:t xml:space="preserve">.  </w:t>
      </w:r>
      <w:r w:rsidR="00B31C5C" w:rsidRPr="00DE343D">
        <w:t xml:space="preserve">The compactive effort used </w:t>
      </w:r>
      <w:r w:rsidR="009830A7">
        <w:t xml:space="preserve">for each layer of backfill </w:t>
      </w:r>
      <w:r w:rsidR="00B31C5C" w:rsidRPr="00DE343D">
        <w:t xml:space="preserve">must be less than the live load capacity of the pipe </w:t>
      </w:r>
      <w:r w:rsidR="0045585A">
        <w:t>with the depth of</w:t>
      </w:r>
      <w:r w:rsidR="00B31C5C" w:rsidRPr="00DE343D">
        <w:t xml:space="preserve"> cover</w:t>
      </w:r>
      <w:r w:rsidR="0045585A">
        <w:t xml:space="preserve"> appropriate to that layer</w:t>
      </w:r>
      <w:r w:rsidR="00B31C5C" w:rsidRPr="00DE343D">
        <w:t>.</w:t>
      </w:r>
    </w:p>
    <w:p w14:paraId="730C9E83" w14:textId="77777777" w:rsidR="00026171" w:rsidRPr="009668BC" w:rsidRDefault="008843FC" w:rsidP="00A35425">
      <w:pPr>
        <w:pStyle w:val="Heading3"/>
      </w:pPr>
      <w:bookmarkStart w:id="46" w:name="_Toc76024369"/>
      <w:r w:rsidRPr="00080403">
        <w:t>Permitted</w:t>
      </w:r>
      <w:r>
        <w:t xml:space="preserve"> Materials</w:t>
      </w:r>
      <w:bookmarkEnd w:id="46"/>
    </w:p>
    <w:p w14:paraId="4629EDF1" w14:textId="77777777" w:rsidR="00026171" w:rsidRDefault="00D9247E" w:rsidP="00080403">
      <w:pPr>
        <w:pStyle w:val="BodyTextIndent"/>
      </w:pPr>
      <w:r w:rsidRPr="00C25DD3">
        <w:rPr>
          <w:u w:val="single"/>
        </w:rPr>
        <w:t>New construction projects</w:t>
      </w:r>
      <w:r w:rsidR="00026171">
        <w:t>: Choose backfill material to suit the permeability characteristics of the surrounding soil to ensure that the completed trench does not hold water nor obstruct existing drainage paths through the soil.</w:t>
      </w:r>
      <w:r>
        <w:t xml:space="preserve">  </w:t>
      </w:r>
      <w:r w:rsidR="00BE39AB">
        <w:t>Choose backfill material that will provide uniform support to match the adjoining subgrade material.</w:t>
      </w:r>
    </w:p>
    <w:p w14:paraId="519A152F" w14:textId="77777777" w:rsidR="0045585A" w:rsidRDefault="00026171" w:rsidP="00080403">
      <w:pPr>
        <w:pStyle w:val="BodyTextIndent"/>
      </w:pPr>
      <w:r w:rsidRPr="00C25DD3">
        <w:rPr>
          <w:u w:val="single"/>
        </w:rPr>
        <w:t xml:space="preserve">Under </w:t>
      </w:r>
      <w:r w:rsidR="007A3053" w:rsidRPr="00C25DD3">
        <w:rPr>
          <w:u w:val="single"/>
        </w:rPr>
        <w:t xml:space="preserve">existing </w:t>
      </w:r>
      <w:r w:rsidRPr="00C25DD3">
        <w:rPr>
          <w:u w:val="single"/>
        </w:rPr>
        <w:t>road carriageways</w:t>
      </w:r>
      <w:r>
        <w:t>:</w:t>
      </w:r>
    </w:p>
    <w:p w14:paraId="1F2B95BA" w14:textId="77777777" w:rsidR="0045585A" w:rsidRDefault="00026171" w:rsidP="0034433B">
      <w:pPr>
        <w:pStyle w:val="BodyTextIndentDot"/>
      </w:pPr>
      <w:r>
        <w:t>Granular fill</w:t>
      </w:r>
      <w:r w:rsidR="004752B3">
        <w:t xml:space="preserve"> or “no fines” concrete</w:t>
      </w:r>
      <w:r>
        <w:t xml:space="preserve"> in stormwater drainage trenches (</w:t>
      </w:r>
      <w:r w:rsidR="00D46EA8" w:rsidRPr="00D46EA8">
        <w:rPr>
          <w:i/>
        </w:rPr>
        <w:t xml:space="preserve">Standard Drawing </w:t>
      </w:r>
      <w:r w:rsidR="009506DF" w:rsidRPr="009506DF">
        <w:rPr>
          <w:i/>
        </w:rPr>
        <w:t>BSD-2042</w:t>
      </w:r>
      <w:r>
        <w:t>).</w:t>
      </w:r>
    </w:p>
    <w:p w14:paraId="661BB864" w14:textId="77777777" w:rsidR="0045585A" w:rsidRDefault="004752B3" w:rsidP="0034433B">
      <w:pPr>
        <w:pStyle w:val="BodyTextIndentDot"/>
      </w:pPr>
      <w:r>
        <w:t>S</w:t>
      </w:r>
      <w:r w:rsidR="00026171">
        <w:t>tabilised sand</w:t>
      </w:r>
      <w:r w:rsidR="00B31C5C">
        <w:t>,</w:t>
      </w:r>
      <w:r w:rsidR="00026171">
        <w:t xml:space="preserve"> controlled low strength </w:t>
      </w:r>
      <w:r w:rsidR="009E3605">
        <w:t xml:space="preserve">cementitious </w:t>
      </w:r>
      <w:r w:rsidR="00026171">
        <w:t xml:space="preserve">material or lean mix concrete in trenches </w:t>
      </w:r>
      <w:r w:rsidR="007A3053">
        <w:t>as</w:t>
      </w:r>
      <w:r w:rsidR="00026171">
        <w:t xml:space="preserve"> </w:t>
      </w:r>
      <w:r w:rsidR="007A3053">
        <w:t xml:space="preserve">shown on </w:t>
      </w:r>
      <w:r w:rsidR="00D46EA8" w:rsidRPr="00D46EA8">
        <w:rPr>
          <w:i/>
        </w:rPr>
        <w:t xml:space="preserve">Standard Drawing </w:t>
      </w:r>
      <w:r w:rsidR="009506DF" w:rsidRPr="009506DF">
        <w:rPr>
          <w:i/>
        </w:rPr>
        <w:t>BSD-2042</w:t>
      </w:r>
      <w:r w:rsidR="00026171">
        <w:t>.</w:t>
      </w:r>
    </w:p>
    <w:p w14:paraId="507DBA88" w14:textId="77777777" w:rsidR="00026171" w:rsidRDefault="00026171" w:rsidP="0034433B">
      <w:pPr>
        <w:pStyle w:val="BodyTextIndentDot"/>
      </w:pPr>
      <w:r>
        <w:t>Lean mix concrete in isolated patches less than 2 m</w:t>
      </w:r>
      <w:r>
        <w:rPr>
          <w:vertAlign w:val="superscript"/>
        </w:rPr>
        <w:t>2</w:t>
      </w:r>
      <w:r>
        <w:t xml:space="preserve"> in size</w:t>
      </w:r>
      <w:r w:rsidR="009C7C6D">
        <w:t xml:space="preserve"> or where the minimum specified cover to service cannot be achieved</w:t>
      </w:r>
      <w:r>
        <w:t>.</w:t>
      </w:r>
    </w:p>
    <w:p w14:paraId="0269C3F5" w14:textId="77777777" w:rsidR="00026171" w:rsidRPr="00DE343D" w:rsidRDefault="00026171" w:rsidP="00080403">
      <w:pPr>
        <w:pStyle w:val="BodyTextIndent"/>
      </w:pPr>
      <w:r w:rsidRPr="00A75788">
        <w:rPr>
          <w:u w:val="single"/>
        </w:rPr>
        <w:t>Under footpaths and bikeways</w:t>
      </w:r>
      <w:r w:rsidRPr="00DE343D">
        <w:t>: Excavated material, provided adequate compaction can be obtained</w:t>
      </w:r>
      <w:r w:rsidR="009C7C6D">
        <w:t xml:space="preserve"> (</w:t>
      </w:r>
      <w:r w:rsidR="00D46EA8" w:rsidRPr="00D46EA8">
        <w:rPr>
          <w:i/>
        </w:rPr>
        <w:t xml:space="preserve">Standard Drawing </w:t>
      </w:r>
      <w:r w:rsidR="009506DF">
        <w:rPr>
          <w:i/>
        </w:rPr>
        <w:t>BSD-2043</w:t>
      </w:r>
      <w:r w:rsidR="009C7C6D">
        <w:t>)</w:t>
      </w:r>
      <w:r w:rsidRPr="00DE343D">
        <w:t xml:space="preserve">.  Alternatively use </w:t>
      </w:r>
      <w:r w:rsidR="00B31C5C" w:rsidRPr="00DE343D">
        <w:t>C</w:t>
      </w:r>
      <w:r w:rsidRPr="00DE343D">
        <w:t>lass 3 material</w:t>
      </w:r>
      <w:r w:rsidR="00E5331E" w:rsidRPr="00DE343D">
        <w:t>,</w:t>
      </w:r>
      <w:r w:rsidRPr="00DE343D">
        <w:t xml:space="preserve"> stabilised sand</w:t>
      </w:r>
      <w:r w:rsidR="00E5331E" w:rsidRPr="00DE343D">
        <w:t>,</w:t>
      </w:r>
      <w:r w:rsidRPr="00DE343D">
        <w:t xml:space="preserve"> controlled low strength material or lean mix concrete in trenches where free drainage points are not available or trenches in impermeable soils.  Use granular fill or sand in trenches where free drainage points are available or</w:t>
      </w:r>
      <w:r w:rsidR="009C7C6D">
        <w:t xml:space="preserve"> where</w:t>
      </w:r>
      <w:r w:rsidRPr="00DE343D">
        <w:t xml:space="preserve"> trenches</w:t>
      </w:r>
      <w:r w:rsidR="009C7C6D">
        <w:t xml:space="preserve"> are located</w:t>
      </w:r>
      <w:r w:rsidRPr="00DE343D">
        <w:t xml:space="preserve"> in permeable soils.</w:t>
      </w:r>
    </w:p>
    <w:p w14:paraId="2E8F4B99" w14:textId="77777777" w:rsidR="00026171" w:rsidRPr="009668BC" w:rsidRDefault="008843FC" w:rsidP="00A35425">
      <w:pPr>
        <w:pStyle w:val="Heading3"/>
      </w:pPr>
      <w:bookmarkStart w:id="47" w:name="_Toc76024370"/>
      <w:r w:rsidRPr="00B21E7D">
        <w:lastRenderedPageBreak/>
        <w:t>Permeability</w:t>
      </w:r>
      <w:r>
        <w:t xml:space="preserve"> Characteristics</w:t>
      </w:r>
      <w:bookmarkEnd w:id="47"/>
    </w:p>
    <w:p w14:paraId="4A53EBE6" w14:textId="77777777" w:rsidR="00026171" w:rsidRDefault="00026171" w:rsidP="00B21E7D">
      <w:pPr>
        <w:pStyle w:val="BodyTextIndent"/>
      </w:pPr>
      <w:r w:rsidRPr="00A75788">
        <w:rPr>
          <w:u w:val="single"/>
        </w:rPr>
        <w:t>Field test</w:t>
      </w:r>
      <w:r>
        <w:t>: Collect a handful of representative soil material, discarding particles larger than 10 mm in diameter.  Spray a fine water mist evenly throughout the soil particles to achieve the optimum moisture content.  Mould the moist sample by hand pressure.  The soil material is considered relatively impervious if the moulded sample remains intact after being tossed lightly from one hand to the other.  The soil material is considered relatively permeable if there is difficulty in maintaining the moulded shape or the moulded sample crumbles after being tossed lightly from one hand to the other.</w:t>
      </w:r>
    </w:p>
    <w:p w14:paraId="108DB3B2" w14:textId="77777777" w:rsidR="00026171" w:rsidRPr="00DE343D" w:rsidRDefault="00026171" w:rsidP="00B21E7D">
      <w:pPr>
        <w:pStyle w:val="BodyTextIndent"/>
      </w:pPr>
      <w:r w:rsidRPr="00A75788">
        <w:rPr>
          <w:u w:val="single"/>
        </w:rPr>
        <w:t>Permeable soils</w:t>
      </w:r>
      <w:r w:rsidRPr="00DE343D">
        <w:t>: Generally coarse grained soils including sand, gravel, sand-gravel mixture</w:t>
      </w:r>
      <w:r w:rsidR="004F1782">
        <w:t>s</w:t>
      </w:r>
      <w:r w:rsidRPr="00DE343D">
        <w:t>.  A soil is of basic type sand or gravel if, after the removal of any cobbles or boulders, over 65% of the material is of sand and gravel sizes.</w:t>
      </w:r>
    </w:p>
    <w:p w14:paraId="27335EAD" w14:textId="77777777" w:rsidR="00026171" w:rsidRDefault="00026171" w:rsidP="00B21E7D">
      <w:pPr>
        <w:pStyle w:val="BodyTextIndent"/>
      </w:pPr>
      <w:r w:rsidRPr="00A75788">
        <w:rPr>
          <w:u w:val="single"/>
        </w:rPr>
        <w:t>Impermeable soils</w:t>
      </w:r>
      <w:r w:rsidRPr="00DE343D">
        <w:t>: Generally fine grained soils including clay, silt, gravelly or sandy clay, gravelly or sandy silt.  A soil is of basic type silt or clay if, after the removal of any cobbles or boulders, over 35% of the material is of silt and clay sizes.</w:t>
      </w:r>
    </w:p>
    <w:p w14:paraId="78C3D05C" w14:textId="77777777" w:rsidR="00026171" w:rsidRPr="009668BC" w:rsidRDefault="00C55787" w:rsidP="00A35425">
      <w:pPr>
        <w:pStyle w:val="Heading3"/>
      </w:pPr>
      <w:bookmarkStart w:id="48" w:name="_Toc76024371"/>
      <w:r>
        <w:t>Requirements</w:t>
      </w:r>
      <w:r w:rsidR="00747A59">
        <w:t xml:space="preserve"> of </w:t>
      </w:r>
      <w:r w:rsidR="000938C4">
        <w:t>A</w:t>
      </w:r>
      <w:r w:rsidR="00747A59">
        <w:t xml:space="preserve">cceptable </w:t>
      </w:r>
      <w:r w:rsidR="000938C4">
        <w:t>B</w:t>
      </w:r>
      <w:r w:rsidR="00747A59">
        <w:t>ackfill</w:t>
      </w:r>
      <w:r>
        <w:t xml:space="preserve"> Materials</w:t>
      </w:r>
      <w:bookmarkEnd w:id="48"/>
    </w:p>
    <w:p w14:paraId="0B1D5E80" w14:textId="77777777" w:rsidR="00026171" w:rsidRDefault="00026171" w:rsidP="00B21E7D">
      <w:pPr>
        <w:pStyle w:val="BodyTextIndent"/>
      </w:pPr>
      <w:r w:rsidRPr="00425CAC">
        <w:rPr>
          <w:u w:val="single"/>
        </w:rPr>
        <w:t>Class</w:t>
      </w:r>
      <w:r w:rsidR="00425CAC" w:rsidRPr="00425CAC">
        <w:rPr>
          <w:u w:val="single"/>
        </w:rPr>
        <w:t> </w:t>
      </w:r>
      <w:r w:rsidRPr="00425CAC">
        <w:rPr>
          <w:u w:val="single"/>
        </w:rPr>
        <w:t>3</w:t>
      </w:r>
      <w:r w:rsidR="00425CAC" w:rsidRPr="00425CAC">
        <w:rPr>
          <w:u w:val="single"/>
        </w:rPr>
        <w:t xml:space="preserve"> </w:t>
      </w:r>
      <w:r w:rsidRPr="00425CAC">
        <w:rPr>
          <w:u w:val="single"/>
        </w:rPr>
        <w:t>material</w:t>
      </w:r>
      <w:r>
        <w:t xml:space="preserve">: Comply with the requirements of </w:t>
      </w:r>
      <w:r w:rsidR="005E3E0A">
        <w:t xml:space="preserve">Reference Specification </w:t>
      </w:r>
      <w:r>
        <w:rPr>
          <w:i/>
        </w:rPr>
        <w:t>S300 Quarry Products</w:t>
      </w:r>
      <w:r w:rsidR="00380262">
        <w:t xml:space="preserve"> except that the Plasticity Index shall not be &lt;</w:t>
      </w:r>
      <w:r w:rsidR="00726083">
        <w:t> </w:t>
      </w:r>
      <w:r w:rsidR="007658C0">
        <w:t>4</w:t>
      </w:r>
      <w:r w:rsidR="00380262">
        <w:t>%.</w:t>
      </w:r>
      <w:r w:rsidR="005E3E0A">
        <w:t xml:space="preserve">  Alternatively, </w:t>
      </w:r>
      <w:r w:rsidR="00A40AD2">
        <w:t>use</w:t>
      </w:r>
      <w:r w:rsidR="005E3E0A">
        <w:t xml:space="preserve"> Queensland Department of </w:t>
      </w:r>
      <w:r w:rsidR="004B43F9">
        <w:t xml:space="preserve">Transport and </w:t>
      </w:r>
      <w:r w:rsidR="005E3E0A">
        <w:t>Main Roads Type</w:t>
      </w:r>
      <w:r w:rsidR="00596C53">
        <w:t xml:space="preserve"> 2 unbound material, Subtype 2.2, 2.3 or 2.4 or Type</w:t>
      </w:r>
      <w:r w:rsidR="00425CAC">
        <w:t> </w:t>
      </w:r>
      <w:r w:rsidR="00596C53">
        <w:t>3 unbound material, Subtype 3.1, 3.2 or 3.3</w:t>
      </w:r>
      <w:r w:rsidR="00C61437">
        <w:t xml:space="preserve"> (to </w:t>
      </w:r>
      <w:r w:rsidR="00C61437" w:rsidRPr="00C61437">
        <w:rPr>
          <w:i/>
        </w:rPr>
        <w:t>D</w:t>
      </w:r>
      <w:r w:rsidR="008766B5">
        <w:rPr>
          <w:i/>
        </w:rPr>
        <w:t>TMR</w:t>
      </w:r>
      <w:r w:rsidR="00C61437" w:rsidRPr="00C61437">
        <w:rPr>
          <w:i/>
        </w:rPr>
        <w:t xml:space="preserve"> Technical Specification MRTS05</w:t>
      </w:r>
      <w:r w:rsidR="00C61437">
        <w:t>)</w:t>
      </w:r>
      <w:r w:rsidR="00380262">
        <w:t xml:space="preserve">, provided the soaked CBR is </w:t>
      </w:r>
      <w:r w:rsidR="00380262">
        <w:rPr>
          <w:rFonts w:cs="Arial"/>
        </w:rPr>
        <w:t>≥</w:t>
      </w:r>
      <w:r w:rsidR="00E74F30">
        <w:t> </w:t>
      </w:r>
      <w:r w:rsidR="00380262">
        <w:t>15% and the Plasticity Index is not &lt;</w:t>
      </w:r>
      <w:r w:rsidR="00726083">
        <w:t> </w:t>
      </w:r>
      <w:r w:rsidR="007658C0">
        <w:t>4</w:t>
      </w:r>
      <w:r w:rsidR="00380262">
        <w:t>%.</w:t>
      </w:r>
    </w:p>
    <w:p w14:paraId="00BEF865" w14:textId="77777777" w:rsidR="00A63BF4" w:rsidRDefault="00A63BF4" w:rsidP="00A63BF4">
      <w:pPr>
        <w:pStyle w:val="BodyTextIndent"/>
      </w:pPr>
      <w:r w:rsidRPr="00425CAC">
        <w:rPr>
          <w:u w:val="single"/>
        </w:rPr>
        <w:t>Controlled low-strength material (Flowable fill)</w:t>
      </w:r>
      <w:r>
        <w:t xml:space="preserve">: </w:t>
      </w:r>
      <w:r w:rsidR="00EB1843">
        <w:t xml:space="preserve"> </w:t>
      </w:r>
      <w:r>
        <w:t xml:space="preserve">An approved proprietary flowable fill </w:t>
      </w:r>
      <w:r w:rsidR="00127B77">
        <w:t xml:space="preserve">that </w:t>
      </w:r>
      <w:r>
        <w:t>contain</w:t>
      </w:r>
      <w:r w:rsidR="00127B77">
        <w:t>s</w:t>
      </w:r>
      <w:r>
        <w:t xml:space="preserve"> </w:t>
      </w:r>
      <w:r w:rsidRPr="00A63BF4">
        <w:t>a mixture of cementitious binder, water and aggregate.  The cementitious binder may include Portland Cement, Fly Ash and Ground Granulated Blast Furnace Slag</w:t>
      </w:r>
      <w:r>
        <w:t>.  Provide 28</w:t>
      </w:r>
      <w:r w:rsidR="00726083">
        <w:t> </w:t>
      </w:r>
      <w:r>
        <w:t>day compressive strengths of 0.5 - 2.0 MPa under footpa</w:t>
      </w:r>
      <w:r w:rsidR="00F77B52">
        <w:t>ths and 3 - 5 MPa under roads.</w:t>
      </w:r>
    </w:p>
    <w:p w14:paraId="394BEE65" w14:textId="77777777" w:rsidR="00026171" w:rsidRDefault="00026171" w:rsidP="00B21E7D">
      <w:pPr>
        <w:pStyle w:val="BodyTextIndent"/>
      </w:pPr>
      <w:r w:rsidRPr="00425CAC">
        <w:rPr>
          <w:u w:val="single"/>
        </w:rPr>
        <w:t>Excavated material</w:t>
      </w:r>
      <w:r>
        <w:t xml:space="preserve">: Well graded inorganic non-perishable material, maximum size 75 mm, </w:t>
      </w:r>
      <w:r w:rsidR="00E74F30">
        <w:t>Plasticity I</w:t>
      </w:r>
      <w:r>
        <w:t xml:space="preserve">ndex </w:t>
      </w:r>
      <w:r>
        <w:rPr>
          <w:rFonts w:ascii="Symbol" w:eastAsia="Symbol" w:hAnsi="Symbol" w:cs="Symbol"/>
        </w:rPr>
        <w:t>£</w:t>
      </w:r>
      <w:r>
        <w:t> 55%.</w:t>
      </w:r>
    </w:p>
    <w:p w14:paraId="310558E8" w14:textId="77777777" w:rsidR="00A63BF4" w:rsidRDefault="00A63BF4" w:rsidP="00A63BF4">
      <w:pPr>
        <w:pStyle w:val="BodyTextIndent"/>
      </w:pPr>
      <w:r w:rsidRPr="00425CAC">
        <w:rPr>
          <w:u w:val="single"/>
        </w:rPr>
        <w:t>Granular fill</w:t>
      </w:r>
      <w:r>
        <w:t xml:space="preserve">: 75 mm maximum size crushed rock, </w:t>
      </w:r>
      <w:r w:rsidR="00DD6007">
        <w:t>non-plastic</w:t>
      </w:r>
      <w:r>
        <w:t xml:space="preserve"> open graded material or crusher run recycled concrete</w:t>
      </w:r>
      <w:r>
        <w:rPr>
          <w:i/>
        </w:rPr>
        <w:t>.</w:t>
      </w:r>
    </w:p>
    <w:p w14:paraId="353094C6" w14:textId="77777777" w:rsidR="00A63BF4" w:rsidRDefault="00A63BF4" w:rsidP="00A63BF4">
      <w:pPr>
        <w:pStyle w:val="BodyTextIndent"/>
      </w:pPr>
      <w:r w:rsidRPr="00726083">
        <w:rPr>
          <w:u w:val="single"/>
        </w:rPr>
        <w:t>Lean mix concrete</w:t>
      </w:r>
      <w:r>
        <w:t>: Achieve 28</w:t>
      </w:r>
      <w:r w:rsidR="00DD6007">
        <w:t> </w:t>
      </w:r>
      <w:r>
        <w:t>day characteristic compressive strength of 5 MPa for concrete.  Use nominal maximum aggregate size of 40 mm.  Achieve target slumps of 80 - 100 mm for wet concrete and less than 15 mm for dry concrete.</w:t>
      </w:r>
    </w:p>
    <w:p w14:paraId="23C83743" w14:textId="77777777" w:rsidR="00A63BF4" w:rsidRDefault="00A63BF4" w:rsidP="00B21E7D">
      <w:pPr>
        <w:pStyle w:val="BodyTextIndent"/>
      </w:pPr>
      <w:r w:rsidRPr="00726083">
        <w:rPr>
          <w:u w:val="single"/>
        </w:rPr>
        <w:t>No fines concrete</w:t>
      </w:r>
      <w:r>
        <w:t xml:space="preserve">: </w:t>
      </w:r>
      <w:r w:rsidR="00F77B52">
        <w:t xml:space="preserve">Comply with the requirements of Reference Specification </w:t>
      </w:r>
      <w:r w:rsidR="00F77B52">
        <w:rPr>
          <w:i/>
        </w:rPr>
        <w:t>S200 Concrete Work.</w:t>
      </w:r>
    </w:p>
    <w:p w14:paraId="52FCDC2E" w14:textId="77777777" w:rsidR="00026171" w:rsidRDefault="00026171" w:rsidP="00B21E7D">
      <w:pPr>
        <w:pStyle w:val="BodyTextIndent"/>
      </w:pPr>
      <w:r w:rsidRPr="00726083">
        <w:rPr>
          <w:u w:val="single"/>
        </w:rPr>
        <w:t>Sand</w:t>
      </w:r>
      <w:r>
        <w:t>: Natural sand or manufactured sand or a blend of natural and manufactured sand, comprising hard durable particles.  Comply with Table </w:t>
      </w:r>
      <w:r w:rsidR="00E10C04">
        <w:t>7</w:t>
      </w:r>
      <w:r>
        <w:t>.1 for material properties.</w:t>
      </w:r>
    </w:p>
    <w:p w14:paraId="4997BE8E" w14:textId="3EA65B38" w:rsidR="00026171" w:rsidRDefault="00026171" w:rsidP="00D46EA8">
      <w:pPr>
        <w:pStyle w:val="TableIDNum"/>
      </w:pPr>
      <w:r>
        <w:t>Table</w:t>
      </w:r>
      <w:r w:rsidR="00333A0B" w:rsidRPr="00DF46CF">
        <w:rPr>
          <w:iCs/>
        </w:rPr>
        <w:t> </w:t>
      </w:r>
      <w:r w:rsidR="00E10C04">
        <w:t>7</w:t>
      </w:r>
      <w:r>
        <w:t xml:space="preserve">.1 </w:t>
      </w:r>
      <w:r w:rsidR="00B21E7D">
        <w:t>–</w:t>
      </w:r>
      <w:r>
        <w:t xml:space="preserve"> Sand properties</w:t>
      </w:r>
    </w:p>
    <w:tbl>
      <w:tblPr>
        <w:tblW w:w="8505" w:type="dxa"/>
        <w:tblInd w:w="829" w:type="dxa"/>
        <w:tblBorders>
          <w:top w:val="single" w:sz="12" w:space="0" w:color="000000"/>
          <w:left w:val="nil"/>
          <w:bottom w:val="single" w:sz="12" w:space="0" w:color="000000"/>
          <w:right w:val="nil"/>
          <w:insideH w:val="nil"/>
          <w:insideV w:val="nil"/>
        </w:tblBorders>
        <w:tblLayout w:type="fixed"/>
        <w:tblCellMar>
          <w:left w:w="120" w:type="dxa"/>
          <w:right w:w="120" w:type="dxa"/>
        </w:tblCellMar>
        <w:tblLook w:val="00A0" w:firstRow="1" w:lastRow="0" w:firstColumn="1" w:lastColumn="0" w:noHBand="0" w:noVBand="0"/>
      </w:tblPr>
      <w:tblGrid>
        <w:gridCol w:w="4252"/>
        <w:gridCol w:w="4253"/>
      </w:tblGrid>
      <w:tr w:rsidR="007A3053" w14:paraId="62305E7E" w14:textId="77777777" w:rsidTr="00D46EA8">
        <w:trPr>
          <w:cantSplit/>
          <w:trHeight w:val="397"/>
        </w:trPr>
        <w:tc>
          <w:tcPr>
            <w:tcW w:w="4252" w:type="dxa"/>
            <w:tcBorders>
              <w:top w:val="single" w:sz="12" w:space="0" w:color="000000"/>
              <w:left w:val="nil"/>
              <w:bottom w:val="single" w:sz="12" w:space="0" w:color="000000"/>
              <w:right w:val="nil"/>
            </w:tcBorders>
            <w:shd w:val="pct10" w:color="auto" w:fill="auto"/>
            <w:vAlign w:val="center"/>
          </w:tcPr>
          <w:p w14:paraId="5D76325D" w14:textId="77777777" w:rsidR="007A3053" w:rsidRDefault="007A3053" w:rsidP="00B21E7D">
            <w:pPr>
              <w:pStyle w:val="TableHeadCen"/>
              <w:jc w:val="left"/>
            </w:pPr>
            <w:r>
              <w:t>Property</w:t>
            </w:r>
          </w:p>
        </w:tc>
        <w:tc>
          <w:tcPr>
            <w:tcW w:w="4253" w:type="dxa"/>
            <w:tcBorders>
              <w:top w:val="single" w:sz="12" w:space="0" w:color="000000"/>
              <w:left w:val="nil"/>
              <w:bottom w:val="single" w:sz="12" w:space="0" w:color="000000"/>
              <w:right w:val="nil"/>
            </w:tcBorders>
            <w:shd w:val="pct10" w:color="auto" w:fill="auto"/>
            <w:vAlign w:val="center"/>
          </w:tcPr>
          <w:p w14:paraId="1A76FF64" w14:textId="77777777" w:rsidR="007A3053" w:rsidRDefault="007A3053" w:rsidP="00B21E7D">
            <w:pPr>
              <w:pStyle w:val="TableHeadCen"/>
            </w:pPr>
            <w:r>
              <w:t>Natural, blended and manufactured sand</w:t>
            </w:r>
          </w:p>
        </w:tc>
      </w:tr>
      <w:tr w:rsidR="007A3053" w14:paraId="6C1AA954" w14:textId="77777777" w:rsidTr="00D46EA8">
        <w:trPr>
          <w:cantSplit/>
          <w:trHeight w:val="340"/>
        </w:trPr>
        <w:tc>
          <w:tcPr>
            <w:tcW w:w="4252" w:type="dxa"/>
            <w:tcBorders>
              <w:top w:val="single" w:sz="12" w:space="0" w:color="000000"/>
              <w:left w:val="nil"/>
              <w:bottom w:val="single" w:sz="6" w:space="0" w:color="000000"/>
              <w:right w:val="nil"/>
            </w:tcBorders>
            <w:vAlign w:val="center"/>
          </w:tcPr>
          <w:p w14:paraId="74A5E654" w14:textId="77777777" w:rsidR="007A3053" w:rsidRDefault="007A3053" w:rsidP="00B21E7D">
            <w:pPr>
              <w:pStyle w:val="Table"/>
            </w:pPr>
            <w:r>
              <w:t>% by weight passing the 6.7 mm A.S. sieve</w:t>
            </w:r>
          </w:p>
        </w:tc>
        <w:tc>
          <w:tcPr>
            <w:tcW w:w="4253" w:type="dxa"/>
            <w:tcBorders>
              <w:top w:val="single" w:sz="12" w:space="0" w:color="000000"/>
              <w:left w:val="nil"/>
              <w:bottom w:val="single" w:sz="6" w:space="0" w:color="000000"/>
              <w:right w:val="nil"/>
            </w:tcBorders>
            <w:vAlign w:val="center"/>
          </w:tcPr>
          <w:p w14:paraId="1B822D90" w14:textId="77777777" w:rsidR="007A3053" w:rsidRDefault="007A3053" w:rsidP="00B21E7D">
            <w:pPr>
              <w:pStyle w:val="TableCen"/>
            </w:pPr>
            <w:r>
              <w:t>100</w:t>
            </w:r>
          </w:p>
        </w:tc>
      </w:tr>
      <w:tr w:rsidR="007A3053" w14:paraId="36C9E6A9" w14:textId="77777777" w:rsidTr="00D46EA8">
        <w:trPr>
          <w:cantSplit/>
          <w:trHeight w:val="340"/>
        </w:trPr>
        <w:tc>
          <w:tcPr>
            <w:tcW w:w="4252" w:type="dxa"/>
            <w:tcBorders>
              <w:top w:val="single" w:sz="6" w:space="0" w:color="000000"/>
              <w:left w:val="nil"/>
              <w:bottom w:val="single" w:sz="6" w:space="0" w:color="000000"/>
              <w:right w:val="nil"/>
            </w:tcBorders>
            <w:vAlign w:val="center"/>
          </w:tcPr>
          <w:p w14:paraId="55DEE84F" w14:textId="77777777" w:rsidR="007A3053" w:rsidRDefault="007A3053" w:rsidP="00B21E7D">
            <w:pPr>
              <w:pStyle w:val="Table"/>
            </w:pPr>
            <w:r>
              <w:t>% by weight passing the 0.075 mm A.S. sieve</w:t>
            </w:r>
          </w:p>
        </w:tc>
        <w:tc>
          <w:tcPr>
            <w:tcW w:w="4253" w:type="dxa"/>
            <w:tcBorders>
              <w:top w:val="single" w:sz="6" w:space="0" w:color="000000"/>
              <w:left w:val="nil"/>
              <w:bottom w:val="single" w:sz="6" w:space="0" w:color="000000"/>
              <w:right w:val="nil"/>
            </w:tcBorders>
            <w:vAlign w:val="center"/>
          </w:tcPr>
          <w:p w14:paraId="63831502" w14:textId="77777777" w:rsidR="007A3053" w:rsidRDefault="007A3053" w:rsidP="00B21E7D">
            <w:pPr>
              <w:pStyle w:val="TableCen"/>
            </w:pPr>
            <w:r>
              <w:t>20 maximum</w:t>
            </w:r>
          </w:p>
        </w:tc>
      </w:tr>
      <w:tr w:rsidR="007A3053" w14:paraId="2D406D95" w14:textId="77777777" w:rsidTr="00D46EA8">
        <w:trPr>
          <w:cantSplit/>
          <w:trHeight w:val="340"/>
        </w:trPr>
        <w:tc>
          <w:tcPr>
            <w:tcW w:w="4252" w:type="dxa"/>
            <w:tcBorders>
              <w:top w:val="single" w:sz="6" w:space="0" w:color="000000"/>
              <w:left w:val="nil"/>
              <w:bottom w:val="single" w:sz="12" w:space="0" w:color="000000"/>
              <w:right w:val="nil"/>
            </w:tcBorders>
            <w:vAlign w:val="center"/>
          </w:tcPr>
          <w:p w14:paraId="7AA2C1AD" w14:textId="77777777" w:rsidR="007A3053" w:rsidRDefault="007A3053" w:rsidP="00B21E7D">
            <w:pPr>
              <w:pStyle w:val="Table"/>
            </w:pPr>
            <w:r>
              <w:t>Plasticity index</w:t>
            </w:r>
          </w:p>
        </w:tc>
        <w:tc>
          <w:tcPr>
            <w:tcW w:w="4253" w:type="dxa"/>
            <w:tcBorders>
              <w:top w:val="single" w:sz="6" w:space="0" w:color="000000"/>
              <w:left w:val="nil"/>
              <w:bottom w:val="single" w:sz="12" w:space="0" w:color="000000"/>
              <w:right w:val="nil"/>
            </w:tcBorders>
            <w:vAlign w:val="center"/>
          </w:tcPr>
          <w:p w14:paraId="50ECF359" w14:textId="77777777" w:rsidR="007A3053" w:rsidRDefault="007A3053" w:rsidP="00B21E7D">
            <w:pPr>
              <w:pStyle w:val="TableCen"/>
            </w:pPr>
            <w:r>
              <w:t>10 maximum</w:t>
            </w:r>
          </w:p>
        </w:tc>
      </w:tr>
    </w:tbl>
    <w:p w14:paraId="1BB8B536" w14:textId="0127A61A" w:rsidR="00A63BF4" w:rsidRDefault="00A63BF4" w:rsidP="00A63BF4">
      <w:pPr>
        <w:pStyle w:val="BodyTextIndent"/>
      </w:pPr>
      <w:r w:rsidRPr="00726083">
        <w:rPr>
          <w:u w:val="single"/>
        </w:rPr>
        <w:t>Stabilised sand</w:t>
      </w:r>
      <w:r>
        <w:t>: 1</w:t>
      </w:r>
      <w:r w:rsidR="00333A0B" w:rsidRPr="00DF46CF">
        <w:rPr>
          <w:iCs/>
        </w:rPr>
        <w:t> </w:t>
      </w:r>
      <w:r>
        <w:t>part either Type GP or Type GB cement to 12</w:t>
      </w:r>
      <w:r w:rsidR="00333A0B" w:rsidRPr="00DF46CF">
        <w:rPr>
          <w:iCs/>
        </w:rPr>
        <w:t> </w:t>
      </w:r>
      <w:r>
        <w:t>parts sand (by volume) mixed with a minimum quantity of water sufficient to allow ease of placement and compaction.</w:t>
      </w:r>
    </w:p>
    <w:p w14:paraId="180CA86B" w14:textId="77777777" w:rsidR="00026171" w:rsidRPr="009668BC" w:rsidRDefault="008843FC" w:rsidP="00A35425">
      <w:pPr>
        <w:pStyle w:val="Heading3"/>
      </w:pPr>
      <w:bookmarkStart w:id="49" w:name="_Toc76024372"/>
      <w:r w:rsidRPr="00B21E7D">
        <w:t>Execution</w:t>
      </w:r>
      <w:bookmarkEnd w:id="49"/>
    </w:p>
    <w:p w14:paraId="38A5D582" w14:textId="77777777" w:rsidR="004D40F8" w:rsidRPr="004D40F8" w:rsidRDefault="00026171" w:rsidP="00B21E7D">
      <w:pPr>
        <w:pStyle w:val="BodyTextIndentBoldUnderline"/>
      </w:pPr>
      <w:r w:rsidRPr="004D40F8">
        <w:t>Compacted layer method of construction</w:t>
      </w:r>
    </w:p>
    <w:p w14:paraId="4CFC9E63" w14:textId="77777777" w:rsidR="00026171" w:rsidRDefault="00026171" w:rsidP="00B21E7D">
      <w:pPr>
        <w:pStyle w:val="BodyTextIndent"/>
      </w:pPr>
      <w:r>
        <w:t xml:space="preserve">This construction method applies to </w:t>
      </w:r>
      <w:r w:rsidR="005F3E20">
        <w:t>C</w:t>
      </w:r>
      <w:r>
        <w:t>lass 3 material, excavated material</w:t>
      </w:r>
      <w:r w:rsidR="00FA7450">
        <w:t>,</w:t>
      </w:r>
      <w:r>
        <w:t xml:space="preserve"> </w:t>
      </w:r>
      <w:r w:rsidR="00517064">
        <w:t xml:space="preserve">sand where puddling and jetting is not approved, </w:t>
      </w:r>
      <w:r>
        <w:t>dry stabilised sand, and dry lean mix concrete.</w:t>
      </w:r>
      <w:r w:rsidR="007658C0">
        <w:t xml:space="preserve">  Place and compact fill material uniformly in layers with loose layer thickness not exceeding </w:t>
      </w:r>
      <w:r w:rsidR="007658C0" w:rsidRPr="006F1B71">
        <w:t>200</w:t>
      </w:r>
      <w:r w:rsidR="006F1B71" w:rsidRPr="006F1B71">
        <w:t> </w:t>
      </w:r>
      <w:r w:rsidR="007658C0">
        <w:t>mm.</w:t>
      </w:r>
      <w:r w:rsidR="00991920">
        <w:t xml:space="preserve">  </w:t>
      </w:r>
      <w:r w:rsidR="00FA7450">
        <w:t>Achieve the minimum relative compaction standards specified in Table</w:t>
      </w:r>
      <w:r w:rsidR="006F1B71" w:rsidRPr="00722CEB">
        <w:rPr>
          <w:i/>
        </w:rPr>
        <w:t> </w:t>
      </w:r>
      <w:r w:rsidR="00E10C04">
        <w:t>7</w:t>
      </w:r>
      <w:r w:rsidR="00FA7450">
        <w:t>.</w:t>
      </w:r>
      <w:r w:rsidR="007F3105">
        <w:t>2</w:t>
      </w:r>
      <w:r w:rsidR="00FA7450">
        <w:t xml:space="preserve"> for Class 3 material, sand and excavated material.</w:t>
      </w:r>
    </w:p>
    <w:p w14:paraId="36BD1571" w14:textId="77777777" w:rsidR="00A35425" w:rsidRDefault="00A35425" w:rsidP="000C4324">
      <w:pPr>
        <w:pStyle w:val="BodyText"/>
        <w:rPr>
          <w:sz w:val="18"/>
        </w:rPr>
      </w:pPr>
      <w:r>
        <w:br w:type="page"/>
      </w:r>
    </w:p>
    <w:p w14:paraId="125524B8" w14:textId="7BDF0B2F" w:rsidR="00754D64" w:rsidRDefault="00754D64" w:rsidP="00D46EA8">
      <w:pPr>
        <w:pStyle w:val="TableIDNum"/>
      </w:pPr>
      <w:r>
        <w:lastRenderedPageBreak/>
        <w:t>Table</w:t>
      </w:r>
      <w:r w:rsidR="00333A0B" w:rsidRPr="00DF46CF">
        <w:rPr>
          <w:iCs/>
        </w:rPr>
        <w:t> </w:t>
      </w:r>
      <w:r w:rsidR="00E10C04">
        <w:t>7</w:t>
      </w:r>
      <w:r>
        <w:t>.</w:t>
      </w:r>
      <w:r w:rsidR="007F3105">
        <w:t>2</w:t>
      </w:r>
      <w:r>
        <w:t xml:space="preserve"> </w:t>
      </w:r>
      <w:r w:rsidR="00D83054">
        <w:t>–</w:t>
      </w:r>
      <w:r>
        <w:t xml:space="preserve"> Minimum density schedule</w:t>
      </w:r>
    </w:p>
    <w:tbl>
      <w:tblPr>
        <w:tblW w:w="8505" w:type="dxa"/>
        <w:tblInd w:w="829" w:type="dxa"/>
        <w:tblBorders>
          <w:top w:val="single" w:sz="12" w:space="0" w:color="000000"/>
          <w:left w:val="nil"/>
          <w:bottom w:val="single" w:sz="12" w:space="0" w:color="000000"/>
          <w:right w:val="nil"/>
          <w:insideH w:val="nil"/>
          <w:insideV w:val="nil"/>
        </w:tblBorders>
        <w:tblLayout w:type="fixed"/>
        <w:tblCellMar>
          <w:left w:w="120" w:type="dxa"/>
          <w:right w:w="120" w:type="dxa"/>
        </w:tblCellMar>
        <w:tblLook w:val="00A0" w:firstRow="1" w:lastRow="0" w:firstColumn="1" w:lastColumn="0" w:noHBand="0" w:noVBand="0"/>
      </w:tblPr>
      <w:tblGrid>
        <w:gridCol w:w="3544"/>
        <w:gridCol w:w="2480"/>
        <w:gridCol w:w="2481"/>
      </w:tblGrid>
      <w:tr w:rsidR="00754D64" w14:paraId="250E56A4" w14:textId="77777777" w:rsidTr="00DD6007">
        <w:trPr>
          <w:cantSplit/>
          <w:tblHeader/>
        </w:trPr>
        <w:tc>
          <w:tcPr>
            <w:tcW w:w="3544" w:type="dxa"/>
            <w:tcBorders>
              <w:top w:val="single" w:sz="12" w:space="0" w:color="000000"/>
              <w:left w:val="nil"/>
              <w:bottom w:val="single" w:sz="12" w:space="0" w:color="000000"/>
              <w:right w:val="nil"/>
            </w:tcBorders>
            <w:shd w:val="pct10" w:color="auto" w:fill="auto"/>
            <w:vAlign w:val="center"/>
          </w:tcPr>
          <w:p w14:paraId="676E57C5" w14:textId="77777777" w:rsidR="00754D64" w:rsidRDefault="00754D64" w:rsidP="004A08B6">
            <w:pPr>
              <w:pStyle w:val="TableHead"/>
            </w:pPr>
            <w:r>
              <w:br w:type="page"/>
              <w:t>Location</w:t>
            </w:r>
          </w:p>
        </w:tc>
        <w:tc>
          <w:tcPr>
            <w:tcW w:w="2480" w:type="dxa"/>
            <w:tcBorders>
              <w:top w:val="single" w:sz="12" w:space="0" w:color="000000"/>
              <w:left w:val="nil"/>
              <w:bottom w:val="single" w:sz="12" w:space="0" w:color="000000"/>
              <w:right w:val="nil"/>
            </w:tcBorders>
            <w:shd w:val="pct10" w:color="auto" w:fill="auto"/>
            <w:vAlign w:val="center"/>
          </w:tcPr>
          <w:p w14:paraId="0F2A11DC" w14:textId="77777777" w:rsidR="00754D64" w:rsidRDefault="00754D64" w:rsidP="00DD6007">
            <w:pPr>
              <w:pStyle w:val="TableHeadCen"/>
            </w:pPr>
            <w:r>
              <w:t>Minimum relative compaction (standard)</w:t>
            </w:r>
          </w:p>
          <w:p w14:paraId="5BFBF0F9" w14:textId="77777777" w:rsidR="00754D64" w:rsidRDefault="00754D64" w:rsidP="00DD6007">
            <w:pPr>
              <w:pStyle w:val="TableHeadCen"/>
            </w:pPr>
            <w:r>
              <w:t>(Cohesive soils generally)</w:t>
            </w:r>
          </w:p>
          <w:p w14:paraId="6B58684E" w14:textId="77777777" w:rsidR="00754D64" w:rsidRPr="00DD6007" w:rsidRDefault="00754D64" w:rsidP="00DD6007">
            <w:pPr>
              <w:pStyle w:val="TableHeadCen"/>
              <w:rPr>
                <w:b w:val="0"/>
                <w:i/>
              </w:rPr>
            </w:pPr>
            <w:r w:rsidRPr="00DD6007">
              <w:rPr>
                <w:b w:val="0"/>
                <w:i/>
              </w:rPr>
              <w:t>(</w:t>
            </w:r>
            <w:r w:rsidR="00DD6007" w:rsidRPr="00DD6007">
              <w:rPr>
                <w:b w:val="0"/>
                <w:i/>
              </w:rPr>
              <w:t xml:space="preserve">refer </w:t>
            </w:r>
            <w:r w:rsidRPr="00DD6007">
              <w:rPr>
                <w:b w:val="0"/>
                <w:i/>
              </w:rPr>
              <w:t>Notes 1, 2, 3, 4)</w:t>
            </w:r>
          </w:p>
        </w:tc>
        <w:tc>
          <w:tcPr>
            <w:tcW w:w="2481" w:type="dxa"/>
            <w:tcBorders>
              <w:top w:val="single" w:sz="12" w:space="0" w:color="000000"/>
              <w:left w:val="nil"/>
              <w:bottom w:val="single" w:sz="12" w:space="0" w:color="000000"/>
              <w:right w:val="nil"/>
            </w:tcBorders>
            <w:shd w:val="pct10" w:color="auto" w:fill="auto"/>
            <w:vAlign w:val="center"/>
          </w:tcPr>
          <w:p w14:paraId="39A66F19" w14:textId="77777777" w:rsidR="00754D64" w:rsidRDefault="00754D64" w:rsidP="00DD6007">
            <w:pPr>
              <w:pStyle w:val="TableHeadCen"/>
            </w:pPr>
            <w:r>
              <w:t>Minimum density index</w:t>
            </w:r>
          </w:p>
          <w:p w14:paraId="4100E82D" w14:textId="77777777" w:rsidR="00754D64" w:rsidRDefault="00754D64" w:rsidP="00B2444D">
            <w:pPr>
              <w:pStyle w:val="TableHeadCen"/>
            </w:pPr>
            <w:r>
              <w:t>(Cohesionless soils)</w:t>
            </w:r>
          </w:p>
          <w:p w14:paraId="5AD7D4DF" w14:textId="77777777" w:rsidR="00754D64" w:rsidRPr="00DD6007" w:rsidRDefault="00754D64" w:rsidP="00654205">
            <w:pPr>
              <w:pStyle w:val="TableHeadCen"/>
              <w:rPr>
                <w:b w:val="0"/>
                <w:i/>
              </w:rPr>
            </w:pPr>
            <w:r w:rsidRPr="00DD6007">
              <w:rPr>
                <w:b w:val="0"/>
                <w:i/>
              </w:rPr>
              <w:t>(</w:t>
            </w:r>
            <w:r w:rsidR="00DD6007">
              <w:rPr>
                <w:b w:val="0"/>
                <w:i/>
              </w:rPr>
              <w:t>refer</w:t>
            </w:r>
            <w:r w:rsidR="00DD6007" w:rsidRPr="00DD6007">
              <w:rPr>
                <w:b w:val="0"/>
                <w:i/>
              </w:rPr>
              <w:t xml:space="preserve"> </w:t>
            </w:r>
            <w:r w:rsidRPr="00DD6007">
              <w:rPr>
                <w:b w:val="0"/>
                <w:i/>
              </w:rPr>
              <w:t>Notes 1, 5)</w:t>
            </w:r>
          </w:p>
        </w:tc>
      </w:tr>
      <w:tr w:rsidR="00D46EA8" w14:paraId="5C284A91" w14:textId="77777777" w:rsidTr="00A40C6C">
        <w:trPr>
          <w:cantSplit/>
          <w:trHeight w:val="340"/>
        </w:trPr>
        <w:tc>
          <w:tcPr>
            <w:tcW w:w="3544" w:type="dxa"/>
            <w:tcBorders>
              <w:top w:val="single" w:sz="12" w:space="0" w:color="000000"/>
              <w:left w:val="nil"/>
              <w:bottom w:val="nil"/>
              <w:right w:val="nil"/>
            </w:tcBorders>
            <w:vAlign w:val="center"/>
          </w:tcPr>
          <w:p w14:paraId="321E8D13" w14:textId="77777777" w:rsidR="00D46EA8" w:rsidRDefault="00D46EA8" w:rsidP="00726083">
            <w:pPr>
              <w:pStyle w:val="Table"/>
            </w:pPr>
            <w:r>
              <w:t xml:space="preserve">Road and structural (other than building) formations including embankments, footpaths, paved areas and shoulders </w:t>
            </w:r>
            <w:r w:rsidRPr="00726083">
              <w:rPr>
                <w:i/>
              </w:rPr>
              <w:t>(</w:t>
            </w:r>
            <w:r w:rsidR="00726083" w:rsidRPr="00726083">
              <w:rPr>
                <w:i/>
              </w:rPr>
              <w:t xml:space="preserve">refer </w:t>
            </w:r>
            <w:r w:rsidRPr="00726083">
              <w:rPr>
                <w:i/>
              </w:rPr>
              <w:t>Note 6)</w:t>
            </w:r>
          </w:p>
        </w:tc>
        <w:tc>
          <w:tcPr>
            <w:tcW w:w="2480" w:type="dxa"/>
            <w:tcBorders>
              <w:top w:val="single" w:sz="12" w:space="0" w:color="000000"/>
              <w:left w:val="nil"/>
              <w:right w:val="nil"/>
            </w:tcBorders>
            <w:vAlign w:val="center"/>
          </w:tcPr>
          <w:p w14:paraId="5916CDEB" w14:textId="77777777" w:rsidR="00D46EA8" w:rsidRDefault="00D46EA8" w:rsidP="00B21E7D">
            <w:pPr>
              <w:pStyle w:val="TableCen"/>
            </w:pPr>
          </w:p>
        </w:tc>
        <w:tc>
          <w:tcPr>
            <w:tcW w:w="2481" w:type="dxa"/>
            <w:tcBorders>
              <w:top w:val="single" w:sz="12" w:space="0" w:color="000000"/>
              <w:left w:val="nil"/>
              <w:right w:val="nil"/>
            </w:tcBorders>
            <w:vAlign w:val="center"/>
          </w:tcPr>
          <w:p w14:paraId="5AE69D2A" w14:textId="77777777" w:rsidR="00D46EA8" w:rsidRDefault="00D46EA8" w:rsidP="00B21E7D">
            <w:pPr>
              <w:pStyle w:val="TableCen"/>
            </w:pPr>
          </w:p>
        </w:tc>
      </w:tr>
      <w:tr w:rsidR="00D46EA8" w14:paraId="060DB055" w14:textId="77777777" w:rsidTr="00A40C6C">
        <w:trPr>
          <w:cantSplit/>
          <w:trHeight w:val="340"/>
        </w:trPr>
        <w:tc>
          <w:tcPr>
            <w:tcW w:w="3544" w:type="dxa"/>
            <w:tcBorders>
              <w:top w:val="nil"/>
              <w:left w:val="nil"/>
              <w:bottom w:val="nil"/>
              <w:right w:val="nil"/>
            </w:tcBorders>
            <w:vAlign w:val="center"/>
          </w:tcPr>
          <w:p w14:paraId="10C1959D" w14:textId="77777777" w:rsidR="00D46EA8" w:rsidRPr="006F1B71" w:rsidRDefault="00D46EA8" w:rsidP="006F1B71">
            <w:pPr>
              <w:pStyle w:val="Table"/>
            </w:pPr>
            <w:r w:rsidRPr="006F1B71">
              <w:t xml:space="preserve">(a) </w:t>
            </w:r>
            <w:r w:rsidRPr="006F1B71">
              <w:rPr>
                <w:rFonts w:ascii="Symbol" w:eastAsia="Symbol" w:hAnsi="Symbol" w:cs="Symbol"/>
              </w:rPr>
              <w:t>&gt;</w:t>
            </w:r>
            <w:r w:rsidRPr="006F1B71">
              <w:t> 0.3</w:t>
            </w:r>
            <w:r w:rsidR="006F1B71" w:rsidRPr="006F1B71">
              <w:t> </w:t>
            </w:r>
            <w:r w:rsidRPr="006F1B71">
              <w:t>m below subgrade level</w:t>
            </w:r>
          </w:p>
        </w:tc>
        <w:tc>
          <w:tcPr>
            <w:tcW w:w="2480" w:type="dxa"/>
            <w:tcBorders>
              <w:left w:val="nil"/>
              <w:right w:val="nil"/>
            </w:tcBorders>
            <w:vAlign w:val="center"/>
          </w:tcPr>
          <w:p w14:paraId="6D9561F4" w14:textId="77777777" w:rsidR="00D46EA8" w:rsidRDefault="00D46EA8" w:rsidP="00D46EA8">
            <w:pPr>
              <w:pStyle w:val="TableCen"/>
            </w:pPr>
            <w:r>
              <w:t>95%</w:t>
            </w:r>
          </w:p>
        </w:tc>
        <w:tc>
          <w:tcPr>
            <w:tcW w:w="2481" w:type="dxa"/>
            <w:tcBorders>
              <w:left w:val="nil"/>
              <w:right w:val="nil"/>
            </w:tcBorders>
            <w:vAlign w:val="center"/>
          </w:tcPr>
          <w:p w14:paraId="16DBB724" w14:textId="77777777" w:rsidR="00D46EA8" w:rsidRDefault="00D46EA8" w:rsidP="00D46EA8">
            <w:pPr>
              <w:pStyle w:val="TableCen"/>
            </w:pPr>
            <w:r>
              <w:t>65%</w:t>
            </w:r>
          </w:p>
        </w:tc>
      </w:tr>
      <w:tr w:rsidR="00D46EA8" w14:paraId="01CAF553" w14:textId="77777777" w:rsidTr="00A40C6C">
        <w:trPr>
          <w:cantSplit/>
          <w:trHeight w:val="340"/>
        </w:trPr>
        <w:tc>
          <w:tcPr>
            <w:tcW w:w="3544" w:type="dxa"/>
            <w:tcBorders>
              <w:top w:val="nil"/>
              <w:left w:val="nil"/>
              <w:bottom w:val="single" w:sz="6" w:space="0" w:color="000000"/>
              <w:right w:val="nil"/>
            </w:tcBorders>
            <w:vAlign w:val="center"/>
          </w:tcPr>
          <w:p w14:paraId="56324E98" w14:textId="77777777" w:rsidR="00D46EA8" w:rsidRPr="006F1B71" w:rsidRDefault="00D46EA8" w:rsidP="006F1B71">
            <w:pPr>
              <w:pStyle w:val="Table"/>
            </w:pPr>
            <w:r w:rsidRPr="006F1B71">
              <w:t xml:space="preserve">(b) </w:t>
            </w:r>
            <w:r w:rsidRPr="006F1B71">
              <w:rPr>
                <w:rFonts w:ascii="Symbol" w:eastAsia="Symbol" w:hAnsi="Symbol" w:cs="Symbol"/>
              </w:rPr>
              <w:t>£</w:t>
            </w:r>
            <w:r w:rsidRPr="006F1B71">
              <w:t> 0.3</w:t>
            </w:r>
            <w:r w:rsidR="006F1B71" w:rsidRPr="006F1B71">
              <w:t> </w:t>
            </w:r>
            <w:r w:rsidRPr="006F1B71">
              <w:t>m below subgrade level</w:t>
            </w:r>
          </w:p>
        </w:tc>
        <w:tc>
          <w:tcPr>
            <w:tcW w:w="2480" w:type="dxa"/>
            <w:tcBorders>
              <w:left w:val="nil"/>
              <w:bottom w:val="single" w:sz="6" w:space="0" w:color="000000"/>
              <w:right w:val="nil"/>
            </w:tcBorders>
            <w:vAlign w:val="center"/>
          </w:tcPr>
          <w:p w14:paraId="62FE1361" w14:textId="77777777" w:rsidR="00D46EA8" w:rsidRDefault="00D46EA8" w:rsidP="00B21E7D">
            <w:pPr>
              <w:pStyle w:val="TableCen"/>
            </w:pPr>
            <w:r>
              <w:t>100%</w:t>
            </w:r>
          </w:p>
        </w:tc>
        <w:tc>
          <w:tcPr>
            <w:tcW w:w="2481" w:type="dxa"/>
            <w:tcBorders>
              <w:left w:val="nil"/>
              <w:bottom w:val="single" w:sz="6" w:space="0" w:color="000000"/>
              <w:right w:val="nil"/>
            </w:tcBorders>
            <w:vAlign w:val="center"/>
          </w:tcPr>
          <w:p w14:paraId="483A5B3C" w14:textId="77777777" w:rsidR="00D46EA8" w:rsidRDefault="00D46EA8" w:rsidP="00B21E7D">
            <w:pPr>
              <w:pStyle w:val="TableCen"/>
            </w:pPr>
            <w:r>
              <w:t>80%</w:t>
            </w:r>
          </w:p>
        </w:tc>
      </w:tr>
      <w:tr w:rsidR="00A40C6C" w14:paraId="3E3D8B65" w14:textId="77777777" w:rsidTr="00A40C6C">
        <w:trPr>
          <w:cantSplit/>
          <w:trHeight w:val="340"/>
        </w:trPr>
        <w:tc>
          <w:tcPr>
            <w:tcW w:w="3544" w:type="dxa"/>
            <w:tcBorders>
              <w:top w:val="single" w:sz="6" w:space="0" w:color="000000"/>
              <w:left w:val="nil"/>
              <w:bottom w:val="nil"/>
              <w:right w:val="nil"/>
            </w:tcBorders>
            <w:vAlign w:val="center"/>
          </w:tcPr>
          <w:p w14:paraId="62323389" w14:textId="77777777" w:rsidR="00A40C6C" w:rsidRPr="006F1B71" w:rsidRDefault="00A40C6C" w:rsidP="000340CD">
            <w:pPr>
              <w:pStyle w:val="Table"/>
            </w:pPr>
            <w:r w:rsidRPr="006F1B71">
              <w:t>All other areas e.g. parks</w:t>
            </w:r>
            <w:r w:rsidRPr="006F1B71" w:rsidDel="00A40C6C">
              <w:t xml:space="preserve"> </w:t>
            </w:r>
          </w:p>
        </w:tc>
        <w:tc>
          <w:tcPr>
            <w:tcW w:w="2480" w:type="dxa"/>
            <w:tcBorders>
              <w:top w:val="single" w:sz="6" w:space="0" w:color="000000"/>
              <w:left w:val="nil"/>
              <w:right w:val="nil"/>
            </w:tcBorders>
            <w:vAlign w:val="center"/>
          </w:tcPr>
          <w:p w14:paraId="3AF00C6D" w14:textId="77777777" w:rsidR="00A40C6C" w:rsidRDefault="00A40C6C" w:rsidP="00B21E7D">
            <w:pPr>
              <w:pStyle w:val="TableCen"/>
            </w:pPr>
          </w:p>
        </w:tc>
        <w:tc>
          <w:tcPr>
            <w:tcW w:w="2481" w:type="dxa"/>
            <w:tcBorders>
              <w:top w:val="single" w:sz="6" w:space="0" w:color="000000"/>
              <w:left w:val="nil"/>
              <w:right w:val="nil"/>
            </w:tcBorders>
            <w:vAlign w:val="center"/>
          </w:tcPr>
          <w:p w14:paraId="26199388" w14:textId="77777777" w:rsidR="00A40C6C" w:rsidRDefault="00A40C6C" w:rsidP="00B21E7D">
            <w:pPr>
              <w:pStyle w:val="TableCen"/>
            </w:pPr>
          </w:p>
        </w:tc>
      </w:tr>
      <w:tr w:rsidR="00A40C6C" w14:paraId="26AC8597" w14:textId="77777777" w:rsidTr="00A40C6C">
        <w:trPr>
          <w:cantSplit/>
          <w:trHeight w:val="340"/>
        </w:trPr>
        <w:tc>
          <w:tcPr>
            <w:tcW w:w="3544" w:type="dxa"/>
            <w:tcBorders>
              <w:top w:val="nil"/>
              <w:left w:val="nil"/>
              <w:bottom w:val="nil"/>
              <w:right w:val="nil"/>
            </w:tcBorders>
            <w:vAlign w:val="center"/>
          </w:tcPr>
          <w:p w14:paraId="5A196400" w14:textId="77777777" w:rsidR="00A40C6C" w:rsidRPr="006F1B71" w:rsidRDefault="00A40C6C" w:rsidP="006F1B71">
            <w:pPr>
              <w:pStyle w:val="Table"/>
            </w:pPr>
            <w:r w:rsidRPr="006F1B71">
              <w:t xml:space="preserve">(a) </w:t>
            </w:r>
            <w:r w:rsidRPr="006F1B71">
              <w:rPr>
                <w:rFonts w:ascii="Symbol" w:eastAsia="Symbol" w:hAnsi="Symbol" w:cs="Symbol"/>
              </w:rPr>
              <w:t>&gt;</w:t>
            </w:r>
            <w:r w:rsidRPr="006F1B71">
              <w:t> 0.3</w:t>
            </w:r>
            <w:r w:rsidR="006F1B71" w:rsidRPr="006F1B71">
              <w:t> </w:t>
            </w:r>
            <w:r w:rsidRPr="006F1B71">
              <w:t>m below finished surface level</w:t>
            </w:r>
          </w:p>
        </w:tc>
        <w:tc>
          <w:tcPr>
            <w:tcW w:w="2480" w:type="dxa"/>
            <w:tcBorders>
              <w:left w:val="nil"/>
              <w:right w:val="nil"/>
            </w:tcBorders>
            <w:vAlign w:val="center"/>
          </w:tcPr>
          <w:p w14:paraId="1B1E4AB0" w14:textId="77777777" w:rsidR="00A40C6C" w:rsidRDefault="00A40C6C" w:rsidP="00A40C6C">
            <w:pPr>
              <w:pStyle w:val="TableCen"/>
            </w:pPr>
            <w:r>
              <w:t>90%</w:t>
            </w:r>
          </w:p>
        </w:tc>
        <w:tc>
          <w:tcPr>
            <w:tcW w:w="2481" w:type="dxa"/>
            <w:tcBorders>
              <w:left w:val="nil"/>
              <w:right w:val="nil"/>
            </w:tcBorders>
            <w:vAlign w:val="center"/>
          </w:tcPr>
          <w:p w14:paraId="742410FC" w14:textId="77777777" w:rsidR="00A40C6C" w:rsidRDefault="00A40C6C" w:rsidP="00A40C6C">
            <w:pPr>
              <w:pStyle w:val="TableCen"/>
            </w:pPr>
            <w:r>
              <w:t>62%</w:t>
            </w:r>
          </w:p>
        </w:tc>
      </w:tr>
      <w:tr w:rsidR="00A40C6C" w14:paraId="1C84CE1E" w14:textId="77777777" w:rsidTr="00A40C6C">
        <w:trPr>
          <w:cantSplit/>
          <w:trHeight w:val="340"/>
        </w:trPr>
        <w:tc>
          <w:tcPr>
            <w:tcW w:w="3544" w:type="dxa"/>
            <w:tcBorders>
              <w:top w:val="nil"/>
              <w:left w:val="nil"/>
              <w:bottom w:val="single" w:sz="12" w:space="0" w:color="000000"/>
              <w:right w:val="nil"/>
            </w:tcBorders>
            <w:vAlign w:val="center"/>
          </w:tcPr>
          <w:p w14:paraId="438DB704" w14:textId="77777777" w:rsidR="00A40C6C" w:rsidRPr="006F1B71" w:rsidRDefault="00A40C6C" w:rsidP="006F1B71">
            <w:pPr>
              <w:pStyle w:val="Table"/>
            </w:pPr>
            <w:r w:rsidRPr="006F1B71">
              <w:t xml:space="preserve">(b) </w:t>
            </w:r>
            <w:r w:rsidRPr="006F1B71">
              <w:rPr>
                <w:rFonts w:ascii="Symbol" w:eastAsia="Symbol" w:hAnsi="Symbol" w:cs="Symbol"/>
              </w:rPr>
              <w:t>£</w:t>
            </w:r>
            <w:r w:rsidRPr="006F1B71">
              <w:t> 0.3</w:t>
            </w:r>
            <w:r w:rsidR="006F1B71" w:rsidRPr="006F1B71">
              <w:t> </w:t>
            </w:r>
            <w:r w:rsidRPr="006F1B71">
              <w:t>m below finished surface level</w:t>
            </w:r>
          </w:p>
        </w:tc>
        <w:tc>
          <w:tcPr>
            <w:tcW w:w="2480" w:type="dxa"/>
            <w:tcBorders>
              <w:left w:val="nil"/>
              <w:bottom w:val="single" w:sz="12" w:space="0" w:color="000000"/>
              <w:right w:val="nil"/>
            </w:tcBorders>
            <w:vAlign w:val="center"/>
          </w:tcPr>
          <w:p w14:paraId="2EB2E108" w14:textId="77777777" w:rsidR="00A40C6C" w:rsidRDefault="00A40C6C" w:rsidP="00B21E7D">
            <w:pPr>
              <w:pStyle w:val="TableCen"/>
            </w:pPr>
            <w:r>
              <w:t>95%</w:t>
            </w:r>
          </w:p>
        </w:tc>
        <w:tc>
          <w:tcPr>
            <w:tcW w:w="2481" w:type="dxa"/>
            <w:tcBorders>
              <w:left w:val="nil"/>
              <w:bottom w:val="single" w:sz="12" w:space="0" w:color="000000"/>
              <w:right w:val="nil"/>
            </w:tcBorders>
            <w:vAlign w:val="center"/>
          </w:tcPr>
          <w:p w14:paraId="1F6FBBD0" w14:textId="77777777" w:rsidR="00A40C6C" w:rsidRDefault="00A40C6C" w:rsidP="00B21E7D">
            <w:pPr>
              <w:pStyle w:val="TableCen"/>
            </w:pPr>
            <w:r>
              <w:t>65%</w:t>
            </w:r>
          </w:p>
        </w:tc>
      </w:tr>
    </w:tbl>
    <w:p w14:paraId="2DE4072D" w14:textId="77777777" w:rsidR="00754D64" w:rsidRDefault="00754D64" w:rsidP="00B21E7D">
      <w:pPr>
        <w:pStyle w:val="BodyTextIndentBold"/>
      </w:pPr>
      <w:r>
        <w:t>Notes:</w:t>
      </w:r>
    </w:p>
    <w:p w14:paraId="1FF41E9E" w14:textId="77777777" w:rsidR="00754D64" w:rsidRPr="00A83DD8" w:rsidRDefault="00754D64" w:rsidP="004A08B6">
      <w:pPr>
        <w:pStyle w:val="BodyTextIndent9Num"/>
        <w:rPr>
          <w:i/>
        </w:rPr>
      </w:pPr>
      <w:r w:rsidRPr="00A83DD8">
        <w:rPr>
          <w:i/>
        </w:rPr>
        <w:t>Field dry density to AS</w:t>
      </w:r>
      <w:r w:rsidR="00255024" w:rsidRPr="00A83DD8">
        <w:rPr>
          <w:i/>
        </w:rPr>
        <w:t> </w:t>
      </w:r>
      <w:r w:rsidRPr="00A83DD8">
        <w:rPr>
          <w:i/>
        </w:rPr>
        <w:t>1289.5.3.1, AS</w:t>
      </w:r>
      <w:r w:rsidR="00255024" w:rsidRPr="00A83DD8">
        <w:rPr>
          <w:i/>
        </w:rPr>
        <w:t> </w:t>
      </w:r>
      <w:r w:rsidRPr="00A83DD8">
        <w:rPr>
          <w:i/>
        </w:rPr>
        <w:t>1289.5.3.5 or AS</w:t>
      </w:r>
      <w:r w:rsidR="00255024" w:rsidRPr="00A83DD8">
        <w:rPr>
          <w:i/>
        </w:rPr>
        <w:t> </w:t>
      </w:r>
      <w:r w:rsidRPr="00A83DD8">
        <w:rPr>
          <w:i/>
        </w:rPr>
        <w:t>1289.5.8.1.  If using AS 1289.5.8.1, calibrate the surface moisture-density gauge in accordance with AS 1289.5.8.4 before use</w:t>
      </w:r>
      <w:r w:rsidR="00534ECF" w:rsidRPr="00A83DD8">
        <w:rPr>
          <w:i/>
        </w:rPr>
        <w:t>.</w:t>
      </w:r>
    </w:p>
    <w:p w14:paraId="734761FF" w14:textId="77777777" w:rsidR="00754D64" w:rsidRPr="00A83DD8" w:rsidRDefault="00754D64" w:rsidP="004A08B6">
      <w:pPr>
        <w:pStyle w:val="BodyTextIndent9Num"/>
        <w:rPr>
          <w:i/>
        </w:rPr>
      </w:pPr>
      <w:r w:rsidRPr="00A83DD8">
        <w:rPr>
          <w:i/>
        </w:rPr>
        <w:t>Standard maximum dry density to AS</w:t>
      </w:r>
      <w:r w:rsidR="00255024" w:rsidRPr="00A83DD8">
        <w:rPr>
          <w:i/>
        </w:rPr>
        <w:t> </w:t>
      </w:r>
      <w:r w:rsidRPr="00A83DD8">
        <w:rPr>
          <w:i/>
        </w:rPr>
        <w:t>1289.5.1.1.</w:t>
      </w:r>
    </w:p>
    <w:p w14:paraId="1487623C" w14:textId="77777777" w:rsidR="00754D64" w:rsidRPr="00A83DD8" w:rsidRDefault="00754D64" w:rsidP="004A08B6">
      <w:pPr>
        <w:pStyle w:val="BodyTextIndent9Num"/>
        <w:rPr>
          <w:i/>
        </w:rPr>
      </w:pPr>
      <w:r w:rsidRPr="00A83DD8">
        <w:rPr>
          <w:i/>
        </w:rPr>
        <w:t>Relative compaction (% of maximum dry density) to AS</w:t>
      </w:r>
      <w:r w:rsidR="00255024" w:rsidRPr="00A83DD8">
        <w:rPr>
          <w:i/>
        </w:rPr>
        <w:t> </w:t>
      </w:r>
      <w:r w:rsidRPr="00A83DD8">
        <w:rPr>
          <w:i/>
        </w:rPr>
        <w:t>1289.5.4.1.</w:t>
      </w:r>
    </w:p>
    <w:p w14:paraId="28D04F2C" w14:textId="77777777" w:rsidR="00754D64" w:rsidRPr="00A83DD8" w:rsidRDefault="00754D64" w:rsidP="004A08B6">
      <w:pPr>
        <w:pStyle w:val="BodyTextIndent9Num"/>
        <w:rPr>
          <w:i/>
        </w:rPr>
      </w:pPr>
      <w:r w:rsidRPr="00A83DD8">
        <w:rPr>
          <w:i/>
        </w:rPr>
        <w:t xml:space="preserve">For plastic soils </w:t>
      </w:r>
      <w:r w:rsidR="00BA77E1" w:rsidRPr="00A83DD8">
        <w:rPr>
          <w:i/>
        </w:rPr>
        <w:t>(</w:t>
      </w:r>
      <w:r w:rsidRPr="00A83DD8">
        <w:rPr>
          <w:i/>
        </w:rPr>
        <w:t>designated under the unified classifications system as OH CH MH</w:t>
      </w:r>
      <w:r w:rsidR="00BA77E1" w:rsidRPr="00A83DD8">
        <w:rPr>
          <w:i/>
        </w:rPr>
        <w:t>)</w:t>
      </w:r>
      <w:r w:rsidR="000340CD" w:rsidRPr="00A83DD8">
        <w:rPr>
          <w:i/>
        </w:rPr>
        <w:t xml:space="preserve"> compact </w:t>
      </w:r>
      <w:r w:rsidRPr="00A83DD8">
        <w:rPr>
          <w:i/>
        </w:rPr>
        <w:t>to not less tha</w:t>
      </w:r>
      <w:r w:rsidR="00BA77E1" w:rsidRPr="00A83DD8">
        <w:rPr>
          <w:i/>
        </w:rPr>
        <w:t>n</w:t>
      </w:r>
      <w:r w:rsidRPr="00A83DD8">
        <w:rPr>
          <w:i/>
        </w:rPr>
        <w:t xml:space="preserve"> 92% nor greater than 96% of standard maximum dry density at moisture contents of between 90% and 120% of optimum moisture content.</w:t>
      </w:r>
    </w:p>
    <w:p w14:paraId="5A7A0760" w14:textId="77777777" w:rsidR="00754D64" w:rsidRPr="00A83DD8" w:rsidRDefault="00754D64" w:rsidP="004A08B6">
      <w:pPr>
        <w:pStyle w:val="BodyTextIndent9Num"/>
        <w:rPr>
          <w:i/>
        </w:rPr>
      </w:pPr>
      <w:r w:rsidRPr="00A83DD8">
        <w:rPr>
          <w:i/>
        </w:rPr>
        <w:t>Density index to AS</w:t>
      </w:r>
      <w:r w:rsidR="00255024" w:rsidRPr="00A83DD8">
        <w:rPr>
          <w:i/>
        </w:rPr>
        <w:t> </w:t>
      </w:r>
      <w:r w:rsidRPr="00A83DD8">
        <w:rPr>
          <w:i/>
        </w:rPr>
        <w:t>1289.5.6.1.  Maximum and minimum dry densities to AS</w:t>
      </w:r>
      <w:r w:rsidR="00255024" w:rsidRPr="00A83DD8">
        <w:rPr>
          <w:i/>
        </w:rPr>
        <w:t> </w:t>
      </w:r>
      <w:r w:rsidRPr="00A83DD8">
        <w:rPr>
          <w:i/>
        </w:rPr>
        <w:t>1289.5.5.1.</w:t>
      </w:r>
    </w:p>
    <w:p w14:paraId="1679D727" w14:textId="77777777" w:rsidR="00F0422F" w:rsidRPr="00A83DD8" w:rsidRDefault="00754D64" w:rsidP="004A08B6">
      <w:pPr>
        <w:pStyle w:val="BodyTextIndent9Num"/>
        <w:rPr>
          <w:i/>
        </w:rPr>
      </w:pPr>
      <w:r w:rsidRPr="00A83DD8">
        <w:rPr>
          <w:i/>
        </w:rPr>
        <w:t>In the context of this specification, road formation is deemed to include all the area within the designated road reserve.  Structural formation is deemed to include the area under the paving plus a nominal 1 m from the edge of the paved area.</w:t>
      </w:r>
    </w:p>
    <w:p w14:paraId="3516AC09" w14:textId="77777777" w:rsidR="004D40F8" w:rsidRPr="004D40F8" w:rsidRDefault="00026171" w:rsidP="004A08B6">
      <w:pPr>
        <w:pStyle w:val="BodyTextIndentBoldUnderline"/>
      </w:pPr>
      <w:r w:rsidRPr="004D40F8">
        <w:t>Mechanical interlock method of construction</w:t>
      </w:r>
    </w:p>
    <w:p w14:paraId="41D2A3F2" w14:textId="77777777" w:rsidR="00517064" w:rsidRDefault="00026171" w:rsidP="00726083">
      <w:pPr>
        <w:pStyle w:val="BodyTextIndent"/>
      </w:pPr>
      <w:r>
        <w:t>This construction method applies to granular fill.</w:t>
      </w:r>
      <w:r w:rsidR="00517064">
        <w:t xml:space="preserve">  Place and compact coarse granular fill material</w:t>
      </w:r>
      <w:r w:rsidR="00BA77E1">
        <w:t>s</w:t>
      </w:r>
      <w:r w:rsidR="00517064">
        <w:t xml:space="preserve"> uniformly in layers.  Roll each layer until no permanent visible lowering of the surface occurs.  The minimum thickness of uncompacted layers is 150 mm.</w:t>
      </w:r>
      <w:r w:rsidR="00AF0E27">
        <w:t xml:space="preserve">  Determine the m</w:t>
      </w:r>
      <w:r w:rsidR="00517064">
        <w:t>aximum thickness of uncompacted layers</w:t>
      </w:r>
      <w:r w:rsidR="00AF0E27">
        <w:t xml:space="preserve"> from</w:t>
      </w:r>
      <w:r w:rsidR="00517064">
        <w:t xml:space="preserve"> Table</w:t>
      </w:r>
      <w:r w:rsidR="006F1B71" w:rsidRPr="00722CEB">
        <w:rPr>
          <w:i/>
        </w:rPr>
        <w:t> </w:t>
      </w:r>
      <w:r w:rsidR="00E10C04">
        <w:t>7</w:t>
      </w:r>
      <w:r w:rsidR="00517064">
        <w:t>.3 for the specified module weights, which apply to both drawn and self-propelled single drum rollers.  Interpolate layer thickness for module weights between the listed values.</w:t>
      </w:r>
    </w:p>
    <w:p w14:paraId="48E84A1D" w14:textId="6E685E0D" w:rsidR="00517064" w:rsidRDefault="00517064" w:rsidP="00A40C6C">
      <w:pPr>
        <w:pStyle w:val="TableIDNum"/>
      </w:pPr>
      <w:r>
        <w:t>Table</w:t>
      </w:r>
      <w:r w:rsidR="002C64D1" w:rsidRPr="00DF46CF">
        <w:rPr>
          <w:iCs/>
        </w:rPr>
        <w:t> </w:t>
      </w:r>
      <w:r w:rsidR="00E10C04">
        <w:t>7</w:t>
      </w:r>
      <w:r>
        <w:t xml:space="preserve">.3 </w:t>
      </w:r>
      <w:r w:rsidR="004A08B6">
        <w:t>–</w:t>
      </w:r>
      <w:r>
        <w:t xml:space="preserve"> Maximum thickness of uncompacted layers</w:t>
      </w:r>
    </w:p>
    <w:tbl>
      <w:tblPr>
        <w:tblW w:w="8505" w:type="dxa"/>
        <w:tblInd w:w="829" w:type="dxa"/>
        <w:tblBorders>
          <w:top w:val="single" w:sz="12" w:space="0" w:color="000000"/>
          <w:left w:val="nil"/>
          <w:bottom w:val="single" w:sz="12" w:space="0" w:color="000000"/>
          <w:right w:val="nil"/>
          <w:insideH w:val="nil"/>
          <w:insideV w:val="nil"/>
        </w:tblBorders>
        <w:tblLayout w:type="fixed"/>
        <w:tblCellMar>
          <w:left w:w="120" w:type="dxa"/>
          <w:right w:w="120" w:type="dxa"/>
        </w:tblCellMar>
        <w:tblLook w:val="00A0" w:firstRow="1" w:lastRow="0" w:firstColumn="1" w:lastColumn="0" w:noHBand="0" w:noVBand="0"/>
      </w:tblPr>
      <w:tblGrid>
        <w:gridCol w:w="3260"/>
        <w:gridCol w:w="2622"/>
        <w:gridCol w:w="2623"/>
      </w:tblGrid>
      <w:tr w:rsidR="00517064" w14:paraId="57AC2E93" w14:textId="77777777" w:rsidTr="00A40C6C">
        <w:trPr>
          <w:cantSplit/>
          <w:trHeight w:val="397"/>
        </w:trPr>
        <w:tc>
          <w:tcPr>
            <w:tcW w:w="3260" w:type="dxa"/>
            <w:vMerge w:val="restart"/>
            <w:tcBorders>
              <w:top w:val="single" w:sz="12" w:space="0" w:color="auto"/>
              <w:left w:val="nil"/>
              <w:bottom w:val="nil"/>
              <w:right w:val="nil"/>
            </w:tcBorders>
            <w:shd w:val="pct10" w:color="auto" w:fill="auto"/>
            <w:vAlign w:val="center"/>
          </w:tcPr>
          <w:p w14:paraId="12701427" w14:textId="77777777" w:rsidR="00517064" w:rsidRDefault="00517064" w:rsidP="004A08B6">
            <w:pPr>
              <w:pStyle w:val="TableHeadCen"/>
            </w:pPr>
            <w:r>
              <w:t>Static module weighty or vibrating drum equivalent (tonnes)</w:t>
            </w:r>
          </w:p>
        </w:tc>
        <w:tc>
          <w:tcPr>
            <w:tcW w:w="5245" w:type="dxa"/>
            <w:gridSpan w:val="2"/>
            <w:tcBorders>
              <w:top w:val="single" w:sz="12" w:space="0" w:color="auto"/>
              <w:left w:val="nil"/>
              <w:bottom w:val="nil"/>
              <w:right w:val="nil"/>
            </w:tcBorders>
            <w:shd w:val="pct10" w:color="auto" w:fill="auto"/>
            <w:vAlign w:val="center"/>
          </w:tcPr>
          <w:p w14:paraId="70C1D8EF" w14:textId="77777777" w:rsidR="00517064" w:rsidRDefault="00517064" w:rsidP="004A08B6">
            <w:pPr>
              <w:pStyle w:val="TableHeadCen"/>
            </w:pPr>
            <w:r>
              <w:t>Maximum thickness of uncompacted layer (mm)</w:t>
            </w:r>
          </w:p>
        </w:tc>
      </w:tr>
      <w:tr w:rsidR="00517064" w14:paraId="348D65A4" w14:textId="77777777" w:rsidTr="00A40C6C">
        <w:trPr>
          <w:cantSplit/>
          <w:trHeight w:val="397"/>
        </w:trPr>
        <w:tc>
          <w:tcPr>
            <w:tcW w:w="3260" w:type="dxa"/>
            <w:vMerge/>
            <w:tcBorders>
              <w:top w:val="nil"/>
              <w:left w:val="nil"/>
              <w:bottom w:val="single" w:sz="12" w:space="0" w:color="auto"/>
              <w:right w:val="nil"/>
            </w:tcBorders>
            <w:shd w:val="pct10" w:color="auto" w:fill="auto"/>
            <w:vAlign w:val="center"/>
          </w:tcPr>
          <w:p w14:paraId="0383B105" w14:textId="77777777" w:rsidR="00517064" w:rsidRDefault="00517064" w:rsidP="004A08B6">
            <w:pPr>
              <w:pStyle w:val="TableHeadCen"/>
            </w:pPr>
          </w:p>
        </w:tc>
        <w:tc>
          <w:tcPr>
            <w:tcW w:w="2622" w:type="dxa"/>
            <w:tcBorders>
              <w:top w:val="single" w:sz="6" w:space="0" w:color="000000"/>
              <w:left w:val="nil"/>
              <w:bottom w:val="single" w:sz="12" w:space="0" w:color="auto"/>
              <w:right w:val="nil"/>
            </w:tcBorders>
            <w:shd w:val="pct10" w:color="auto" w:fill="auto"/>
            <w:vAlign w:val="center"/>
          </w:tcPr>
          <w:p w14:paraId="6E2ACAB4" w14:textId="77777777" w:rsidR="00517064" w:rsidRDefault="00517064" w:rsidP="004A08B6">
            <w:pPr>
              <w:pStyle w:val="TableHeadCen"/>
            </w:pPr>
            <w:r>
              <w:t>Voids not filled</w:t>
            </w:r>
          </w:p>
        </w:tc>
        <w:tc>
          <w:tcPr>
            <w:tcW w:w="2623" w:type="dxa"/>
            <w:tcBorders>
              <w:top w:val="single" w:sz="6" w:space="0" w:color="000000"/>
              <w:left w:val="nil"/>
              <w:bottom w:val="single" w:sz="12" w:space="0" w:color="auto"/>
              <w:right w:val="nil"/>
            </w:tcBorders>
            <w:shd w:val="pct10" w:color="auto" w:fill="auto"/>
            <w:vAlign w:val="center"/>
          </w:tcPr>
          <w:p w14:paraId="7AAF5CF0" w14:textId="77777777" w:rsidR="00517064" w:rsidRDefault="00517064" w:rsidP="004A08B6">
            <w:pPr>
              <w:pStyle w:val="TableHeadCen"/>
            </w:pPr>
            <w:r>
              <w:t>Voids filled*</w:t>
            </w:r>
          </w:p>
        </w:tc>
      </w:tr>
      <w:tr w:rsidR="00517064" w14:paraId="33653C9D" w14:textId="77777777" w:rsidTr="00A40C6C">
        <w:trPr>
          <w:cantSplit/>
          <w:trHeight w:val="340"/>
        </w:trPr>
        <w:tc>
          <w:tcPr>
            <w:tcW w:w="3260" w:type="dxa"/>
            <w:tcBorders>
              <w:top w:val="nil"/>
              <w:bottom w:val="single" w:sz="6" w:space="0" w:color="000000"/>
            </w:tcBorders>
            <w:vAlign w:val="center"/>
          </w:tcPr>
          <w:p w14:paraId="2F810132" w14:textId="77777777" w:rsidR="00517064" w:rsidRDefault="00517064" w:rsidP="004A08B6">
            <w:pPr>
              <w:pStyle w:val="TableCen"/>
            </w:pPr>
            <w:r>
              <w:t>5</w:t>
            </w:r>
          </w:p>
        </w:tc>
        <w:tc>
          <w:tcPr>
            <w:tcW w:w="2622" w:type="dxa"/>
            <w:tcBorders>
              <w:top w:val="nil"/>
              <w:bottom w:val="single" w:sz="6" w:space="0" w:color="000000"/>
            </w:tcBorders>
            <w:vAlign w:val="center"/>
          </w:tcPr>
          <w:p w14:paraId="0317B2FC" w14:textId="77777777" w:rsidR="00517064" w:rsidRDefault="00517064" w:rsidP="004A08B6">
            <w:pPr>
              <w:pStyle w:val="TableCen"/>
            </w:pPr>
            <w:r>
              <w:t>400</w:t>
            </w:r>
          </w:p>
        </w:tc>
        <w:tc>
          <w:tcPr>
            <w:tcW w:w="2623" w:type="dxa"/>
            <w:tcBorders>
              <w:top w:val="nil"/>
              <w:bottom w:val="single" w:sz="6" w:space="0" w:color="000000"/>
            </w:tcBorders>
            <w:vAlign w:val="center"/>
          </w:tcPr>
          <w:p w14:paraId="3F3A1C87" w14:textId="77777777" w:rsidR="00517064" w:rsidRDefault="00517064" w:rsidP="004A08B6">
            <w:pPr>
              <w:pStyle w:val="TableCen"/>
            </w:pPr>
            <w:r>
              <w:t>300</w:t>
            </w:r>
          </w:p>
        </w:tc>
      </w:tr>
      <w:tr w:rsidR="00517064" w14:paraId="0B0D6F6D" w14:textId="77777777" w:rsidTr="00A40C6C">
        <w:trPr>
          <w:cantSplit/>
          <w:trHeight w:val="340"/>
        </w:trPr>
        <w:tc>
          <w:tcPr>
            <w:tcW w:w="3260" w:type="dxa"/>
            <w:tcBorders>
              <w:top w:val="nil"/>
              <w:bottom w:val="single" w:sz="6" w:space="0" w:color="000000"/>
            </w:tcBorders>
            <w:vAlign w:val="center"/>
          </w:tcPr>
          <w:p w14:paraId="4DD32E26" w14:textId="77777777" w:rsidR="00517064" w:rsidRDefault="00517064" w:rsidP="004A08B6">
            <w:pPr>
              <w:pStyle w:val="TableCen"/>
            </w:pPr>
            <w:r>
              <w:t>10</w:t>
            </w:r>
          </w:p>
        </w:tc>
        <w:tc>
          <w:tcPr>
            <w:tcW w:w="2622" w:type="dxa"/>
            <w:tcBorders>
              <w:top w:val="nil"/>
              <w:bottom w:val="single" w:sz="6" w:space="0" w:color="000000"/>
            </w:tcBorders>
            <w:vAlign w:val="center"/>
          </w:tcPr>
          <w:p w14:paraId="399E3CD9" w14:textId="77777777" w:rsidR="00517064" w:rsidRDefault="00517064" w:rsidP="004A08B6">
            <w:pPr>
              <w:pStyle w:val="TableCen"/>
            </w:pPr>
            <w:r>
              <w:t>600</w:t>
            </w:r>
          </w:p>
        </w:tc>
        <w:tc>
          <w:tcPr>
            <w:tcW w:w="2623" w:type="dxa"/>
            <w:tcBorders>
              <w:top w:val="nil"/>
              <w:bottom w:val="single" w:sz="6" w:space="0" w:color="000000"/>
            </w:tcBorders>
            <w:vAlign w:val="center"/>
          </w:tcPr>
          <w:p w14:paraId="069130E5" w14:textId="77777777" w:rsidR="00517064" w:rsidRDefault="00517064" w:rsidP="004A08B6">
            <w:pPr>
              <w:pStyle w:val="TableCen"/>
            </w:pPr>
            <w:r>
              <w:t>400</w:t>
            </w:r>
          </w:p>
        </w:tc>
      </w:tr>
      <w:tr w:rsidR="00517064" w14:paraId="3326777A" w14:textId="77777777" w:rsidTr="00A40C6C">
        <w:trPr>
          <w:cantSplit/>
          <w:trHeight w:val="340"/>
        </w:trPr>
        <w:tc>
          <w:tcPr>
            <w:tcW w:w="3260" w:type="dxa"/>
            <w:tcBorders>
              <w:top w:val="nil"/>
              <w:bottom w:val="single" w:sz="6" w:space="0" w:color="000000"/>
            </w:tcBorders>
            <w:vAlign w:val="center"/>
          </w:tcPr>
          <w:p w14:paraId="1D785ED9" w14:textId="77777777" w:rsidR="00517064" w:rsidRDefault="00517064" w:rsidP="004A08B6">
            <w:pPr>
              <w:pStyle w:val="TableCen"/>
            </w:pPr>
            <w:r>
              <w:t>15</w:t>
            </w:r>
          </w:p>
        </w:tc>
        <w:tc>
          <w:tcPr>
            <w:tcW w:w="2622" w:type="dxa"/>
            <w:tcBorders>
              <w:top w:val="nil"/>
              <w:bottom w:val="single" w:sz="6" w:space="0" w:color="000000"/>
            </w:tcBorders>
            <w:vAlign w:val="center"/>
          </w:tcPr>
          <w:p w14:paraId="2DDB71CA" w14:textId="77777777" w:rsidR="00517064" w:rsidRDefault="00517064" w:rsidP="004A08B6">
            <w:pPr>
              <w:pStyle w:val="TableCen"/>
            </w:pPr>
            <w:r>
              <w:t>900</w:t>
            </w:r>
          </w:p>
        </w:tc>
        <w:tc>
          <w:tcPr>
            <w:tcW w:w="2623" w:type="dxa"/>
            <w:tcBorders>
              <w:top w:val="nil"/>
              <w:bottom w:val="single" w:sz="6" w:space="0" w:color="000000"/>
            </w:tcBorders>
            <w:vAlign w:val="center"/>
          </w:tcPr>
          <w:p w14:paraId="56A92CBF" w14:textId="77777777" w:rsidR="00517064" w:rsidRDefault="00517064" w:rsidP="004A08B6">
            <w:pPr>
              <w:pStyle w:val="TableCen"/>
            </w:pPr>
            <w:r>
              <w:t>600</w:t>
            </w:r>
          </w:p>
        </w:tc>
      </w:tr>
      <w:tr w:rsidR="00517064" w14:paraId="56FD961E" w14:textId="77777777" w:rsidTr="00A40C6C">
        <w:trPr>
          <w:cantSplit/>
          <w:trHeight w:val="340"/>
        </w:trPr>
        <w:tc>
          <w:tcPr>
            <w:tcW w:w="3260" w:type="dxa"/>
            <w:tcBorders>
              <w:top w:val="single" w:sz="6" w:space="0" w:color="000000"/>
              <w:bottom w:val="single" w:sz="12" w:space="0" w:color="000000"/>
            </w:tcBorders>
            <w:vAlign w:val="center"/>
          </w:tcPr>
          <w:p w14:paraId="65C23FDC" w14:textId="77777777" w:rsidR="00517064" w:rsidRDefault="00517064" w:rsidP="004A08B6">
            <w:pPr>
              <w:pStyle w:val="TableCen"/>
            </w:pPr>
            <w:r>
              <w:t>20</w:t>
            </w:r>
          </w:p>
        </w:tc>
        <w:tc>
          <w:tcPr>
            <w:tcW w:w="2622" w:type="dxa"/>
            <w:tcBorders>
              <w:top w:val="single" w:sz="6" w:space="0" w:color="000000"/>
              <w:bottom w:val="single" w:sz="12" w:space="0" w:color="000000"/>
            </w:tcBorders>
            <w:vAlign w:val="center"/>
          </w:tcPr>
          <w:p w14:paraId="6818D221" w14:textId="77777777" w:rsidR="00517064" w:rsidRDefault="00517064" w:rsidP="004A08B6">
            <w:pPr>
              <w:pStyle w:val="TableCen"/>
            </w:pPr>
            <w:r>
              <w:t>1200</w:t>
            </w:r>
          </w:p>
        </w:tc>
        <w:tc>
          <w:tcPr>
            <w:tcW w:w="2623" w:type="dxa"/>
            <w:tcBorders>
              <w:top w:val="single" w:sz="6" w:space="0" w:color="000000"/>
              <w:bottom w:val="single" w:sz="12" w:space="0" w:color="000000"/>
            </w:tcBorders>
            <w:vAlign w:val="center"/>
          </w:tcPr>
          <w:p w14:paraId="1B423BD2" w14:textId="77777777" w:rsidR="00517064" w:rsidRDefault="00517064" w:rsidP="004A08B6">
            <w:pPr>
              <w:pStyle w:val="TableCen"/>
            </w:pPr>
            <w:r>
              <w:t>800</w:t>
            </w:r>
          </w:p>
        </w:tc>
      </w:tr>
    </w:tbl>
    <w:p w14:paraId="5974EAE4" w14:textId="77777777" w:rsidR="00517064" w:rsidRPr="00A83DD8" w:rsidRDefault="00517064" w:rsidP="00A83DD8">
      <w:pPr>
        <w:pStyle w:val="BodyTextIndent9"/>
        <w:ind w:left="1134" w:hanging="425"/>
        <w:rPr>
          <w:i/>
        </w:rPr>
      </w:pPr>
      <w:r w:rsidRPr="00A83DD8">
        <w:rPr>
          <w:i/>
        </w:rPr>
        <w:t>*</w:t>
      </w:r>
      <w:r w:rsidRPr="00A83DD8">
        <w:rPr>
          <w:i/>
        </w:rPr>
        <w:tab/>
        <w:t>Proportion of finer grained materials to completely fill the voids between rocks</w:t>
      </w:r>
    </w:p>
    <w:p w14:paraId="75641F8A" w14:textId="77777777" w:rsidR="00152857" w:rsidRDefault="00152857" w:rsidP="00152857">
      <w:pPr>
        <w:pStyle w:val="BodyTextIndentBoldUnderline"/>
      </w:pPr>
      <w:r>
        <w:t>Asphalt supply and placement</w:t>
      </w:r>
    </w:p>
    <w:p w14:paraId="1D1AF4DC" w14:textId="77777777" w:rsidR="008367B0" w:rsidRDefault="008367B0" w:rsidP="008367B0">
      <w:pPr>
        <w:pStyle w:val="BodyTextIndent"/>
      </w:pPr>
      <w:r w:rsidRPr="00906AF1">
        <w:rPr>
          <w:u w:val="single"/>
        </w:rPr>
        <w:t>Asphalt manufacture</w:t>
      </w:r>
      <w:r>
        <w:t xml:space="preserve">: In accordance with </w:t>
      </w:r>
      <w:r w:rsidRPr="006F1B71">
        <w:rPr>
          <w:i/>
        </w:rPr>
        <w:t>Reference Specification</w:t>
      </w:r>
      <w:r>
        <w:t xml:space="preserve"> </w:t>
      </w:r>
      <w:r>
        <w:rPr>
          <w:i/>
        </w:rPr>
        <w:t>S310 Supply of Dense Graded Asphalt</w:t>
      </w:r>
      <w:r>
        <w:t>.</w:t>
      </w:r>
    </w:p>
    <w:p w14:paraId="2E305BFD" w14:textId="77777777" w:rsidR="008367B0" w:rsidRDefault="008367B0" w:rsidP="008367B0">
      <w:pPr>
        <w:pStyle w:val="BodyTextIndent"/>
      </w:pPr>
      <w:r w:rsidRPr="00906AF1">
        <w:rPr>
          <w:u w:val="single"/>
        </w:rPr>
        <w:t>Asphalt transportation and placement</w:t>
      </w:r>
      <w:r>
        <w:t xml:space="preserve">: In accordance with Reference Specification </w:t>
      </w:r>
      <w:r>
        <w:rPr>
          <w:i/>
        </w:rPr>
        <w:t>S320 Laying of Asphalt</w:t>
      </w:r>
      <w:r>
        <w:t xml:space="preserve">.  </w:t>
      </w:r>
      <w:r w:rsidR="00BA77E1">
        <w:t>Place</w:t>
      </w:r>
      <w:r>
        <w:t xml:space="preserve"> and compact hot mix asphalt so that the edges (saw cut or edge planed) are flush with the existing pavement.  A slight crown (maximum camber above the existing pavement of 5 mm for trench </w:t>
      </w:r>
      <w:r>
        <w:rPr>
          <w:rFonts w:ascii="Symbol" w:eastAsia="Symbol" w:hAnsi="Symbol" w:cs="Symbol"/>
        </w:rPr>
        <w:t>£</w:t>
      </w:r>
      <w:r>
        <w:t xml:space="preserve"> 0.5 m wide or 10 mm for trench </w:t>
      </w:r>
      <w:r>
        <w:rPr>
          <w:rFonts w:ascii="Symbol" w:eastAsia="Symbol" w:hAnsi="Symbol" w:cs="Symbol"/>
        </w:rPr>
        <w:t>&gt;</w:t>
      </w:r>
      <w:r>
        <w:t> 0.5 m wide) may be formed to allow for subsequent consolidation of the trench.</w:t>
      </w:r>
    </w:p>
    <w:p w14:paraId="1045B801" w14:textId="77777777" w:rsidR="008367B0" w:rsidRDefault="008367B0" w:rsidP="008367B0">
      <w:pPr>
        <w:pStyle w:val="BodyTextIndent"/>
      </w:pPr>
      <w:r w:rsidRPr="00906AF1">
        <w:rPr>
          <w:u w:val="single"/>
        </w:rPr>
        <w:t>Surface Preparation</w:t>
      </w:r>
      <w:r>
        <w:t>: The top surface of the backfill and the remaining sides of the trench shall be thoroughly broomed to remove any loose material before placing the tack coat.</w:t>
      </w:r>
    </w:p>
    <w:p w14:paraId="5DB0AF97" w14:textId="77777777" w:rsidR="008367B0" w:rsidRDefault="008367B0" w:rsidP="008367B0">
      <w:pPr>
        <w:pStyle w:val="BodyTextIndent"/>
      </w:pPr>
      <w:r w:rsidRPr="00906AF1">
        <w:rPr>
          <w:u w:val="single"/>
        </w:rPr>
        <w:lastRenderedPageBreak/>
        <w:t>Tack coat</w:t>
      </w:r>
      <w:r>
        <w:t>: Tack coat the top surface of the backfill and the remaining sides of the trench with a light sprayed application of a liquid bituminous material (0.2</w:t>
      </w:r>
      <w:r w:rsidR="006F1B71" w:rsidRPr="00722CEB">
        <w:rPr>
          <w:i/>
        </w:rPr>
        <w:t> </w:t>
      </w:r>
      <w:r>
        <w:t>l/m</w:t>
      </w:r>
      <w:r w:rsidRPr="00933F5E">
        <w:rPr>
          <w:vertAlign w:val="superscript"/>
        </w:rPr>
        <w:t>2</w:t>
      </w:r>
      <w:r>
        <w:t xml:space="preserve"> residual bitumen) prior to placing the asphalt layers.</w:t>
      </w:r>
    </w:p>
    <w:p w14:paraId="5E4D1AA8" w14:textId="77777777" w:rsidR="008367B0" w:rsidRDefault="008367B0" w:rsidP="008367B0">
      <w:pPr>
        <w:pStyle w:val="BodyTextIndent"/>
      </w:pPr>
      <w:r w:rsidRPr="00906AF1">
        <w:rPr>
          <w:u w:val="single"/>
        </w:rPr>
        <w:t>Asphalt spreading</w:t>
      </w:r>
      <w:r>
        <w:t>: Use hand spreading method for trenches less than 1 m wide and machine spreading method (use a tamper spreader) for trenches more than 1 m wide.</w:t>
      </w:r>
    </w:p>
    <w:p w14:paraId="4F0480F6" w14:textId="77777777" w:rsidR="008367B0" w:rsidRDefault="008367B0" w:rsidP="008367B0">
      <w:pPr>
        <w:pStyle w:val="BodyTextIndent"/>
      </w:pPr>
      <w:r>
        <w:t>Hand spreading: Take asphalt directly from the receiving hopper (or other approved location), distribute immediately into place using shovels, spread to the required loose depth using metal rake or board rakes (lutes), and compact immediately.</w:t>
      </w:r>
    </w:p>
    <w:p w14:paraId="7AD446B7" w14:textId="77777777" w:rsidR="008367B0" w:rsidRDefault="008367B0" w:rsidP="008367B0">
      <w:pPr>
        <w:pStyle w:val="BodyTextIndent"/>
      </w:pPr>
      <w:r w:rsidRPr="00906AF1">
        <w:rPr>
          <w:u w:val="single"/>
        </w:rPr>
        <w:t>Cold planing</w:t>
      </w:r>
      <w:r>
        <w:t>: If required, prepare for resurfacing by cold planing the existing asphalt surface.  Take out ruts, bumps depressions or other uneven areas of pavement to allow a uniform thickness of new asphalt to be placed.</w:t>
      </w:r>
    </w:p>
    <w:p w14:paraId="3CA9C328" w14:textId="77777777" w:rsidR="008367B0" w:rsidRDefault="008367B0" w:rsidP="008367B0">
      <w:pPr>
        <w:pStyle w:val="BodyTextIndent"/>
      </w:pPr>
      <w:r w:rsidRPr="00906AF1">
        <w:rPr>
          <w:u w:val="single"/>
        </w:rPr>
        <w:t>Compaction</w:t>
      </w:r>
      <w:r>
        <w:t>: Select rollers or plates (such as vibrating plate compactor, vibrating rammer, pedestrian roller, small tandem vibrating roller) to suit the size of the job.  Keep the drum or plate moist to prevent the adherence of asphalt.  Complete rolling while the mix temperature is above 95</w:t>
      </w:r>
      <w:r w:rsidR="00726083">
        <w:rPr>
          <w:rFonts w:cs="Arial"/>
        </w:rPr>
        <w:t>º</w:t>
      </w:r>
      <w:r>
        <w:t>C.  The relative compaction (ratio of the in situ density or the compacted asphalt and the representative maximum density of the asphalt) must not be less than 9</w:t>
      </w:r>
      <w:r w:rsidR="00BA77E1">
        <w:t>4</w:t>
      </w:r>
      <w:r>
        <w:t>%.</w:t>
      </w:r>
    </w:p>
    <w:p w14:paraId="57B0A5EE" w14:textId="77777777" w:rsidR="004D40F8" w:rsidRPr="004D40F8" w:rsidRDefault="00026171" w:rsidP="004A08B6">
      <w:pPr>
        <w:pStyle w:val="BodyTextIndentBoldUnderline"/>
      </w:pPr>
      <w:r w:rsidRPr="004D40F8">
        <w:t>C</w:t>
      </w:r>
      <w:r w:rsidR="008F6F4D">
        <w:t>emented materials</w:t>
      </w:r>
    </w:p>
    <w:p w14:paraId="2EDA717B" w14:textId="77777777" w:rsidR="00F77B52" w:rsidRDefault="00F77B52" w:rsidP="004A08B6">
      <w:pPr>
        <w:pStyle w:val="BodyTextIndent"/>
      </w:pPr>
      <w:r w:rsidRPr="00906AF1">
        <w:t>Place material by discharging directly from a concrete agitator truck</w:t>
      </w:r>
      <w:r>
        <w:t>.  Alternatively use a concrete pump where access is restricted.</w:t>
      </w:r>
    </w:p>
    <w:p w14:paraId="0D40433E" w14:textId="77777777" w:rsidR="00F77B52" w:rsidRPr="00F77B52" w:rsidRDefault="00F77B52" w:rsidP="004A08B6">
      <w:pPr>
        <w:pStyle w:val="BodyTextIndent"/>
      </w:pPr>
      <w:r w:rsidRPr="00906AF1">
        <w:rPr>
          <w:u w:val="single"/>
        </w:rPr>
        <w:t>Controlled low-strength material (Flowable fill)</w:t>
      </w:r>
      <w:r>
        <w:t xml:space="preserve">:  </w:t>
      </w:r>
      <w:r w:rsidR="00EB1843">
        <w:t>Use</w:t>
      </w:r>
      <w:r w:rsidRPr="00F77B52">
        <w:t xml:space="preserve"> freely flowing material capable of completely filling horizontal </w:t>
      </w:r>
      <w:r w:rsidR="00EB1843">
        <w:t>trenches</w:t>
      </w:r>
      <w:r w:rsidRPr="00F77B52">
        <w:t>, over lengths of up to 100 metres, without the aid of pumping, vibration, rodding or other mechanical action.</w:t>
      </w:r>
    </w:p>
    <w:p w14:paraId="756066E7" w14:textId="77777777" w:rsidR="00F77B52" w:rsidRDefault="00EB1843" w:rsidP="004A08B6">
      <w:pPr>
        <w:pStyle w:val="BodyTextIndent"/>
      </w:pPr>
      <w:r w:rsidRPr="00906AF1">
        <w:rPr>
          <w:u w:val="single"/>
        </w:rPr>
        <w:t>Dry lean mix concrete</w:t>
      </w:r>
      <w:r>
        <w:t>:  Use compacted layer method of construction.</w:t>
      </w:r>
    </w:p>
    <w:p w14:paraId="0E58B3C4" w14:textId="77777777" w:rsidR="00EB1843" w:rsidRDefault="00EB1843" w:rsidP="00933F5E">
      <w:pPr>
        <w:pStyle w:val="BodyTextIndent"/>
      </w:pPr>
      <w:r w:rsidRPr="00906AF1">
        <w:rPr>
          <w:u w:val="single"/>
        </w:rPr>
        <w:t>No fines concrete</w:t>
      </w:r>
      <w:r>
        <w:t>:</w:t>
      </w:r>
      <w:r w:rsidR="00933F5E">
        <w:t xml:space="preserve"> </w:t>
      </w:r>
      <w:r w:rsidR="00095E21">
        <w:t>R</w:t>
      </w:r>
      <w:r w:rsidR="00933F5E">
        <w:t>od</w:t>
      </w:r>
      <w:r w:rsidR="00095E21">
        <w:t xml:space="preserve"> </w:t>
      </w:r>
      <w:r w:rsidR="00933F5E">
        <w:t>sufficient</w:t>
      </w:r>
      <w:r w:rsidR="00764FC2">
        <w:t>ly</w:t>
      </w:r>
      <w:r w:rsidR="00933F5E">
        <w:t xml:space="preserve"> only to ensure the </w:t>
      </w:r>
      <w:r w:rsidR="00764FC2">
        <w:t>trench</w:t>
      </w:r>
      <w:r w:rsidR="00933F5E">
        <w:t xml:space="preserve"> is completely filled. </w:t>
      </w:r>
      <w:r w:rsidR="00764FC2">
        <w:t xml:space="preserve"> S</w:t>
      </w:r>
      <w:r w:rsidR="00933F5E">
        <w:t>creed to the</w:t>
      </w:r>
      <w:r w:rsidR="00095E21">
        <w:t xml:space="preserve"> </w:t>
      </w:r>
      <w:r w:rsidR="00933F5E">
        <w:t>required level</w:t>
      </w:r>
      <w:r w:rsidR="00DE7873">
        <w:t>s</w:t>
      </w:r>
      <w:r w:rsidR="00933F5E">
        <w:t xml:space="preserve"> without tamping or vibrating.</w:t>
      </w:r>
    </w:p>
    <w:p w14:paraId="7BF525D0" w14:textId="77777777" w:rsidR="00026171" w:rsidRPr="00DE343D" w:rsidRDefault="00F77B52" w:rsidP="004A08B6">
      <w:pPr>
        <w:pStyle w:val="BodyTextIndent"/>
      </w:pPr>
      <w:r w:rsidRPr="00906AF1">
        <w:rPr>
          <w:u w:val="single"/>
        </w:rPr>
        <w:t>W</w:t>
      </w:r>
      <w:r w:rsidR="00AF0E27" w:rsidRPr="00906AF1">
        <w:rPr>
          <w:u w:val="single"/>
        </w:rPr>
        <w:t>et lean mix concrete</w:t>
      </w:r>
      <w:r w:rsidR="00DE7873">
        <w:t>:</w:t>
      </w:r>
      <w:r w:rsidR="00AF0E27" w:rsidRPr="00DE343D">
        <w:t xml:space="preserve"> </w:t>
      </w:r>
      <w:r w:rsidR="00026171" w:rsidRPr="00DE343D">
        <w:t>Deposit concrete in horizontal layers not exceeding 400 mm thick.  Commence compaction of concrete immediately after deposition.  Use high frequency immersion vibrators to achieve compaction.</w:t>
      </w:r>
    </w:p>
    <w:p w14:paraId="06B8A4F0" w14:textId="77777777" w:rsidR="004D40F8" w:rsidRPr="004D40F8" w:rsidRDefault="00026171" w:rsidP="004A08B6">
      <w:pPr>
        <w:pStyle w:val="BodyTextIndentBoldUnderline"/>
      </w:pPr>
      <w:r w:rsidRPr="004D40F8">
        <w:t>Puddling and jetting</w:t>
      </w:r>
    </w:p>
    <w:p w14:paraId="749C2EC7" w14:textId="77777777" w:rsidR="00026171" w:rsidRDefault="00991920" w:rsidP="004A08B6">
      <w:pPr>
        <w:pStyle w:val="BodyTextIndent"/>
      </w:pPr>
      <w:r>
        <w:t>This construction method applies to sand</w:t>
      </w:r>
      <w:r w:rsidR="00AB7BE0">
        <w:t xml:space="preserve"> and is NO</w:t>
      </w:r>
      <w:r w:rsidR="00BC5807">
        <w:t>T to be used for trenches under</w:t>
      </w:r>
      <w:r w:rsidR="00AB7BE0">
        <w:t xml:space="preserve"> existing pavements and footpaths</w:t>
      </w:r>
      <w:r>
        <w:t xml:space="preserve">.  </w:t>
      </w:r>
      <w:r w:rsidR="00026171">
        <w:t xml:space="preserve">Compact by flooding and the use of immersion vibrators.  </w:t>
      </w:r>
      <w:r w:rsidR="0012239A">
        <w:t xml:space="preserve">Do not use puddling or jetting of material, unless prior approval is obtained from the Superintendent.  </w:t>
      </w:r>
      <w:r w:rsidR="00FA7450">
        <w:t xml:space="preserve">Flooding will only be permitted where the process does not cause damage to adjacent works.  </w:t>
      </w:r>
      <w:r>
        <w:t xml:space="preserve">Where puddling and jetting is not approved, use </w:t>
      </w:r>
      <w:r w:rsidR="0012239A">
        <w:t>the compacted layer method of construction.</w:t>
      </w:r>
    </w:p>
    <w:p w14:paraId="26BB6CD9" w14:textId="77777777" w:rsidR="00026171" w:rsidRPr="009A09EB" w:rsidRDefault="00DF77A6" w:rsidP="000C4324">
      <w:pPr>
        <w:pStyle w:val="Heading2"/>
      </w:pPr>
      <w:bookmarkStart w:id="50" w:name="_Toc76024373"/>
      <w:r w:rsidRPr="00851522">
        <w:t>base</w:t>
      </w:r>
      <w:r w:rsidR="00026171" w:rsidRPr="009A09EB">
        <w:t xml:space="preserve"> RESTORATION</w:t>
      </w:r>
      <w:bookmarkEnd w:id="50"/>
    </w:p>
    <w:p w14:paraId="7F4B91AD" w14:textId="77777777" w:rsidR="008F6F4D" w:rsidRPr="004A18B5" w:rsidRDefault="008F6F4D" w:rsidP="008F6F4D">
      <w:pPr>
        <w:pStyle w:val="BodyTextIndent"/>
        <w:rPr>
          <w:b/>
          <w:u w:val="single"/>
        </w:rPr>
      </w:pPr>
      <w:r>
        <w:rPr>
          <w:b/>
          <w:u w:val="single"/>
        </w:rPr>
        <w:t>Existing Granular Pavements</w:t>
      </w:r>
    </w:p>
    <w:p w14:paraId="112099AE" w14:textId="5A7643D8" w:rsidR="008F6F4D" w:rsidRDefault="008F6F4D" w:rsidP="008367B0">
      <w:pPr>
        <w:pStyle w:val="BodyTextIndent"/>
      </w:pPr>
      <w:r>
        <w:t>Use Class</w:t>
      </w:r>
      <w:r w:rsidR="00964773" w:rsidRPr="00DF46CF">
        <w:rPr>
          <w:iCs/>
        </w:rPr>
        <w:t> </w:t>
      </w:r>
      <w:r>
        <w:t>1 unbound pavement material or structural asphalt to match depth of existing pavement</w:t>
      </w:r>
      <w:r w:rsidR="001B0662">
        <w:t xml:space="preserve"> unless approved otherwise</w:t>
      </w:r>
      <w:r>
        <w:t>.  Where structural asphalt is used, subsoil drainage</w:t>
      </w:r>
      <w:r w:rsidR="007C55E6">
        <w:t xml:space="preserve"> (</w:t>
      </w:r>
      <w:r w:rsidR="009506DF" w:rsidRPr="009506DF">
        <w:rPr>
          <w:i/>
        </w:rPr>
        <w:t>Standard Drawing BSD-2041</w:t>
      </w:r>
      <w:r w:rsidR="007C55E6">
        <w:t>) is to be installed on the uphill side of the trench unless approved otherwise by Council.</w:t>
      </w:r>
    </w:p>
    <w:p w14:paraId="2AB45731" w14:textId="77777777" w:rsidR="008F6F4D" w:rsidRPr="004A18B5" w:rsidRDefault="008F6F4D" w:rsidP="008F6F4D">
      <w:pPr>
        <w:pStyle w:val="BodyTextIndent"/>
        <w:rPr>
          <w:b/>
          <w:u w:val="single"/>
        </w:rPr>
      </w:pPr>
      <w:r>
        <w:rPr>
          <w:b/>
          <w:u w:val="single"/>
        </w:rPr>
        <w:t xml:space="preserve">Existing </w:t>
      </w:r>
      <w:r w:rsidR="007C55E6">
        <w:rPr>
          <w:b/>
          <w:u w:val="single"/>
        </w:rPr>
        <w:t>Asphalt</w:t>
      </w:r>
      <w:r>
        <w:rPr>
          <w:b/>
          <w:u w:val="single"/>
        </w:rPr>
        <w:t xml:space="preserve"> Pavements</w:t>
      </w:r>
    </w:p>
    <w:p w14:paraId="6381C85E" w14:textId="77777777" w:rsidR="008F6F4D" w:rsidRDefault="006319DA" w:rsidP="008367B0">
      <w:pPr>
        <w:pStyle w:val="BodyTextIndent"/>
      </w:pPr>
      <w:r>
        <w:t xml:space="preserve">Reinstate existing sub-surface drainage to comply with </w:t>
      </w:r>
      <w:r w:rsidRPr="009506DF">
        <w:rPr>
          <w:i/>
        </w:rPr>
        <w:t xml:space="preserve">Standard Drawing </w:t>
      </w:r>
      <w:r w:rsidR="009506DF" w:rsidRPr="009506DF">
        <w:rPr>
          <w:i/>
        </w:rPr>
        <w:t>BSD-2041</w:t>
      </w:r>
      <w:r w:rsidR="007C55E6">
        <w:t>.</w:t>
      </w:r>
    </w:p>
    <w:p w14:paraId="04F0A8A0" w14:textId="77777777" w:rsidR="001B0662" w:rsidRPr="004A18B5" w:rsidRDefault="001B0662" w:rsidP="001B0662">
      <w:pPr>
        <w:pStyle w:val="BodyTextIndent"/>
        <w:rPr>
          <w:b/>
          <w:u w:val="single"/>
        </w:rPr>
      </w:pPr>
      <w:r w:rsidRPr="001B0662">
        <w:rPr>
          <w:b/>
          <w:u w:val="single"/>
        </w:rPr>
        <w:t xml:space="preserve">Sub-surface </w:t>
      </w:r>
      <w:r>
        <w:rPr>
          <w:b/>
          <w:u w:val="single"/>
        </w:rPr>
        <w:t>P</w:t>
      </w:r>
      <w:r w:rsidRPr="001B0662">
        <w:rPr>
          <w:b/>
          <w:u w:val="single"/>
        </w:rPr>
        <w:t xml:space="preserve">avement </w:t>
      </w:r>
      <w:r>
        <w:rPr>
          <w:b/>
          <w:u w:val="single"/>
        </w:rPr>
        <w:t>D</w:t>
      </w:r>
      <w:r w:rsidRPr="001B0662">
        <w:rPr>
          <w:b/>
          <w:u w:val="single"/>
        </w:rPr>
        <w:t>rainage</w:t>
      </w:r>
    </w:p>
    <w:p w14:paraId="1F81B9E0" w14:textId="77777777" w:rsidR="001B0662" w:rsidRDefault="001B0662" w:rsidP="001B0662">
      <w:pPr>
        <w:pStyle w:val="BodyTextIndent"/>
      </w:pPr>
      <w:r w:rsidRPr="00A75788">
        <w:rPr>
          <w:u w:val="single"/>
        </w:rPr>
        <w:t>Material selection</w:t>
      </w:r>
      <w:r>
        <w:t>: Choose base course material to suit the permeability characteristics of the existing pavement base to ensure that the reinstated pavement does not hold water nor obstruct existing drainage paths through the pavement.</w:t>
      </w:r>
    </w:p>
    <w:p w14:paraId="4EC47F3F" w14:textId="77777777" w:rsidR="008F6F4D" w:rsidRPr="004A18B5" w:rsidRDefault="008F6F4D" w:rsidP="008F6F4D">
      <w:pPr>
        <w:pStyle w:val="BodyTextIndent"/>
        <w:rPr>
          <w:b/>
          <w:u w:val="single"/>
        </w:rPr>
      </w:pPr>
      <w:r>
        <w:rPr>
          <w:b/>
          <w:u w:val="single"/>
        </w:rPr>
        <w:t>Materials</w:t>
      </w:r>
    </w:p>
    <w:p w14:paraId="6352688E" w14:textId="77777777" w:rsidR="00E30C8E" w:rsidRDefault="00E30C8E" w:rsidP="00E30C8E">
      <w:pPr>
        <w:pStyle w:val="BodyTextIndent"/>
      </w:pPr>
      <w:r w:rsidRPr="00906AF1">
        <w:rPr>
          <w:u w:val="single"/>
        </w:rPr>
        <w:t>Permitted materials</w:t>
      </w:r>
      <w:r>
        <w:t xml:space="preserve">: Comply with the requirements of </w:t>
      </w:r>
      <w:r w:rsidR="009506DF" w:rsidRPr="009506DF">
        <w:rPr>
          <w:i/>
        </w:rPr>
        <w:t>Standard Drawing BSD-2042</w:t>
      </w:r>
      <w:r>
        <w:t>.  For isolated patches less than 2 m</w:t>
      </w:r>
      <w:r>
        <w:rPr>
          <w:vertAlign w:val="superscript"/>
        </w:rPr>
        <w:t>2</w:t>
      </w:r>
      <w:r>
        <w:t xml:space="preserve"> in size, use full depth asphalt.</w:t>
      </w:r>
    </w:p>
    <w:p w14:paraId="6B81F32A" w14:textId="77777777" w:rsidR="008367B0" w:rsidRDefault="008367B0" w:rsidP="008367B0">
      <w:pPr>
        <w:pStyle w:val="BodyTextIndent"/>
      </w:pPr>
      <w:r w:rsidRPr="00906AF1">
        <w:rPr>
          <w:u w:val="single"/>
        </w:rPr>
        <w:t>Material selection</w:t>
      </w:r>
      <w:r>
        <w:t>: Choose base course material to suit the permeability characteristics of the existing pavement base to ensure that the reinstated pavement does not hold water nor obstruct existing drainage paths through the pavement.</w:t>
      </w:r>
    </w:p>
    <w:p w14:paraId="735A7B74" w14:textId="5B51BFF3" w:rsidR="008367B0" w:rsidRDefault="008367B0" w:rsidP="008367B0">
      <w:pPr>
        <w:pStyle w:val="BodyTextIndent"/>
      </w:pPr>
      <w:r w:rsidRPr="00A00CE6">
        <w:rPr>
          <w:u w:val="single"/>
        </w:rPr>
        <w:t>Structural asphalt</w:t>
      </w:r>
      <w:r w:rsidRPr="00A00CE6">
        <w:t xml:space="preserve">: </w:t>
      </w:r>
      <w:r w:rsidR="000D4B82" w:rsidRPr="00A00CE6">
        <w:t xml:space="preserve">Brisbane City Council </w:t>
      </w:r>
      <w:r w:rsidRPr="00A00CE6">
        <w:t>Type</w:t>
      </w:r>
      <w:r w:rsidR="00906AF1" w:rsidRPr="00A00CE6">
        <w:t> </w:t>
      </w:r>
      <w:r w:rsidRPr="00A00CE6">
        <w:t>3 mix (</w:t>
      </w:r>
      <w:r w:rsidR="00964773" w:rsidRPr="00A00CE6">
        <w:t>14 </w:t>
      </w:r>
      <w:r w:rsidRPr="00A00CE6">
        <w:t xml:space="preserve">mm nominal aggregate size) or </w:t>
      </w:r>
      <w:r w:rsidR="000D4B82" w:rsidRPr="00A00CE6">
        <w:t xml:space="preserve">Brisbane City Council </w:t>
      </w:r>
      <w:r w:rsidRPr="00A00CE6">
        <w:t>Type</w:t>
      </w:r>
      <w:r w:rsidR="00906AF1" w:rsidRPr="00A00CE6">
        <w:t> </w:t>
      </w:r>
      <w:r w:rsidRPr="00A00CE6">
        <w:t xml:space="preserve">4 mix (35 mm nominal aggregate size), both containing multigrade bitumen </w:t>
      </w:r>
      <w:r w:rsidRPr="00A00CE6">
        <w:lastRenderedPageBreak/>
        <w:t>binder.  Limit the thickness of each compacted layer to 50 </w:t>
      </w:r>
      <w:r w:rsidR="006F1B71" w:rsidRPr="00A00CE6">
        <w:t>-</w:t>
      </w:r>
      <w:r w:rsidRPr="00A00CE6">
        <w:t xml:space="preserve"> 80 mm for </w:t>
      </w:r>
      <w:r w:rsidR="000D4B82" w:rsidRPr="00A00CE6">
        <w:t xml:space="preserve">Brisbane City Council </w:t>
      </w:r>
      <w:r w:rsidRPr="00A00CE6">
        <w:t>Type</w:t>
      </w:r>
      <w:r w:rsidR="00906AF1" w:rsidRPr="00A00CE6">
        <w:t> </w:t>
      </w:r>
      <w:r w:rsidRPr="00A00CE6">
        <w:t xml:space="preserve">3 mix and 70 - 100 mm for </w:t>
      </w:r>
      <w:r w:rsidR="000D4B82" w:rsidRPr="00A00CE6">
        <w:t xml:space="preserve">Brisbane City Council </w:t>
      </w:r>
      <w:r w:rsidRPr="00A00CE6">
        <w:t>Type</w:t>
      </w:r>
      <w:r w:rsidR="00906AF1" w:rsidRPr="00A00CE6">
        <w:t> </w:t>
      </w:r>
      <w:r w:rsidRPr="00A00CE6">
        <w:t>4 mix.</w:t>
      </w:r>
    </w:p>
    <w:p w14:paraId="713F123D" w14:textId="4AC3A2B2" w:rsidR="008367B0" w:rsidRDefault="008367B0" w:rsidP="008367B0">
      <w:pPr>
        <w:pStyle w:val="BodyTextIndent"/>
      </w:pPr>
      <w:r w:rsidRPr="00906AF1">
        <w:rPr>
          <w:u w:val="single"/>
        </w:rPr>
        <w:t>Class</w:t>
      </w:r>
      <w:r w:rsidR="003C5AE1" w:rsidRPr="00DF46CF">
        <w:rPr>
          <w:iCs/>
        </w:rPr>
        <w:t> </w:t>
      </w:r>
      <w:r w:rsidRPr="00906AF1">
        <w:rPr>
          <w:u w:val="single"/>
        </w:rPr>
        <w:t>1 unbound pavement material</w:t>
      </w:r>
      <w:r>
        <w:t>: Comply with the requirements of Reference Specification</w:t>
      </w:r>
      <w:r>
        <w:rPr>
          <w:i/>
        </w:rPr>
        <w:t xml:space="preserve"> S300 Quarry Products</w:t>
      </w:r>
      <w:r>
        <w:t xml:space="preserve">.  Alternatively, use Queensland Department of </w:t>
      </w:r>
      <w:r w:rsidR="004B43F9">
        <w:t xml:space="preserve">Transport and </w:t>
      </w:r>
      <w:r>
        <w:t>Main Roads Type</w:t>
      </w:r>
      <w:r w:rsidR="00906AF1">
        <w:t> </w:t>
      </w:r>
      <w:r>
        <w:t>2 unbound material, Subtype</w:t>
      </w:r>
      <w:r w:rsidR="00906AF1">
        <w:t> </w:t>
      </w:r>
      <w:r>
        <w:t xml:space="preserve">2.1.  Achieve a minimum relative compaction of 95% of the modified maximum dry density to </w:t>
      </w:r>
      <w:r w:rsidRPr="00EB05F1">
        <w:rPr>
          <w:i/>
        </w:rPr>
        <w:t>AS 1289.5.2.1</w:t>
      </w:r>
      <w:r>
        <w:t>.</w:t>
      </w:r>
    </w:p>
    <w:p w14:paraId="1BABAD2B" w14:textId="77777777" w:rsidR="00DF77A6" w:rsidRPr="009A09EB" w:rsidRDefault="00DF77A6" w:rsidP="000C4324">
      <w:pPr>
        <w:pStyle w:val="Heading2"/>
      </w:pPr>
      <w:bookmarkStart w:id="51" w:name="_Toc76024374"/>
      <w:r w:rsidRPr="009A09EB">
        <w:t>Surface RESTORATION</w:t>
      </w:r>
      <w:bookmarkEnd w:id="51"/>
    </w:p>
    <w:p w14:paraId="241EF99A" w14:textId="77777777" w:rsidR="00DF77A6" w:rsidRPr="009668BC" w:rsidRDefault="00DF77A6" w:rsidP="000C4324">
      <w:pPr>
        <w:pStyle w:val="Heading3"/>
      </w:pPr>
      <w:bookmarkStart w:id="52" w:name="_Toc76024375"/>
      <w:r w:rsidRPr="00390E4D">
        <w:t>General</w:t>
      </w:r>
      <w:bookmarkEnd w:id="52"/>
    </w:p>
    <w:p w14:paraId="535A5E83" w14:textId="77777777" w:rsidR="00945905" w:rsidRDefault="00945905" w:rsidP="00390E4D">
      <w:pPr>
        <w:pStyle w:val="BodyTextIndent"/>
      </w:pPr>
      <w:r>
        <w:rPr>
          <w:i/>
        </w:rPr>
        <w:t>Refer Annexure.</w:t>
      </w:r>
    </w:p>
    <w:p w14:paraId="4CE8B210" w14:textId="77777777" w:rsidR="00026171" w:rsidRPr="0002365F" w:rsidRDefault="00026171" w:rsidP="00390E4D">
      <w:pPr>
        <w:pStyle w:val="BodyTextIndent"/>
      </w:pPr>
      <w:r w:rsidRPr="00906AF1">
        <w:rPr>
          <w:u w:val="single"/>
        </w:rPr>
        <w:t>Scope</w:t>
      </w:r>
      <w:r>
        <w:t xml:space="preserve">: This </w:t>
      </w:r>
      <w:r w:rsidR="00E30C8E">
        <w:t>section</w:t>
      </w:r>
      <w:r>
        <w:t xml:space="preserve"> applies to trench restoration work associated with the installation and maintenance of services placed in existing road carriageways, footpaths and bikepaths.</w:t>
      </w:r>
      <w:r w:rsidR="00C80E49">
        <w:t xml:space="preserve">  </w:t>
      </w:r>
      <w:r w:rsidR="0002365F" w:rsidRPr="0002365F">
        <w:t>Installation of services as part of new construction projects are to be undertaken prior to constructing pavements, footpaths, bikepaths and the like.</w:t>
      </w:r>
    </w:p>
    <w:p w14:paraId="1603EDED" w14:textId="77777777" w:rsidR="00026171" w:rsidRDefault="00026171" w:rsidP="00390E4D">
      <w:pPr>
        <w:pStyle w:val="BodyTextIndent"/>
      </w:pPr>
      <w:r w:rsidRPr="00906AF1">
        <w:rPr>
          <w:u w:val="single"/>
        </w:rPr>
        <w:t>Reinstatement of surfaces</w:t>
      </w:r>
      <w:r>
        <w:t>: Reinstate existing surfaces removed or disturbed by trench excavations to match the texture, surface type and colour of the existing and adjacent work.  Join smoothly to adjacent work.  Reinstate paved surfaces and other surface features (such as line marking) disturbed or removed during excavation of trenches to provide structural adequacy and serviceability that is at least equal to that in existence prior to the disturbance.</w:t>
      </w:r>
    </w:p>
    <w:p w14:paraId="2FCB55F8" w14:textId="77777777" w:rsidR="00E30C8E" w:rsidRPr="00255024" w:rsidRDefault="00E30C8E" w:rsidP="00390E4D">
      <w:pPr>
        <w:pStyle w:val="BodyTextIndent"/>
        <w:rPr>
          <w:i/>
        </w:rPr>
      </w:pPr>
      <w:r>
        <w:t>Confirm with Counci</w:t>
      </w:r>
      <w:r w:rsidR="00A10E2B">
        <w:t>l,</w:t>
      </w:r>
      <w:r>
        <w:t xml:space="preserve"> the current standards </w:t>
      </w:r>
      <w:r w:rsidR="00A10E2B">
        <w:t>required for replacing the disturbed infrastructure.</w:t>
      </w:r>
    </w:p>
    <w:p w14:paraId="26ADDFC4" w14:textId="77777777" w:rsidR="004F1641" w:rsidRPr="009668BC" w:rsidRDefault="004F1641" w:rsidP="00A84373">
      <w:pPr>
        <w:pStyle w:val="Heading3"/>
      </w:pPr>
      <w:bookmarkStart w:id="53" w:name="_Toc76024376"/>
      <w:r>
        <w:t xml:space="preserve">Extent of </w:t>
      </w:r>
      <w:r w:rsidR="000938C4">
        <w:t>S</w:t>
      </w:r>
      <w:r>
        <w:t xml:space="preserve">urface </w:t>
      </w:r>
      <w:r w:rsidR="000938C4">
        <w:t>R</w:t>
      </w:r>
      <w:r>
        <w:t>einstatement</w:t>
      </w:r>
      <w:bookmarkEnd w:id="53"/>
    </w:p>
    <w:p w14:paraId="776E1F6B" w14:textId="77777777" w:rsidR="00E3006D" w:rsidRPr="004A18B5" w:rsidRDefault="00E3006D" w:rsidP="00E3006D">
      <w:pPr>
        <w:pStyle w:val="BodyTextIndent"/>
        <w:rPr>
          <w:b/>
          <w:u w:val="single"/>
        </w:rPr>
      </w:pPr>
      <w:r>
        <w:rPr>
          <w:b/>
          <w:u w:val="single"/>
        </w:rPr>
        <w:t>Road Pavements</w:t>
      </w:r>
    </w:p>
    <w:p w14:paraId="56B83512" w14:textId="77777777" w:rsidR="00133CD9" w:rsidRDefault="00133CD9" w:rsidP="004F1641">
      <w:pPr>
        <w:pStyle w:val="BodyTextIndent"/>
      </w:pPr>
      <w:r w:rsidRPr="00906AF1">
        <w:rPr>
          <w:u w:val="single"/>
        </w:rPr>
        <w:t>Transverse trench crossing</w:t>
      </w:r>
      <w:r>
        <w:t xml:space="preserve">: Reinstate as shown on </w:t>
      </w:r>
      <w:r w:rsidR="00EB05F1" w:rsidRPr="00EB05F1">
        <w:rPr>
          <w:i/>
        </w:rPr>
        <w:t>Standard Drawing BSD-2042</w:t>
      </w:r>
      <w:r>
        <w:t>.</w:t>
      </w:r>
    </w:p>
    <w:p w14:paraId="73D8CE46" w14:textId="77777777" w:rsidR="004F1641" w:rsidRDefault="00133CD9" w:rsidP="004F1641">
      <w:pPr>
        <w:pStyle w:val="BodyTextIndent"/>
      </w:pPr>
      <w:r w:rsidRPr="00906AF1">
        <w:rPr>
          <w:u w:val="single"/>
        </w:rPr>
        <w:t>Longitudinal trench</w:t>
      </w:r>
      <w:r>
        <w:t xml:space="preserve">: </w:t>
      </w:r>
      <w:r w:rsidR="00701A7C">
        <w:t>T</w:t>
      </w:r>
      <w:r w:rsidR="004F1641">
        <w:t xml:space="preserve">he whole of the road lane width shall be resurfaced to match the existing road surface. </w:t>
      </w:r>
      <w:r w:rsidR="00701A7C">
        <w:t xml:space="preserve"> </w:t>
      </w:r>
      <w:r w:rsidR="004F1641">
        <w:t>A road lane refers to half of unmarked roadways</w:t>
      </w:r>
      <w:r w:rsidR="00984D24">
        <w:t xml:space="preserve">, a width of </w:t>
      </w:r>
      <w:r w:rsidR="007F5655">
        <w:t>2</w:t>
      </w:r>
      <w:r w:rsidR="00984D24">
        <w:t>.</w:t>
      </w:r>
      <w:r w:rsidR="007F5655">
        <w:t>5</w:t>
      </w:r>
      <w:r w:rsidR="006F1B71" w:rsidRPr="00722CEB">
        <w:rPr>
          <w:i/>
        </w:rPr>
        <w:t> </w:t>
      </w:r>
      <w:r w:rsidR="00984D24">
        <w:t>m from kerbs where it form</w:t>
      </w:r>
      <w:r w:rsidR="007F5655">
        <w:t>s</w:t>
      </w:r>
      <w:r w:rsidR="00984D24">
        <w:t xml:space="preserve"> a parking </w:t>
      </w:r>
      <w:r w:rsidR="007F5655">
        <w:t xml:space="preserve">only </w:t>
      </w:r>
      <w:r w:rsidR="00984D24">
        <w:t>lane</w:t>
      </w:r>
      <w:r w:rsidR="004F1641">
        <w:t xml:space="preserve"> or the width of marked lanes.</w:t>
      </w:r>
      <w:r w:rsidR="00D829DC">
        <w:t xml:space="preserve">  Where an existing section of roadway </w:t>
      </w:r>
      <w:r w:rsidR="00064596">
        <w:t>adjacent to kerbs and other pavement edges is</w:t>
      </w:r>
      <w:r w:rsidR="00D829DC">
        <w:t xml:space="preserve"> undamaged </w:t>
      </w:r>
      <w:r w:rsidR="00064596">
        <w:t>for less than 1.0</w:t>
      </w:r>
      <w:r w:rsidR="004C2284" w:rsidRPr="00722CEB">
        <w:rPr>
          <w:i/>
        </w:rPr>
        <w:t> </w:t>
      </w:r>
      <w:r w:rsidR="00064596">
        <w:t>m</w:t>
      </w:r>
      <w:r w:rsidR="00D829DC">
        <w:t>, resurfac</w:t>
      </w:r>
      <w:r w:rsidR="004C7438">
        <w:t>e</w:t>
      </w:r>
      <w:r w:rsidR="00D829DC">
        <w:t xml:space="preserve"> th</w:t>
      </w:r>
      <w:r w:rsidR="004C7438">
        <w:t>e</w:t>
      </w:r>
      <w:r w:rsidR="00D829DC">
        <w:t xml:space="preserve"> undamaged section of roadway </w:t>
      </w:r>
      <w:r w:rsidR="004C7438">
        <w:t xml:space="preserve">as part of </w:t>
      </w:r>
      <w:r w:rsidR="00D829DC">
        <w:t>restoration o</w:t>
      </w:r>
      <w:r w:rsidR="004C7438">
        <w:t>f</w:t>
      </w:r>
      <w:r w:rsidR="00D829DC">
        <w:t xml:space="preserve"> the trench.</w:t>
      </w:r>
    </w:p>
    <w:p w14:paraId="5F6E525B" w14:textId="77777777" w:rsidR="004F1641" w:rsidRDefault="004F1641" w:rsidP="004F1641">
      <w:pPr>
        <w:pStyle w:val="BodyTextIndent"/>
      </w:pPr>
      <w:r>
        <w:t>Where the trench disturbance is greater than half the total width</w:t>
      </w:r>
      <w:r w:rsidR="00BB2B33">
        <w:t xml:space="preserve"> </w:t>
      </w:r>
      <w:r w:rsidR="00984D24">
        <w:t xml:space="preserve">of a road </w:t>
      </w:r>
      <w:r w:rsidR="00BB2B33">
        <w:t xml:space="preserve">without lane line-marking </w:t>
      </w:r>
      <w:r w:rsidR="00984D24">
        <w:t>that is</w:t>
      </w:r>
      <w:r w:rsidR="00BB2B33">
        <w:t xml:space="preserve"> less than</w:t>
      </w:r>
      <w:r w:rsidR="00255B28">
        <w:t xml:space="preserve"> 10</w:t>
      </w:r>
      <w:r w:rsidR="004C2284" w:rsidRPr="00722CEB">
        <w:rPr>
          <w:i/>
        </w:rPr>
        <w:t> </w:t>
      </w:r>
      <w:r w:rsidR="00BB2B33">
        <w:t>m</w:t>
      </w:r>
      <w:r w:rsidR="00984D24">
        <w:t xml:space="preserve"> wide</w:t>
      </w:r>
      <w:r w:rsidR="00255B28">
        <w:t xml:space="preserve">, </w:t>
      </w:r>
      <w:r>
        <w:t xml:space="preserve">then the whole road shall be </w:t>
      </w:r>
      <w:r w:rsidR="00701A7C">
        <w:t>cold planed and resurfaced</w:t>
      </w:r>
      <w:r>
        <w:t xml:space="preserve"> after the appropriate restoration o</w:t>
      </w:r>
      <w:r w:rsidR="00701A7C">
        <w:t>f</w:t>
      </w:r>
      <w:r>
        <w:t xml:space="preserve"> the trench.</w:t>
      </w:r>
    </w:p>
    <w:p w14:paraId="265A61E0" w14:textId="77777777" w:rsidR="006C16B6" w:rsidRDefault="002F1411" w:rsidP="006C16B6">
      <w:pPr>
        <w:pStyle w:val="BodyTextIndent"/>
      </w:pPr>
      <w:r w:rsidRPr="00906AF1">
        <w:rPr>
          <w:u w:val="single"/>
        </w:rPr>
        <w:t>Damage to existing surface</w:t>
      </w:r>
      <w:r>
        <w:t xml:space="preserve">: </w:t>
      </w:r>
      <w:r w:rsidR="006C16B6">
        <w:t xml:space="preserve">The adjacent road surfaces shall be appropriately protected from damage from construction vehicles, placement of </w:t>
      </w:r>
      <w:r w:rsidR="00993E44">
        <w:t>material</w:t>
      </w:r>
      <w:r w:rsidR="006C16B6">
        <w:t>, excavated rock indentations etc.</w:t>
      </w:r>
      <w:r w:rsidR="00701A7C">
        <w:t xml:space="preserve">  </w:t>
      </w:r>
      <w:r w:rsidR="006C16B6">
        <w:t xml:space="preserve">Where damage occurs to the existing </w:t>
      </w:r>
      <w:r w:rsidR="006319DA">
        <w:t xml:space="preserve">adjacent </w:t>
      </w:r>
      <w:r w:rsidR="006C16B6">
        <w:t>road/driveway surface, i</w:t>
      </w:r>
      <w:r w:rsidR="00993E44">
        <w:t>.</w:t>
      </w:r>
      <w:r w:rsidR="006C16B6">
        <w:t>e. gouges, scrapes or potholes; the surface</w:t>
      </w:r>
      <w:r w:rsidR="00993E44">
        <w:t xml:space="preserve"> shall be returned</w:t>
      </w:r>
      <w:r w:rsidR="006C16B6">
        <w:t xml:space="preserve"> to </w:t>
      </w:r>
      <w:r w:rsidR="00993E44">
        <w:t xml:space="preserve">its </w:t>
      </w:r>
      <w:r w:rsidR="006C16B6">
        <w:t>previous condition</w:t>
      </w:r>
      <w:r w:rsidR="00993E44">
        <w:t xml:space="preserve"> by resurfacing</w:t>
      </w:r>
      <w:r w:rsidR="006C16B6">
        <w:t xml:space="preserve"> the entire road pavement (lane) or resurfacing of the </w:t>
      </w:r>
      <w:r w:rsidR="007F5655">
        <w:t>total</w:t>
      </w:r>
      <w:r w:rsidR="006C16B6">
        <w:t xml:space="preserve"> driveway crossing area at the discretion of </w:t>
      </w:r>
      <w:r w:rsidR="00993E44">
        <w:t>Council.</w:t>
      </w:r>
    </w:p>
    <w:p w14:paraId="746988AB" w14:textId="77777777" w:rsidR="006C16B6" w:rsidRDefault="006C16B6" w:rsidP="006C16B6">
      <w:pPr>
        <w:pStyle w:val="BodyTextIndent"/>
      </w:pPr>
      <w:r w:rsidRPr="00906AF1">
        <w:rPr>
          <w:u w:val="single"/>
        </w:rPr>
        <w:t>Parallel Cracking</w:t>
      </w:r>
      <w:r w:rsidR="00993E44">
        <w:t xml:space="preserve">:  </w:t>
      </w:r>
      <w:r>
        <w:t xml:space="preserve">Where parallel cracking of the existing road surface occurs along the edge of a trench then the reinstatement shall be widened to a line </w:t>
      </w:r>
      <w:r w:rsidR="004C7438">
        <w:t xml:space="preserve">at least </w:t>
      </w:r>
      <w:r>
        <w:t>200</w:t>
      </w:r>
      <w:r w:rsidR="004C2284" w:rsidRPr="00722CEB">
        <w:rPr>
          <w:i/>
        </w:rPr>
        <w:t> </w:t>
      </w:r>
      <w:r>
        <w:t xml:space="preserve">mm beyond the extremity of the cracking and </w:t>
      </w:r>
      <w:r w:rsidR="004C7438">
        <w:t xml:space="preserve">parallel to the trench </w:t>
      </w:r>
      <w:r>
        <w:t>so as to produce a consistent width of restoration.</w:t>
      </w:r>
    </w:p>
    <w:p w14:paraId="0FACEE1A" w14:textId="77777777" w:rsidR="00E3006D" w:rsidRPr="004A18B5" w:rsidRDefault="00E3006D" w:rsidP="00E3006D">
      <w:pPr>
        <w:pStyle w:val="BodyTextIndent"/>
        <w:rPr>
          <w:b/>
          <w:u w:val="single"/>
        </w:rPr>
      </w:pPr>
      <w:r>
        <w:rPr>
          <w:b/>
          <w:u w:val="single"/>
        </w:rPr>
        <w:t>Footpaths</w:t>
      </w:r>
      <w:r w:rsidR="00C7679A">
        <w:rPr>
          <w:b/>
          <w:u w:val="single"/>
        </w:rPr>
        <w:t xml:space="preserve"> and bikeways</w:t>
      </w:r>
    </w:p>
    <w:p w14:paraId="78371729" w14:textId="62606625" w:rsidR="006C16B6" w:rsidRDefault="00C7679A" w:rsidP="004F1641">
      <w:pPr>
        <w:pStyle w:val="BodyTextIndent"/>
      </w:pPr>
      <w:r w:rsidRPr="003239AB">
        <w:rPr>
          <w:u w:val="single"/>
        </w:rPr>
        <w:t>Concrete</w:t>
      </w:r>
      <w:r w:rsidR="003239AB">
        <w:rPr>
          <w:u w:val="single"/>
        </w:rPr>
        <w:t xml:space="preserve"> – </w:t>
      </w:r>
      <w:r w:rsidR="009E259C" w:rsidRPr="003239AB">
        <w:rPr>
          <w:u w:val="single"/>
        </w:rPr>
        <w:t>Transverse trench crossing</w:t>
      </w:r>
      <w:r w:rsidR="00906AF1">
        <w:t>:</w:t>
      </w:r>
      <w:r w:rsidR="009E259C">
        <w:t xml:space="preserve"> </w:t>
      </w:r>
      <w:r w:rsidR="00E60929">
        <w:t xml:space="preserve">Remove and replace full section between existing </w:t>
      </w:r>
      <w:r w:rsidR="00E3522F">
        <w:t xml:space="preserve">adjoining </w:t>
      </w:r>
      <w:r w:rsidR="00E60929">
        <w:t>joints e.g. contraction joints, shrinkage control joints or pattern lines</w:t>
      </w:r>
      <w:r w:rsidR="00E3522F">
        <w:t>.</w:t>
      </w:r>
    </w:p>
    <w:p w14:paraId="7480772D" w14:textId="77777777" w:rsidR="00E3522F" w:rsidRDefault="002811AD" w:rsidP="00E3522F">
      <w:pPr>
        <w:pStyle w:val="BodyTextIndent"/>
      </w:pPr>
      <w:r w:rsidRPr="003239AB">
        <w:rPr>
          <w:u w:val="single"/>
        </w:rPr>
        <w:t>Concrete</w:t>
      </w:r>
      <w:r w:rsidR="003239AB" w:rsidRPr="003239AB">
        <w:rPr>
          <w:u w:val="single"/>
        </w:rPr>
        <w:t xml:space="preserve"> – </w:t>
      </w:r>
      <w:r w:rsidR="00E3522F" w:rsidRPr="003239AB">
        <w:rPr>
          <w:u w:val="single"/>
        </w:rPr>
        <w:t xml:space="preserve">Longitudinal </w:t>
      </w:r>
      <w:r w:rsidR="003239AB" w:rsidRPr="003239AB">
        <w:rPr>
          <w:u w:val="single"/>
        </w:rPr>
        <w:t>trench</w:t>
      </w:r>
      <w:r w:rsidR="003239AB">
        <w:t>:</w:t>
      </w:r>
      <w:r w:rsidR="00E3522F">
        <w:t xml:space="preserve"> Remove and replace </w:t>
      </w:r>
      <w:r w:rsidR="002B5205">
        <w:t xml:space="preserve">surface for length of trench for </w:t>
      </w:r>
      <w:r w:rsidR="00E3522F">
        <w:t xml:space="preserve">full width </w:t>
      </w:r>
      <w:r w:rsidR="002B5205">
        <w:t>or to the nearest longitudinal joint or existing pattern lines</w:t>
      </w:r>
      <w:r w:rsidR="00E3522F">
        <w:t xml:space="preserve">.  Commence and end reinstatement at existing </w:t>
      </w:r>
      <w:r w:rsidR="002B5205">
        <w:t xml:space="preserve">transverse </w:t>
      </w:r>
      <w:r w:rsidR="00E3522F">
        <w:t>joints e.g. contraction joints, shrinkage control joints or pattern lines.</w:t>
      </w:r>
    </w:p>
    <w:p w14:paraId="7F690024" w14:textId="77777777" w:rsidR="00133CD9" w:rsidRDefault="00E3522F" w:rsidP="00E3522F">
      <w:pPr>
        <w:pStyle w:val="BodyTextIndent"/>
      </w:pPr>
      <w:r w:rsidRPr="003239AB">
        <w:rPr>
          <w:u w:val="single"/>
        </w:rPr>
        <w:t>Asphalt</w:t>
      </w:r>
      <w:r w:rsidR="003239AB">
        <w:rPr>
          <w:u w:val="single"/>
        </w:rPr>
        <w:t xml:space="preserve"> – </w:t>
      </w:r>
      <w:r w:rsidR="00133CD9" w:rsidRPr="003239AB">
        <w:rPr>
          <w:u w:val="single"/>
        </w:rPr>
        <w:t>Transverse trench crossing</w:t>
      </w:r>
      <w:r w:rsidR="003239AB" w:rsidRPr="003239AB">
        <w:t>:</w:t>
      </w:r>
      <w:r w:rsidR="00133CD9">
        <w:t xml:space="preserve"> </w:t>
      </w:r>
      <w:r w:rsidR="002F1411">
        <w:t>Reinstate as shown for road crossings on</w:t>
      </w:r>
      <w:r w:rsidR="00EB05F1">
        <w:t xml:space="preserve"> </w:t>
      </w:r>
      <w:r w:rsidR="00EB05F1" w:rsidRPr="00EB05F1">
        <w:rPr>
          <w:i/>
        </w:rPr>
        <w:t>Standard Drawing</w:t>
      </w:r>
      <w:r w:rsidR="002F1411" w:rsidRPr="00EB05F1">
        <w:rPr>
          <w:i/>
        </w:rPr>
        <w:t xml:space="preserve"> </w:t>
      </w:r>
      <w:r w:rsidR="00EB05F1" w:rsidRPr="00EB05F1">
        <w:rPr>
          <w:i/>
        </w:rPr>
        <w:t>BSD-2042</w:t>
      </w:r>
      <w:r w:rsidR="002F1411">
        <w:t>.</w:t>
      </w:r>
    </w:p>
    <w:p w14:paraId="7A375C96" w14:textId="77777777" w:rsidR="00E3522F" w:rsidRDefault="002811AD" w:rsidP="00E3522F">
      <w:pPr>
        <w:pStyle w:val="BodyTextIndent"/>
      </w:pPr>
      <w:r w:rsidRPr="003239AB">
        <w:rPr>
          <w:u w:val="single"/>
        </w:rPr>
        <w:t>Asphalt</w:t>
      </w:r>
      <w:r w:rsidR="003239AB" w:rsidRPr="003239AB">
        <w:rPr>
          <w:u w:val="single"/>
        </w:rPr>
        <w:t xml:space="preserve"> –</w:t>
      </w:r>
      <w:r w:rsidRPr="003239AB">
        <w:rPr>
          <w:u w:val="single"/>
        </w:rPr>
        <w:t xml:space="preserve"> </w:t>
      </w:r>
      <w:r w:rsidR="00133CD9" w:rsidRPr="003239AB">
        <w:rPr>
          <w:u w:val="single"/>
        </w:rPr>
        <w:t>Longitudinal trench</w:t>
      </w:r>
      <w:r w:rsidR="003239AB">
        <w:t xml:space="preserve">: </w:t>
      </w:r>
      <w:r w:rsidR="00133CD9">
        <w:t>The w</w:t>
      </w:r>
      <w:r w:rsidR="002B5205">
        <w:t xml:space="preserve">idth </w:t>
      </w:r>
      <w:r w:rsidR="00133CD9">
        <w:t xml:space="preserve">of the </w:t>
      </w:r>
      <w:r w:rsidR="002B5205">
        <w:t xml:space="preserve">existing </w:t>
      </w:r>
      <w:r w:rsidR="00133CD9">
        <w:t xml:space="preserve">footpath </w:t>
      </w:r>
      <w:r w:rsidR="002B5205">
        <w:t>surfacing</w:t>
      </w:r>
      <w:r w:rsidR="00133CD9">
        <w:t xml:space="preserve"> for </w:t>
      </w:r>
      <w:r w:rsidR="002B5205">
        <w:t xml:space="preserve">the </w:t>
      </w:r>
      <w:r w:rsidR="00133CD9">
        <w:t>length of trench shall be resurfaced</w:t>
      </w:r>
      <w:r w:rsidR="007F5655">
        <w:t xml:space="preserve"> to match the current regulations for width and surface finish</w:t>
      </w:r>
      <w:r w:rsidR="002B5205">
        <w:t>.</w:t>
      </w:r>
    </w:p>
    <w:p w14:paraId="38E7DBE8" w14:textId="77777777" w:rsidR="00026171" w:rsidRPr="009668BC" w:rsidRDefault="008843FC" w:rsidP="00A84373">
      <w:pPr>
        <w:pStyle w:val="Heading3"/>
      </w:pPr>
      <w:bookmarkStart w:id="54" w:name="_Toc76024377"/>
      <w:r w:rsidRPr="00390E4D">
        <w:t>Surface</w:t>
      </w:r>
      <w:r>
        <w:t xml:space="preserve"> Profile Tolerances</w:t>
      </w:r>
      <w:bookmarkEnd w:id="54"/>
    </w:p>
    <w:p w14:paraId="31EC1F09" w14:textId="77777777" w:rsidR="00026171" w:rsidRDefault="00026171" w:rsidP="00390E4D">
      <w:pPr>
        <w:pStyle w:val="BodyTextIndent"/>
      </w:pPr>
      <w:r w:rsidRPr="003239AB">
        <w:rPr>
          <w:u w:val="single"/>
        </w:rPr>
        <w:t>Timing</w:t>
      </w:r>
      <w:r>
        <w:t>: Record surface profile tolerance measurement following completion and within 30 days pr</w:t>
      </w:r>
      <w:r w:rsidR="001B2F2B">
        <w:t>ior to</w:t>
      </w:r>
      <w:r>
        <w:t xml:space="preserve"> the expiry date of the maintenance or defects liability period.  This period is deemed to be 12 months from the work completion date.</w:t>
      </w:r>
    </w:p>
    <w:p w14:paraId="4A6F683F" w14:textId="77777777" w:rsidR="00026171" w:rsidRDefault="00026171" w:rsidP="00390E4D">
      <w:pPr>
        <w:pStyle w:val="BodyTextIndent"/>
      </w:pPr>
      <w:r w:rsidRPr="003239AB">
        <w:rPr>
          <w:u w:val="single"/>
        </w:rPr>
        <w:lastRenderedPageBreak/>
        <w:t>Paved roadway and paved pedestrian surfaces</w:t>
      </w:r>
      <w:r>
        <w:t>: Reinstate surfaces to match existing features such as pit covers or driveways so that the pavement edges are within 0 mm to + 5 mm.  Limit the maximum deviation relative to a 1.2 m straightedge to 5 mm, unless the crown camber overrides this requirement.</w:t>
      </w:r>
    </w:p>
    <w:p w14:paraId="2EFF19C5" w14:textId="77777777" w:rsidR="00026171" w:rsidRDefault="00026171" w:rsidP="00390E4D">
      <w:pPr>
        <w:pStyle w:val="BodyTextIndent"/>
      </w:pPr>
      <w:r w:rsidRPr="003239AB">
        <w:rPr>
          <w:u w:val="single"/>
        </w:rPr>
        <w:t>Unpaved pedestrian areas</w:t>
      </w:r>
      <w:r>
        <w:t>: No visual evidence of surface irregularities.</w:t>
      </w:r>
    </w:p>
    <w:p w14:paraId="0B8C6F17" w14:textId="77777777" w:rsidR="001B2F2B" w:rsidRPr="009668BC" w:rsidRDefault="000938C4" w:rsidP="00A84373">
      <w:pPr>
        <w:pStyle w:val="Heading3"/>
      </w:pPr>
      <w:bookmarkStart w:id="55" w:name="_Toc76024378"/>
      <w:r>
        <w:t>F</w:t>
      </w:r>
      <w:r w:rsidR="001B2F2B">
        <w:t xml:space="preserve">inal </w:t>
      </w:r>
      <w:r>
        <w:t>S</w:t>
      </w:r>
      <w:r w:rsidR="001B2F2B">
        <w:t xml:space="preserve">urface </w:t>
      </w:r>
      <w:r>
        <w:t>R</w:t>
      </w:r>
      <w:r w:rsidR="001B2F2B">
        <w:t>einstatement</w:t>
      </w:r>
      <w:bookmarkEnd w:id="55"/>
    </w:p>
    <w:p w14:paraId="258E74A3" w14:textId="77777777" w:rsidR="001B2F2B" w:rsidRPr="001B2F2B" w:rsidRDefault="001B2F2B" w:rsidP="00390E4D">
      <w:pPr>
        <w:pStyle w:val="BodyTextIndent"/>
        <w:rPr>
          <w:b/>
          <w:u w:val="single"/>
        </w:rPr>
      </w:pPr>
      <w:r w:rsidRPr="001B2F2B">
        <w:rPr>
          <w:b/>
          <w:u w:val="single"/>
        </w:rPr>
        <w:t>G</w:t>
      </w:r>
      <w:r>
        <w:rPr>
          <w:b/>
          <w:u w:val="single"/>
        </w:rPr>
        <w:t>rassed and landscaped areas</w:t>
      </w:r>
    </w:p>
    <w:p w14:paraId="651D5C4B" w14:textId="77777777" w:rsidR="00026171" w:rsidRDefault="00026171" w:rsidP="00390E4D">
      <w:pPr>
        <w:pStyle w:val="BodyTextIndent"/>
      </w:pPr>
      <w:r>
        <w:t>Provide 100 mm of loam and turf over trench and other disturbed areas.</w:t>
      </w:r>
    </w:p>
    <w:p w14:paraId="326A833C" w14:textId="77777777" w:rsidR="000A70A6" w:rsidRDefault="000A70A6" w:rsidP="000A70A6">
      <w:pPr>
        <w:pStyle w:val="BodyTextIndent"/>
      </w:pPr>
      <w:r>
        <w:t xml:space="preserve">Trees, shrubs, plants and garden beds that are damaged or removed shall be replaced </w:t>
      </w:r>
      <w:r w:rsidR="00B439D9">
        <w:t>by</w:t>
      </w:r>
      <w:r>
        <w:t xml:space="preserve"> shrubs and plants </w:t>
      </w:r>
      <w:r w:rsidR="00B439D9">
        <w:t xml:space="preserve">as specified by </w:t>
      </w:r>
      <w:r>
        <w:t xml:space="preserve">Council’s </w:t>
      </w:r>
      <w:r w:rsidR="00B439D9">
        <w:t>arboriculture officer</w:t>
      </w:r>
      <w:r>
        <w:t>.  The areas shall be mulched as necessary to match surroundings or previous condition.</w:t>
      </w:r>
    </w:p>
    <w:p w14:paraId="3B397468" w14:textId="77777777" w:rsidR="008367B0" w:rsidRDefault="008367B0" w:rsidP="008367B0">
      <w:pPr>
        <w:pStyle w:val="BodyTextIndentBoldUnderline"/>
      </w:pPr>
      <w:r>
        <w:t>Asphalt surfacing course</w:t>
      </w:r>
    </w:p>
    <w:p w14:paraId="26338AEE" w14:textId="77777777" w:rsidR="008367B0" w:rsidRDefault="008367B0" w:rsidP="008367B0">
      <w:pPr>
        <w:pStyle w:val="BodyTextIndent"/>
      </w:pPr>
      <w:r w:rsidRPr="003C5AE1">
        <w:rPr>
          <w:u w:val="single"/>
        </w:rPr>
        <w:t>Asphalt surfacing course</w:t>
      </w:r>
      <w:r>
        <w:t>:  Place the asphalt in one or more layers complying with Table</w:t>
      </w:r>
      <w:r w:rsidR="004C2284" w:rsidRPr="00722CEB">
        <w:rPr>
          <w:i/>
        </w:rPr>
        <w:t> </w:t>
      </w:r>
      <w:r>
        <w:t>8.</w:t>
      </w:r>
      <w:r w:rsidR="006B1F07">
        <w:t xml:space="preserve">1 </w:t>
      </w:r>
      <w:r>
        <w:t>to achieve the specified total asphalt thickness.</w:t>
      </w:r>
    </w:p>
    <w:p w14:paraId="2F08DC66" w14:textId="4E456273" w:rsidR="008367B0" w:rsidRDefault="008367B0" w:rsidP="00DF75DE">
      <w:pPr>
        <w:pStyle w:val="TableIDNum"/>
      </w:pPr>
      <w:r>
        <w:t>Table</w:t>
      </w:r>
      <w:r w:rsidR="00491C8C" w:rsidRPr="00DF46CF">
        <w:rPr>
          <w:iCs/>
        </w:rPr>
        <w:t> </w:t>
      </w:r>
      <w:r>
        <w:t>8.</w:t>
      </w:r>
      <w:r w:rsidR="006B1F07">
        <w:t xml:space="preserve">1 </w:t>
      </w:r>
      <w:r>
        <w:t>– Surfacing course reinstatement</w:t>
      </w:r>
    </w:p>
    <w:tbl>
      <w:tblPr>
        <w:tblW w:w="8647" w:type="dxa"/>
        <w:tblInd w:w="765" w:type="dxa"/>
        <w:tblBorders>
          <w:top w:val="single" w:sz="12" w:space="0" w:color="000000"/>
          <w:left w:val="nil"/>
          <w:bottom w:val="single" w:sz="12" w:space="0" w:color="000000"/>
          <w:right w:val="nil"/>
          <w:insideH w:val="nil"/>
          <w:insideV w:val="nil"/>
        </w:tblBorders>
        <w:tblLayout w:type="fixed"/>
        <w:tblCellMar>
          <w:left w:w="56" w:type="dxa"/>
          <w:right w:w="56" w:type="dxa"/>
        </w:tblCellMar>
        <w:tblLook w:val="00A0" w:firstRow="1" w:lastRow="0" w:firstColumn="1" w:lastColumn="0" w:noHBand="0" w:noVBand="0"/>
      </w:tblPr>
      <w:tblGrid>
        <w:gridCol w:w="1418"/>
        <w:gridCol w:w="1204"/>
        <w:gridCol w:w="1205"/>
        <w:gridCol w:w="2126"/>
        <w:gridCol w:w="2694"/>
      </w:tblGrid>
      <w:tr w:rsidR="008367B0" w14:paraId="6F01A7DB" w14:textId="77777777" w:rsidTr="00162877">
        <w:trPr>
          <w:cantSplit/>
          <w:trHeight w:val="397"/>
          <w:tblHeader/>
        </w:trPr>
        <w:tc>
          <w:tcPr>
            <w:tcW w:w="1418" w:type="dxa"/>
            <w:vMerge w:val="restart"/>
            <w:tcBorders>
              <w:top w:val="single" w:sz="12" w:space="0" w:color="000000"/>
              <w:left w:val="nil"/>
              <w:right w:val="nil"/>
            </w:tcBorders>
            <w:shd w:val="pct10" w:color="auto" w:fill="auto"/>
            <w:vAlign w:val="center"/>
          </w:tcPr>
          <w:p w14:paraId="01FBFE30" w14:textId="77777777" w:rsidR="008367B0" w:rsidRDefault="008367B0" w:rsidP="00336CF4">
            <w:pPr>
              <w:pStyle w:val="TableHead"/>
            </w:pPr>
            <w:r>
              <w:t>Location</w:t>
            </w:r>
          </w:p>
        </w:tc>
        <w:tc>
          <w:tcPr>
            <w:tcW w:w="2409" w:type="dxa"/>
            <w:gridSpan w:val="2"/>
            <w:tcBorders>
              <w:top w:val="single" w:sz="12" w:space="0" w:color="000000"/>
              <w:left w:val="nil"/>
              <w:bottom w:val="nil"/>
              <w:right w:val="nil"/>
            </w:tcBorders>
            <w:shd w:val="pct10" w:color="auto" w:fill="auto"/>
            <w:vAlign w:val="center"/>
          </w:tcPr>
          <w:p w14:paraId="3B5335B4" w14:textId="77777777" w:rsidR="008367B0" w:rsidRDefault="008367B0" w:rsidP="00A40C6C">
            <w:pPr>
              <w:pStyle w:val="TableHeadCen"/>
            </w:pPr>
            <w:r>
              <w:t>Asphalt Mix Type</w:t>
            </w:r>
          </w:p>
        </w:tc>
        <w:tc>
          <w:tcPr>
            <w:tcW w:w="4820" w:type="dxa"/>
            <w:gridSpan w:val="2"/>
            <w:tcBorders>
              <w:top w:val="single" w:sz="12" w:space="0" w:color="000000"/>
              <w:left w:val="nil"/>
              <w:right w:val="nil"/>
            </w:tcBorders>
            <w:shd w:val="pct10" w:color="auto" w:fill="auto"/>
            <w:vAlign w:val="center"/>
          </w:tcPr>
          <w:p w14:paraId="02401210" w14:textId="77777777" w:rsidR="008367B0" w:rsidRDefault="008367B0" w:rsidP="00336CF4">
            <w:pPr>
              <w:pStyle w:val="TableHeadCen"/>
            </w:pPr>
            <w:r>
              <w:t>Asphalt Thickness</w:t>
            </w:r>
          </w:p>
        </w:tc>
      </w:tr>
      <w:tr w:rsidR="00162877" w14:paraId="6BEE2A2C" w14:textId="77777777" w:rsidTr="00162877">
        <w:trPr>
          <w:cantSplit/>
          <w:trHeight w:val="397"/>
          <w:tblHeader/>
        </w:trPr>
        <w:tc>
          <w:tcPr>
            <w:tcW w:w="1418" w:type="dxa"/>
            <w:vMerge/>
            <w:tcBorders>
              <w:left w:val="nil"/>
              <w:bottom w:val="single" w:sz="12" w:space="0" w:color="000000"/>
              <w:right w:val="nil"/>
            </w:tcBorders>
            <w:shd w:val="pct10" w:color="auto" w:fill="auto"/>
          </w:tcPr>
          <w:p w14:paraId="2D9177AB" w14:textId="77777777" w:rsidR="008367B0" w:rsidRDefault="008367B0" w:rsidP="00336CF4">
            <w:pPr>
              <w:pStyle w:val="Notes"/>
              <w:spacing w:before="60"/>
              <w:rPr>
                <w:rFonts w:ascii="Arial" w:hAnsi="Arial"/>
                <w:b/>
                <w:color w:val="808080"/>
              </w:rPr>
            </w:pPr>
          </w:p>
        </w:tc>
        <w:tc>
          <w:tcPr>
            <w:tcW w:w="1204" w:type="dxa"/>
            <w:tcBorders>
              <w:top w:val="nil"/>
              <w:left w:val="nil"/>
              <w:bottom w:val="single" w:sz="12" w:space="0" w:color="000000"/>
              <w:right w:val="nil"/>
            </w:tcBorders>
            <w:shd w:val="pct10" w:color="auto" w:fill="auto"/>
            <w:vAlign w:val="center"/>
          </w:tcPr>
          <w:p w14:paraId="40A8B64F" w14:textId="77777777" w:rsidR="008367B0" w:rsidRDefault="00792357" w:rsidP="00DF75DE">
            <w:pPr>
              <w:pStyle w:val="TableHeadCen"/>
            </w:pPr>
            <w:r>
              <w:t>Brisbane City Council</w:t>
            </w:r>
          </w:p>
        </w:tc>
        <w:tc>
          <w:tcPr>
            <w:tcW w:w="1205" w:type="dxa"/>
            <w:tcBorders>
              <w:top w:val="nil"/>
              <w:left w:val="nil"/>
              <w:bottom w:val="single" w:sz="12" w:space="0" w:color="000000"/>
              <w:right w:val="nil"/>
            </w:tcBorders>
            <w:shd w:val="pct10" w:color="auto" w:fill="auto"/>
            <w:vAlign w:val="center"/>
          </w:tcPr>
          <w:p w14:paraId="2366D0B7" w14:textId="77777777" w:rsidR="008367B0" w:rsidRDefault="008367B0" w:rsidP="00DF75DE">
            <w:pPr>
              <w:pStyle w:val="TableHeadCen"/>
            </w:pPr>
            <w:r>
              <w:t>Alternative QD</w:t>
            </w:r>
            <w:r w:rsidR="004B43F9">
              <w:t>T</w:t>
            </w:r>
            <w:r>
              <w:t>MR</w:t>
            </w:r>
          </w:p>
        </w:tc>
        <w:tc>
          <w:tcPr>
            <w:tcW w:w="2126" w:type="dxa"/>
            <w:tcBorders>
              <w:top w:val="nil"/>
              <w:left w:val="nil"/>
              <w:bottom w:val="single" w:sz="12" w:space="0" w:color="000000"/>
              <w:right w:val="nil"/>
            </w:tcBorders>
            <w:shd w:val="pct10" w:color="auto" w:fill="auto"/>
            <w:vAlign w:val="center"/>
          </w:tcPr>
          <w:p w14:paraId="3A61B20E" w14:textId="77777777" w:rsidR="008367B0" w:rsidRDefault="008367B0" w:rsidP="00DF75DE">
            <w:pPr>
              <w:pStyle w:val="TableHeadCen"/>
            </w:pPr>
            <w:r>
              <w:t>Layer</w:t>
            </w:r>
          </w:p>
        </w:tc>
        <w:tc>
          <w:tcPr>
            <w:tcW w:w="2694" w:type="dxa"/>
            <w:tcBorders>
              <w:left w:val="nil"/>
              <w:bottom w:val="single" w:sz="12" w:space="0" w:color="000000"/>
              <w:right w:val="nil"/>
            </w:tcBorders>
            <w:shd w:val="pct10" w:color="auto" w:fill="auto"/>
            <w:vAlign w:val="center"/>
          </w:tcPr>
          <w:p w14:paraId="50F8980E" w14:textId="77777777" w:rsidR="008367B0" w:rsidRDefault="008367B0" w:rsidP="00336CF4">
            <w:pPr>
              <w:pStyle w:val="TableHead"/>
            </w:pPr>
            <w:r>
              <w:t>Total</w:t>
            </w:r>
          </w:p>
        </w:tc>
      </w:tr>
      <w:tr w:rsidR="008367B0" w14:paraId="134747D9" w14:textId="77777777" w:rsidTr="00162877">
        <w:trPr>
          <w:cantSplit/>
          <w:trHeight w:val="284"/>
        </w:trPr>
        <w:tc>
          <w:tcPr>
            <w:tcW w:w="1418" w:type="dxa"/>
            <w:tcBorders>
              <w:top w:val="single" w:sz="12" w:space="0" w:color="000000"/>
              <w:left w:val="nil"/>
              <w:bottom w:val="single" w:sz="6" w:space="0" w:color="000000"/>
              <w:right w:val="nil"/>
            </w:tcBorders>
            <w:vAlign w:val="center"/>
          </w:tcPr>
          <w:p w14:paraId="2AD4D910" w14:textId="77777777" w:rsidR="008367B0" w:rsidRDefault="008367B0" w:rsidP="00336CF4">
            <w:pPr>
              <w:pStyle w:val="Table"/>
            </w:pPr>
            <w:r>
              <w:t>Footpaths</w:t>
            </w:r>
          </w:p>
        </w:tc>
        <w:tc>
          <w:tcPr>
            <w:tcW w:w="1204" w:type="dxa"/>
            <w:tcBorders>
              <w:top w:val="single" w:sz="12" w:space="0" w:color="000000"/>
              <w:left w:val="nil"/>
              <w:bottom w:val="single" w:sz="6" w:space="0" w:color="000000"/>
              <w:right w:val="nil"/>
            </w:tcBorders>
            <w:vAlign w:val="center"/>
          </w:tcPr>
          <w:p w14:paraId="4298170D" w14:textId="6E9F0DD6" w:rsidR="008367B0" w:rsidRDefault="008367B0" w:rsidP="00DF75DE">
            <w:pPr>
              <w:pStyle w:val="TableCen"/>
            </w:pPr>
            <w:r>
              <w:t>Type</w:t>
            </w:r>
            <w:r w:rsidR="00EF2DED" w:rsidRPr="00DF46CF">
              <w:rPr>
                <w:iCs/>
              </w:rPr>
              <w:t> </w:t>
            </w:r>
            <w:r>
              <w:t>1</w:t>
            </w:r>
          </w:p>
        </w:tc>
        <w:tc>
          <w:tcPr>
            <w:tcW w:w="1205" w:type="dxa"/>
            <w:tcBorders>
              <w:top w:val="single" w:sz="12" w:space="0" w:color="000000"/>
              <w:left w:val="nil"/>
              <w:bottom w:val="single" w:sz="6" w:space="0" w:color="000000"/>
              <w:right w:val="nil"/>
            </w:tcBorders>
            <w:vAlign w:val="center"/>
          </w:tcPr>
          <w:p w14:paraId="5FB91833" w14:textId="77777777" w:rsidR="008367B0" w:rsidRDefault="008367B0" w:rsidP="00DF75DE">
            <w:pPr>
              <w:pStyle w:val="TableCen"/>
            </w:pPr>
            <w:r>
              <w:t>DG7</w:t>
            </w:r>
          </w:p>
        </w:tc>
        <w:tc>
          <w:tcPr>
            <w:tcW w:w="2126" w:type="dxa"/>
            <w:tcBorders>
              <w:top w:val="single" w:sz="12" w:space="0" w:color="000000"/>
              <w:left w:val="nil"/>
              <w:bottom w:val="single" w:sz="6" w:space="0" w:color="000000"/>
              <w:right w:val="nil"/>
            </w:tcBorders>
            <w:vAlign w:val="center"/>
          </w:tcPr>
          <w:p w14:paraId="5AE24B7F" w14:textId="77777777" w:rsidR="008367B0" w:rsidRPr="00515C73" w:rsidRDefault="008367B0" w:rsidP="00DF75DE">
            <w:pPr>
              <w:pStyle w:val="TableCen"/>
            </w:pPr>
            <w:r w:rsidRPr="00515C73">
              <w:t>15 - 25 mm</w:t>
            </w:r>
          </w:p>
        </w:tc>
        <w:tc>
          <w:tcPr>
            <w:tcW w:w="2694" w:type="dxa"/>
            <w:tcBorders>
              <w:top w:val="single" w:sz="12" w:space="0" w:color="000000"/>
              <w:left w:val="nil"/>
              <w:bottom w:val="single" w:sz="6" w:space="0" w:color="000000"/>
              <w:right w:val="nil"/>
            </w:tcBorders>
            <w:vAlign w:val="center"/>
          </w:tcPr>
          <w:p w14:paraId="3677215A" w14:textId="77777777" w:rsidR="008367B0" w:rsidRDefault="008367B0" w:rsidP="00336CF4">
            <w:pPr>
              <w:pStyle w:val="Table"/>
            </w:pPr>
            <w:r>
              <w:t>25 mm or the adjacent asphalt thickness, whichever is greater</w:t>
            </w:r>
          </w:p>
        </w:tc>
      </w:tr>
      <w:tr w:rsidR="008367B0" w14:paraId="13316888" w14:textId="77777777" w:rsidTr="00162877">
        <w:trPr>
          <w:cantSplit/>
          <w:trHeight w:val="284"/>
        </w:trPr>
        <w:tc>
          <w:tcPr>
            <w:tcW w:w="1418" w:type="dxa"/>
            <w:tcBorders>
              <w:top w:val="single" w:sz="6" w:space="0" w:color="000000"/>
              <w:left w:val="nil"/>
              <w:bottom w:val="single" w:sz="6" w:space="0" w:color="000000"/>
              <w:right w:val="nil"/>
            </w:tcBorders>
            <w:vAlign w:val="center"/>
          </w:tcPr>
          <w:p w14:paraId="309C149E" w14:textId="77777777" w:rsidR="008367B0" w:rsidRDefault="008367B0" w:rsidP="00336CF4">
            <w:pPr>
              <w:pStyle w:val="Table"/>
            </w:pPr>
            <w:r>
              <w:t>Bikepaths</w:t>
            </w:r>
          </w:p>
        </w:tc>
        <w:tc>
          <w:tcPr>
            <w:tcW w:w="1204" w:type="dxa"/>
            <w:tcBorders>
              <w:top w:val="single" w:sz="6" w:space="0" w:color="000000"/>
              <w:left w:val="nil"/>
              <w:bottom w:val="single" w:sz="6" w:space="0" w:color="000000"/>
              <w:right w:val="nil"/>
            </w:tcBorders>
            <w:vAlign w:val="center"/>
          </w:tcPr>
          <w:p w14:paraId="6ECFC17F" w14:textId="30464D31" w:rsidR="008367B0" w:rsidRDefault="008367B0" w:rsidP="00DF75DE">
            <w:pPr>
              <w:pStyle w:val="TableCen"/>
            </w:pPr>
            <w:r>
              <w:t>Type</w:t>
            </w:r>
            <w:r w:rsidR="00EF2DED" w:rsidRPr="00DF46CF">
              <w:rPr>
                <w:iCs/>
              </w:rPr>
              <w:t> </w:t>
            </w:r>
            <w:r>
              <w:t>1</w:t>
            </w:r>
            <w:r w:rsidR="00EF2DED" w:rsidRPr="00DF46CF">
              <w:rPr>
                <w:iCs/>
              </w:rPr>
              <w:t> </w:t>
            </w:r>
            <w:r>
              <w:t>or</w:t>
            </w:r>
            <w:r w:rsidR="00EF2DED" w:rsidRPr="00DF46CF">
              <w:rPr>
                <w:iCs/>
              </w:rPr>
              <w:t> </w:t>
            </w:r>
            <w:r>
              <w:t>2</w:t>
            </w:r>
          </w:p>
        </w:tc>
        <w:tc>
          <w:tcPr>
            <w:tcW w:w="1205" w:type="dxa"/>
            <w:tcBorders>
              <w:top w:val="single" w:sz="6" w:space="0" w:color="000000"/>
              <w:left w:val="nil"/>
              <w:bottom w:val="single" w:sz="6" w:space="0" w:color="000000"/>
              <w:right w:val="nil"/>
            </w:tcBorders>
            <w:vAlign w:val="center"/>
          </w:tcPr>
          <w:p w14:paraId="333F05A5" w14:textId="77777777" w:rsidR="008367B0" w:rsidRDefault="008367B0" w:rsidP="00DF75DE">
            <w:pPr>
              <w:pStyle w:val="TableCen"/>
            </w:pPr>
            <w:r>
              <w:t>DG7 or DG10</w:t>
            </w:r>
          </w:p>
        </w:tc>
        <w:tc>
          <w:tcPr>
            <w:tcW w:w="2126" w:type="dxa"/>
            <w:tcBorders>
              <w:top w:val="single" w:sz="6" w:space="0" w:color="000000"/>
              <w:left w:val="nil"/>
              <w:bottom w:val="single" w:sz="6" w:space="0" w:color="000000"/>
              <w:right w:val="nil"/>
            </w:tcBorders>
            <w:vAlign w:val="center"/>
          </w:tcPr>
          <w:p w14:paraId="13C862FC" w14:textId="77777777" w:rsidR="008367B0" w:rsidRDefault="008367B0" w:rsidP="00DD6007">
            <w:pPr>
              <w:pStyle w:val="TableCen"/>
            </w:pPr>
            <w:r w:rsidRPr="00515C73">
              <w:t>15 </w:t>
            </w:r>
            <w:r>
              <w:t>–</w:t>
            </w:r>
            <w:r w:rsidRPr="00515C73">
              <w:t> 25 mm</w:t>
            </w:r>
            <w:r>
              <w:t xml:space="preserve"> (Type</w:t>
            </w:r>
            <w:r w:rsidR="00DD6007" w:rsidRPr="00515C73">
              <w:t> </w:t>
            </w:r>
            <w:r>
              <w:t>1) or 2</w:t>
            </w:r>
            <w:r w:rsidRPr="00515C73">
              <w:t>5 </w:t>
            </w:r>
            <w:r>
              <w:t>–</w:t>
            </w:r>
            <w:r w:rsidRPr="00515C73">
              <w:t> </w:t>
            </w:r>
            <w:r>
              <w:t xml:space="preserve">40 </w:t>
            </w:r>
            <w:r w:rsidRPr="00515C73">
              <w:t>mm</w:t>
            </w:r>
            <w:r>
              <w:t xml:space="preserve"> (Type</w:t>
            </w:r>
            <w:r w:rsidR="00DD6007" w:rsidRPr="00515C73">
              <w:t> </w:t>
            </w:r>
            <w:r>
              <w:t>2)</w:t>
            </w:r>
          </w:p>
        </w:tc>
        <w:tc>
          <w:tcPr>
            <w:tcW w:w="2694" w:type="dxa"/>
            <w:tcBorders>
              <w:top w:val="single" w:sz="6" w:space="0" w:color="000000"/>
              <w:left w:val="nil"/>
              <w:bottom w:val="single" w:sz="6" w:space="0" w:color="000000"/>
              <w:right w:val="nil"/>
            </w:tcBorders>
            <w:vAlign w:val="center"/>
          </w:tcPr>
          <w:p w14:paraId="098A2170" w14:textId="77777777" w:rsidR="008367B0" w:rsidRDefault="008367B0" w:rsidP="00336CF4">
            <w:pPr>
              <w:pStyle w:val="Table"/>
            </w:pPr>
            <w:r>
              <w:t>25 mm or the adjacent asphalt thickness, whichever is greater</w:t>
            </w:r>
          </w:p>
        </w:tc>
      </w:tr>
      <w:tr w:rsidR="008367B0" w14:paraId="6CED5B0E" w14:textId="77777777" w:rsidTr="00162877">
        <w:trPr>
          <w:cantSplit/>
          <w:trHeight w:val="284"/>
        </w:trPr>
        <w:tc>
          <w:tcPr>
            <w:tcW w:w="1418" w:type="dxa"/>
            <w:tcBorders>
              <w:top w:val="single" w:sz="6" w:space="0" w:color="000000"/>
              <w:left w:val="nil"/>
              <w:bottom w:val="single" w:sz="6" w:space="0" w:color="000000"/>
              <w:right w:val="nil"/>
            </w:tcBorders>
            <w:vAlign w:val="center"/>
          </w:tcPr>
          <w:p w14:paraId="6983EEA3" w14:textId="77777777" w:rsidR="008367B0" w:rsidRPr="00792357" w:rsidRDefault="008367B0" w:rsidP="00792357">
            <w:pPr>
              <w:pStyle w:val="Table"/>
              <w:rPr>
                <w:vertAlign w:val="superscript"/>
              </w:rPr>
            </w:pPr>
            <w:r>
              <w:t xml:space="preserve">Minor </w:t>
            </w:r>
            <w:r w:rsidR="00792357">
              <w:t>Roads</w:t>
            </w:r>
            <w:r w:rsidR="00792357" w:rsidRPr="00792357">
              <w:rPr>
                <w:i/>
                <w:vertAlign w:val="superscript"/>
              </w:rPr>
              <w:t>(2)</w:t>
            </w:r>
          </w:p>
        </w:tc>
        <w:tc>
          <w:tcPr>
            <w:tcW w:w="1204" w:type="dxa"/>
            <w:tcBorders>
              <w:top w:val="single" w:sz="6" w:space="0" w:color="000000"/>
              <w:left w:val="nil"/>
              <w:bottom w:val="single" w:sz="6" w:space="0" w:color="000000"/>
              <w:right w:val="nil"/>
            </w:tcBorders>
            <w:vAlign w:val="center"/>
          </w:tcPr>
          <w:p w14:paraId="0566DD21" w14:textId="2D6E9090" w:rsidR="008367B0" w:rsidRDefault="008367B0" w:rsidP="00DF75DE">
            <w:pPr>
              <w:pStyle w:val="TableCen"/>
            </w:pPr>
            <w:r>
              <w:t>Type</w:t>
            </w:r>
            <w:r w:rsidR="00EF2DED" w:rsidRPr="00DF46CF">
              <w:rPr>
                <w:iCs/>
              </w:rPr>
              <w:t> </w:t>
            </w:r>
            <w:r>
              <w:t>2</w:t>
            </w:r>
          </w:p>
        </w:tc>
        <w:tc>
          <w:tcPr>
            <w:tcW w:w="1205" w:type="dxa"/>
            <w:tcBorders>
              <w:top w:val="single" w:sz="6" w:space="0" w:color="000000"/>
              <w:left w:val="nil"/>
              <w:bottom w:val="single" w:sz="6" w:space="0" w:color="000000"/>
              <w:right w:val="nil"/>
            </w:tcBorders>
            <w:vAlign w:val="center"/>
          </w:tcPr>
          <w:p w14:paraId="563DDC68" w14:textId="77777777" w:rsidR="008367B0" w:rsidRDefault="008367B0" w:rsidP="00DF75DE">
            <w:pPr>
              <w:pStyle w:val="TableCen"/>
            </w:pPr>
            <w:r>
              <w:t>DG10</w:t>
            </w:r>
          </w:p>
        </w:tc>
        <w:tc>
          <w:tcPr>
            <w:tcW w:w="2126" w:type="dxa"/>
            <w:tcBorders>
              <w:top w:val="single" w:sz="6" w:space="0" w:color="000000"/>
              <w:left w:val="nil"/>
              <w:bottom w:val="single" w:sz="6" w:space="0" w:color="000000"/>
              <w:right w:val="nil"/>
            </w:tcBorders>
            <w:vAlign w:val="center"/>
          </w:tcPr>
          <w:p w14:paraId="1E3D5C12" w14:textId="77777777" w:rsidR="008367B0" w:rsidRDefault="008367B0" w:rsidP="00DF75DE">
            <w:pPr>
              <w:pStyle w:val="TableCen"/>
            </w:pPr>
            <w:r>
              <w:t>2</w:t>
            </w:r>
            <w:r w:rsidRPr="00515C73">
              <w:t>5 </w:t>
            </w:r>
            <w:r>
              <w:t>–</w:t>
            </w:r>
            <w:r w:rsidRPr="00515C73">
              <w:t> </w:t>
            </w:r>
            <w:r>
              <w:t xml:space="preserve">40 </w:t>
            </w:r>
            <w:r w:rsidRPr="00515C73">
              <w:t>mm</w:t>
            </w:r>
          </w:p>
        </w:tc>
        <w:tc>
          <w:tcPr>
            <w:tcW w:w="2694" w:type="dxa"/>
            <w:tcBorders>
              <w:top w:val="single" w:sz="6" w:space="0" w:color="000000"/>
              <w:left w:val="nil"/>
              <w:bottom w:val="single" w:sz="6" w:space="0" w:color="000000"/>
              <w:right w:val="nil"/>
            </w:tcBorders>
            <w:vAlign w:val="center"/>
          </w:tcPr>
          <w:p w14:paraId="3301F3A9" w14:textId="77777777" w:rsidR="008367B0" w:rsidRDefault="008367B0" w:rsidP="00336CF4">
            <w:pPr>
              <w:pStyle w:val="Table"/>
            </w:pPr>
            <w:r>
              <w:t>50 mm or the adjacent asphalt thickness, whichever is greater</w:t>
            </w:r>
          </w:p>
        </w:tc>
      </w:tr>
      <w:tr w:rsidR="006352EF" w14:paraId="72A59CF1" w14:textId="77777777" w:rsidTr="00162877">
        <w:trPr>
          <w:cantSplit/>
          <w:trHeight w:val="284"/>
        </w:trPr>
        <w:tc>
          <w:tcPr>
            <w:tcW w:w="1418" w:type="dxa"/>
            <w:tcBorders>
              <w:top w:val="single" w:sz="6" w:space="0" w:color="000000"/>
              <w:left w:val="nil"/>
              <w:bottom w:val="single" w:sz="6" w:space="0" w:color="000000"/>
              <w:right w:val="nil"/>
            </w:tcBorders>
            <w:vAlign w:val="center"/>
          </w:tcPr>
          <w:p w14:paraId="68CB1EEC" w14:textId="77777777" w:rsidR="006352EF" w:rsidRPr="00792357" w:rsidRDefault="006352EF" w:rsidP="00792357">
            <w:pPr>
              <w:pStyle w:val="Table"/>
              <w:rPr>
                <w:vertAlign w:val="superscript"/>
              </w:rPr>
            </w:pPr>
            <w:r>
              <w:t>Major Roads</w:t>
            </w:r>
            <w:r w:rsidRPr="00792357">
              <w:rPr>
                <w:i/>
                <w:vertAlign w:val="superscript"/>
              </w:rPr>
              <w:t>(2)</w:t>
            </w:r>
          </w:p>
        </w:tc>
        <w:tc>
          <w:tcPr>
            <w:tcW w:w="1204" w:type="dxa"/>
            <w:vMerge w:val="restart"/>
            <w:tcBorders>
              <w:top w:val="single" w:sz="6" w:space="0" w:color="000000"/>
              <w:left w:val="nil"/>
              <w:right w:val="nil"/>
            </w:tcBorders>
            <w:vAlign w:val="center"/>
          </w:tcPr>
          <w:p w14:paraId="536E20DF" w14:textId="4C614E5C" w:rsidR="006352EF" w:rsidRDefault="006352EF" w:rsidP="00DF75DE">
            <w:pPr>
              <w:pStyle w:val="TableCen"/>
            </w:pPr>
            <w:r>
              <w:t>Type</w:t>
            </w:r>
            <w:r w:rsidR="00EF2DED" w:rsidRPr="00DF46CF">
              <w:rPr>
                <w:iCs/>
              </w:rPr>
              <w:t> </w:t>
            </w:r>
            <w:r>
              <w:t>3</w:t>
            </w:r>
            <w:r w:rsidRPr="00792357">
              <w:rPr>
                <w:i/>
                <w:vertAlign w:val="superscript"/>
              </w:rPr>
              <w:t>(1)</w:t>
            </w:r>
          </w:p>
        </w:tc>
        <w:tc>
          <w:tcPr>
            <w:tcW w:w="1205" w:type="dxa"/>
            <w:vMerge w:val="restart"/>
            <w:tcBorders>
              <w:top w:val="single" w:sz="6" w:space="0" w:color="000000"/>
              <w:left w:val="nil"/>
              <w:right w:val="nil"/>
            </w:tcBorders>
            <w:vAlign w:val="center"/>
          </w:tcPr>
          <w:p w14:paraId="42EFDC62" w14:textId="77777777" w:rsidR="006352EF" w:rsidRDefault="006352EF" w:rsidP="00DF75DE">
            <w:pPr>
              <w:pStyle w:val="TableCen"/>
            </w:pPr>
            <w:r>
              <w:t>DG14</w:t>
            </w:r>
            <w:r w:rsidRPr="00792357">
              <w:rPr>
                <w:i/>
                <w:vertAlign w:val="superscript"/>
              </w:rPr>
              <w:t>(1)</w:t>
            </w:r>
          </w:p>
        </w:tc>
        <w:tc>
          <w:tcPr>
            <w:tcW w:w="2126" w:type="dxa"/>
            <w:vMerge w:val="restart"/>
            <w:tcBorders>
              <w:top w:val="single" w:sz="6" w:space="0" w:color="000000"/>
              <w:left w:val="nil"/>
              <w:right w:val="nil"/>
            </w:tcBorders>
            <w:vAlign w:val="center"/>
          </w:tcPr>
          <w:p w14:paraId="06E67F7C" w14:textId="77777777" w:rsidR="006352EF" w:rsidRDefault="006352EF" w:rsidP="00DF75DE">
            <w:pPr>
              <w:pStyle w:val="TableCen"/>
            </w:pPr>
            <w:r>
              <w:t>50</w:t>
            </w:r>
            <w:r w:rsidRPr="00515C73">
              <w:t> </w:t>
            </w:r>
            <w:r>
              <w:t>–</w:t>
            </w:r>
            <w:r w:rsidRPr="00515C73">
              <w:t> </w:t>
            </w:r>
            <w:r>
              <w:t xml:space="preserve">60 </w:t>
            </w:r>
            <w:r w:rsidRPr="00515C73">
              <w:t>mm</w:t>
            </w:r>
          </w:p>
        </w:tc>
        <w:tc>
          <w:tcPr>
            <w:tcW w:w="2694" w:type="dxa"/>
            <w:vMerge w:val="restart"/>
            <w:tcBorders>
              <w:top w:val="single" w:sz="6" w:space="0" w:color="000000"/>
              <w:left w:val="nil"/>
              <w:right w:val="nil"/>
            </w:tcBorders>
            <w:vAlign w:val="center"/>
          </w:tcPr>
          <w:p w14:paraId="53B57064" w14:textId="77777777" w:rsidR="006352EF" w:rsidRDefault="006352EF" w:rsidP="00336CF4">
            <w:pPr>
              <w:pStyle w:val="Table"/>
            </w:pPr>
            <w:r>
              <w:t>100 mm or the adjacent asphalt thickness, whichever is greater</w:t>
            </w:r>
          </w:p>
        </w:tc>
      </w:tr>
      <w:tr w:rsidR="006352EF" w14:paraId="38C31737" w14:textId="77777777" w:rsidTr="00162877">
        <w:trPr>
          <w:cantSplit/>
          <w:trHeight w:val="284"/>
        </w:trPr>
        <w:tc>
          <w:tcPr>
            <w:tcW w:w="1418" w:type="dxa"/>
            <w:tcBorders>
              <w:top w:val="single" w:sz="6" w:space="0" w:color="000000"/>
              <w:left w:val="nil"/>
              <w:bottom w:val="single" w:sz="6" w:space="0" w:color="000000"/>
              <w:right w:val="nil"/>
            </w:tcBorders>
            <w:vAlign w:val="center"/>
          </w:tcPr>
          <w:p w14:paraId="2B6870CB" w14:textId="3DF590A6" w:rsidR="006352EF" w:rsidRPr="00A00CE6" w:rsidRDefault="006352EF" w:rsidP="00792357">
            <w:pPr>
              <w:pStyle w:val="Table"/>
            </w:pPr>
            <w:r w:rsidRPr="00A00CE6">
              <w:t>Primary Freight Routes</w:t>
            </w:r>
            <w:r w:rsidRPr="00A00CE6">
              <w:rPr>
                <w:i/>
                <w:vertAlign w:val="superscript"/>
              </w:rPr>
              <w:t>(2)</w:t>
            </w:r>
          </w:p>
        </w:tc>
        <w:tc>
          <w:tcPr>
            <w:tcW w:w="1204" w:type="dxa"/>
            <w:vMerge/>
            <w:tcBorders>
              <w:left w:val="nil"/>
              <w:right w:val="nil"/>
            </w:tcBorders>
            <w:vAlign w:val="center"/>
          </w:tcPr>
          <w:p w14:paraId="60BBE865" w14:textId="77777777" w:rsidR="006352EF" w:rsidRDefault="006352EF" w:rsidP="00DF75DE">
            <w:pPr>
              <w:pStyle w:val="TableCen"/>
            </w:pPr>
          </w:p>
        </w:tc>
        <w:tc>
          <w:tcPr>
            <w:tcW w:w="1205" w:type="dxa"/>
            <w:vMerge/>
            <w:tcBorders>
              <w:left w:val="nil"/>
              <w:right w:val="nil"/>
            </w:tcBorders>
            <w:vAlign w:val="center"/>
          </w:tcPr>
          <w:p w14:paraId="23CF63ED" w14:textId="77777777" w:rsidR="006352EF" w:rsidRDefault="006352EF" w:rsidP="00DF75DE">
            <w:pPr>
              <w:pStyle w:val="TableCen"/>
            </w:pPr>
          </w:p>
        </w:tc>
        <w:tc>
          <w:tcPr>
            <w:tcW w:w="2126" w:type="dxa"/>
            <w:vMerge/>
            <w:tcBorders>
              <w:left w:val="nil"/>
              <w:right w:val="nil"/>
            </w:tcBorders>
            <w:vAlign w:val="center"/>
          </w:tcPr>
          <w:p w14:paraId="663950E3" w14:textId="77777777" w:rsidR="006352EF" w:rsidRDefault="006352EF" w:rsidP="00DF75DE">
            <w:pPr>
              <w:pStyle w:val="TableCen"/>
            </w:pPr>
          </w:p>
        </w:tc>
        <w:tc>
          <w:tcPr>
            <w:tcW w:w="2694" w:type="dxa"/>
            <w:vMerge/>
            <w:tcBorders>
              <w:left w:val="nil"/>
              <w:right w:val="nil"/>
            </w:tcBorders>
            <w:vAlign w:val="center"/>
          </w:tcPr>
          <w:p w14:paraId="3FE113D8" w14:textId="77777777" w:rsidR="006352EF" w:rsidRDefault="006352EF" w:rsidP="00336CF4">
            <w:pPr>
              <w:pStyle w:val="Table"/>
            </w:pPr>
          </w:p>
        </w:tc>
      </w:tr>
      <w:tr w:rsidR="006352EF" w14:paraId="4AD924EF" w14:textId="77777777" w:rsidTr="00162877">
        <w:trPr>
          <w:cantSplit/>
          <w:trHeight w:val="284"/>
        </w:trPr>
        <w:tc>
          <w:tcPr>
            <w:tcW w:w="1418" w:type="dxa"/>
            <w:tcBorders>
              <w:top w:val="single" w:sz="6" w:space="0" w:color="000000"/>
              <w:left w:val="nil"/>
              <w:bottom w:val="single" w:sz="12" w:space="0" w:color="000000"/>
              <w:right w:val="nil"/>
            </w:tcBorders>
            <w:vAlign w:val="center"/>
          </w:tcPr>
          <w:p w14:paraId="1994526A" w14:textId="08DF84B4" w:rsidR="006352EF" w:rsidRPr="00A00CE6" w:rsidRDefault="006352EF" w:rsidP="00792357">
            <w:pPr>
              <w:pStyle w:val="Table"/>
            </w:pPr>
            <w:r w:rsidRPr="00A00CE6">
              <w:t>Primary Freight Access</w:t>
            </w:r>
            <w:r w:rsidRPr="00A00CE6">
              <w:rPr>
                <w:i/>
                <w:vertAlign w:val="superscript"/>
              </w:rPr>
              <w:t>(2)</w:t>
            </w:r>
          </w:p>
        </w:tc>
        <w:tc>
          <w:tcPr>
            <w:tcW w:w="1204" w:type="dxa"/>
            <w:vMerge/>
            <w:tcBorders>
              <w:left w:val="nil"/>
              <w:bottom w:val="single" w:sz="12" w:space="0" w:color="000000"/>
              <w:right w:val="nil"/>
            </w:tcBorders>
            <w:vAlign w:val="center"/>
          </w:tcPr>
          <w:p w14:paraId="6A2A7530" w14:textId="77777777" w:rsidR="006352EF" w:rsidRDefault="006352EF" w:rsidP="00DF75DE">
            <w:pPr>
              <w:pStyle w:val="TableCen"/>
            </w:pPr>
          </w:p>
        </w:tc>
        <w:tc>
          <w:tcPr>
            <w:tcW w:w="1205" w:type="dxa"/>
            <w:vMerge/>
            <w:tcBorders>
              <w:left w:val="nil"/>
              <w:bottom w:val="single" w:sz="12" w:space="0" w:color="000000"/>
              <w:right w:val="nil"/>
            </w:tcBorders>
            <w:vAlign w:val="center"/>
          </w:tcPr>
          <w:p w14:paraId="79DE939E" w14:textId="77777777" w:rsidR="006352EF" w:rsidRDefault="006352EF" w:rsidP="00DF75DE">
            <w:pPr>
              <w:pStyle w:val="TableCen"/>
            </w:pPr>
          </w:p>
        </w:tc>
        <w:tc>
          <w:tcPr>
            <w:tcW w:w="2126" w:type="dxa"/>
            <w:vMerge/>
            <w:tcBorders>
              <w:left w:val="nil"/>
              <w:bottom w:val="single" w:sz="12" w:space="0" w:color="000000"/>
              <w:right w:val="nil"/>
            </w:tcBorders>
            <w:vAlign w:val="center"/>
          </w:tcPr>
          <w:p w14:paraId="6AD204CA" w14:textId="77777777" w:rsidR="006352EF" w:rsidRDefault="006352EF" w:rsidP="00DF75DE">
            <w:pPr>
              <w:pStyle w:val="TableCen"/>
            </w:pPr>
          </w:p>
        </w:tc>
        <w:tc>
          <w:tcPr>
            <w:tcW w:w="2694" w:type="dxa"/>
            <w:vMerge/>
            <w:tcBorders>
              <w:left w:val="nil"/>
              <w:bottom w:val="single" w:sz="12" w:space="0" w:color="000000"/>
              <w:right w:val="nil"/>
            </w:tcBorders>
            <w:vAlign w:val="center"/>
          </w:tcPr>
          <w:p w14:paraId="160EA4E8" w14:textId="77777777" w:rsidR="006352EF" w:rsidRDefault="006352EF" w:rsidP="00336CF4">
            <w:pPr>
              <w:pStyle w:val="Table"/>
            </w:pPr>
          </w:p>
        </w:tc>
      </w:tr>
    </w:tbl>
    <w:p w14:paraId="5682C9FA" w14:textId="77777777" w:rsidR="00792357" w:rsidRDefault="008367B0" w:rsidP="00792357">
      <w:pPr>
        <w:pStyle w:val="BodyTextIndent"/>
        <w:ind w:left="1134" w:hanging="414"/>
        <w:rPr>
          <w:i/>
          <w:sz w:val="18"/>
          <w:szCs w:val="18"/>
        </w:rPr>
      </w:pPr>
      <w:r w:rsidRPr="00DF75DE">
        <w:rPr>
          <w:i/>
          <w:sz w:val="18"/>
          <w:szCs w:val="18"/>
          <w:vertAlign w:val="superscript"/>
        </w:rPr>
        <w:t>(1)</w:t>
      </w:r>
      <w:r w:rsidR="00792357">
        <w:rPr>
          <w:i/>
          <w:sz w:val="18"/>
          <w:szCs w:val="18"/>
        </w:rPr>
        <w:tab/>
      </w:r>
      <w:r w:rsidR="00792357" w:rsidRPr="00792357">
        <w:rPr>
          <w:i/>
          <w:sz w:val="18"/>
          <w:szCs w:val="18"/>
        </w:rPr>
        <w:t>Brisbane City Council</w:t>
      </w:r>
      <w:r w:rsidR="00792357" w:rsidRPr="00792357" w:rsidDel="00792357">
        <w:rPr>
          <w:i/>
          <w:sz w:val="18"/>
          <w:szCs w:val="18"/>
        </w:rPr>
        <w:t xml:space="preserve"> </w:t>
      </w:r>
      <w:r w:rsidRPr="00DF75DE">
        <w:rPr>
          <w:i/>
          <w:sz w:val="18"/>
          <w:szCs w:val="18"/>
        </w:rPr>
        <w:t>Type 3 and D</w:t>
      </w:r>
      <w:r w:rsidR="004B43F9" w:rsidRPr="00DF75DE">
        <w:rPr>
          <w:i/>
          <w:sz w:val="18"/>
          <w:szCs w:val="18"/>
        </w:rPr>
        <w:t>T</w:t>
      </w:r>
      <w:r w:rsidRPr="00DF75DE">
        <w:rPr>
          <w:i/>
          <w:sz w:val="18"/>
          <w:szCs w:val="18"/>
        </w:rPr>
        <w:t>MR DG14 asphalt to contain Multigrade bitumen binder.</w:t>
      </w:r>
    </w:p>
    <w:p w14:paraId="728B628B" w14:textId="137A2FAE" w:rsidR="00792357" w:rsidRPr="00792357" w:rsidRDefault="00792357" w:rsidP="00792357">
      <w:pPr>
        <w:pStyle w:val="BodyTextIndent"/>
        <w:ind w:left="1134" w:hanging="414"/>
        <w:rPr>
          <w:i/>
          <w:sz w:val="18"/>
          <w:szCs w:val="18"/>
        </w:rPr>
      </w:pPr>
      <w:r w:rsidRPr="00A00CE6">
        <w:rPr>
          <w:i/>
          <w:sz w:val="18"/>
          <w:szCs w:val="18"/>
          <w:vertAlign w:val="superscript"/>
        </w:rPr>
        <w:t>(2)</w:t>
      </w:r>
      <w:r w:rsidRPr="00A00CE6">
        <w:rPr>
          <w:i/>
          <w:sz w:val="18"/>
          <w:szCs w:val="18"/>
        </w:rPr>
        <w:tab/>
        <w:t>Refer to Section 1.6 for Definition of Major and Minor Roads</w:t>
      </w:r>
      <w:r w:rsidR="00FA0568" w:rsidRPr="00A00CE6">
        <w:rPr>
          <w:i/>
          <w:sz w:val="18"/>
          <w:szCs w:val="18"/>
        </w:rPr>
        <w:t xml:space="preserve"> </w:t>
      </w:r>
      <w:r w:rsidR="006352EF" w:rsidRPr="00A00CE6">
        <w:rPr>
          <w:i/>
          <w:sz w:val="18"/>
          <w:szCs w:val="18"/>
        </w:rPr>
        <w:t>and</w:t>
      </w:r>
      <w:r w:rsidR="006352EF" w:rsidRPr="00A00CE6">
        <w:t xml:space="preserve"> </w:t>
      </w:r>
      <w:r w:rsidR="006352EF" w:rsidRPr="00A00CE6">
        <w:rPr>
          <w:i/>
          <w:sz w:val="18"/>
          <w:szCs w:val="18"/>
        </w:rPr>
        <w:t>Primary Freight Routes and primary Freight Access</w:t>
      </w:r>
      <w:r w:rsidRPr="00A00CE6">
        <w:rPr>
          <w:i/>
          <w:sz w:val="18"/>
          <w:szCs w:val="18"/>
        </w:rPr>
        <w:t>.</w:t>
      </w:r>
    </w:p>
    <w:p w14:paraId="68506FD2" w14:textId="77777777" w:rsidR="00DF77A6" w:rsidRPr="00DF77A6" w:rsidRDefault="00DF77A6" w:rsidP="00390E4D">
      <w:pPr>
        <w:pStyle w:val="BodyTextIndent"/>
        <w:rPr>
          <w:b/>
          <w:u w:val="single"/>
        </w:rPr>
      </w:pPr>
      <w:r>
        <w:rPr>
          <w:b/>
          <w:u w:val="single"/>
        </w:rPr>
        <w:t>Unit paving</w:t>
      </w:r>
    </w:p>
    <w:p w14:paraId="70DEB8E8" w14:textId="77777777" w:rsidR="00026171" w:rsidRDefault="00026171" w:rsidP="00390E4D">
      <w:pPr>
        <w:pStyle w:val="BodyTextIndent"/>
      </w:pPr>
      <w:r>
        <w:t>Provide base course and bedding to match the existing.  Reinstate using whole paving units.  Do not use concrete infill.</w:t>
      </w:r>
    </w:p>
    <w:p w14:paraId="2B689285" w14:textId="77777777" w:rsidR="00DF77A6" w:rsidRPr="00DF77A6" w:rsidRDefault="00DF77A6" w:rsidP="00390E4D">
      <w:pPr>
        <w:pStyle w:val="BodyTextIndent"/>
        <w:rPr>
          <w:b/>
          <w:u w:val="single"/>
        </w:rPr>
      </w:pPr>
      <w:r>
        <w:rPr>
          <w:b/>
          <w:u w:val="single"/>
        </w:rPr>
        <w:t>Rigid (concrete) pavement</w:t>
      </w:r>
    </w:p>
    <w:p w14:paraId="65C9C411" w14:textId="77777777" w:rsidR="00026171" w:rsidRDefault="00026171" w:rsidP="00390E4D">
      <w:pPr>
        <w:pStyle w:val="BodyTextIndent"/>
      </w:pPr>
      <w:r w:rsidRPr="003239AB">
        <w:rPr>
          <w:u w:val="single"/>
        </w:rPr>
        <w:t>Requirement</w:t>
      </w:r>
      <w:r>
        <w:t xml:space="preserve">: Reinstate concrete surfaces to the original level.  </w:t>
      </w:r>
      <w:r w:rsidR="00123E29">
        <w:t xml:space="preserve">Additional concrete beyond the damaged area shall be removed and replaced back to the nearest existing joint even if undisturbed by the trench works.  </w:t>
      </w:r>
      <w:r>
        <w:t>Where specified, epoxy grout steel dowels into the adjacent concrete and provide reinforcement to prevent the reinstated concrete from subsiding or cracking.  Comply with the requirements of Table </w:t>
      </w:r>
      <w:r w:rsidR="00E10C04">
        <w:t>8</w:t>
      </w:r>
      <w:r w:rsidR="007F3105">
        <w:t>.</w:t>
      </w:r>
      <w:r w:rsidR="006B1F07">
        <w:t>2</w:t>
      </w:r>
      <w:r>
        <w:t>.</w:t>
      </w:r>
    </w:p>
    <w:p w14:paraId="0873B285" w14:textId="77777777" w:rsidR="002811AD" w:rsidRDefault="002811AD" w:rsidP="00390E4D">
      <w:pPr>
        <w:pStyle w:val="BodyTextIndent"/>
      </w:pPr>
      <w:r w:rsidRPr="00A00CE6">
        <w:rPr>
          <w:u w:val="single"/>
        </w:rPr>
        <w:t>Surface finish</w:t>
      </w:r>
      <w:r w:rsidRPr="00A00CE6">
        <w:t xml:space="preserve">:  </w:t>
      </w:r>
      <w:r w:rsidR="009E0A5E" w:rsidRPr="00A00CE6">
        <w:t>Where the trench has been constructed longitudinally in the verge with a full width path constructed path, then the final surface repair width is to match the existing surface width (i.e. full width)</w:t>
      </w:r>
      <w:r w:rsidR="00C357E3" w:rsidRPr="00A00CE6">
        <w:t>.</w:t>
      </w:r>
      <w:r w:rsidR="009E0A5E" w:rsidRPr="00A00CE6">
        <w:t xml:space="preserve">  For Central Business District, Neighbourhood Centres, </w:t>
      </w:r>
      <w:r w:rsidR="003239AB" w:rsidRPr="00A00CE6">
        <w:t xml:space="preserve">Village Precinct Projects (VPP) including previous </w:t>
      </w:r>
      <w:r w:rsidR="009E0A5E" w:rsidRPr="00A00CE6">
        <w:t xml:space="preserve">Suburban Centre Improvement Projects (SCIP) and other high finish areas, reinstate </w:t>
      </w:r>
      <w:r w:rsidR="00C357E3" w:rsidRPr="00A00CE6">
        <w:t xml:space="preserve">the surface to the finish requirements of the </w:t>
      </w:r>
      <w:r w:rsidR="00DF75DE" w:rsidRPr="00A00CE6">
        <w:rPr>
          <w:i/>
        </w:rPr>
        <w:t>Infrastructure Design Planning Scheme Policy</w:t>
      </w:r>
      <w:r w:rsidRPr="00A00CE6">
        <w:t>.</w:t>
      </w:r>
    </w:p>
    <w:p w14:paraId="33740B2B" w14:textId="77777777" w:rsidR="00A84373" w:rsidRDefault="00A84373" w:rsidP="00A84373">
      <w:pPr>
        <w:pStyle w:val="BodyText"/>
        <w:rPr>
          <w:sz w:val="18"/>
        </w:rPr>
      </w:pPr>
      <w:r>
        <w:br w:type="page"/>
      </w:r>
    </w:p>
    <w:p w14:paraId="599452D6" w14:textId="3714C91C" w:rsidR="00026171" w:rsidRDefault="00026171" w:rsidP="00DF75DE">
      <w:pPr>
        <w:pStyle w:val="TableIDNum"/>
      </w:pPr>
      <w:r>
        <w:lastRenderedPageBreak/>
        <w:t>Table</w:t>
      </w:r>
      <w:r w:rsidR="009341A8" w:rsidRPr="00DF46CF">
        <w:rPr>
          <w:iCs/>
        </w:rPr>
        <w:t> </w:t>
      </w:r>
      <w:r w:rsidR="00E10C04">
        <w:t>8</w:t>
      </w:r>
      <w:r w:rsidR="007F3105">
        <w:t>.</w:t>
      </w:r>
      <w:r w:rsidR="006B1F07">
        <w:t>2</w:t>
      </w:r>
      <w:r w:rsidR="003239AB">
        <w:t xml:space="preserve"> </w:t>
      </w:r>
      <w:r w:rsidR="00DF75DE">
        <w:t>–</w:t>
      </w:r>
      <w:r>
        <w:t xml:space="preserve"> Reinstatement of concrete pavement</w:t>
      </w:r>
    </w:p>
    <w:tbl>
      <w:tblPr>
        <w:tblW w:w="8505" w:type="dxa"/>
        <w:tblInd w:w="765" w:type="dxa"/>
        <w:tblBorders>
          <w:top w:val="single" w:sz="12" w:space="0" w:color="000000"/>
          <w:left w:val="nil"/>
          <w:bottom w:val="single" w:sz="12" w:space="0" w:color="000000"/>
          <w:right w:val="nil"/>
          <w:insideH w:val="nil"/>
          <w:insideV w:val="nil"/>
        </w:tblBorders>
        <w:tblLayout w:type="fixed"/>
        <w:tblCellMar>
          <w:left w:w="56" w:type="dxa"/>
          <w:right w:w="56" w:type="dxa"/>
        </w:tblCellMar>
        <w:tblLook w:val="00A0" w:firstRow="1" w:lastRow="0" w:firstColumn="1" w:lastColumn="0" w:noHBand="0" w:noVBand="0"/>
      </w:tblPr>
      <w:tblGrid>
        <w:gridCol w:w="1276"/>
        <w:gridCol w:w="1134"/>
        <w:gridCol w:w="3260"/>
        <w:gridCol w:w="2835"/>
      </w:tblGrid>
      <w:tr w:rsidR="00026171" w14:paraId="57D5C524" w14:textId="77777777" w:rsidTr="00DF75DE">
        <w:trPr>
          <w:cantSplit/>
          <w:trHeight w:val="397"/>
          <w:tblHeader/>
        </w:trPr>
        <w:tc>
          <w:tcPr>
            <w:tcW w:w="1276" w:type="dxa"/>
            <w:tcBorders>
              <w:top w:val="single" w:sz="12" w:space="0" w:color="000000"/>
              <w:left w:val="nil"/>
              <w:bottom w:val="single" w:sz="12" w:space="0" w:color="000000"/>
              <w:right w:val="nil"/>
            </w:tcBorders>
            <w:shd w:val="pct10" w:color="auto" w:fill="auto"/>
            <w:vAlign w:val="center"/>
          </w:tcPr>
          <w:p w14:paraId="2A3AB043" w14:textId="77777777" w:rsidR="00026171" w:rsidRDefault="00026171" w:rsidP="00390E4D">
            <w:pPr>
              <w:pStyle w:val="TableHead"/>
            </w:pPr>
            <w:r>
              <w:t>Location</w:t>
            </w:r>
          </w:p>
        </w:tc>
        <w:tc>
          <w:tcPr>
            <w:tcW w:w="1134" w:type="dxa"/>
            <w:tcBorders>
              <w:top w:val="single" w:sz="12" w:space="0" w:color="000000"/>
              <w:left w:val="nil"/>
              <w:bottom w:val="single" w:sz="12" w:space="0" w:color="000000"/>
              <w:right w:val="nil"/>
            </w:tcBorders>
            <w:shd w:val="pct10" w:color="auto" w:fill="auto"/>
            <w:vAlign w:val="center"/>
          </w:tcPr>
          <w:p w14:paraId="2888CFFC" w14:textId="77777777" w:rsidR="00026171" w:rsidRDefault="00026171" w:rsidP="00DF75DE">
            <w:pPr>
              <w:pStyle w:val="TableHeadCen"/>
            </w:pPr>
            <w:r>
              <w:t>Concrete type</w:t>
            </w:r>
          </w:p>
        </w:tc>
        <w:tc>
          <w:tcPr>
            <w:tcW w:w="3260" w:type="dxa"/>
            <w:tcBorders>
              <w:top w:val="single" w:sz="12" w:space="0" w:color="000000"/>
              <w:left w:val="nil"/>
              <w:bottom w:val="single" w:sz="12" w:space="0" w:color="000000"/>
              <w:right w:val="nil"/>
            </w:tcBorders>
            <w:shd w:val="pct10" w:color="auto" w:fill="auto"/>
            <w:vAlign w:val="center"/>
          </w:tcPr>
          <w:p w14:paraId="239FC1A1" w14:textId="77777777" w:rsidR="00026171" w:rsidRDefault="00026171" w:rsidP="00390E4D">
            <w:pPr>
              <w:pStyle w:val="TableHead"/>
            </w:pPr>
            <w:r>
              <w:t>Steel reinforcement</w:t>
            </w:r>
          </w:p>
        </w:tc>
        <w:tc>
          <w:tcPr>
            <w:tcW w:w="2835" w:type="dxa"/>
            <w:tcBorders>
              <w:top w:val="single" w:sz="12" w:space="0" w:color="000000"/>
              <w:left w:val="nil"/>
              <w:bottom w:val="single" w:sz="12" w:space="0" w:color="000000"/>
              <w:right w:val="nil"/>
            </w:tcBorders>
            <w:shd w:val="pct10" w:color="auto" w:fill="auto"/>
            <w:vAlign w:val="center"/>
          </w:tcPr>
          <w:p w14:paraId="42D3F11D" w14:textId="77777777" w:rsidR="00026171" w:rsidRDefault="00026171" w:rsidP="00390E4D">
            <w:pPr>
              <w:pStyle w:val="TableHead"/>
            </w:pPr>
            <w:r>
              <w:t>Thickness</w:t>
            </w:r>
          </w:p>
        </w:tc>
      </w:tr>
      <w:tr w:rsidR="00026171" w14:paraId="60CDA08B" w14:textId="77777777" w:rsidTr="00DF75DE">
        <w:trPr>
          <w:cantSplit/>
          <w:trHeight w:val="284"/>
        </w:trPr>
        <w:tc>
          <w:tcPr>
            <w:tcW w:w="1276" w:type="dxa"/>
            <w:tcBorders>
              <w:top w:val="single" w:sz="12" w:space="0" w:color="000000"/>
              <w:left w:val="nil"/>
              <w:bottom w:val="single" w:sz="6" w:space="0" w:color="000000"/>
              <w:right w:val="nil"/>
            </w:tcBorders>
            <w:vAlign w:val="center"/>
          </w:tcPr>
          <w:p w14:paraId="3EF8ED97" w14:textId="77777777" w:rsidR="00026171" w:rsidRDefault="00026171" w:rsidP="00DF75DE">
            <w:pPr>
              <w:pStyle w:val="Table"/>
            </w:pPr>
            <w:r>
              <w:t>Road carriageways</w:t>
            </w:r>
          </w:p>
        </w:tc>
        <w:tc>
          <w:tcPr>
            <w:tcW w:w="1134" w:type="dxa"/>
            <w:tcBorders>
              <w:top w:val="single" w:sz="12" w:space="0" w:color="000000"/>
              <w:left w:val="nil"/>
              <w:bottom w:val="single" w:sz="6" w:space="0" w:color="000000"/>
              <w:right w:val="nil"/>
            </w:tcBorders>
            <w:vAlign w:val="center"/>
          </w:tcPr>
          <w:p w14:paraId="6EBF88D4" w14:textId="77777777" w:rsidR="00026171" w:rsidRDefault="00026171" w:rsidP="00DF75DE">
            <w:pPr>
              <w:pStyle w:val="TableCen"/>
            </w:pPr>
            <w:r>
              <w:t>Grade N32 minimum</w:t>
            </w:r>
          </w:p>
        </w:tc>
        <w:tc>
          <w:tcPr>
            <w:tcW w:w="3260" w:type="dxa"/>
            <w:tcBorders>
              <w:top w:val="single" w:sz="12" w:space="0" w:color="000000"/>
              <w:left w:val="nil"/>
              <w:bottom w:val="single" w:sz="6" w:space="0" w:color="000000"/>
              <w:right w:val="nil"/>
            </w:tcBorders>
            <w:vAlign w:val="center"/>
          </w:tcPr>
          <w:p w14:paraId="44F11817" w14:textId="77777777" w:rsidR="00026171" w:rsidRDefault="00026171" w:rsidP="00DF75DE">
            <w:pPr>
              <w:pStyle w:val="Table"/>
            </w:pPr>
            <w:r>
              <w:t>Steel reinforcement as required by design, provide 500 mm long (full length) Y20 dowels spaced at 400 mm centres</w:t>
            </w:r>
          </w:p>
        </w:tc>
        <w:tc>
          <w:tcPr>
            <w:tcW w:w="2835" w:type="dxa"/>
            <w:tcBorders>
              <w:top w:val="single" w:sz="12" w:space="0" w:color="000000"/>
              <w:left w:val="nil"/>
              <w:bottom w:val="single" w:sz="6" w:space="0" w:color="000000"/>
              <w:right w:val="nil"/>
            </w:tcBorders>
            <w:vAlign w:val="center"/>
          </w:tcPr>
          <w:p w14:paraId="7035F38F" w14:textId="77777777" w:rsidR="00026171" w:rsidRDefault="00026171" w:rsidP="00DF75DE">
            <w:pPr>
              <w:pStyle w:val="Table"/>
            </w:pPr>
            <w:r>
              <w:t>Match adjacent concrete</w:t>
            </w:r>
          </w:p>
        </w:tc>
      </w:tr>
      <w:tr w:rsidR="00026171" w14:paraId="4E7D6ED7" w14:textId="77777777" w:rsidTr="00DF75DE">
        <w:trPr>
          <w:cantSplit/>
          <w:trHeight w:val="284"/>
        </w:trPr>
        <w:tc>
          <w:tcPr>
            <w:tcW w:w="1276" w:type="dxa"/>
            <w:tcBorders>
              <w:top w:val="single" w:sz="6" w:space="0" w:color="000000"/>
              <w:left w:val="nil"/>
              <w:bottom w:val="single" w:sz="6" w:space="0" w:color="000000"/>
              <w:right w:val="nil"/>
            </w:tcBorders>
            <w:vAlign w:val="center"/>
          </w:tcPr>
          <w:p w14:paraId="4B94EE67" w14:textId="77777777" w:rsidR="00026171" w:rsidRDefault="00026171" w:rsidP="00DF75DE">
            <w:pPr>
              <w:pStyle w:val="Table"/>
            </w:pPr>
            <w:r>
              <w:t>Reinforced concrete footpaths</w:t>
            </w:r>
          </w:p>
        </w:tc>
        <w:tc>
          <w:tcPr>
            <w:tcW w:w="1134" w:type="dxa"/>
            <w:tcBorders>
              <w:top w:val="single" w:sz="6" w:space="0" w:color="000000"/>
              <w:left w:val="nil"/>
              <w:bottom w:val="single" w:sz="6" w:space="0" w:color="000000"/>
              <w:right w:val="nil"/>
            </w:tcBorders>
            <w:vAlign w:val="center"/>
          </w:tcPr>
          <w:p w14:paraId="2B8AD390" w14:textId="77777777" w:rsidR="00026171" w:rsidRDefault="00026171" w:rsidP="00DF75DE">
            <w:pPr>
              <w:pStyle w:val="TableCen"/>
            </w:pPr>
            <w:r>
              <w:t>Grade N25</w:t>
            </w:r>
          </w:p>
        </w:tc>
        <w:tc>
          <w:tcPr>
            <w:tcW w:w="3260" w:type="dxa"/>
            <w:tcBorders>
              <w:top w:val="single" w:sz="6" w:space="0" w:color="000000"/>
              <w:left w:val="nil"/>
              <w:bottom w:val="single" w:sz="6" w:space="0" w:color="000000"/>
              <w:right w:val="nil"/>
            </w:tcBorders>
            <w:vAlign w:val="center"/>
          </w:tcPr>
          <w:p w14:paraId="07E3159B" w14:textId="77777777" w:rsidR="00026171" w:rsidRDefault="00026171" w:rsidP="00DF75DE">
            <w:pPr>
              <w:pStyle w:val="Table"/>
            </w:pPr>
            <w:r>
              <w:t>F72 mesh placed centrally, 300 mm long (full length) R12 dowels spaced at 400 mm centres</w:t>
            </w:r>
          </w:p>
        </w:tc>
        <w:tc>
          <w:tcPr>
            <w:tcW w:w="2835" w:type="dxa"/>
            <w:tcBorders>
              <w:top w:val="single" w:sz="6" w:space="0" w:color="000000"/>
              <w:left w:val="nil"/>
              <w:bottom w:val="single" w:sz="6" w:space="0" w:color="000000"/>
              <w:right w:val="nil"/>
            </w:tcBorders>
            <w:vAlign w:val="center"/>
          </w:tcPr>
          <w:p w14:paraId="2DC08A11" w14:textId="77777777" w:rsidR="00026171" w:rsidRDefault="00026171" w:rsidP="00DF75DE">
            <w:pPr>
              <w:pStyle w:val="Table"/>
            </w:pPr>
            <w:r>
              <w:t>100 mm or the adjacent concrete thickness, whichever is greater</w:t>
            </w:r>
          </w:p>
        </w:tc>
      </w:tr>
      <w:tr w:rsidR="00026171" w14:paraId="27F60025" w14:textId="77777777" w:rsidTr="00DF75DE">
        <w:trPr>
          <w:cantSplit/>
          <w:trHeight w:val="284"/>
        </w:trPr>
        <w:tc>
          <w:tcPr>
            <w:tcW w:w="1276" w:type="dxa"/>
            <w:tcBorders>
              <w:top w:val="single" w:sz="6" w:space="0" w:color="000000"/>
              <w:left w:val="nil"/>
              <w:bottom w:val="single" w:sz="6" w:space="0" w:color="000000"/>
              <w:right w:val="nil"/>
            </w:tcBorders>
            <w:vAlign w:val="center"/>
          </w:tcPr>
          <w:p w14:paraId="3D11FE94" w14:textId="77777777" w:rsidR="00026171" w:rsidRDefault="00026171" w:rsidP="00DF75DE">
            <w:pPr>
              <w:pStyle w:val="Table"/>
            </w:pPr>
            <w:r>
              <w:t>Unreinforced concrete footpaths</w:t>
            </w:r>
          </w:p>
        </w:tc>
        <w:tc>
          <w:tcPr>
            <w:tcW w:w="1134" w:type="dxa"/>
            <w:tcBorders>
              <w:top w:val="single" w:sz="6" w:space="0" w:color="000000"/>
              <w:left w:val="nil"/>
              <w:bottom w:val="single" w:sz="6" w:space="0" w:color="000000"/>
              <w:right w:val="nil"/>
            </w:tcBorders>
            <w:vAlign w:val="center"/>
          </w:tcPr>
          <w:p w14:paraId="766050C0" w14:textId="77777777" w:rsidR="00026171" w:rsidRDefault="00026171" w:rsidP="00DF75DE">
            <w:pPr>
              <w:pStyle w:val="TableCen"/>
            </w:pPr>
            <w:r>
              <w:t>Grade N25</w:t>
            </w:r>
          </w:p>
        </w:tc>
        <w:tc>
          <w:tcPr>
            <w:tcW w:w="3260" w:type="dxa"/>
            <w:tcBorders>
              <w:top w:val="single" w:sz="6" w:space="0" w:color="000000"/>
              <w:left w:val="nil"/>
              <w:bottom w:val="single" w:sz="6" w:space="0" w:color="000000"/>
              <w:right w:val="nil"/>
            </w:tcBorders>
            <w:vAlign w:val="center"/>
          </w:tcPr>
          <w:p w14:paraId="6806BF8C" w14:textId="77777777" w:rsidR="00026171" w:rsidRDefault="00026171" w:rsidP="00DF75DE">
            <w:pPr>
              <w:pStyle w:val="Table"/>
            </w:pPr>
            <w:r>
              <w:t>Not required</w:t>
            </w:r>
          </w:p>
        </w:tc>
        <w:tc>
          <w:tcPr>
            <w:tcW w:w="2835" w:type="dxa"/>
            <w:tcBorders>
              <w:top w:val="single" w:sz="6" w:space="0" w:color="000000"/>
              <w:left w:val="nil"/>
              <w:bottom w:val="single" w:sz="6" w:space="0" w:color="000000"/>
              <w:right w:val="nil"/>
            </w:tcBorders>
            <w:vAlign w:val="center"/>
          </w:tcPr>
          <w:p w14:paraId="65EF49FB" w14:textId="77777777" w:rsidR="00026171" w:rsidRDefault="0057648C" w:rsidP="00DF75DE">
            <w:pPr>
              <w:pStyle w:val="Table"/>
            </w:pPr>
            <w:r>
              <w:t>100</w:t>
            </w:r>
            <w:r w:rsidR="00026171">
              <w:t> mm or the adjacent concrete thickness, whichever is greater</w:t>
            </w:r>
          </w:p>
        </w:tc>
      </w:tr>
      <w:tr w:rsidR="00026171" w14:paraId="61370E6A" w14:textId="77777777" w:rsidTr="00DF75DE">
        <w:trPr>
          <w:cantSplit/>
          <w:trHeight w:val="284"/>
        </w:trPr>
        <w:tc>
          <w:tcPr>
            <w:tcW w:w="1276" w:type="dxa"/>
            <w:tcBorders>
              <w:top w:val="single" w:sz="6" w:space="0" w:color="000000"/>
              <w:left w:val="nil"/>
              <w:bottom w:val="single" w:sz="6" w:space="0" w:color="000000"/>
              <w:right w:val="nil"/>
            </w:tcBorders>
            <w:vAlign w:val="center"/>
          </w:tcPr>
          <w:p w14:paraId="23705CBE" w14:textId="77777777" w:rsidR="00026171" w:rsidRDefault="00026171" w:rsidP="00DF75DE">
            <w:pPr>
              <w:pStyle w:val="Table"/>
            </w:pPr>
            <w:r>
              <w:t>Reinforced concrete bikepaths</w:t>
            </w:r>
          </w:p>
        </w:tc>
        <w:tc>
          <w:tcPr>
            <w:tcW w:w="1134" w:type="dxa"/>
            <w:tcBorders>
              <w:top w:val="single" w:sz="6" w:space="0" w:color="000000"/>
              <w:left w:val="nil"/>
              <w:bottom w:val="single" w:sz="6" w:space="0" w:color="000000"/>
              <w:right w:val="nil"/>
            </w:tcBorders>
            <w:vAlign w:val="center"/>
          </w:tcPr>
          <w:p w14:paraId="28A29B93" w14:textId="77777777" w:rsidR="00026171" w:rsidRDefault="00026171" w:rsidP="00DF75DE">
            <w:pPr>
              <w:pStyle w:val="TableCen"/>
            </w:pPr>
            <w:r>
              <w:t>Grade N25</w:t>
            </w:r>
          </w:p>
        </w:tc>
        <w:tc>
          <w:tcPr>
            <w:tcW w:w="3260" w:type="dxa"/>
            <w:tcBorders>
              <w:top w:val="single" w:sz="6" w:space="0" w:color="000000"/>
              <w:left w:val="nil"/>
              <w:bottom w:val="single" w:sz="6" w:space="0" w:color="000000"/>
              <w:right w:val="nil"/>
            </w:tcBorders>
            <w:vAlign w:val="center"/>
          </w:tcPr>
          <w:p w14:paraId="013712E0" w14:textId="77777777" w:rsidR="00026171" w:rsidRDefault="00026171" w:rsidP="00DF75DE">
            <w:pPr>
              <w:pStyle w:val="Table"/>
            </w:pPr>
            <w:r>
              <w:t>F72 mesh placed centrally, 300 mm long (full length) R12 dowels spaced at 300 mm centres</w:t>
            </w:r>
          </w:p>
        </w:tc>
        <w:tc>
          <w:tcPr>
            <w:tcW w:w="2835" w:type="dxa"/>
            <w:tcBorders>
              <w:top w:val="single" w:sz="6" w:space="0" w:color="000000"/>
              <w:left w:val="nil"/>
              <w:bottom w:val="single" w:sz="6" w:space="0" w:color="000000"/>
              <w:right w:val="nil"/>
            </w:tcBorders>
            <w:vAlign w:val="center"/>
          </w:tcPr>
          <w:p w14:paraId="38DBBEE4" w14:textId="77777777" w:rsidR="00026171" w:rsidRDefault="00026171" w:rsidP="00DF75DE">
            <w:pPr>
              <w:pStyle w:val="Table"/>
            </w:pPr>
            <w:r>
              <w:t>125 mm or the adjacent concrete thickness, whichever is greater</w:t>
            </w:r>
          </w:p>
        </w:tc>
      </w:tr>
      <w:tr w:rsidR="00026171" w14:paraId="0E7A3218" w14:textId="77777777" w:rsidTr="00DF75DE">
        <w:trPr>
          <w:cantSplit/>
          <w:trHeight w:val="284"/>
        </w:trPr>
        <w:tc>
          <w:tcPr>
            <w:tcW w:w="1276" w:type="dxa"/>
            <w:tcBorders>
              <w:top w:val="single" w:sz="6" w:space="0" w:color="000000"/>
              <w:left w:val="nil"/>
              <w:bottom w:val="single" w:sz="12" w:space="0" w:color="000000"/>
              <w:right w:val="nil"/>
            </w:tcBorders>
            <w:vAlign w:val="center"/>
          </w:tcPr>
          <w:p w14:paraId="1830D8CB" w14:textId="77777777" w:rsidR="00026171" w:rsidRDefault="00026171" w:rsidP="00DF75DE">
            <w:pPr>
              <w:pStyle w:val="Table"/>
            </w:pPr>
            <w:r>
              <w:t>Unreinforced concrete bikepaths</w:t>
            </w:r>
          </w:p>
        </w:tc>
        <w:tc>
          <w:tcPr>
            <w:tcW w:w="1134" w:type="dxa"/>
            <w:tcBorders>
              <w:top w:val="single" w:sz="6" w:space="0" w:color="000000"/>
              <w:left w:val="nil"/>
              <w:bottom w:val="single" w:sz="12" w:space="0" w:color="000000"/>
              <w:right w:val="nil"/>
            </w:tcBorders>
            <w:vAlign w:val="center"/>
          </w:tcPr>
          <w:p w14:paraId="24F9A6E2" w14:textId="77777777" w:rsidR="00026171" w:rsidRDefault="00026171" w:rsidP="00DF75DE">
            <w:pPr>
              <w:pStyle w:val="TableCen"/>
            </w:pPr>
            <w:r>
              <w:t>Grade N25</w:t>
            </w:r>
          </w:p>
        </w:tc>
        <w:tc>
          <w:tcPr>
            <w:tcW w:w="3260" w:type="dxa"/>
            <w:tcBorders>
              <w:top w:val="single" w:sz="6" w:space="0" w:color="000000"/>
              <w:left w:val="nil"/>
              <w:bottom w:val="single" w:sz="12" w:space="0" w:color="000000"/>
              <w:right w:val="nil"/>
            </w:tcBorders>
            <w:vAlign w:val="center"/>
          </w:tcPr>
          <w:p w14:paraId="1883FC5A" w14:textId="77777777" w:rsidR="00026171" w:rsidRDefault="00026171" w:rsidP="00DF75DE">
            <w:pPr>
              <w:pStyle w:val="Table"/>
            </w:pPr>
            <w:r>
              <w:t>Not required</w:t>
            </w:r>
          </w:p>
        </w:tc>
        <w:tc>
          <w:tcPr>
            <w:tcW w:w="2835" w:type="dxa"/>
            <w:tcBorders>
              <w:top w:val="single" w:sz="6" w:space="0" w:color="000000"/>
              <w:left w:val="nil"/>
              <w:bottom w:val="single" w:sz="12" w:space="0" w:color="000000"/>
              <w:right w:val="nil"/>
            </w:tcBorders>
            <w:vAlign w:val="center"/>
          </w:tcPr>
          <w:p w14:paraId="1A74D0C7" w14:textId="77777777" w:rsidR="00026171" w:rsidRDefault="00026171" w:rsidP="00DF75DE">
            <w:pPr>
              <w:pStyle w:val="Table"/>
            </w:pPr>
            <w:r>
              <w:t>100 mm or the adjacent concrete thickness, whichever is greater</w:t>
            </w:r>
          </w:p>
        </w:tc>
      </w:tr>
    </w:tbl>
    <w:p w14:paraId="00E0875B" w14:textId="77777777" w:rsidR="00051CF0" w:rsidRPr="009A09EB" w:rsidRDefault="00051CF0" w:rsidP="00A84373">
      <w:pPr>
        <w:pStyle w:val="Heading2"/>
      </w:pPr>
      <w:bookmarkStart w:id="56" w:name="_Toc76024379"/>
      <w:r w:rsidRPr="009A09EB">
        <w:t>RESTORATION</w:t>
      </w:r>
      <w:r>
        <w:t xml:space="preserve"> OF OTHER ASSETS</w:t>
      </w:r>
      <w:bookmarkEnd w:id="56"/>
    </w:p>
    <w:p w14:paraId="40B57038" w14:textId="77777777" w:rsidR="00051CF0" w:rsidRDefault="00945905" w:rsidP="00DF75DE">
      <w:pPr>
        <w:pStyle w:val="BodyTextIndent"/>
      </w:pPr>
      <w:r>
        <w:rPr>
          <w:i/>
        </w:rPr>
        <w:t xml:space="preserve">Refer Annexure.  </w:t>
      </w:r>
      <w:r w:rsidR="00051CF0" w:rsidRPr="00051CF0">
        <w:t xml:space="preserve">Replace, repair, reinstate or otherwise restore to their pre-existing </w:t>
      </w:r>
      <w:r w:rsidR="0045350A">
        <w:t xml:space="preserve">condition all road assets, other </w:t>
      </w:r>
      <w:r w:rsidR="000D4B82">
        <w:t xml:space="preserve">Brisbane City Council </w:t>
      </w:r>
      <w:r w:rsidR="0045350A">
        <w:t>assets, buried utilities, surfaces, services and other private or public assets that are disturbed, destroyed or damaged.</w:t>
      </w:r>
    </w:p>
    <w:p w14:paraId="0B9EFD19" w14:textId="77777777" w:rsidR="0045350A" w:rsidRDefault="0045350A" w:rsidP="009F53B9">
      <w:pPr>
        <w:pStyle w:val="BodyTextIndent"/>
      </w:pPr>
      <w:r>
        <w:t xml:space="preserve">“Other private or public assets” includes but is not limited to: existing shrubs, </w:t>
      </w:r>
      <w:r w:rsidR="003B303A">
        <w:t xml:space="preserve">landscaping </w:t>
      </w:r>
      <w:r>
        <w:t>gardens, retaining walls, fences, signs, shelters and all other structures.  Record the condition of such assets</w:t>
      </w:r>
      <w:r w:rsidR="00800B00">
        <w:t xml:space="preserve"> before and after the service installation</w:t>
      </w:r>
      <w:r>
        <w:t>.</w:t>
      </w:r>
    </w:p>
    <w:p w14:paraId="6D606479" w14:textId="77777777" w:rsidR="000D4B82" w:rsidRPr="00527950" w:rsidRDefault="000D4B82" w:rsidP="00A84373">
      <w:pPr>
        <w:pStyle w:val="Heading3"/>
      </w:pPr>
      <w:bookmarkStart w:id="57" w:name="_Toc76024380"/>
      <w:r w:rsidRPr="00527950">
        <w:t>Verge Gardens</w:t>
      </w:r>
      <w:bookmarkEnd w:id="57"/>
    </w:p>
    <w:p w14:paraId="25FB5F3C" w14:textId="77777777" w:rsidR="003B303A" w:rsidRDefault="003B303A" w:rsidP="009F53B9">
      <w:pPr>
        <w:pStyle w:val="BodyTextIndent"/>
      </w:pPr>
      <w:r w:rsidRPr="00A00CE6">
        <w:t>Private landscaping and gardens with in the verge are to be reinstated in accordance with the Brisbane City Council ‘</w:t>
      </w:r>
      <w:r w:rsidRPr="00A00CE6">
        <w:rPr>
          <w:i/>
        </w:rPr>
        <w:t>Verge garden guidelines</w:t>
      </w:r>
      <w:r w:rsidRPr="00A00CE6">
        <w:t>’ (</w:t>
      </w:r>
      <w:hyperlink r:id="rId24" w:history="1">
        <w:r w:rsidRPr="00A00CE6">
          <w:rPr>
            <w:rStyle w:val="Hyperlink"/>
          </w:rPr>
          <w:t>https://www.brisbane.qld.gov.au/clean-and-green/natural-environment-and-water/plants-trees-and-gardens/verge-gardens</w:t>
        </w:r>
      </w:hyperlink>
      <w:r w:rsidRPr="00A00CE6">
        <w:t>) and</w:t>
      </w:r>
      <w:r w:rsidR="000D4B82" w:rsidRPr="00A00CE6">
        <w:t xml:space="preserve"> with the</w:t>
      </w:r>
      <w:r w:rsidRPr="00A00CE6">
        <w:t xml:space="preserve"> agreement with the adjacent property owner.</w:t>
      </w:r>
    </w:p>
    <w:p w14:paraId="37813C37" w14:textId="77777777" w:rsidR="000D4B82" w:rsidRDefault="000D4B82" w:rsidP="00A84373">
      <w:pPr>
        <w:pStyle w:val="Heading3"/>
      </w:pPr>
      <w:bookmarkStart w:id="58" w:name="_Toc76024381"/>
      <w:r>
        <w:t>Traffic Signal Loops and Traffic Management Facilities</w:t>
      </w:r>
      <w:bookmarkEnd w:id="58"/>
    </w:p>
    <w:p w14:paraId="73EFE564" w14:textId="77777777" w:rsidR="00F01095" w:rsidRDefault="00F01095" w:rsidP="00DF75DE">
      <w:pPr>
        <w:pStyle w:val="BodyTextIndent"/>
      </w:pPr>
      <w:r>
        <w:t xml:space="preserve">Where loops for traffic signals or traffic </w:t>
      </w:r>
      <w:r w:rsidR="00A83DD8">
        <w:t>management</w:t>
      </w:r>
      <w:r w:rsidR="009F53B9">
        <w:t xml:space="preserve"> </w:t>
      </w:r>
      <w:r>
        <w:t>facilities, or traffic delineation or pavement delineation (e.g. line marking, pavement markers), are disturbed or damaged</w:t>
      </w:r>
      <w:r w:rsidR="00C162ED">
        <w:t>:</w:t>
      </w:r>
    </w:p>
    <w:p w14:paraId="55401E3E" w14:textId="77777777" w:rsidR="00F01095" w:rsidRDefault="00F01095" w:rsidP="00DF75DE">
      <w:pPr>
        <w:pStyle w:val="BodyTextIndentDot"/>
      </w:pPr>
      <w:r>
        <w:t>Immediately notify the B</w:t>
      </w:r>
      <w:r w:rsidR="00A83DD8">
        <w:t xml:space="preserve">risbane </w:t>
      </w:r>
      <w:r>
        <w:t>C</w:t>
      </w:r>
      <w:r w:rsidR="00A83DD8">
        <w:t xml:space="preserve">ity </w:t>
      </w:r>
      <w:r>
        <w:t>C</w:t>
      </w:r>
      <w:r w:rsidR="00A83DD8">
        <w:t>ouncil</w:t>
      </w:r>
      <w:r>
        <w:t xml:space="preserve"> </w:t>
      </w:r>
      <w:r w:rsidR="00A83DD8">
        <w:t xml:space="preserve">Contact </w:t>
      </w:r>
      <w:r>
        <w:t>Centre (</w:t>
      </w:r>
      <w:r w:rsidR="004C2284">
        <w:t xml:space="preserve">07 </w:t>
      </w:r>
      <w:r>
        <w:t xml:space="preserve">3403 8888) </w:t>
      </w:r>
      <w:r w:rsidR="00C162ED">
        <w:t xml:space="preserve">when loops for traffic signals or traffic </w:t>
      </w:r>
      <w:r w:rsidR="00A83DD8">
        <w:t xml:space="preserve">management </w:t>
      </w:r>
      <w:r w:rsidR="00C162ED">
        <w:t>facilities are disturbed or damaged.</w:t>
      </w:r>
    </w:p>
    <w:p w14:paraId="17D5268A" w14:textId="77777777" w:rsidR="00C162ED" w:rsidRDefault="00C162ED" w:rsidP="00DF75DE">
      <w:pPr>
        <w:pStyle w:val="BodyTextIndentDot"/>
      </w:pPr>
      <w:r>
        <w:t>Provide alternative signposting and/or temporary measures for pavement delineation.</w:t>
      </w:r>
    </w:p>
    <w:p w14:paraId="673432D4" w14:textId="77777777" w:rsidR="00920EF4" w:rsidRDefault="00800B00" w:rsidP="00DF75DE">
      <w:pPr>
        <w:pStyle w:val="BodyTextIndentDot"/>
      </w:pPr>
      <w:r w:rsidRPr="00DF75DE">
        <w:t xml:space="preserve">Arrange with </w:t>
      </w:r>
      <w:r w:rsidR="00A83DD8">
        <w:t xml:space="preserve">Brisbane City Council </w:t>
      </w:r>
      <w:r w:rsidRPr="00DF75DE">
        <w:t>for the p</w:t>
      </w:r>
      <w:r w:rsidR="00C162ED" w:rsidRPr="00DF75DE">
        <w:t xml:space="preserve">ermanent reinstatement of loops for traffic signals or traffic </w:t>
      </w:r>
      <w:r w:rsidR="00A83DD8">
        <w:t xml:space="preserve">management </w:t>
      </w:r>
      <w:r w:rsidR="00C162ED" w:rsidRPr="00DF75DE">
        <w:t xml:space="preserve">facilities and pavement delineation </w:t>
      </w:r>
      <w:r w:rsidRPr="00DF75DE">
        <w:t xml:space="preserve">to be carried out at </w:t>
      </w:r>
      <w:r w:rsidR="00A83DD8">
        <w:t>the installers</w:t>
      </w:r>
      <w:r w:rsidR="00A83DD8" w:rsidRPr="00DF75DE">
        <w:t xml:space="preserve"> </w:t>
      </w:r>
      <w:r w:rsidRPr="00DF75DE">
        <w:t>expense.</w:t>
      </w:r>
    </w:p>
    <w:p w14:paraId="588EDFC8" w14:textId="77777777" w:rsidR="00255024" w:rsidRDefault="00255024" w:rsidP="00255024">
      <w:pPr>
        <w:pStyle w:val="BodyText"/>
      </w:pPr>
    </w:p>
    <w:p w14:paraId="7C2BE3A7" w14:textId="77777777" w:rsidR="00255024" w:rsidRPr="00DF75DE" w:rsidRDefault="00255024" w:rsidP="00255024">
      <w:pPr>
        <w:pStyle w:val="BodyText"/>
      </w:pPr>
    </w:p>
    <w:sectPr w:rsidR="00255024" w:rsidRPr="00DF75DE" w:rsidSect="00E75FAB">
      <w:footerReference w:type="default" r:id="rId25"/>
      <w:pgSz w:w="11906" w:h="16838" w:code="9"/>
      <w:pgMar w:top="1134" w:right="1418" w:bottom="992" w:left="1134" w:header="1134" w:footer="85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0966D" w14:textId="77777777" w:rsidR="00146A39" w:rsidRDefault="00146A39">
      <w:r>
        <w:separator/>
      </w:r>
    </w:p>
  </w:endnote>
  <w:endnote w:type="continuationSeparator" w:id="0">
    <w:p w14:paraId="57CA7ACF" w14:textId="77777777" w:rsidR="00146A39" w:rsidRDefault="0014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642F1" w14:textId="77777777" w:rsidR="0073746C" w:rsidRDefault="00737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7F0AD" w14:textId="06B5EE4E" w:rsidR="003B303A" w:rsidRDefault="008C4557" w:rsidP="004854E2">
    <w:pPr>
      <w:pStyle w:val="Footer"/>
    </w:pPr>
    <w:r>
      <w:t xml:space="preserve">Revision </w:t>
    </w:r>
    <w:r w:rsidR="00284CC9">
      <w:t>4</w:t>
    </w:r>
    <w:r>
      <w:t xml:space="preserve">.0 – </w:t>
    </w:r>
    <w:r w:rsidR="006F5B91">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B7673" w14:textId="77777777" w:rsidR="0073746C" w:rsidRDefault="007374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F6E09" w14:textId="77777777" w:rsidR="004854E2" w:rsidRDefault="004854E2" w:rsidP="004854E2">
    <w:pPr>
      <w:pStyle w:val="Footer"/>
    </w:pPr>
    <w:r>
      <w:rPr>
        <w:noProof/>
      </w:rPr>
      <mc:AlternateContent>
        <mc:Choice Requires="wps">
          <w:drawing>
            <wp:anchor distT="0" distB="0" distL="114300" distR="114300" simplePos="0" relativeHeight="251678720" behindDoc="0" locked="0" layoutInCell="1" allowOverlap="1" wp14:anchorId="343D2357" wp14:editId="288192CE">
              <wp:simplePos x="0" y="0"/>
              <wp:positionH relativeFrom="page">
                <wp:posOffset>4140835</wp:posOffset>
              </wp:positionH>
              <wp:positionV relativeFrom="page">
                <wp:posOffset>6840855</wp:posOffset>
              </wp:positionV>
              <wp:extent cx="5850000" cy="270000"/>
              <wp:effectExtent l="2713672" t="0" r="2712403"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50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DFB6178" w14:textId="77777777" w:rsidR="004854E2" w:rsidRPr="008C4557" w:rsidRDefault="004854E2" w:rsidP="008C4557">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S145 </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r w:rsidRPr="00E75FAB">
                            <w:rPr>
                              <w:rFonts w:ascii="Arial Bold" w:hAnsi="Arial Bold" w:cs="Arial"/>
                              <w:b/>
                              <w:bCs/>
                              <w:i/>
                              <w:iCs/>
                              <w:sz w:val="28"/>
                              <w:szCs w:val="28"/>
                              <w14:shadow w14:blurRad="50800" w14:dist="38100" w14:dir="2700000" w14:sx="100000" w14:sy="100000" w14:kx="0" w14:ky="0" w14:algn="tl">
                                <w14:srgbClr w14:val="000000">
                                  <w14:alpha w14:val="60000"/>
                                </w14:srgbClr>
                              </w14:shadow>
                            </w:rPr>
                            <w:t>INSTALLATION AND MAINTENANCE OF UTILITY SERVICES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D2357" id="_x0000_t202" coordsize="21600,21600" o:spt="202" path="m,l,21600r21600,l21600,xe">
              <v:stroke joinstyle="miter"/>
              <v:path gradientshapeok="t" o:connecttype="rect"/>
            </v:shapetype>
            <v:shape id="Text Box 7" o:spid="_x0000_s1027" type="#_x0000_t202" style="position:absolute;left:0;text-align:left;margin-left:326.05pt;margin-top:538.65pt;width:460.65pt;height:21.25pt;rotation:-5921140fd;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" filled="f" stroked="f">
              <v:stroke joinstyle="round"/>
              <o:lock v:ext="edit" shapetype="t"/>
              <v:textbox style="layout-flow:vertical;mso-layout-flow-alt:bottom-to-top">
                <w:txbxContent>
                  <w:p w14:paraId="6DFB6178" w14:textId="77777777" w:rsidR="004854E2" w:rsidRPr="008C4557" w:rsidRDefault="004854E2" w:rsidP="008C4557">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S145 </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r w:rsidRPr="00E75FAB">
                      <w:rPr>
                        <w:rFonts w:ascii="Arial Bold" w:hAnsi="Arial Bold" w:cs="Arial"/>
                        <w:b/>
                        <w:bCs/>
                        <w:i/>
                        <w:iCs/>
                        <w:sz w:val="28"/>
                        <w:szCs w:val="28"/>
                        <w14:shadow w14:blurRad="50800" w14:dist="38100" w14:dir="2700000" w14:sx="100000" w14:sy="100000" w14:kx="0" w14:ky="0" w14:algn="tl">
                          <w14:srgbClr w14:val="000000">
                            <w14:alpha w14:val="60000"/>
                          </w14:srgbClr>
                        </w14:shadow>
                      </w:rPr>
                      <w:t>INSTALLATION AND MAINTENANCE OF UTILITY SERVICES</w:t>
                    </w:r>
                  </w:p>
                </w:txbxContent>
              </v:textbox>
              <w10:wrap anchorx="page" anchory="page"/>
            </v:shape>
          </w:pict>
        </mc:Fallback>
      </mc:AlternateContent>
    </w:r>
    <w:r>
      <w:t>Revision 4.0 – March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F839E" w14:textId="11154835" w:rsidR="007A70A2" w:rsidRDefault="007A70A2" w:rsidP="004854E2">
    <w:pPr>
      <w:pStyle w:val="Footer"/>
    </w:pPr>
    <w:r>
      <w:rPr>
        <w:noProof/>
      </w:rPr>
      <mc:AlternateContent>
        <mc:Choice Requires="wps">
          <w:drawing>
            <wp:anchor distT="0" distB="0" distL="114300" distR="114300" simplePos="0" relativeHeight="251643904" behindDoc="0" locked="0" layoutInCell="1" allowOverlap="1" wp14:anchorId="4D427B6B" wp14:editId="5164C6F3">
              <wp:simplePos x="0" y="0"/>
              <wp:positionH relativeFrom="page">
                <wp:posOffset>4140835</wp:posOffset>
              </wp:positionH>
              <wp:positionV relativeFrom="page">
                <wp:posOffset>6840855</wp:posOffset>
              </wp:positionV>
              <wp:extent cx="5850000" cy="270000"/>
              <wp:effectExtent l="2713672" t="0" r="2712403"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50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8B25ED6" w14:textId="77777777" w:rsidR="007A70A2" w:rsidRPr="008C4557" w:rsidRDefault="007A70A2" w:rsidP="008C4557">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S145 </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r w:rsidRPr="00E75FAB">
                            <w:rPr>
                              <w:rFonts w:ascii="Arial Bold" w:hAnsi="Arial Bold" w:cs="Arial"/>
                              <w:b/>
                              <w:bCs/>
                              <w:i/>
                              <w:iCs/>
                              <w:sz w:val="28"/>
                              <w:szCs w:val="28"/>
                              <w14:shadow w14:blurRad="50800" w14:dist="38100" w14:dir="2700000" w14:sx="100000" w14:sy="100000" w14:kx="0" w14:ky="0" w14:algn="tl">
                                <w14:srgbClr w14:val="000000">
                                  <w14:alpha w14:val="60000"/>
                                </w14:srgbClr>
                              </w14:shadow>
                            </w:rPr>
                            <w:t>INSTALLATION AND MAINTENANCE OF UTILITY SERVICES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27B6B" id="_x0000_t202" coordsize="21600,21600" o:spt="202" path="m,l,21600r21600,l21600,xe">
              <v:stroke joinstyle="miter"/>
              <v:path gradientshapeok="t" o:connecttype="rect"/>
            </v:shapetype>
            <v:shape id="Text Box 4" o:spid="_x0000_s1028" type="#_x0000_t202" style="position:absolute;left:0;text-align:left;margin-left:326.05pt;margin-top:538.65pt;width:460.65pt;height:21.25pt;rotation:-5921140fd;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" filled="f" stroked="f">
              <v:stroke joinstyle="round"/>
              <o:lock v:ext="edit" shapetype="t"/>
              <v:textbox style="layout-flow:vertical;mso-layout-flow-alt:bottom-to-top">
                <w:txbxContent>
                  <w:p w14:paraId="18B25ED6" w14:textId="77777777" w:rsidR="007A70A2" w:rsidRPr="008C4557" w:rsidRDefault="007A70A2" w:rsidP="008C4557">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S145 </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r w:rsidRPr="00E75FAB">
                      <w:rPr>
                        <w:rFonts w:ascii="Arial Bold" w:hAnsi="Arial Bold" w:cs="Arial"/>
                        <w:b/>
                        <w:bCs/>
                        <w:i/>
                        <w:iCs/>
                        <w:sz w:val="28"/>
                        <w:szCs w:val="28"/>
                        <w14:shadow w14:blurRad="50800" w14:dist="38100" w14:dir="2700000" w14:sx="100000" w14:sy="100000" w14:kx="0" w14:ky="0" w14:algn="tl">
                          <w14:srgbClr w14:val="000000">
                            <w14:alpha w14:val="60000"/>
                          </w14:srgbClr>
                        </w14:shadow>
                      </w:rPr>
                      <w:t>INSTALLATION AND MAINTENANCE OF UTILITY SERVICES</w:t>
                    </w:r>
                  </w:p>
                </w:txbxContent>
              </v:textbox>
              <w10:wrap anchorx="page" anchory="page"/>
            </v:shape>
          </w:pict>
        </mc:Fallback>
      </mc:AlternateContent>
    </w:r>
    <w:r>
      <w:t xml:space="preserve">Revision </w:t>
    </w:r>
    <w:r w:rsidR="00284CC9">
      <w:t>4</w:t>
    </w:r>
    <w:r>
      <w:t xml:space="preserve">.0 – </w:t>
    </w:r>
    <w:r w:rsidR="006F5B91" w:rsidRPr="006F5B91">
      <w:t>March 2021</w:t>
    </w:r>
    <w:r w:rsidR="008338E8">
      <w:tab/>
    </w:r>
    <w:r w:rsidR="008338E8">
      <w:tab/>
    </w:r>
    <w:r w:rsidR="00284CC9">
      <w:fldChar w:fldCharType="begin"/>
    </w:r>
    <w:r w:rsidR="00284CC9">
      <w:instrText xml:space="preserve"> PAGE   \* MERGEFORMAT </w:instrText>
    </w:r>
    <w:r w:rsidR="00284CC9">
      <w:fldChar w:fldCharType="separate"/>
    </w:r>
    <w:r w:rsidR="00284CC9">
      <w:rPr>
        <w:noProof/>
      </w:rPr>
      <w:t>1</w:t>
    </w:r>
    <w:r w:rsidR="00284CC9">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0371C" w14:textId="4246A4E9" w:rsidR="00284CC9" w:rsidRDefault="00284CC9" w:rsidP="004854E2">
    <w:pPr>
      <w:pStyle w:val="Footer"/>
    </w:pPr>
    <w:r>
      <w:rPr>
        <w:noProof/>
      </w:rPr>
      <mc:AlternateContent>
        <mc:Choice Requires="wps">
          <w:drawing>
            <wp:anchor distT="0" distB="0" distL="114300" distR="114300" simplePos="0" relativeHeight="251673600" behindDoc="0" locked="0" layoutInCell="1" allowOverlap="1" wp14:anchorId="31BEDE8D" wp14:editId="22313A70">
              <wp:simplePos x="0" y="0"/>
              <wp:positionH relativeFrom="page">
                <wp:posOffset>4140835</wp:posOffset>
              </wp:positionH>
              <wp:positionV relativeFrom="page">
                <wp:posOffset>6840855</wp:posOffset>
              </wp:positionV>
              <wp:extent cx="5850000" cy="270000"/>
              <wp:effectExtent l="2713672" t="0" r="2712403"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50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687B7CD" w14:textId="77777777" w:rsidR="00284CC9" w:rsidRPr="008C4557" w:rsidRDefault="00284CC9" w:rsidP="008C4557">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S145 </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r w:rsidRPr="00E75FAB">
                            <w:rPr>
                              <w:rFonts w:ascii="Arial Bold" w:hAnsi="Arial Bold" w:cs="Arial"/>
                              <w:b/>
                              <w:bCs/>
                              <w:i/>
                              <w:iCs/>
                              <w:sz w:val="28"/>
                              <w:szCs w:val="28"/>
                              <w14:shadow w14:blurRad="50800" w14:dist="38100" w14:dir="2700000" w14:sx="100000" w14:sy="100000" w14:kx="0" w14:ky="0" w14:algn="tl">
                                <w14:srgbClr w14:val="000000">
                                  <w14:alpha w14:val="60000"/>
                                </w14:srgbClr>
                              </w14:shadow>
                            </w:rPr>
                            <w:t>INSTALLATION AND MAINTENANCE OF UTILITY SERVICES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EDE8D" id="_x0000_t202" coordsize="21600,21600" o:spt="202" path="m,l,21600r21600,l21600,xe">
              <v:stroke joinstyle="miter"/>
              <v:path gradientshapeok="t" o:connecttype="rect"/>
            </v:shapetype>
            <v:shape id="Text Box 6" o:spid="_x0000_s1029" type="#_x0000_t202" style="position:absolute;left:0;text-align:left;margin-left:326.05pt;margin-top:538.65pt;width:460.65pt;height:21.25pt;rotation:-5921140fd;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" filled="f" stroked="f">
              <v:stroke joinstyle="round"/>
              <o:lock v:ext="edit" shapetype="t"/>
              <v:textbox style="layout-flow:vertical;mso-layout-flow-alt:bottom-to-top">
                <w:txbxContent>
                  <w:p w14:paraId="2687B7CD" w14:textId="77777777" w:rsidR="00284CC9" w:rsidRPr="008C4557" w:rsidRDefault="00284CC9" w:rsidP="008C4557">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S145 </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r w:rsidRPr="00E75FAB">
                      <w:rPr>
                        <w:rFonts w:ascii="Arial Bold" w:hAnsi="Arial Bold" w:cs="Arial"/>
                        <w:b/>
                        <w:bCs/>
                        <w:i/>
                        <w:iCs/>
                        <w:sz w:val="28"/>
                        <w:szCs w:val="28"/>
                        <w14:shadow w14:blurRad="50800" w14:dist="38100" w14:dir="2700000" w14:sx="100000" w14:sy="100000" w14:kx="0" w14:ky="0" w14:algn="tl">
                          <w14:srgbClr w14:val="000000">
                            <w14:alpha w14:val="60000"/>
                          </w14:srgbClr>
                        </w14:shadow>
                      </w:rPr>
                      <w:t>INSTALLATION AND MAINTENANCE OF UTILITY SERVICES</w:t>
                    </w:r>
                  </w:p>
                </w:txbxContent>
              </v:textbox>
              <w10:wrap anchorx="page" anchory="page"/>
            </v:shape>
          </w:pict>
        </mc:Fallback>
      </mc:AlternateContent>
    </w:r>
    <w:r>
      <w:t xml:space="preserve">Revision 4.0 – </w:t>
    </w:r>
    <w:r w:rsidR="006F5B91" w:rsidRPr="006F5B91">
      <w:t>March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E3F28" w14:textId="2A508341" w:rsidR="00284CC9" w:rsidRDefault="00284CC9" w:rsidP="004854E2">
    <w:pPr>
      <w:pStyle w:val="Footer"/>
    </w:pPr>
    <w:r>
      <w:rPr>
        <w:noProof/>
      </w:rPr>
      <mc:AlternateContent>
        <mc:Choice Requires="wps">
          <w:drawing>
            <wp:anchor distT="0" distB="0" distL="114300" distR="114300" simplePos="0" relativeHeight="251651072" behindDoc="0" locked="0" layoutInCell="1" allowOverlap="1" wp14:anchorId="7499A7E3" wp14:editId="559B8C37">
              <wp:simplePos x="0" y="0"/>
              <wp:positionH relativeFrom="page">
                <wp:posOffset>4140835</wp:posOffset>
              </wp:positionH>
              <wp:positionV relativeFrom="page">
                <wp:posOffset>6840855</wp:posOffset>
              </wp:positionV>
              <wp:extent cx="5850000" cy="270000"/>
              <wp:effectExtent l="2713672" t="0" r="2712403"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50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AFD5109" w14:textId="77777777" w:rsidR="00284CC9" w:rsidRPr="008C4557" w:rsidRDefault="00284CC9" w:rsidP="008C4557">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S145 </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r w:rsidRPr="00E75FAB">
                            <w:rPr>
                              <w:rFonts w:ascii="Arial Bold" w:hAnsi="Arial Bold" w:cs="Arial"/>
                              <w:b/>
                              <w:bCs/>
                              <w:i/>
                              <w:iCs/>
                              <w:sz w:val="28"/>
                              <w:szCs w:val="28"/>
                              <w14:shadow w14:blurRad="50800" w14:dist="38100" w14:dir="2700000" w14:sx="100000" w14:sy="100000" w14:kx="0" w14:ky="0" w14:algn="tl">
                                <w14:srgbClr w14:val="000000">
                                  <w14:alpha w14:val="60000"/>
                                </w14:srgbClr>
                              </w14:shadow>
                            </w:rPr>
                            <w:t>INSTALLATION AND MAINTENANCE OF UTILITY SERVICES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9A7E3" id="_x0000_t202" coordsize="21600,21600" o:spt="202" path="m,l,21600r21600,l21600,xe">
              <v:stroke joinstyle="miter"/>
              <v:path gradientshapeok="t" o:connecttype="rect"/>
            </v:shapetype>
            <v:shape id="Text Box 5" o:spid="_x0000_s1030" type="#_x0000_t202" style="position:absolute;left:0;text-align:left;margin-left:326.05pt;margin-top:538.65pt;width:460.65pt;height:21.25pt;rotation:-5921140fd;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" filled="f" stroked="f">
              <v:stroke joinstyle="round"/>
              <o:lock v:ext="edit" shapetype="t"/>
              <v:textbox style="layout-flow:vertical;mso-layout-flow-alt:bottom-to-top">
                <w:txbxContent>
                  <w:p w14:paraId="5AFD5109" w14:textId="77777777" w:rsidR="00284CC9" w:rsidRPr="008C4557" w:rsidRDefault="00284CC9" w:rsidP="008C4557">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r w:rsidRPr="008C4557">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S145 </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r w:rsidRPr="00E75FAB">
                      <w:rPr>
                        <w:rFonts w:ascii="Arial Bold" w:hAnsi="Arial Bold" w:cs="Arial"/>
                        <w:b/>
                        <w:bCs/>
                        <w:i/>
                        <w:iCs/>
                        <w:sz w:val="28"/>
                        <w:szCs w:val="28"/>
                        <w14:shadow w14:blurRad="50800" w14:dist="38100" w14:dir="2700000" w14:sx="100000" w14:sy="100000" w14:kx="0" w14:ky="0" w14:algn="tl">
                          <w14:srgbClr w14:val="000000">
                            <w14:alpha w14:val="60000"/>
                          </w14:srgbClr>
                        </w14:shadow>
                      </w:rPr>
                      <w:t>INSTALLATION AND MAINTENANCE OF UTILITY SERVICES</w:t>
                    </w:r>
                  </w:p>
                </w:txbxContent>
              </v:textbox>
              <w10:wrap anchorx="page" anchory="page"/>
            </v:shape>
          </w:pict>
        </mc:Fallback>
      </mc:AlternateContent>
    </w:r>
    <w:r>
      <w:t xml:space="preserve">Revision 4.0 – </w:t>
    </w:r>
    <w:r w:rsidR="006F5B91" w:rsidRPr="006F5B91">
      <w:t>March 2021</w:t>
    </w:r>
    <w:r w:rsidR="008338E8">
      <w:tab/>
    </w:r>
    <w:r w:rsidR="008338E8">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80439" w14:textId="77777777" w:rsidR="00146A39" w:rsidRDefault="00146A39">
      <w:r>
        <w:separator/>
      </w:r>
    </w:p>
  </w:footnote>
  <w:footnote w:type="continuationSeparator" w:id="0">
    <w:p w14:paraId="083DB174" w14:textId="77777777" w:rsidR="00146A39" w:rsidRDefault="00146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56E18" w14:textId="3D12B144" w:rsidR="003B303A" w:rsidRDefault="005B43C2" w:rsidP="005B43C2">
    <w:pPr>
      <w:pStyle w:val="Header"/>
    </w:pPr>
    <w:r>
      <w:rPr>
        <w:noProof/>
      </w:rPr>
      <mc:AlternateContent>
        <mc:Choice Requires="wps">
          <w:drawing>
            <wp:anchor distT="0" distB="0" distL="114300" distR="114300" simplePos="0" relativeHeight="251665408" behindDoc="0" locked="0" layoutInCell="0" allowOverlap="1" wp14:anchorId="1ECD802A" wp14:editId="24E422B3">
              <wp:simplePos x="0" y="0"/>
              <wp:positionH relativeFrom="column">
                <wp:posOffset>3848100</wp:posOffset>
              </wp:positionH>
              <wp:positionV relativeFrom="paragraph">
                <wp:posOffset>3780790</wp:posOffset>
              </wp:positionV>
              <wp:extent cx="419100" cy="542925"/>
              <wp:effectExtent l="13970" t="13970" r="508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19100" cy="542925"/>
                      </a:xfrm>
                      <a:prstGeom prst="rect">
                        <a:avLst/>
                      </a:prstGeom>
                      <a:extLst>
                        <a:ext uri="{AF507438-7753-43E0-B8FC-AC1667EBCBE1}">
                          <a14:hiddenEffects xmlns:a14="http://schemas.microsoft.com/office/drawing/2010/main">
                            <a:effectLst/>
                          </a14:hiddenEffects>
                        </a:ext>
                      </a:extLst>
                    </wps:spPr>
                    <wps:txbx>
                      <w:txbxContent>
                        <w:p w14:paraId="403BDF86" w14:textId="77777777" w:rsidR="005B43C2" w:rsidRDefault="005B43C2" w:rsidP="005B43C2">
                          <w:pPr>
                            <w:jc w:val="center"/>
                            <w:rPr>
                              <w:sz w:val="24"/>
                              <w:szCs w:val="24"/>
                            </w:rP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CD802A" id="_x0000_t202" coordsize="21600,21600" o:spt="202" path="m,l,21600r21600,l21600,xe">
              <v:stroke joinstyle="miter"/>
              <v:path gradientshapeok="t" o:connecttype="rect"/>
            </v:shapetype>
            <v:shape id="Text Box 2" o:spid="_x0000_s1026" type="#_x0000_t202" style="position:absolute;left:0;text-align:left;margin-left:303pt;margin-top:297.7pt;width:33pt;height:42.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" o:allowincell="f" filled="f" stroked="f">
              <o:lock v:ext="edit" shapetype="t"/>
              <v:textbox style="mso-fit-shape-to-text:t">
                <w:txbxContent>
                  <w:p w14:paraId="403BDF86" w14:textId="77777777" w:rsidR="005B43C2" w:rsidRDefault="005B43C2" w:rsidP="005B43C2">
                    <w:pPr>
                      <w:jc w:val="center"/>
                      <w:rPr>
                        <w:sz w:val="24"/>
                        <w:szCs w:val="24"/>
                      </w:rP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135AD" w14:textId="3350A487" w:rsidR="003B303A" w:rsidRPr="005B43C2" w:rsidRDefault="003B303A" w:rsidP="005B43C2">
    <w:pPr>
      <w:pStyle w:val="Header"/>
    </w:pPr>
    <w:r>
      <w:rPr>
        <w:noProof/>
      </w:rPr>
      <w:drawing>
        <wp:inline distT="0" distB="0" distL="0" distR="0" wp14:anchorId="2235C262" wp14:editId="05FB34B6">
          <wp:extent cx="1384069" cy="720000"/>
          <wp:effectExtent l="0" t="0" r="6985" b="4445"/>
          <wp:docPr id="35" name="Picture 35" descr="BCC Logo (Colou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CC Logo (Colour)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069" cy="7200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68596" w14:textId="77777777" w:rsidR="0073746C" w:rsidRDefault="007374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374C5" w14:textId="61C7261C" w:rsidR="005B43C2" w:rsidRDefault="005B43C2" w:rsidP="005B43C2">
    <w:pPr>
      <w:pStyle w:val="Header"/>
    </w:pPr>
    <w:r w:rsidRPr="000E643B">
      <w:t xml:space="preserve">Brisbane </w:t>
    </w:r>
    <w:r w:rsidR="00675A72">
      <w:t>City Council</w:t>
    </w:r>
    <w:r w:rsidR="007D612D">
      <w:tab/>
    </w:r>
    <w:r w:rsidR="007D612D">
      <w:tab/>
    </w:r>
    <w:r w:rsidRPr="00A00CE6">
      <w:t>Reference Specifications for Engineering Work</w:t>
    </w:r>
    <w:r w:rsidR="007D612D">
      <w:t xml:space="preserve"> S145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16A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6833ED"/>
    <w:multiLevelType w:val="hybridMultilevel"/>
    <w:tmpl w:val="3B4C337A"/>
    <w:lvl w:ilvl="0" w:tplc="7AB26730">
      <w:start w:val="40"/>
      <w:numFmt w:val="bullet"/>
      <w:lvlText w:val=""/>
      <w:lvlJc w:val="left"/>
      <w:pPr>
        <w:tabs>
          <w:tab w:val="num" w:pos="1069"/>
        </w:tabs>
        <w:ind w:left="1069" w:hanging="360"/>
      </w:pPr>
      <w:rPr>
        <w:rFonts w:ascii="Symbol" w:eastAsia="Times New Roman" w:hAnsi="Symbol" w:cs="Times New Roman"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BD06151"/>
    <w:multiLevelType w:val="multilevel"/>
    <w:tmpl w:val="AB94E1D0"/>
    <w:lvl w:ilvl="0">
      <w:start w:val="1"/>
      <w:numFmt w:val="decimal"/>
      <w:lvlText w:val="%1."/>
      <w:lvlJc w:val="left"/>
      <w:pPr>
        <w:tabs>
          <w:tab w:val="num" w:pos="1418"/>
        </w:tabs>
        <w:ind w:left="1418" w:hanging="709"/>
      </w:pPr>
      <w:rPr>
        <w:rFonts w:ascii="Arial" w:hAnsi="Arial" w:hint="default"/>
        <w:b w:val="0"/>
        <w:i w:val="0"/>
        <w:strike w:val="0"/>
        <w:dstrike w:val="0"/>
        <w:color w:val="auto"/>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B47EC5"/>
    <w:multiLevelType w:val="hybridMultilevel"/>
    <w:tmpl w:val="7F02D212"/>
    <w:lvl w:ilvl="0" w:tplc="ED7C647C">
      <w:start w:val="1"/>
      <w:numFmt w:val="decimal"/>
      <w:lvlText w:val="(%1)"/>
      <w:lvlJc w:val="left"/>
      <w:pPr>
        <w:ind w:left="1140" w:hanging="4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4BF0AE4"/>
    <w:multiLevelType w:val="multilevel"/>
    <w:tmpl w:val="F676A102"/>
    <w:lvl w:ilvl="0">
      <w:numFmt w:val="bullet"/>
      <w:lvlText w:val="-"/>
      <w:lvlJc w:val="left"/>
      <w:pPr>
        <w:tabs>
          <w:tab w:val="num" w:pos="425"/>
        </w:tabs>
        <w:ind w:left="425" w:hanging="425"/>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513E9"/>
    <w:multiLevelType w:val="hybridMultilevel"/>
    <w:tmpl w:val="0C090005"/>
    <w:lvl w:ilvl="0" w:tplc="916C714E">
      <w:start w:val="1"/>
      <w:numFmt w:val="bullet"/>
      <w:lvlText w:val=""/>
      <w:lvlJc w:val="left"/>
      <w:pPr>
        <w:tabs>
          <w:tab w:val="num" w:pos="360"/>
        </w:tabs>
        <w:ind w:left="360" w:hanging="360"/>
      </w:pPr>
      <w:rPr>
        <w:rFonts w:ascii="Wingdings" w:hAnsi="Wingdings" w:hint="default"/>
      </w:rPr>
    </w:lvl>
    <w:lvl w:ilvl="1" w:tplc="3E5E0A1C">
      <w:numFmt w:val="decimal"/>
      <w:lvlText w:val=""/>
      <w:lvlJc w:val="left"/>
    </w:lvl>
    <w:lvl w:ilvl="2" w:tplc="53EE47F4">
      <w:numFmt w:val="decimal"/>
      <w:lvlText w:val=""/>
      <w:lvlJc w:val="left"/>
    </w:lvl>
    <w:lvl w:ilvl="3" w:tplc="D35E3EAC">
      <w:numFmt w:val="decimal"/>
      <w:lvlText w:val=""/>
      <w:lvlJc w:val="left"/>
    </w:lvl>
    <w:lvl w:ilvl="4" w:tplc="B6CAE0CC">
      <w:numFmt w:val="decimal"/>
      <w:lvlText w:val=""/>
      <w:lvlJc w:val="left"/>
    </w:lvl>
    <w:lvl w:ilvl="5" w:tplc="B0FA1B94">
      <w:numFmt w:val="decimal"/>
      <w:lvlText w:val=""/>
      <w:lvlJc w:val="left"/>
    </w:lvl>
    <w:lvl w:ilvl="6" w:tplc="3BB4F12E">
      <w:numFmt w:val="decimal"/>
      <w:lvlText w:val=""/>
      <w:lvlJc w:val="left"/>
    </w:lvl>
    <w:lvl w:ilvl="7" w:tplc="30220092">
      <w:numFmt w:val="decimal"/>
      <w:lvlText w:val=""/>
      <w:lvlJc w:val="left"/>
    </w:lvl>
    <w:lvl w:ilvl="8" w:tplc="1F72A7A6">
      <w:numFmt w:val="decimal"/>
      <w:lvlText w:val=""/>
      <w:lvlJc w:val="left"/>
    </w:lvl>
  </w:abstractNum>
  <w:abstractNum w:abstractNumId="6" w15:restartNumberingAfterBreak="0">
    <w:nsid w:val="1C800826"/>
    <w:multiLevelType w:val="hybridMultilevel"/>
    <w:tmpl w:val="A24E03A4"/>
    <w:lvl w:ilvl="0" w:tplc="F4F8822C">
      <w:start w:val="1"/>
      <w:numFmt w:val="bullet"/>
      <w:lvlText w:val=""/>
      <w:lvlJc w:val="left"/>
      <w:pPr>
        <w:tabs>
          <w:tab w:val="num" w:pos="1344"/>
        </w:tabs>
        <w:ind w:left="1344" w:hanging="510"/>
      </w:pPr>
      <w:rPr>
        <w:rFonts w:ascii="Symbol" w:hAnsi="Symbol" w:hint="default"/>
      </w:rPr>
    </w:lvl>
    <w:lvl w:ilvl="1" w:tplc="0C090003" w:tentative="1">
      <w:start w:val="1"/>
      <w:numFmt w:val="bullet"/>
      <w:lvlText w:val="o"/>
      <w:lvlJc w:val="left"/>
      <w:pPr>
        <w:tabs>
          <w:tab w:val="num" w:pos="2217"/>
        </w:tabs>
        <w:ind w:left="2217" w:hanging="360"/>
      </w:pPr>
      <w:rPr>
        <w:rFonts w:ascii="Courier New" w:hAnsi="Courier New" w:cs="Courier New" w:hint="default"/>
      </w:rPr>
    </w:lvl>
    <w:lvl w:ilvl="2" w:tplc="0C090005" w:tentative="1">
      <w:start w:val="1"/>
      <w:numFmt w:val="bullet"/>
      <w:lvlText w:val=""/>
      <w:lvlJc w:val="left"/>
      <w:pPr>
        <w:tabs>
          <w:tab w:val="num" w:pos="2937"/>
        </w:tabs>
        <w:ind w:left="2937" w:hanging="360"/>
      </w:pPr>
      <w:rPr>
        <w:rFonts w:ascii="Wingdings" w:hAnsi="Wingdings" w:hint="default"/>
      </w:rPr>
    </w:lvl>
    <w:lvl w:ilvl="3" w:tplc="0C090001" w:tentative="1">
      <w:start w:val="1"/>
      <w:numFmt w:val="bullet"/>
      <w:lvlText w:val=""/>
      <w:lvlJc w:val="left"/>
      <w:pPr>
        <w:tabs>
          <w:tab w:val="num" w:pos="3657"/>
        </w:tabs>
        <w:ind w:left="3657" w:hanging="360"/>
      </w:pPr>
      <w:rPr>
        <w:rFonts w:ascii="Symbol" w:hAnsi="Symbol" w:hint="default"/>
      </w:rPr>
    </w:lvl>
    <w:lvl w:ilvl="4" w:tplc="0C090003" w:tentative="1">
      <w:start w:val="1"/>
      <w:numFmt w:val="bullet"/>
      <w:lvlText w:val="o"/>
      <w:lvlJc w:val="left"/>
      <w:pPr>
        <w:tabs>
          <w:tab w:val="num" w:pos="4377"/>
        </w:tabs>
        <w:ind w:left="4377" w:hanging="360"/>
      </w:pPr>
      <w:rPr>
        <w:rFonts w:ascii="Courier New" w:hAnsi="Courier New" w:cs="Courier New" w:hint="default"/>
      </w:rPr>
    </w:lvl>
    <w:lvl w:ilvl="5" w:tplc="0C090005" w:tentative="1">
      <w:start w:val="1"/>
      <w:numFmt w:val="bullet"/>
      <w:lvlText w:val=""/>
      <w:lvlJc w:val="left"/>
      <w:pPr>
        <w:tabs>
          <w:tab w:val="num" w:pos="5097"/>
        </w:tabs>
        <w:ind w:left="5097" w:hanging="360"/>
      </w:pPr>
      <w:rPr>
        <w:rFonts w:ascii="Wingdings" w:hAnsi="Wingdings" w:hint="default"/>
      </w:rPr>
    </w:lvl>
    <w:lvl w:ilvl="6" w:tplc="0C090001" w:tentative="1">
      <w:start w:val="1"/>
      <w:numFmt w:val="bullet"/>
      <w:lvlText w:val=""/>
      <w:lvlJc w:val="left"/>
      <w:pPr>
        <w:tabs>
          <w:tab w:val="num" w:pos="5817"/>
        </w:tabs>
        <w:ind w:left="5817" w:hanging="360"/>
      </w:pPr>
      <w:rPr>
        <w:rFonts w:ascii="Symbol" w:hAnsi="Symbol" w:hint="default"/>
      </w:rPr>
    </w:lvl>
    <w:lvl w:ilvl="7" w:tplc="0C090003" w:tentative="1">
      <w:start w:val="1"/>
      <w:numFmt w:val="bullet"/>
      <w:lvlText w:val="o"/>
      <w:lvlJc w:val="left"/>
      <w:pPr>
        <w:tabs>
          <w:tab w:val="num" w:pos="6537"/>
        </w:tabs>
        <w:ind w:left="6537" w:hanging="360"/>
      </w:pPr>
      <w:rPr>
        <w:rFonts w:ascii="Courier New" w:hAnsi="Courier New" w:cs="Courier New" w:hint="default"/>
      </w:rPr>
    </w:lvl>
    <w:lvl w:ilvl="8" w:tplc="0C090005" w:tentative="1">
      <w:start w:val="1"/>
      <w:numFmt w:val="bullet"/>
      <w:lvlText w:val=""/>
      <w:lvlJc w:val="left"/>
      <w:pPr>
        <w:tabs>
          <w:tab w:val="num" w:pos="7257"/>
        </w:tabs>
        <w:ind w:left="7257" w:hanging="360"/>
      </w:pPr>
      <w:rPr>
        <w:rFonts w:ascii="Wingdings" w:hAnsi="Wingdings" w:hint="default"/>
      </w:rPr>
    </w:lvl>
  </w:abstractNum>
  <w:abstractNum w:abstractNumId="7" w15:restartNumberingAfterBreak="0">
    <w:nsid w:val="1C841EC8"/>
    <w:multiLevelType w:val="multilevel"/>
    <w:tmpl w:val="6BA4FE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E6E1D04"/>
    <w:multiLevelType w:val="hybridMultilevel"/>
    <w:tmpl w:val="B396F3B6"/>
    <w:lvl w:ilvl="0" w:tplc="F4F8822C">
      <w:start w:val="1"/>
      <w:numFmt w:val="bullet"/>
      <w:lvlText w:val=""/>
      <w:lvlJc w:val="left"/>
      <w:pPr>
        <w:tabs>
          <w:tab w:val="num" w:pos="1287"/>
        </w:tabs>
        <w:ind w:left="1287" w:hanging="51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7801AC"/>
    <w:multiLevelType w:val="hybridMultilevel"/>
    <w:tmpl w:val="85D4A3D0"/>
    <w:lvl w:ilvl="0" w:tplc="B0ECFB3C">
      <w:start w:val="6"/>
      <w:numFmt w:val="bullet"/>
      <w:lvlText w:val="-"/>
      <w:lvlJc w:val="left"/>
      <w:pPr>
        <w:tabs>
          <w:tab w:val="num" w:pos="360"/>
        </w:tabs>
        <w:ind w:left="340" w:hanging="340"/>
      </w:pPr>
      <w:rPr>
        <w:rFonts w:hint="default"/>
      </w:rPr>
    </w:lvl>
    <w:lvl w:ilvl="1" w:tplc="D568AB7E">
      <w:numFmt w:val="decimal"/>
      <w:lvlText w:val=""/>
      <w:lvlJc w:val="left"/>
    </w:lvl>
    <w:lvl w:ilvl="2" w:tplc="A82C2940">
      <w:numFmt w:val="decimal"/>
      <w:lvlText w:val=""/>
      <w:lvlJc w:val="left"/>
    </w:lvl>
    <w:lvl w:ilvl="3" w:tplc="D764D83C">
      <w:numFmt w:val="decimal"/>
      <w:lvlText w:val=""/>
      <w:lvlJc w:val="left"/>
    </w:lvl>
    <w:lvl w:ilvl="4" w:tplc="18F49D82">
      <w:numFmt w:val="decimal"/>
      <w:lvlText w:val=""/>
      <w:lvlJc w:val="left"/>
    </w:lvl>
    <w:lvl w:ilvl="5" w:tplc="1A6862DA">
      <w:numFmt w:val="decimal"/>
      <w:lvlText w:val=""/>
      <w:lvlJc w:val="left"/>
    </w:lvl>
    <w:lvl w:ilvl="6" w:tplc="D0E43FC0">
      <w:numFmt w:val="decimal"/>
      <w:lvlText w:val=""/>
      <w:lvlJc w:val="left"/>
    </w:lvl>
    <w:lvl w:ilvl="7" w:tplc="3BAEDB6E">
      <w:numFmt w:val="decimal"/>
      <w:lvlText w:val=""/>
      <w:lvlJc w:val="left"/>
    </w:lvl>
    <w:lvl w:ilvl="8" w:tplc="C1489A44">
      <w:numFmt w:val="decimal"/>
      <w:lvlText w:val=""/>
      <w:lvlJc w:val="left"/>
    </w:lvl>
  </w:abstractNum>
  <w:abstractNum w:abstractNumId="10" w15:restartNumberingAfterBreak="0">
    <w:nsid w:val="23D73373"/>
    <w:multiLevelType w:val="hybridMultilevel"/>
    <w:tmpl w:val="13948570"/>
    <w:lvl w:ilvl="0" w:tplc="F4F8822C">
      <w:start w:val="1"/>
      <w:numFmt w:val="bullet"/>
      <w:lvlText w:val=""/>
      <w:lvlJc w:val="left"/>
      <w:pPr>
        <w:tabs>
          <w:tab w:val="num" w:pos="510"/>
        </w:tabs>
        <w:ind w:left="510" w:hanging="510"/>
      </w:pPr>
      <w:rPr>
        <w:rFonts w:ascii="Symbol" w:hAnsi="Symbol" w:hint="default"/>
      </w:rPr>
    </w:lvl>
    <w:lvl w:ilvl="1" w:tplc="0C090003" w:tentative="1">
      <w:start w:val="1"/>
      <w:numFmt w:val="bullet"/>
      <w:lvlText w:val="o"/>
      <w:lvlJc w:val="left"/>
      <w:pPr>
        <w:tabs>
          <w:tab w:val="num" w:pos="1383"/>
        </w:tabs>
        <w:ind w:left="1383" w:hanging="360"/>
      </w:pPr>
      <w:rPr>
        <w:rFonts w:ascii="Courier New" w:hAnsi="Courier New" w:cs="Courier New" w:hint="default"/>
      </w:rPr>
    </w:lvl>
    <w:lvl w:ilvl="2" w:tplc="0C090005" w:tentative="1">
      <w:start w:val="1"/>
      <w:numFmt w:val="bullet"/>
      <w:lvlText w:val=""/>
      <w:lvlJc w:val="left"/>
      <w:pPr>
        <w:tabs>
          <w:tab w:val="num" w:pos="2103"/>
        </w:tabs>
        <w:ind w:left="2103" w:hanging="360"/>
      </w:pPr>
      <w:rPr>
        <w:rFonts w:ascii="Wingdings" w:hAnsi="Wingdings" w:hint="default"/>
      </w:rPr>
    </w:lvl>
    <w:lvl w:ilvl="3" w:tplc="0C090001" w:tentative="1">
      <w:start w:val="1"/>
      <w:numFmt w:val="bullet"/>
      <w:lvlText w:val=""/>
      <w:lvlJc w:val="left"/>
      <w:pPr>
        <w:tabs>
          <w:tab w:val="num" w:pos="2823"/>
        </w:tabs>
        <w:ind w:left="2823" w:hanging="360"/>
      </w:pPr>
      <w:rPr>
        <w:rFonts w:ascii="Symbol" w:hAnsi="Symbol" w:hint="default"/>
      </w:rPr>
    </w:lvl>
    <w:lvl w:ilvl="4" w:tplc="0C090003" w:tentative="1">
      <w:start w:val="1"/>
      <w:numFmt w:val="bullet"/>
      <w:lvlText w:val="o"/>
      <w:lvlJc w:val="left"/>
      <w:pPr>
        <w:tabs>
          <w:tab w:val="num" w:pos="3543"/>
        </w:tabs>
        <w:ind w:left="3543" w:hanging="360"/>
      </w:pPr>
      <w:rPr>
        <w:rFonts w:ascii="Courier New" w:hAnsi="Courier New" w:cs="Courier New" w:hint="default"/>
      </w:rPr>
    </w:lvl>
    <w:lvl w:ilvl="5" w:tplc="0C090005" w:tentative="1">
      <w:start w:val="1"/>
      <w:numFmt w:val="bullet"/>
      <w:lvlText w:val=""/>
      <w:lvlJc w:val="left"/>
      <w:pPr>
        <w:tabs>
          <w:tab w:val="num" w:pos="4263"/>
        </w:tabs>
        <w:ind w:left="4263" w:hanging="360"/>
      </w:pPr>
      <w:rPr>
        <w:rFonts w:ascii="Wingdings" w:hAnsi="Wingdings" w:hint="default"/>
      </w:rPr>
    </w:lvl>
    <w:lvl w:ilvl="6" w:tplc="0C090001" w:tentative="1">
      <w:start w:val="1"/>
      <w:numFmt w:val="bullet"/>
      <w:lvlText w:val=""/>
      <w:lvlJc w:val="left"/>
      <w:pPr>
        <w:tabs>
          <w:tab w:val="num" w:pos="4983"/>
        </w:tabs>
        <w:ind w:left="4983" w:hanging="360"/>
      </w:pPr>
      <w:rPr>
        <w:rFonts w:ascii="Symbol" w:hAnsi="Symbol" w:hint="default"/>
      </w:rPr>
    </w:lvl>
    <w:lvl w:ilvl="7" w:tplc="0C090003" w:tentative="1">
      <w:start w:val="1"/>
      <w:numFmt w:val="bullet"/>
      <w:lvlText w:val="o"/>
      <w:lvlJc w:val="left"/>
      <w:pPr>
        <w:tabs>
          <w:tab w:val="num" w:pos="5703"/>
        </w:tabs>
        <w:ind w:left="5703" w:hanging="360"/>
      </w:pPr>
      <w:rPr>
        <w:rFonts w:ascii="Courier New" w:hAnsi="Courier New" w:cs="Courier New" w:hint="default"/>
      </w:rPr>
    </w:lvl>
    <w:lvl w:ilvl="8" w:tplc="0C090005" w:tentative="1">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266D5809"/>
    <w:multiLevelType w:val="hybridMultilevel"/>
    <w:tmpl w:val="0C090005"/>
    <w:lvl w:ilvl="0" w:tplc="8EEA1EC6">
      <w:start w:val="1"/>
      <w:numFmt w:val="bullet"/>
      <w:lvlText w:val=""/>
      <w:lvlJc w:val="left"/>
      <w:pPr>
        <w:tabs>
          <w:tab w:val="num" w:pos="360"/>
        </w:tabs>
        <w:ind w:left="360" w:hanging="360"/>
      </w:pPr>
      <w:rPr>
        <w:rFonts w:ascii="Wingdings" w:hAnsi="Wingdings" w:hint="default"/>
      </w:rPr>
    </w:lvl>
    <w:lvl w:ilvl="1" w:tplc="11E8411C">
      <w:numFmt w:val="decimal"/>
      <w:lvlText w:val=""/>
      <w:lvlJc w:val="left"/>
    </w:lvl>
    <w:lvl w:ilvl="2" w:tplc="2D58160E">
      <w:numFmt w:val="decimal"/>
      <w:lvlText w:val=""/>
      <w:lvlJc w:val="left"/>
    </w:lvl>
    <w:lvl w:ilvl="3" w:tplc="625E220C">
      <w:numFmt w:val="decimal"/>
      <w:lvlText w:val=""/>
      <w:lvlJc w:val="left"/>
    </w:lvl>
    <w:lvl w:ilvl="4" w:tplc="B0683530">
      <w:numFmt w:val="decimal"/>
      <w:lvlText w:val=""/>
      <w:lvlJc w:val="left"/>
    </w:lvl>
    <w:lvl w:ilvl="5" w:tplc="E702BEA0">
      <w:numFmt w:val="decimal"/>
      <w:lvlText w:val=""/>
      <w:lvlJc w:val="left"/>
    </w:lvl>
    <w:lvl w:ilvl="6" w:tplc="95185836">
      <w:numFmt w:val="decimal"/>
      <w:lvlText w:val=""/>
      <w:lvlJc w:val="left"/>
    </w:lvl>
    <w:lvl w:ilvl="7" w:tplc="6C5684E2">
      <w:numFmt w:val="decimal"/>
      <w:lvlText w:val=""/>
      <w:lvlJc w:val="left"/>
    </w:lvl>
    <w:lvl w:ilvl="8" w:tplc="3DCAF8EE">
      <w:numFmt w:val="decimal"/>
      <w:lvlText w:val=""/>
      <w:lvlJc w:val="left"/>
    </w:lvl>
  </w:abstractNum>
  <w:abstractNum w:abstractNumId="12" w15:restartNumberingAfterBreak="0">
    <w:nsid w:val="2684414B"/>
    <w:multiLevelType w:val="singleLevel"/>
    <w:tmpl w:val="85D4A3D0"/>
    <w:lvl w:ilvl="0">
      <w:start w:val="6"/>
      <w:numFmt w:val="bullet"/>
      <w:lvlText w:val="-"/>
      <w:lvlJc w:val="left"/>
      <w:pPr>
        <w:tabs>
          <w:tab w:val="num" w:pos="360"/>
        </w:tabs>
        <w:ind w:left="340" w:hanging="340"/>
      </w:pPr>
      <w:rPr>
        <w:rFonts w:hint="default"/>
      </w:rPr>
    </w:lvl>
  </w:abstractNum>
  <w:abstractNum w:abstractNumId="13" w15:restartNumberingAfterBreak="0">
    <w:nsid w:val="2A6F1AF5"/>
    <w:multiLevelType w:val="singleLevel"/>
    <w:tmpl w:val="85D4A3D0"/>
    <w:lvl w:ilvl="0">
      <w:start w:val="6"/>
      <w:numFmt w:val="bullet"/>
      <w:lvlText w:val="-"/>
      <w:lvlJc w:val="left"/>
      <w:pPr>
        <w:tabs>
          <w:tab w:val="num" w:pos="360"/>
        </w:tabs>
        <w:ind w:left="340" w:hanging="340"/>
      </w:pPr>
      <w:rPr>
        <w:rFonts w:hint="default"/>
      </w:rPr>
    </w:lvl>
  </w:abstractNum>
  <w:abstractNum w:abstractNumId="14" w15:restartNumberingAfterBreak="0">
    <w:nsid w:val="348171E9"/>
    <w:multiLevelType w:val="hybridMultilevel"/>
    <w:tmpl w:val="11B0FDC6"/>
    <w:lvl w:ilvl="0" w:tplc="D818BFD0">
      <w:numFmt w:val="bullet"/>
      <w:pStyle w:val="TableDot"/>
      <w:lvlText w:val="-"/>
      <w:lvlJc w:val="left"/>
      <w:pPr>
        <w:tabs>
          <w:tab w:val="num" w:pos="284"/>
        </w:tabs>
        <w:ind w:left="284" w:hanging="284"/>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74F90"/>
    <w:multiLevelType w:val="multilevel"/>
    <w:tmpl w:val="E20C70BE"/>
    <w:lvl w:ilvl="0">
      <w:start w:val="1"/>
      <w:numFmt w:val="decimal"/>
      <w:lvlText w:val="%1."/>
      <w:lvlJc w:val="left"/>
      <w:pPr>
        <w:tabs>
          <w:tab w:val="num" w:pos="1418"/>
        </w:tabs>
        <w:ind w:left="1418"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8D50937"/>
    <w:multiLevelType w:val="hybridMultilevel"/>
    <w:tmpl w:val="835011C4"/>
    <w:lvl w:ilvl="0" w:tplc="278C9CE4">
      <w:start w:val="1"/>
      <w:numFmt w:val="bullet"/>
      <w:lvlText w:val=""/>
      <w:lvlJc w:val="left"/>
      <w:pPr>
        <w:tabs>
          <w:tab w:val="num" w:pos="1400"/>
        </w:tabs>
        <w:ind w:left="680" w:firstLine="0"/>
      </w:pPr>
      <w:rPr>
        <w:rFonts w:ascii="Symbol" w:hAnsi="Symbol" w:hint="default"/>
      </w:rPr>
    </w:lvl>
    <w:lvl w:ilvl="1" w:tplc="0C090003" w:tentative="1">
      <w:start w:val="1"/>
      <w:numFmt w:val="bullet"/>
      <w:lvlText w:val="o"/>
      <w:lvlJc w:val="left"/>
      <w:pPr>
        <w:tabs>
          <w:tab w:val="num" w:pos="2120"/>
        </w:tabs>
        <w:ind w:left="2120" w:hanging="360"/>
      </w:pPr>
      <w:rPr>
        <w:rFonts w:ascii="Courier New" w:hAnsi="Courier New" w:cs="Courier New" w:hint="default"/>
      </w:rPr>
    </w:lvl>
    <w:lvl w:ilvl="2" w:tplc="0C090005" w:tentative="1">
      <w:start w:val="1"/>
      <w:numFmt w:val="bullet"/>
      <w:lvlText w:val=""/>
      <w:lvlJc w:val="left"/>
      <w:pPr>
        <w:tabs>
          <w:tab w:val="num" w:pos="2840"/>
        </w:tabs>
        <w:ind w:left="2840" w:hanging="360"/>
      </w:pPr>
      <w:rPr>
        <w:rFonts w:ascii="Wingdings" w:hAnsi="Wingdings" w:hint="default"/>
      </w:rPr>
    </w:lvl>
    <w:lvl w:ilvl="3" w:tplc="0C090001" w:tentative="1">
      <w:start w:val="1"/>
      <w:numFmt w:val="bullet"/>
      <w:lvlText w:val=""/>
      <w:lvlJc w:val="left"/>
      <w:pPr>
        <w:tabs>
          <w:tab w:val="num" w:pos="3560"/>
        </w:tabs>
        <w:ind w:left="3560" w:hanging="360"/>
      </w:pPr>
      <w:rPr>
        <w:rFonts w:ascii="Symbol" w:hAnsi="Symbol" w:hint="default"/>
      </w:rPr>
    </w:lvl>
    <w:lvl w:ilvl="4" w:tplc="0C090003" w:tentative="1">
      <w:start w:val="1"/>
      <w:numFmt w:val="bullet"/>
      <w:lvlText w:val="o"/>
      <w:lvlJc w:val="left"/>
      <w:pPr>
        <w:tabs>
          <w:tab w:val="num" w:pos="4280"/>
        </w:tabs>
        <w:ind w:left="4280" w:hanging="360"/>
      </w:pPr>
      <w:rPr>
        <w:rFonts w:ascii="Courier New" w:hAnsi="Courier New" w:cs="Courier New" w:hint="default"/>
      </w:rPr>
    </w:lvl>
    <w:lvl w:ilvl="5" w:tplc="0C090005" w:tentative="1">
      <w:start w:val="1"/>
      <w:numFmt w:val="bullet"/>
      <w:lvlText w:val=""/>
      <w:lvlJc w:val="left"/>
      <w:pPr>
        <w:tabs>
          <w:tab w:val="num" w:pos="5000"/>
        </w:tabs>
        <w:ind w:left="5000" w:hanging="360"/>
      </w:pPr>
      <w:rPr>
        <w:rFonts w:ascii="Wingdings" w:hAnsi="Wingdings" w:hint="default"/>
      </w:rPr>
    </w:lvl>
    <w:lvl w:ilvl="6" w:tplc="0C090001" w:tentative="1">
      <w:start w:val="1"/>
      <w:numFmt w:val="bullet"/>
      <w:lvlText w:val=""/>
      <w:lvlJc w:val="left"/>
      <w:pPr>
        <w:tabs>
          <w:tab w:val="num" w:pos="5720"/>
        </w:tabs>
        <w:ind w:left="5720" w:hanging="360"/>
      </w:pPr>
      <w:rPr>
        <w:rFonts w:ascii="Symbol" w:hAnsi="Symbol" w:hint="default"/>
      </w:rPr>
    </w:lvl>
    <w:lvl w:ilvl="7" w:tplc="0C090003" w:tentative="1">
      <w:start w:val="1"/>
      <w:numFmt w:val="bullet"/>
      <w:lvlText w:val="o"/>
      <w:lvlJc w:val="left"/>
      <w:pPr>
        <w:tabs>
          <w:tab w:val="num" w:pos="6440"/>
        </w:tabs>
        <w:ind w:left="6440" w:hanging="360"/>
      </w:pPr>
      <w:rPr>
        <w:rFonts w:ascii="Courier New" w:hAnsi="Courier New" w:cs="Courier New" w:hint="default"/>
      </w:rPr>
    </w:lvl>
    <w:lvl w:ilvl="8" w:tplc="0C090005" w:tentative="1">
      <w:start w:val="1"/>
      <w:numFmt w:val="bullet"/>
      <w:lvlText w:val=""/>
      <w:lvlJc w:val="left"/>
      <w:pPr>
        <w:tabs>
          <w:tab w:val="num" w:pos="7160"/>
        </w:tabs>
        <w:ind w:left="7160" w:hanging="360"/>
      </w:pPr>
      <w:rPr>
        <w:rFonts w:ascii="Wingdings" w:hAnsi="Wingdings" w:hint="default"/>
      </w:rPr>
    </w:lvl>
  </w:abstractNum>
  <w:abstractNum w:abstractNumId="17" w15:restartNumberingAfterBreak="0">
    <w:nsid w:val="3E4938D3"/>
    <w:multiLevelType w:val="multilevel"/>
    <w:tmpl w:val="5D283D02"/>
    <w:lvl w:ilvl="0">
      <w:start w:val="1"/>
      <w:numFmt w:val="lowerLetter"/>
      <w:lvlText w:val="(%1)"/>
      <w:lvlJc w:val="left"/>
      <w:pPr>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922F14"/>
    <w:multiLevelType w:val="hybridMultilevel"/>
    <w:tmpl w:val="12384B26"/>
    <w:lvl w:ilvl="0" w:tplc="B5D66BD8">
      <w:start w:val="1"/>
      <w:numFmt w:val="decimal"/>
      <w:lvlText w:val="%1."/>
      <w:lvlJc w:val="left"/>
      <w:pPr>
        <w:tabs>
          <w:tab w:val="num" w:pos="1134"/>
        </w:tabs>
        <w:ind w:left="1134" w:hanging="425"/>
      </w:pPr>
      <w:rPr>
        <w:rFonts w:ascii="Arial" w:hAnsi="Arial" w:hint="default"/>
        <w:b w:val="0"/>
        <w:i w:val="0"/>
        <w:caps w:val="0"/>
        <w:strike w:val="0"/>
        <w:dstrike w:val="0"/>
        <w:vanish w:val="0"/>
        <w:color w:val="auto"/>
        <w:sz w:val="18"/>
        <w:u w:val="none"/>
        <w:vertAlign w:val="superscript"/>
        <w14:shadow w14:blurRad="0" w14:dist="0" w14:dir="0" w14:sx="0" w14:sy="0" w14:kx="0" w14:ky="0" w14:algn="none">
          <w14:srgbClr w14:val="000000"/>
        </w14:shadow>
        <w14:textOutline w14:w="0" w14:cap="rnd" w14:cmpd="sng" w14:algn="ctr">
          <w14:noFill/>
          <w14:prstDash w14:val="solid"/>
          <w14:bevel/>
        </w14:textOutline>
      </w:rPr>
    </w:lvl>
    <w:lvl w:ilvl="1" w:tplc="D2FC88FA">
      <w:start w:val="1"/>
      <w:numFmt w:val="lowerLetter"/>
      <w:lvlText w:val="%2."/>
      <w:lvlJc w:val="left"/>
      <w:pPr>
        <w:tabs>
          <w:tab w:val="num" w:pos="1440"/>
        </w:tabs>
        <w:ind w:left="1440" w:hanging="360"/>
      </w:pPr>
    </w:lvl>
    <w:lvl w:ilvl="2" w:tplc="7C4A96BE">
      <w:start w:val="1"/>
      <w:numFmt w:val="lowerRoman"/>
      <w:lvlText w:val="%3."/>
      <w:lvlJc w:val="right"/>
      <w:pPr>
        <w:tabs>
          <w:tab w:val="num" w:pos="2160"/>
        </w:tabs>
        <w:ind w:left="2160" w:hanging="180"/>
      </w:pPr>
    </w:lvl>
    <w:lvl w:ilvl="3" w:tplc="898672D6">
      <w:start w:val="1"/>
      <w:numFmt w:val="decimal"/>
      <w:lvlText w:val="%4."/>
      <w:lvlJc w:val="left"/>
      <w:pPr>
        <w:tabs>
          <w:tab w:val="num" w:pos="2880"/>
        </w:tabs>
        <w:ind w:left="2880" w:hanging="360"/>
      </w:pPr>
    </w:lvl>
    <w:lvl w:ilvl="4" w:tplc="1E3C55BA">
      <w:start w:val="1"/>
      <w:numFmt w:val="lowerLetter"/>
      <w:lvlText w:val="%5."/>
      <w:lvlJc w:val="left"/>
      <w:pPr>
        <w:tabs>
          <w:tab w:val="num" w:pos="3600"/>
        </w:tabs>
        <w:ind w:left="3600" w:hanging="360"/>
      </w:pPr>
    </w:lvl>
    <w:lvl w:ilvl="5" w:tplc="3E3E332C">
      <w:start w:val="1"/>
      <w:numFmt w:val="lowerRoman"/>
      <w:lvlText w:val="%6."/>
      <w:lvlJc w:val="right"/>
      <w:pPr>
        <w:tabs>
          <w:tab w:val="num" w:pos="4320"/>
        </w:tabs>
        <w:ind w:left="4320" w:hanging="180"/>
      </w:pPr>
    </w:lvl>
    <w:lvl w:ilvl="6" w:tplc="8662D718">
      <w:start w:val="1"/>
      <w:numFmt w:val="decimal"/>
      <w:lvlText w:val="%7."/>
      <w:lvlJc w:val="left"/>
      <w:pPr>
        <w:tabs>
          <w:tab w:val="num" w:pos="5040"/>
        </w:tabs>
        <w:ind w:left="5040" w:hanging="360"/>
      </w:pPr>
    </w:lvl>
    <w:lvl w:ilvl="7" w:tplc="6B924380">
      <w:start w:val="1"/>
      <w:numFmt w:val="lowerLetter"/>
      <w:lvlText w:val="%8."/>
      <w:lvlJc w:val="left"/>
      <w:pPr>
        <w:tabs>
          <w:tab w:val="num" w:pos="5760"/>
        </w:tabs>
        <w:ind w:left="5760" w:hanging="360"/>
      </w:pPr>
    </w:lvl>
    <w:lvl w:ilvl="8" w:tplc="01FA4178">
      <w:start w:val="1"/>
      <w:numFmt w:val="lowerRoman"/>
      <w:lvlText w:val="%9."/>
      <w:lvlJc w:val="right"/>
      <w:pPr>
        <w:tabs>
          <w:tab w:val="num" w:pos="6480"/>
        </w:tabs>
        <w:ind w:left="6480" w:hanging="180"/>
      </w:pPr>
    </w:lvl>
  </w:abstractNum>
  <w:abstractNum w:abstractNumId="19" w15:restartNumberingAfterBreak="0">
    <w:nsid w:val="4C7B5404"/>
    <w:multiLevelType w:val="multilevel"/>
    <w:tmpl w:val="9F224E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E2770E9"/>
    <w:multiLevelType w:val="multilevel"/>
    <w:tmpl w:val="236AE492"/>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0EF3075"/>
    <w:multiLevelType w:val="multilevel"/>
    <w:tmpl w:val="85D4A3D0"/>
    <w:lvl w:ilvl="0">
      <w:start w:val="6"/>
      <w:numFmt w:val="bullet"/>
      <w:lvlText w:val="-"/>
      <w:lvlJc w:val="left"/>
      <w:pPr>
        <w:tabs>
          <w:tab w:val="num" w:pos="360"/>
        </w:tabs>
        <w:ind w:left="340" w:hanging="34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3B33BF"/>
    <w:multiLevelType w:val="multilevel"/>
    <w:tmpl w:val="5E5686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2476C0"/>
    <w:multiLevelType w:val="multilevel"/>
    <w:tmpl w:val="0C090005"/>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985E3B"/>
    <w:multiLevelType w:val="hybridMultilevel"/>
    <w:tmpl w:val="85D4A3D0"/>
    <w:lvl w:ilvl="0" w:tplc="9E828A3E">
      <w:start w:val="6"/>
      <w:numFmt w:val="bullet"/>
      <w:lvlText w:val="-"/>
      <w:lvlJc w:val="left"/>
      <w:pPr>
        <w:tabs>
          <w:tab w:val="num" w:pos="360"/>
        </w:tabs>
        <w:ind w:left="340" w:hanging="340"/>
      </w:pPr>
      <w:rPr>
        <w:rFonts w:hint="default"/>
      </w:rPr>
    </w:lvl>
    <w:lvl w:ilvl="1" w:tplc="EC6A243A">
      <w:numFmt w:val="decimal"/>
      <w:lvlText w:val=""/>
      <w:lvlJc w:val="left"/>
    </w:lvl>
    <w:lvl w:ilvl="2" w:tplc="084C9106">
      <w:numFmt w:val="decimal"/>
      <w:lvlText w:val=""/>
      <w:lvlJc w:val="left"/>
    </w:lvl>
    <w:lvl w:ilvl="3" w:tplc="F704EB12">
      <w:numFmt w:val="decimal"/>
      <w:lvlText w:val=""/>
      <w:lvlJc w:val="left"/>
    </w:lvl>
    <w:lvl w:ilvl="4" w:tplc="A4DABDC6">
      <w:numFmt w:val="decimal"/>
      <w:lvlText w:val=""/>
      <w:lvlJc w:val="left"/>
    </w:lvl>
    <w:lvl w:ilvl="5" w:tplc="0846D40E">
      <w:numFmt w:val="decimal"/>
      <w:lvlText w:val=""/>
      <w:lvlJc w:val="left"/>
    </w:lvl>
    <w:lvl w:ilvl="6" w:tplc="C8F85F6E">
      <w:numFmt w:val="decimal"/>
      <w:lvlText w:val=""/>
      <w:lvlJc w:val="left"/>
    </w:lvl>
    <w:lvl w:ilvl="7" w:tplc="7BA4CA1A">
      <w:numFmt w:val="decimal"/>
      <w:lvlText w:val=""/>
      <w:lvlJc w:val="left"/>
    </w:lvl>
    <w:lvl w:ilvl="8" w:tplc="DE8C3F1A">
      <w:numFmt w:val="decimal"/>
      <w:lvlText w:val=""/>
      <w:lvlJc w:val="left"/>
    </w:lvl>
  </w:abstractNum>
  <w:abstractNum w:abstractNumId="25" w15:restartNumberingAfterBreak="0">
    <w:nsid w:val="5A23426D"/>
    <w:multiLevelType w:val="hybridMultilevel"/>
    <w:tmpl w:val="7748853A"/>
    <w:lvl w:ilvl="0" w:tplc="F4F8822C">
      <w:start w:val="1"/>
      <w:numFmt w:val="bullet"/>
      <w:lvlText w:val=""/>
      <w:lvlJc w:val="left"/>
      <w:pPr>
        <w:tabs>
          <w:tab w:val="num" w:pos="1276"/>
        </w:tabs>
        <w:ind w:left="1276" w:hanging="51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5AA81DE7"/>
    <w:multiLevelType w:val="hybridMultilevel"/>
    <w:tmpl w:val="E90C1556"/>
    <w:lvl w:ilvl="0" w:tplc="7D34D2A8">
      <w:start w:val="1"/>
      <w:numFmt w:val="bullet"/>
      <w:pStyle w:val="BodyTextIndentDot"/>
      <w:lvlText w:val=""/>
      <w:lvlJc w:val="left"/>
      <w:pPr>
        <w:tabs>
          <w:tab w:val="num" w:pos="1134"/>
        </w:tabs>
        <w:ind w:left="1134" w:hanging="425"/>
      </w:pPr>
      <w:rPr>
        <w:rFonts w:ascii="Wingdings" w:hAnsi="Wingdings" w:hint="default"/>
      </w:rPr>
    </w:lvl>
    <w:lvl w:ilvl="1" w:tplc="27844B9E">
      <w:numFmt w:val="decimal"/>
      <w:lvlText w:val=""/>
      <w:lvlJc w:val="left"/>
    </w:lvl>
    <w:lvl w:ilvl="2" w:tplc="4860E412">
      <w:numFmt w:val="decimal"/>
      <w:lvlText w:val=""/>
      <w:lvlJc w:val="left"/>
    </w:lvl>
    <w:lvl w:ilvl="3" w:tplc="22241486">
      <w:numFmt w:val="decimal"/>
      <w:lvlText w:val=""/>
      <w:lvlJc w:val="left"/>
    </w:lvl>
    <w:lvl w:ilvl="4" w:tplc="C0C4924E">
      <w:numFmt w:val="decimal"/>
      <w:lvlText w:val=""/>
      <w:lvlJc w:val="left"/>
    </w:lvl>
    <w:lvl w:ilvl="5" w:tplc="39200F6E">
      <w:numFmt w:val="decimal"/>
      <w:lvlText w:val=""/>
      <w:lvlJc w:val="left"/>
    </w:lvl>
    <w:lvl w:ilvl="6" w:tplc="3E884AB2">
      <w:numFmt w:val="decimal"/>
      <w:lvlText w:val=""/>
      <w:lvlJc w:val="left"/>
    </w:lvl>
    <w:lvl w:ilvl="7" w:tplc="0FAE0A9E">
      <w:numFmt w:val="decimal"/>
      <w:lvlText w:val=""/>
      <w:lvlJc w:val="left"/>
    </w:lvl>
    <w:lvl w:ilvl="8" w:tplc="9190AC60">
      <w:numFmt w:val="decimal"/>
      <w:lvlText w:val=""/>
      <w:lvlJc w:val="left"/>
    </w:lvl>
  </w:abstractNum>
  <w:abstractNum w:abstractNumId="27" w15:restartNumberingAfterBreak="0">
    <w:nsid w:val="5F74236C"/>
    <w:multiLevelType w:val="multilevel"/>
    <w:tmpl w:val="A634C920"/>
    <w:lvl w:ilvl="0">
      <w:start w:val="1"/>
      <w:numFmt w:val="bullet"/>
      <w:pStyle w:val="bullets"/>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241AC3"/>
    <w:multiLevelType w:val="multilevel"/>
    <w:tmpl w:val="6E566030"/>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CC3738"/>
    <w:multiLevelType w:val="multilevel"/>
    <w:tmpl w:val="0C090005"/>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A21769"/>
    <w:multiLevelType w:val="hybridMultilevel"/>
    <w:tmpl w:val="67CA4A0C"/>
    <w:lvl w:ilvl="0" w:tplc="80549794">
      <w:start w:val="1"/>
      <w:numFmt w:val="decimal"/>
      <w:lvlText w:val="%1."/>
      <w:lvlJc w:val="left"/>
      <w:pPr>
        <w:tabs>
          <w:tab w:val="num" w:pos="1418"/>
        </w:tabs>
        <w:ind w:left="1418" w:hanging="709"/>
      </w:pPr>
      <w:rPr>
        <w:rFonts w:ascii="Arial" w:hAnsi="Arial" w:hint="default"/>
        <w:b w:val="0"/>
        <w:i w:val="0"/>
        <w:caps w:val="0"/>
        <w:strike w:val="0"/>
        <w:dstrike w:val="0"/>
        <w:vanish w:val="0"/>
        <w:color w:val="auto"/>
        <w:sz w:val="18"/>
        <w:u w:val="none"/>
        <w:vertAlign w:val="superscript"/>
        <w14:shadow w14:blurRad="0" w14:dist="0" w14:dir="0" w14:sx="0" w14:sy="0" w14:kx="0" w14:ky="0" w14:algn="none">
          <w14:srgbClr w14:val="000000"/>
        </w14:shadow>
        <w14:textOutline w14:w="0" w14:cap="rnd" w14:cmpd="sng" w14:algn="ctr">
          <w14:noFill/>
          <w14:prstDash w14:val="solid"/>
          <w14:bevel/>
        </w14:textOutline>
      </w:rPr>
    </w:lvl>
    <w:lvl w:ilvl="1" w:tplc="83B8B750">
      <w:start w:val="1"/>
      <w:numFmt w:val="lowerLetter"/>
      <w:lvlText w:val="%2."/>
      <w:lvlJc w:val="left"/>
      <w:pPr>
        <w:tabs>
          <w:tab w:val="num" w:pos="1440"/>
        </w:tabs>
        <w:ind w:left="1440" w:hanging="360"/>
      </w:pPr>
    </w:lvl>
    <w:lvl w:ilvl="2" w:tplc="00B0CBCC">
      <w:start w:val="1"/>
      <w:numFmt w:val="lowerRoman"/>
      <w:lvlText w:val="%3."/>
      <w:lvlJc w:val="right"/>
      <w:pPr>
        <w:tabs>
          <w:tab w:val="num" w:pos="2160"/>
        </w:tabs>
        <w:ind w:left="2160" w:hanging="180"/>
      </w:pPr>
    </w:lvl>
    <w:lvl w:ilvl="3" w:tplc="DAD25F98">
      <w:start w:val="1"/>
      <w:numFmt w:val="decimal"/>
      <w:lvlText w:val="%4."/>
      <w:lvlJc w:val="left"/>
      <w:pPr>
        <w:tabs>
          <w:tab w:val="num" w:pos="2880"/>
        </w:tabs>
        <w:ind w:left="2880" w:hanging="360"/>
      </w:pPr>
    </w:lvl>
    <w:lvl w:ilvl="4" w:tplc="E666530C">
      <w:start w:val="1"/>
      <w:numFmt w:val="lowerLetter"/>
      <w:lvlText w:val="%5."/>
      <w:lvlJc w:val="left"/>
      <w:pPr>
        <w:tabs>
          <w:tab w:val="num" w:pos="3600"/>
        </w:tabs>
        <w:ind w:left="3600" w:hanging="360"/>
      </w:pPr>
    </w:lvl>
    <w:lvl w:ilvl="5" w:tplc="714009D2">
      <w:start w:val="1"/>
      <w:numFmt w:val="lowerRoman"/>
      <w:lvlText w:val="%6."/>
      <w:lvlJc w:val="right"/>
      <w:pPr>
        <w:tabs>
          <w:tab w:val="num" w:pos="4320"/>
        </w:tabs>
        <w:ind w:left="4320" w:hanging="180"/>
      </w:pPr>
    </w:lvl>
    <w:lvl w:ilvl="6" w:tplc="3670EFCA">
      <w:start w:val="1"/>
      <w:numFmt w:val="decimal"/>
      <w:lvlText w:val="%7."/>
      <w:lvlJc w:val="left"/>
      <w:pPr>
        <w:tabs>
          <w:tab w:val="num" w:pos="5040"/>
        </w:tabs>
        <w:ind w:left="5040" w:hanging="360"/>
      </w:pPr>
    </w:lvl>
    <w:lvl w:ilvl="7" w:tplc="C1DA44BE">
      <w:start w:val="1"/>
      <w:numFmt w:val="lowerLetter"/>
      <w:lvlText w:val="%8."/>
      <w:lvlJc w:val="left"/>
      <w:pPr>
        <w:tabs>
          <w:tab w:val="num" w:pos="5760"/>
        </w:tabs>
        <w:ind w:left="5760" w:hanging="360"/>
      </w:pPr>
    </w:lvl>
    <w:lvl w:ilvl="8" w:tplc="C3705418">
      <w:start w:val="1"/>
      <w:numFmt w:val="lowerRoman"/>
      <w:lvlText w:val="%9."/>
      <w:lvlJc w:val="right"/>
      <w:pPr>
        <w:tabs>
          <w:tab w:val="num" w:pos="6480"/>
        </w:tabs>
        <w:ind w:left="6480" w:hanging="180"/>
      </w:pPr>
    </w:lvl>
  </w:abstractNum>
  <w:abstractNum w:abstractNumId="31" w15:restartNumberingAfterBreak="0">
    <w:nsid w:val="673520B0"/>
    <w:multiLevelType w:val="hybridMultilevel"/>
    <w:tmpl w:val="63201900"/>
    <w:lvl w:ilvl="0" w:tplc="D10AF9C2">
      <w:start w:val="1"/>
      <w:numFmt w:val="decimal"/>
      <w:lvlText w:val="%1."/>
      <w:lvlJc w:val="left"/>
      <w:pPr>
        <w:tabs>
          <w:tab w:val="num" w:pos="1418"/>
        </w:tabs>
        <w:ind w:left="1418" w:hanging="709"/>
      </w:pPr>
      <w:rPr>
        <w:rFonts w:ascii="Arial" w:hAnsi="Arial" w:hint="default"/>
        <w:b w:val="0"/>
        <w:i w:val="0"/>
        <w:strike w:val="0"/>
        <w:dstrike w:val="0"/>
        <w:color w:val="auto"/>
        <w:sz w:val="18"/>
        <w:u w:val="none"/>
      </w:rPr>
    </w:lvl>
    <w:lvl w:ilvl="1" w:tplc="32789E8C">
      <w:start w:val="1"/>
      <w:numFmt w:val="lowerLetter"/>
      <w:lvlText w:val="%2."/>
      <w:lvlJc w:val="left"/>
      <w:pPr>
        <w:tabs>
          <w:tab w:val="num" w:pos="1440"/>
        </w:tabs>
        <w:ind w:left="1440" w:hanging="360"/>
      </w:pPr>
    </w:lvl>
    <w:lvl w:ilvl="2" w:tplc="EE90CA84">
      <w:start w:val="1"/>
      <w:numFmt w:val="lowerRoman"/>
      <w:lvlText w:val="%3."/>
      <w:lvlJc w:val="right"/>
      <w:pPr>
        <w:tabs>
          <w:tab w:val="num" w:pos="2160"/>
        </w:tabs>
        <w:ind w:left="2160" w:hanging="180"/>
      </w:pPr>
    </w:lvl>
    <w:lvl w:ilvl="3" w:tplc="B044D492">
      <w:start w:val="1"/>
      <w:numFmt w:val="decimal"/>
      <w:lvlText w:val="%4."/>
      <w:lvlJc w:val="left"/>
      <w:pPr>
        <w:tabs>
          <w:tab w:val="num" w:pos="2880"/>
        </w:tabs>
        <w:ind w:left="2880" w:hanging="360"/>
      </w:pPr>
    </w:lvl>
    <w:lvl w:ilvl="4" w:tplc="A09AB014">
      <w:start w:val="1"/>
      <w:numFmt w:val="lowerLetter"/>
      <w:lvlText w:val="%5."/>
      <w:lvlJc w:val="left"/>
      <w:pPr>
        <w:tabs>
          <w:tab w:val="num" w:pos="3600"/>
        </w:tabs>
        <w:ind w:left="3600" w:hanging="360"/>
      </w:pPr>
    </w:lvl>
    <w:lvl w:ilvl="5" w:tplc="8DA8C7D6">
      <w:start w:val="1"/>
      <w:numFmt w:val="lowerRoman"/>
      <w:lvlText w:val="%6."/>
      <w:lvlJc w:val="right"/>
      <w:pPr>
        <w:tabs>
          <w:tab w:val="num" w:pos="4320"/>
        </w:tabs>
        <w:ind w:left="4320" w:hanging="180"/>
      </w:pPr>
    </w:lvl>
    <w:lvl w:ilvl="6" w:tplc="0B261226">
      <w:start w:val="1"/>
      <w:numFmt w:val="decimal"/>
      <w:lvlText w:val="%7."/>
      <w:lvlJc w:val="left"/>
      <w:pPr>
        <w:tabs>
          <w:tab w:val="num" w:pos="5040"/>
        </w:tabs>
        <w:ind w:left="5040" w:hanging="360"/>
      </w:pPr>
    </w:lvl>
    <w:lvl w:ilvl="7" w:tplc="C18C9F72">
      <w:start w:val="1"/>
      <w:numFmt w:val="lowerLetter"/>
      <w:lvlText w:val="%8."/>
      <w:lvlJc w:val="left"/>
      <w:pPr>
        <w:tabs>
          <w:tab w:val="num" w:pos="5760"/>
        </w:tabs>
        <w:ind w:left="5760" w:hanging="360"/>
      </w:pPr>
    </w:lvl>
    <w:lvl w:ilvl="8" w:tplc="46CA16CE">
      <w:start w:val="1"/>
      <w:numFmt w:val="lowerRoman"/>
      <w:lvlText w:val="%9."/>
      <w:lvlJc w:val="right"/>
      <w:pPr>
        <w:tabs>
          <w:tab w:val="num" w:pos="6480"/>
        </w:tabs>
        <w:ind w:left="6480" w:hanging="180"/>
      </w:pPr>
    </w:lvl>
  </w:abstractNum>
  <w:abstractNum w:abstractNumId="32" w15:restartNumberingAfterBreak="0">
    <w:nsid w:val="6A0F0ACE"/>
    <w:multiLevelType w:val="hybridMultilevel"/>
    <w:tmpl w:val="05E0BEE8"/>
    <w:lvl w:ilvl="0" w:tplc="688C3D5E">
      <w:start w:val="1"/>
      <w:numFmt w:val="decimal"/>
      <w:lvlText w:val="(%1)."/>
      <w:lvlJc w:val="left"/>
      <w:pPr>
        <w:tabs>
          <w:tab w:val="num" w:pos="1134"/>
        </w:tabs>
        <w:ind w:left="1134" w:hanging="425"/>
      </w:pPr>
      <w:rPr>
        <w:rFonts w:ascii="Arial" w:hAnsi="Arial" w:hint="default"/>
        <w:b w:val="0"/>
        <w:i w:val="0"/>
        <w:caps w:val="0"/>
        <w:strike w:val="0"/>
        <w:dstrike w:val="0"/>
        <w:vanish w:val="0"/>
        <w:color w:val="auto"/>
        <w:sz w:val="18"/>
        <w:u w:val="none"/>
        <w:vertAlign w:val="superscript"/>
        <w14:shadow w14:blurRad="0" w14:dist="0" w14:dir="0" w14:sx="0" w14:sy="0" w14:kx="0" w14:ky="0" w14:algn="none">
          <w14:srgbClr w14:val="000000"/>
        </w14:shadow>
        <w14:textOutline w14:w="0" w14:cap="rnd" w14:cmpd="sng" w14:algn="ctr">
          <w14:noFill/>
          <w14:prstDash w14:val="solid"/>
          <w14:bevel/>
        </w14:textOutline>
      </w:rPr>
    </w:lvl>
    <w:lvl w:ilvl="1" w:tplc="BE7ABFEA">
      <w:start w:val="1"/>
      <w:numFmt w:val="lowerLetter"/>
      <w:lvlText w:val="%2."/>
      <w:lvlJc w:val="left"/>
      <w:pPr>
        <w:tabs>
          <w:tab w:val="num" w:pos="1440"/>
        </w:tabs>
        <w:ind w:left="1440" w:hanging="360"/>
      </w:pPr>
    </w:lvl>
    <w:lvl w:ilvl="2" w:tplc="0B92304E">
      <w:start w:val="1"/>
      <w:numFmt w:val="lowerRoman"/>
      <w:lvlText w:val="%3."/>
      <w:lvlJc w:val="right"/>
      <w:pPr>
        <w:tabs>
          <w:tab w:val="num" w:pos="2160"/>
        </w:tabs>
        <w:ind w:left="2160" w:hanging="180"/>
      </w:pPr>
    </w:lvl>
    <w:lvl w:ilvl="3" w:tplc="8EA4B53A">
      <w:start w:val="1"/>
      <w:numFmt w:val="decimal"/>
      <w:lvlText w:val="%4."/>
      <w:lvlJc w:val="left"/>
      <w:pPr>
        <w:tabs>
          <w:tab w:val="num" w:pos="2880"/>
        </w:tabs>
        <w:ind w:left="2880" w:hanging="360"/>
      </w:pPr>
    </w:lvl>
    <w:lvl w:ilvl="4" w:tplc="FEB406AE">
      <w:start w:val="1"/>
      <w:numFmt w:val="lowerLetter"/>
      <w:lvlText w:val="%5."/>
      <w:lvlJc w:val="left"/>
      <w:pPr>
        <w:tabs>
          <w:tab w:val="num" w:pos="3600"/>
        </w:tabs>
        <w:ind w:left="3600" w:hanging="360"/>
      </w:pPr>
    </w:lvl>
    <w:lvl w:ilvl="5" w:tplc="8864E3DC">
      <w:start w:val="1"/>
      <w:numFmt w:val="lowerRoman"/>
      <w:lvlText w:val="%6."/>
      <w:lvlJc w:val="right"/>
      <w:pPr>
        <w:tabs>
          <w:tab w:val="num" w:pos="4320"/>
        </w:tabs>
        <w:ind w:left="4320" w:hanging="180"/>
      </w:pPr>
    </w:lvl>
    <w:lvl w:ilvl="6" w:tplc="13201924">
      <w:start w:val="1"/>
      <w:numFmt w:val="decimal"/>
      <w:lvlText w:val="%7."/>
      <w:lvlJc w:val="left"/>
      <w:pPr>
        <w:tabs>
          <w:tab w:val="num" w:pos="5040"/>
        </w:tabs>
        <w:ind w:left="5040" w:hanging="360"/>
      </w:pPr>
    </w:lvl>
    <w:lvl w:ilvl="7" w:tplc="C8E2FAA8">
      <w:start w:val="1"/>
      <w:numFmt w:val="lowerLetter"/>
      <w:lvlText w:val="%8."/>
      <w:lvlJc w:val="left"/>
      <w:pPr>
        <w:tabs>
          <w:tab w:val="num" w:pos="5760"/>
        </w:tabs>
        <w:ind w:left="5760" w:hanging="360"/>
      </w:pPr>
    </w:lvl>
    <w:lvl w:ilvl="8" w:tplc="80C0B99E">
      <w:start w:val="1"/>
      <w:numFmt w:val="lowerRoman"/>
      <w:lvlText w:val="%9."/>
      <w:lvlJc w:val="right"/>
      <w:pPr>
        <w:tabs>
          <w:tab w:val="num" w:pos="6480"/>
        </w:tabs>
        <w:ind w:left="6480" w:hanging="180"/>
      </w:pPr>
    </w:lvl>
  </w:abstractNum>
  <w:abstractNum w:abstractNumId="33" w15:restartNumberingAfterBreak="0">
    <w:nsid w:val="6F0A1263"/>
    <w:multiLevelType w:val="multilevel"/>
    <w:tmpl w:val="0C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3543A1"/>
    <w:multiLevelType w:val="multilevel"/>
    <w:tmpl w:val="220A51E0"/>
    <w:lvl w:ilvl="0">
      <w:start w:val="1"/>
      <w:numFmt w:val="decimal"/>
      <w:pStyle w:val="BodyTextIndentNum"/>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1EF3016"/>
    <w:multiLevelType w:val="multilevel"/>
    <w:tmpl w:val="637CF9F8"/>
    <w:lvl w:ilvl="0">
      <w:start w:val="1"/>
      <w:numFmt w:val="decimal"/>
      <w:pStyle w:val="Heading2"/>
      <w:lvlText w:val="%1.0"/>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81E6D39"/>
    <w:multiLevelType w:val="multilevel"/>
    <w:tmpl w:val="7D689624"/>
    <w:lvl w:ilvl="0">
      <w:start w:val="1"/>
      <w:numFmt w:val="decimal"/>
      <w:lvlText w:val="%1."/>
      <w:lvlJc w:val="left"/>
      <w:pPr>
        <w:tabs>
          <w:tab w:val="num" w:pos="1418"/>
        </w:tabs>
        <w:ind w:left="1418"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5C4344"/>
    <w:multiLevelType w:val="hybridMultilevel"/>
    <w:tmpl w:val="24426BFE"/>
    <w:lvl w:ilvl="0" w:tplc="75805110">
      <w:start w:val="1"/>
      <w:numFmt w:val="decimal"/>
      <w:pStyle w:val="BodyTextIndent9Num"/>
      <w:lvlText w:val="(%1)"/>
      <w:lvlJc w:val="left"/>
      <w:pPr>
        <w:tabs>
          <w:tab w:val="num" w:pos="1134"/>
        </w:tabs>
        <w:ind w:left="1134" w:hanging="425"/>
      </w:pPr>
      <w:rPr>
        <w:rFonts w:ascii="Arial" w:hAnsi="Arial" w:hint="default"/>
        <w:b w:val="0"/>
        <w:i w:val="0"/>
        <w:caps w:val="0"/>
        <w:strike w:val="0"/>
        <w:dstrike w:val="0"/>
        <w:vanish w:val="0"/>
        <w:color w:val="auto"/>
        <w:sz w:val="18"/>
        <w:u w:val="none"/>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7"/>
  </w:num>
  <w:num w:numId="3">
    <w:abstractNumId w:val="27"/>
  </w:num>
  <w:num w:numId="4">
    <w:abstractNumId w:val="26"/>
  </w:num>
  <w:num w:numId="5">
    <w:abstractNumId w:val="34"/>
  </w:num>
  <w:num w:numId="6">
    <w:abstractNumId w:val="29"/>
  </w:num>
  <w:num w:numId="7">
    <w:abstractNumId w:val="5"/>
  </w:num>
  <w:num w:numId="8">
    <w:abstractNumId w:val="0"/>
  </w:num>
  <w:num w:numId="9">
    <w:abstractNumId w:val="11"/>
  </w:num>
  <w:num w:numId="10">
    <w:abstractNumId w:val="23"/>
  </w:num>
  <w:num w:numId="11">
    <w:abstractNumId w:val="33"/>
  </w:num>
  <w:num w:numId="12">
    <w:abstractNumId w:val="12"/>
  </w:num>
  <w:num w:numId="13">
    <w:abstractNumId w:val="13"/>
  </w:num>
  <w:num w:numId="14">
    <w:abstractNumId w:val="24"/>
  </w:num>
  <w:num w:numId="15">
    <w:abstractNumId w:val="21"/>
  </w:num>
  <w:num w:numId="16">
    <w:abstractNumId w:val="9"/>
  </w:num>
  <w:num w:numId="17">
    <w:abstractNumId w:val="1"/>
  </w:num>
  <w:num w:numId="18">
    <w:abstractNumId w:val="16"/>
  </w:num>
  <w:num w:numId="19">
    <w:abstractNumId w:val="37"/>
  </w:num>
  <w:num w:numId="20">
    <w:abstractNumId w:val="36"/>
  </w:num>
  <w:num w:numId="21">
    <w:abstractNumId w:val="37"/>
    <w:lvlOverride w:ilvl="0">
      <w:startOverride w:val="1"/>
    </w:lvlOverride>
  </w:num>
  <w:num w:numId="22">
    <w:abstractNumId w:val="15"/>
  </w:num>
  <w:num w:numId="23">
    <w:abstractNumId w:val="2"/>
  </w:num>
  <w:num w:numId="24">
    <w:abstractNumId w:val="31"/>
  </w:num>
  <w:num w:numId="25">
    <w:abstractNumId w:val="37"/>
    <w:lvlOverride w:ilvl="0">
      <w:startOverride w:val="1"/>
    </w:lvlOverride>
  </w:num>
  <w:num w:numId="26">
    <w:abstractNumId w:val="30"/>
  </w:num>
  <w:num w:numId="27">
    <w:abstractNumId w:val="14"/>
  </w:num>
  <w:num w:numId="28">
    <w:abstractNumId w:val="28"/>
  </w:num>
  <w:num w:numId="29">
    <w:abstractNumId w:val="4"/>
  </w:num>
  <w:num w:numId="30">
    <w:abstractNumId w:val="18"/>
  </w:num>
  <w:num w:numId="31">
    <w:abstractNumId w:val="32"/>
  </w:num>
  <w:num w:numId="32">
    <w:abstractNumId w:val="8"/>
  </w:num>
  <w:num w:numId="33">
    <w:abstractNumId w:val="10"/>
  </w:num>
  <w:num w:numId="34">
    <w:abstractNumId w:val="25"/>
  </w:num>
  <w:num w:numId="35">
    <w:abstractNumId w:val="6"/>
  </w:num>
  <w:num w:numId="36">
    <w:abstractNumId w:val="17"/>
  </w:num>
  <w:num w:numId="37">
    <w:abstractNumId w:val="22"/>
  </w:num>
  <w:num w:numId="38">
    <w:abstractNumId w:val="35"/>
  </w:num>
  <w:num w:numId="39">
    <w:abstractNumId w:val="3"/>
  </w:num>
  <w:num w:numId="40">
    <w:abstractNumId w:val="19"/>
  </w:num>
  <w:num w:numId="4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formatting="1" w:enforcement="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F2E"/>
    <w:rsid w:val="00002B15"/>
    <w:rsid w:val="0000397E"/>
    <w:rsid w:val="0001053A"/>
    <w:rsid w:val="00010F2E"/>
    <w:rsid w:val="0002365F"/>
    <w:rsid w:val="00026171"/>
    <w:rsid w:val="000340CD"/>
    <w:rsid w:val="00040825"/>
    <w:rsid w:val="00041945"/>
    <w:rsid w:val="00051CF0"/>
    <w:rsid w:val="00053F30"/>
    <w:rsid w:val="000547F1"/>
    <w:rsid w:val="00057FC7"/>
    <w:rsid w:val="00064596"/>
    <w:rsid w:val="0006670C"/>
    <w:rsid w:val="00067B1A"/>
    <w:rsid w:val="00076118"/>
    <w:rsid w:val="00080403"/>
    <w:rsid w:val="000809B4"/>
    <w:rsid w:val="00081888"/>
    <w:rsid w:val="00082718"/>
    <w:rsid w:val="000834B6"/>
    <w:rsid w:val="000924BA"/>
    <w:rsid w:val="000938C4"/>
    <w:rsid w:val="00095E21"/>
    <w:rsid w:val="000A1A63"/>
    <w:rsid w:val="000A70A6"/>
    <w:rsid w:val="000C360E"/>
    <w:rsid w:val="000C4324"/>
    <w:rsid w:val="000C4F0E"/>
    <w:rsid w:val="000D1D0A"/>
    <w:rsid w:val="000D4B82"/>
    <w:rsid w:val="000D5D5B"/>
    <w:rsid w:val="000D7554"/>
    <w:rsid w:val="000E643B"/>
    <w:rsid w:val="000E6848"/>
    <w:rsid w:val="000F4237"/>
    <w:rsid w:val="000F6992"/>
    <w:rsid w:val="001041A0"/>
    <w:rsid w:val="001045F3"/>
    <w:rsid w:val="001174D6"/>
    <w:rsid w:val="0012239A"/>
    <w:rsid w:val="00123E29"/>
    <w:rsid w:val="00124115"/>
    <w:rsid w:val="001241A3"/>
    <w:rsid w:val="00127B77"/>
    <w:rsid w:val="00130F6C"/>
    <w:rsid w:val="0013103B"/>
    <w:rsid w:val="00133CD9"/>
    <w:rsid w:val="00146A39"/>
    <w:rsid w:val="00150A9A"/>
    <w:rsid w:val="00151240"/>
    <w:rsid w:val="00152857"/>
    <w:rsid w:val="00162877"/>
    <w:rsid w:val="00170D42"/>
    <w:rsid w:val="00171367"/>
    <w:rsid w:val="0017305B"/>
    <w:rsid w:val="001736CD"/>
    <w:rsid w:val="001741A6"/>
    <w:rsid w:val="001904DD"/>
    <w:rsid w:val="001908C1"/>
    <w:rsid w:val="0019778E"/>
    <w:rsid w:val="001A05F5"/>
    <w:rsid w:val="001A45CD"/>
    <w:rsid w:val="001B0206"/>
    <w:rsid w:val="001B0662"/>
    <w:rsid w:val="001B2F2B"/>
    <w:rsid w:val="001D0444"/>
    <w:rsid w:val="001E57A7"/>
    <w:rsid w:val="001E655E"/>
    <w:rsid w:val="001E6704"/>
    <w:rsid w:val="001F202B"/>
    <w:rsid w:val="001F5611"/>
    <w:rsid w:val="001F6CDE"/>
    <w:rsid w:val="00214694"/>
    <w:rsid w:val="00214A0A"/>
    <w:rsid w:val="00230E60"/>
    <w:rsid w:val="002344D7"/>
    <w:rsid w:val="00235953"/>
    <w:rsid w:val="00240C77"/>
    <w:rsid w:val="00255024"/>
    <w:rsid w:val="00255B28"/>
    <w:rsid w:val="00266E03"/>
    <w:rsid w:val="00271EDE"/>
    <w:rsid w:val="00281180"/>
    <w:rsid w:val="002811AD"/>
    <w:rsid w:val="00282265"/>
    <w:rsid w:val="002825B9"/>
    <w:rsid w:val="00284CC9"/>
    <w:rsid w:val="002A3684"/>
    <w:rsid w:val="002B5205"/>
    <w:rsid w:val="002C11E2"/>
    <w:rsid w:val="002C4411"/>
    <w:rsid w:val="002C64D1"/>
    <w:rsid w:val="002C7957"/>
    <w:rsid w:val="002E64EC"/>
    <w:rsid w:val="002F00AC"/>
    <w:rsid w:val="002F1411"/>
    <w:rsid w:val="003058DB"/>
    <w:rsid w:val="00306BBF"/>
    <w:rsid w:val="003239AB"/>
    <w:rsid w:val="0032530D"/>
    <w:rsid w:val="00333A0B"/>
    <w:rsid w:val="00334BF7"/>
    <w:rsid w:val="00336CF4"/>
    <w:rsid w:val="0034433B"/>
    <w:rsid w:val="003527F7"/>
    <w:rsid w:val="003566C2"/>
    <w:rsid w:val="00366B19"/>
    <w:rsid w:val="003745FE"/>
    <w:rsid w:val="00380262"/>
    <w:rsid w:val="00383496"/>
    <w:rsid w:val="00390E4D"/>
    <w:rsid w:val="00395961"/>
    <w:rsid w:val="003B2052"/>
    <w:rsid w:val="003B303A"/>
    <w:rsid w:val="003B72B9"/>
    <w:rsid w:val="003C09E1"/>
    <w:rsid w:val="003C161C"/>
    <w:rsid w:val="003C1FB0"/>
    <w:rsid w:val="003C5AE1"/>
    <w:rsid w:val="003D0DD2"/>
    <w:rsid w:val="003D493A"/>
    <w:rsid w:val="003E4D8A"/>
    <w:rsid w:val="003E7717"/>
    <w:rsid w:val="003F0214"/>
    <w:rsid w:val="0040083D"/>
    <w:rsid w:val="00420CD5"/>
    <w:rsid w:val="004223DD"/>
    <w:rsid w:val="00425CAC"/>
    <w:rsid w:val="0042667B"/>
    <w:rsid w:val="004352CA"/>
    <w:rsid w:val="00440C1E"/>
    <w:rsid w:val="004418ED"/>
    <w:rsid w:val="00444334"/>
    <w:rsid w:val="00446BF1"/>
    <w:rsid w:val="0044799A"/>
    <w:rsid w:val="0045350A"/>
    <w:rsid w:val="00453E90"/>
    <w:rsid w:val="0045585A"/>
    <w:rsid w:val="00460445"/>
    <w:rsid w:val="00474755"/>
    <w:rsid w:val="0047517D"/>
    <w:rsid w:val="004752B3"/>
    <w:rsid w:val="004854E2"/>
    <w:rsid w:val="00491C8C"/>
    <w:rsid w:val="00492410"/>
    <w:rsid w:val="00496012"/>
    <w:rsid w:val="004A08B6"/>
    <w:rsid w:val="004A18B5"/>
    <w:rsid w:val="004B43F9"/>
    <w:rsid w:val="004B4E3F"/>
    <w:rsid w:val="004B634B"/>
    <w:rsid w:val="004C2284"/>
    <w:rsid w:val="004C2416"/>
    <w:rsid w:val="004C688E"/>
    <w:rsid w:val="004C7438"/>
    <w:rsid w:val="004D0BB5"/>
    <w:rsid w:val="004D40F8"/>
    <w:rsid w:val="004D44D8"/>
    <w:rsid w:val="004F1641"/>
    <w:rsid w:val="004F1782"/>
    <w:rsid w:val="004F1955"/>
    <w:rsid w:val="005060C5"/>
    <w:rsid w:val="00511321"/>
    <w:rsid w:val="00514925"/>
    <w:rsid w:val="00514A4C"/>
    <w:rsid w:val="00515C73"/>
    <w:rsid w:val="00517064"/>
    <w:rsid w:val="00527950"/>
    <w:rsid w:val="00530964"/>
    <w:rsid w:val="00530BC8"/>
    <w:rsid w:val="00530E4C"/>
    <w:rsid w:val="0053434C"/>
    <w:rsid w:val="00534ECF"/>
    <w:rsid w:val="00537337"/>
    <w:rsid w:val="005432ED"/>
    <w:rsid w:val="005506DF"/>
    <w:rsid w:val="00553FA9"/>
    <w:rsid w:val="00556B0F"/>
    <w:rsid w:val="00567F7B"/>
    <w:rsid w:val="0057648C"/>
    <w:rsid w:val="00596C53"/>
    <w:rsid w:val="0059747E"/>
    <w:rsid w:val="005A51CD"/>
    <w:rsid w:val="005A6CD5"/>
    <w:rsid w:val="005A7175"/>
    <w:rsid w:val="005B43C2"/>
    <w:rsid w:val="005C0627"/>
    <w:rsid w:val="005C4129"/>
    <w:rsid w:val="005C74D7"/>
    <w:rsid w:val="005D2A38"/>
    <w:rsid w:val="005E3E0A"/>
    <w:rsid w:val="005E5784"/>
    <w:rsid w:val="005E6300"/>
    <w:rsid w:val="005F3005"/>
    <w:rsid w:val="005F3E20"/>
    <w:rsid w:val="005F55B8"/>
    <w:rsid w:val="00603E9A"/>
    <w:rsid w:val="00605DCF"/>
    <w:rsid w:val="00610934"/>
    <w:rsid w:val="0061558A"/>
    <w:rsid w:val="0061762F"/>
    <w:rsid w:val="00623FD5"/>
    <w:rsid w:val="00630442"/>
    <w:rsid w:val="006319DA"/>
    <w:rsid w:val="0063402D"/>
    <w:rsid w:val="006352EF"/>
    <w:rsid w:val="00641799"/>
    <w:rsid w:val="00646D9E"/>
    <w:rsid w:val="00654205"/>
    <w:rsid w:val="00660AA1"/>
    <w:rsid w:val="00663166"/>
    <w:rsid w:val="00664743"/>
    <w:rsid w:val="00671114"/>
    <w:rsid w:val="00673051"/>
    <w:rsid w:val="00673BBF"/>
    <w:rsid w:val="00675A72"/>
    <w:rsid w:val="00682A3F"/>
    <w:rsid w:val="00682E48"/>
    <w:rsid w:val="00696641"/>
    <w:rsid w:val="006A065B"/>
    <w:rsid w:val="006B1F07"/>
    <w:rsid w:val="006B2317"/>
    <w:rsid w:val="006B2B86"/>
    <w:rsid w:val="006B7914"/>
    <w:rsid w:val="006C16B6"/>
    <w:rsid w:val="006D1EF9"/>
    <w:rsid w:val="006D3E9C"/>
    <w:rsid w:val="006D6833"/>
    <w:rsid w:val="006E06D3"/>
    <w:rsid w:val="006E12E3"/>
    <w:rsid w:val="006E2DBD"/>
    <w:rsid w:val="006F1B71"/>
    <w:rsid w:val="006F5B91"/>
    <w:rsid w:val="00701A7C"/>
    <w:rsid w:val="00703782"/>
    <w:rsid w:val="0072007A"/>
    <w:rsid w:val="00722CEB"/>
    <w:rsid w:val="00723BB0"/>
    <w:rsid w:val="00726083"/>
    <w:rsid w:val="00734224"/>
    <w:rsid w:val="0073746C"/>
    <w:rsid w:val="00746AB5"/>
    <w:rsid w:val="00747A59"/>
    <w:rsid w:val="00750CBF"/>
    <w:rsid w:val="00753224"/>
    <w:rsid w:val="00754D64"/>
    <w:rsid w:val="00762B70"/>
    <w:rsid w:val="00763D30"/>
    <w:rsid w:val="007641FD"/>
    <w:rsid w:val="007645BE"/>
    <w:rsid w:val="00764FC2"/>
    <w:rsid w:val="007655E0"/>
    <w:rsid w:val="007658C0"/>
    <w:rsid w:val="0078353B"/>
    <w:rsid w:val="00792357"/>
    <w:rsid w:val="007A3053"/>
    <w:rsid w:val="007A70A2"/>
    <w:rsid w:val="007B21BE"/>
    <w:rsid w:val="007B34C4"/>
    <w:rsid w:val="007C10CA"/>
    <w:rsid w:val="007C55E6"/>
    <w:rsid w:val="007D0062"/>
    <w:rsid w:val="007D3572"/>
    <w:rsid w:val="007D610C"/>
    <w:rsid w:val="007D612D"/>
    <w:rsid w:val="007E7ED8"/>
    <w:rsid w:val="007F3105"/>
    <w:rsid w:val="007F5655"/>
    <w:rsid w:val="007F7D07"/>
    <w:rsid w:val="008008F5"/>
    <w:rsid w:val="00800B00"/>
    <w:rsid w:val="008217C1"/>
    <w:rsid w:val="008235EE"/>
    <w:rsid w:val="00830906"/>
    <w:rsid w:val="008338E8"/>
    <w:rsid w:val="008367B0"/>
    <w:rsid w:val="008428AA"/>
    <w:rsid w:val="008471CD"/>
    <w:rsid w:val="00851522"/>
    <w:rsid w:val="008569BD"/>
    <w:rsid w:val="00860F12"/>
    <w:rsid w:val="00861D4C"/>
    <w:rsid w:val="008766B5"/>
    <w:rsid w:val="008843FC"/>
    <w:rsid w:val="00885387"/>
    <w:rsid w:val="00895300"/>
    <w:rsid w:val="008A5B74"/>
    <w:rsid w:val="008B43FB"/>
    <w:rsid w:val="008C4557"/>
    <w:rsid w:val="008D195E"/>
    <w:rsid w:val="008D5BFB"/>
    <w:rsid w:val="008E04C8"/>
    <w:rsid w:val="008E0629"/>
    <w:rsid w:val="008F6F4D"/>
    <w:rsid w:val="00902D59"/>
    <w:rsid w:val="00903DE6"/>
    <w:rsid w:val="00906AF1"/>
    <w:rsid w:val="0090736D"/>
    <w:rsid w:val="00920EF4"/>
    <w:rsid w:val="00933F5E"/>
    <w:rsid w:val="009341A8"/>
    <w:rsid w:val="0094375F"/>
    <w:rsid w:val="00944E8A"/>
    <w:rsid w:val="00945905"/>
    <w:rsid w:val="009506DF"/>
    <w:rsid w:val="0095410D"/>
    <w:rsid w:val="00954E17"/>
    <w:rsid w:val="00961B11"/>
    <w:rsid w:val="00961D80"/>
    <w:rsid w:val="00962D66"/>
    <w:rsid w:val="00962D96"/>
    <w:rsid w:val="00964773"/>
    <w:rsid w:val="00964C22"/>
    <w:rsid w:val="009668BC"/>
    <w:rsid w:val="009830A7"/>
    <w:rsid w:val="00984D24"/>
    <w:rsid w:val="00985AC3"/>
    <w:rsid w:val="00991920"/>
    <w:rsid w:val="00993E44"/>
    <w:rsid w:val="00995DF2"/>
    <w:rsid w:val="009A09EB"/>
    <w:rsid w:val="009A2032"/>
    <w:rsid w:val="009A507C"/>
    <w:rsid w:val="009B1ACF"/>
    <w:rsid w:val="009B4C2E"/>
    <w:rsid w:val="009C2404"/>
    <w:rsid w:val="009C7C6D"/>
    <w:rsid w:val="009D47AD"/>
    <w:rsid w:val="009E0A5E"/>
    <w:rsid w:val="009E1895"/>
    <w:rsid w:val="009E259C"/>
    <w:rsid w:val="009E300E"/>
    <w:rsid w:val="009E3605"/>
    <w:rsid w:val="009F53B9"/>
    <w:rsid w:val="009F5C9E"/>
    <w:rsid w:val="009F6676"/>
    <w:rsid w:val="00A00CE6"/>
    <w:rsid w:val="00A046B5"/>
    <w:rsid w:val="00A07DCC"/>
    <w:rsid w:val="00A10E2B"/>
    <w:rsid w:val="00A11014"/>
    <w:rsid w:val="00A33F11"/>
    <w:rsid w:val="00A3525D"/>
    <w:rsid w:val="00A35425"/>
    <w:rsid w:val="00A362B0"/>
    <w:rsid w:val="00A40AD2"/>
    <w:rsid w:val="00A40C6C"/>
    <w:rsid w:val="00A41087"/>
    <w:rsid w:val="00A45D0E"/>
    <w:rsid w:val="00A5010A"/>
    <w:rsid w:val="00A602D0"/>
    <w:rsid w:val="00A63BF4"/>
    <w:rsid w:val="00A64018"/>
    <w:rsid w:val="00A65693"/>
    <w:rsid w:val="00A74043"/>
    <w:rsid w:val="00A75788"/>
    <w:rsid w:val="00A81846"/>
    <w:rsid w:val="00A83D69"/>
    <w:rsid w:val="00A83DD8"/>
    <w:rsid w:val="00A83ED2"/>
    <w:rsid w:val="00A84373"/>
    <w:rsid w:val="00A909C6"/>
    <w:rsid w:val="00A9203D"/>
    <w:rsid w:val="00A925B7"/>
    <w:rsid w:val="00AA4B40"/>
    <w:rsid w:val="00AA5994"/>
    <w:rsid w:val="00AB3623"/>
    <w:rsid w:val="00AB62D8"/>
    <w:rsid w:val="00AB7334"/>
    <w:rsid w:val="00AB7BE0"/>
    <w:rsid w:val="00AC3D97"/>
    <w:rsid w:val="00AC6CAE"/>
    <w:rsid w:val="00AD5D82"/>
    <w:rsid w:val="00AE3531"/>
    <w:rsid w:val="00AF0E27"/>
    <w:rsid w:val="00AF5EB3"/>
    <w:rsid w:val="00AF6B36"/>
    <w:rsid w:val="00B028F0"/>
    <w:rsid w:val="00B05F22"/>
    <w:rsid w:val="00B124B7"/>
    <w:rsid w:val="00B135DF"/>
    <w:rsid w:val="00B2105C"/>
    <w:rsid w:val="00B21E7D"/>
    <w:rsid w:val="00B2213E"/>
    <w:rsid w:val="00B2444D"/>
    <w:rsid w:val="00B26EE6"/>
    <w:rsid w:val="00B31C5C"/>
    <w:rsid w:val="00B32445"/>
    <w:rsid w:val="00B32F23"/>
    <w:rsid w:val="00B41C05"/>
    <w:rsid w:val="00B439D9"/>
    <w:rsid w:val="00B52F02"/>
    <w:rsid w:val="00B637EF"/>
    <w:rsid w:val="00B6430F"/>
    <w:rsid w:val="00B75016"/>
    <w:rsid w:val="00B77652"/>
    <w:rsid w:val="00B777A3"/>
    <w:rsid w:val="00B86986"/>
    <w:rsid w:val="00B908C9"/>
    <w:rsid w:val="00B957BC"/>
    <w:rsid w:val="00BA6681"/>
    <w:rsid w:val="00BA67FE"/>
    <w:rsid w:val="00BA77E1"/>
    <w:rsid w:val="00BA7C11"/>
    <w:rsid w:val="00BB1C36"/>
    <w:rsid w:val="00BB2B33"/>
    <w:rsid w:val="00BB4723"/>
    <w:rsid w:val="00BC1A56"/>
    <w:rsid w:val="00BC5807"/>
    <w:rsid w:val="00BC6D4F"/>
    <w:rsid w:val="00BD0E25"/>
    <w:rsid w:val="00BD45CE"/>
    <w:rsid w:val="00BE1561"/>
    <w:rsid w:val="00BE19F9"/>
    <w:rsid w:val="00BE39AB"/>
    <w:rsid w:val="00BE7A61"/>
    <w:rsid w:val="00C005A2"/>
    <w:rsid w:val="00C01F86"/>
    <w:rsid w:val="00C05D16"/>
    <w:rsid w:val="00C149AA"/>
    <w:rsid w:val="00C162ED"/>
    <w:rsid w:val="00C210E1"/>
    <w:rsid w:val="00C25DD3"/>
    <w:rsid w:val="00C357E3"/>
    <w:rsid w:val="00C409EC"/>
    <w:rsid w:val="00C52DA0"/>
    <w:rsid w:val="00C55787"/>
    <w:rsid w:val="00C61437"/>
    <w:rsid w:val="00C61A35"/>
    <w:rsid w:val="00C738AF"/>
    <w:rsid w:val="00C7528D"/>
    <w:rsid w:val="00C7679A"/>
    <w:rsid w:val="00C80E49"/>
    <w:rsid w:val="00C94E9F"/>
    <w:rsid w:val="00CA2C3F"/>
    <w:rsid w:val="00CB2525"/>
    <w:rsid w:val="00CD0B16"/>
    <w:rsid w:val="00CE2BE9"/>
    <w:rsid w:val="00CF2F48"/>
    <w:rsid w:val="00CF3223"/>
    <w:rsid w:val="00CF7F13"/>
    <w:rsid w:val="00D035AA"/>
    <w:rsid w:val="00D13AB1"/>
    <w:rsid w:val="00D2017D"/>
    <w:rsid w:val="00D20E51"/>
    <w:rsid w:val="00D245B0"/>
    <w:rsid w:val="00D319A9"/>
    <w:rsid w:val="00D3224B"/>
    <w:rsid w:val="00D43C8B"/>
    <w:rsid w:val="00D46EA8"/>
    <w:rsid w:val="00D57635"/>
    <w:rsid w:val="00D77180"/>
    <w:rsid w:val="00D775D0"/>
    <w:rsid w:val="00D77A7F"/>
    <w:rsid w:val="00D829DC"/>
    <w:rsid w:val="00D83054"/>
    <w:rsid w:val="00D84F70"/>
    <w:rsid w:val="00D9247E"/>
    <w:rsid w:val="00DA3A68"/>
    <w:rsid w:val="00DB1E16"/>
    <w:rsid w:val="00DC12FC"/>
    <w:rsid w:val="00DC65E2"/>
    <w:rsid w:val="00DD2E53"/>
    <w:rsid w:val="00DD3A6D"/>
    <w:rsid w:val="00DD4BEA"/>
    <w:rsid w:val="00DD6007"/>
    <w:rsid w:val="00DE343D"/>
    <w:rsid w:val="00DE7873"/>
    <w:rsid w:val="00DF1090"/>
    <w:rsid w:val="00DF75DE"/>
    <w:rsid w:val="00DF77A6"/>
    <w:rsid w:val="00E03287"/>
    <w:rsid w:val="00E10C04"/>
    <w:rsid w:val="00E11B70"/>
    <w:rsid w:val="00E16CC3"/>
    <w:rsid w:val="00E3006D"/>
    <w:rsid w:val="00E30C8E"/>
    <w:rsid w:val="00E3522F"/>
    <w:rsid w:val="00E37302"/>
    <w:rsid w:val="00E43672"/>
    <w:rsid w:val="00E45B13"/>
    <w:rsid w:val="00E478EB"/>
    <w:rsid w:val="00E5060F"/>
    <w:rsid w:val="00E5331E"/>
    <w:rsid w:val="00E537C4"/>
    <w:rsid w:val="00E55142"/>
    <w:rsid w:val="00E552DD"/>
    <w:rsid w:val="00E5586E"/>
    <w:rsid w:val="00E559A9"/>
    <w:rsid w:val="00E60929"/>
    <w:rsid w:val="00E65143"/>
    <w:rsid w:val="00E74F30"/>
    <w:rsid w:val="00E75FAB"/>
    <w:rsid w:val="00E76034"/>
    <w:rsid w:val="00E8660E"/>
    <w:rsid w:val="00E86939"/>
    <w:rsid w:val="00EA2DAD"/>
    <w:rsid w:val="00EA2EF8"/>
    <w:rsid w:val="00EB05F1"/>
    <w:rsid w:val="00EB1843"/>
    <w:rsid w:val="00EB4C61"/>
    <w:rsid w:val="00EB788E"/>
    <w:rsid w:val="00EC7123"/>
    <w:rsid w:val="00EC7D5F"/>
    <w:rsid w:val="00EF2DED"/>
    <w:rsid w:val="00EF6BD0"/>
    <w:rsid w:val="00F01095"/>
    <w:rsid w:val="00F0269C"/>
    <w:rsid w:val="00F0422F"/>
    <w:rsid w:val="00F13C65"/>
    <w:rsid w:val="00F2236E"/>
    <w:rsid w:val="00F2568D"/>
    <w:rsid w:val="00F26D0B"/>
    <w:rsid w:val="00F324D2"/>
    <w:rsid w:val="00F357CE"/>
    <w:rsid w:val="00F36E19"/>
    <w:rsid w:val="00F44C85"/>
    <w:rsid w:val="00F50408"/>
    <w:rsid w:val="00F620CD"/>
    <w:rsid w:val="00F66804"/>
    <w:rsid w:val="00F74F83"/>
    <w:rsid w:val="00F76EAF"/>
    <w:rsid w:val="00F77B52"/>
    <w:rsid w:val="00FA0568"/>
    <w:rsid w:val="00FA720E"/>
    <w:rsid w:val="00FA7450"/>
    <w:rsid w:val="00FC2829"/>
    <w:rsid w:val="00FC4ADA"/>
    <w:rsid w:val="00FC4C30"/>
    <w:rsid w:val="00FD1EAB"/>
    <w:rsid w:val="00FF10E2"/>
    <w:rsid w:val="00FF7E3B"/>
    <w:rsid w:val="0378F178"/>
    <w:rsid w:val="0A16D4E6"/>
    <w:rsid w:val="139EDFB8"/>
    <w:rsid w:val="13C70FD9"/>
    <w:rsid w:val="146A62EF"/>
    <w:rsid w:val="1A2AAD56"/>
    <w:rsid w:val="1B976A90"/>
    <w:rsid w:val="1EDAC26D"/>
    <w:rsid w:val="211AFA90"/>
    <w:rsid w:val="2B84F07A"/>
    <w:rsid w:val="3C5CB68E"/>
    <w:rsid w:val="3FF7FA57"/>
    <w:rsid w:val="416FD373"/>
    <w:rsid w:val="4363CABB"/>
    <w:rsid w:val="4932B593"/>
    <w:rsid w:val="505A1002"/>
    <w:rsid w:val="5438794D"/>
    <w:rsid w:val="578E06BC"/>
    <w:rsid w:val="5ADBF2EA"/>
    <w:rsid w:val="5D0C2358"/>
    <w:rsid w:val="5E3C7C82"/>
    <w:rsid w:val="614215DA"/>
    <w:rsid w:val="637190E2"/>
    <w:rsid w:val="6F27B63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8D393"/>
  <w15:docId w15:val="{5ED876CD-7876-4CB7-9B06-B23FBBC9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33B"/>
    <w:rPr>
      <w:rFonts w:ascii="Arial" w:hAnsi="Arial"/>
    </w:rPr>
  </w:style>
  <w:style w:type="paragraph" w:styleId="Heading1">
    <w:name w:val="heading 1"/>
    <w:basedOn w:val="Normal"/>
    <w:next w:val="Normal"/>
    <w:qFormat/>
    <w:rsid w:val="008338E8"/>
    <w:pPr>
      <w:keepNext/>
      <w:spacing w:before="160" w:after="80"/>
      <w:jc w:val="both"/>
      <w:outlineLvl w:val="0"/>
    </w:pPr>
    <w:rPr>
      <w:b/>
      <w:bCs/>
      <w:caps/>
      <w:kern w:val="28"/>
      <w:sz w:val="24"/>
    </w:rPr>
  </w:style>
  <w:style w:type="paragraph" w:styleId="Heading2">
    <w:name w:val="heading 2"/>
    <w:basedOn w:val="Normal"/>
    <w:next w:val="Normal"/>
    <w:qFormat/>
    <w:rsid w:val="00A35425"/>
    <w:pPr>
      <w:keepNext/>
      <w:numPr>
        <w:numId w:val="38"/>
      </w:numPr>
      <w:tabs>
        <w:tab w:val="left" w:pos="709"/>
      </w:tabs>
      <w:spacing w:before="120" w:after="60"/>
      <w:ind w:left="709" w:hanging="709"/>
      <w:jc w:val="both"/>
      <w:outlineLvl w:val="1"/>
    </w:pPr>
    <w:rPr>
      <w:rFonts w:ascii="Arial Bold" w:hAnsi="Arial Bold"/>
      <w:b/>
      <w:caps/>
      <w:sz w:val="28"/>
      <w:szCs w:val="28"/>
    </w:rPr>
  </w:style>
  <w:style w:type="paragraph" w:styleId="Heading3">
    <w:name w:val="heading 3"/>
    <w:basedOn w:val="Normal"/>
    <w:next w:val="Normal"/>
    <w:qFormat/>
    <w:rsid w:val="00A35425"/>
    <w:pPr>
      <w:keepNext/>
      <w:numPr>
        <w:ilvl w:val="1"/>
        <w:numId w:val="38"/>
      </w:numPr>
      <w:tabs>
        <w:tab w:val="left" w:pos="709"/>
      </w:tabs>
      <w:spacing w:before="240" w:after="60"/>
      <w:ind w:left="709" w:hanging="709"/>
      <w:outlineLvl w:val="2"/>
    </w:pPr>
    <w:rPr>
      <w:rFonts w:ascii="Arial Bold" w:hAnsi="Arial Bold"/>
      <w:b/>
      <w:caps/>
      <w:sz w:val="24"/>
      <w:szCs w:val="24"/>
    </w:rPr>
  </w:style>
  <w:style w:type="paragraph" w:styleId="Heading4">
    <w:name w:val="heading 4"/>
    <w:basedOn w:val="Normal"/>
    <w:next w:val="Normal"/>
    <w:qFormat/>
    <w:rsid w:val="00A35425"/>
    <w:pPr>
      <w:keepNext/>
      <w:numPr>
        <w:ilvl w:val="2"/>
        <w:numId w:val="38"/>
      </w:numPr>
      <w:spacing w:before="12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Header">
    <w:name w:val="header"/>
    <w:basedOn w:val="Normal"/>
    <w:rsid w:val="005B43C2"/>
    <w:pPr>
      <w:pBdr>
        <w:bottom w:val="single" w:sz="2" w:space="5" w:color="auto"/>
      </w:pBdr>
      <w:tabs>
        <w:tab w:val="center" w:pos="4678"/>
        <w:tab w:val="right" w:pos="9354"/>
      </w:tabs>
      <w:spacing w:before="20" w:after="20"/>
      <w:jc w:val="both"/>
    </w:pPr>
    <w:rPr>
      <w:i/>
      <w:sz w:val="16"/>
    </w:rPr>
  </w:style>
  <w:style w:type="paragraph" w:styleId="Footer">
    <w:name w:val="footer"/>
    <w:basedOn w:val="Normal"/>
    <w:link w:val="FooterChar"/>
    <w:uiPriority w:val="99"/>
    <w:rsid w:val="004854E2"/>
    <w:pPr>
      <w:pBdr>
        <w:top w:val="single" w:sz="2" w:space="4" w:color="auto"/>
      </w:pBdr>
      <w:tabs>
        <w:tab w:val="center" w:pos="4678"/>
        <w:tab w:val="right" w:pos="9354"/>
      </w:tabs>
      <w:spacing w:before="80"/>
      <w:contextualSpacing/>
      <w:jc w:val="both"/>
    </w:pPr>
    <w:rPr>
      <w:b/>
      <w:i/>
      <w:sz w:val="16"/>
    </w:rPr>
  </w:style>
  <w:style w:type="character" w:styleId="PageNumber">
    <w:name w:val="page number"/>
    <w:basedOn w:val="DefaultParagraphFont"/>
    <w:rPr>
      <w:rFonts w:ascii="Arial" w:hAnsi="Arial"/>
      <w:sz w:val="16"/>
    </w:rPr>
  </w:style>
  <w:style w:type="paragraph" w:styleId="BodyText">
    <w:name w:val="Body Text"/>
    <w:basedOn w:val="Normal"/>
    <w:qFormat/>
    <w:pPr>
      <w:spacing w:line="302" w:lineRule="exact"/>
      <w:ind w:left="737"/>
      <w:jc w:val="both"/>
    </w:pPr>
  </w:style>
  <w:style w:type="paragraph" w:styleId="Caption">
    <w:name w:val="caption"/>
    <w:basedOn w:val="Normal"/>
    <w:next w:val="Normal"/>
    <w:qFormat/>
    <w:pPr>
      <w:spacing w:before="120" w:after="120"/>
    </w:pPr>
    <w:rPr>
      <w:b/>
    </w:rPr>
  </w:style>
  <w:style w:type="paragraph" w:styleId="BodyText2">
    <w:name w:val="Body Text 2"/>
    <w:basedOn w:val="Normal"/>
    <w:pPr>
      <w:jc w:val="center"/>
    </w:pPr>
    <w:rPr>
      <w:b/>
      <w:sz w:val="24"/>
    </w:rPr>
  </w:style>
  <w:style w:type="paragraph" w:styleId="BodyText3">
    <w:name w:val="Body Text 3"/>
    <w:basedOn w:val="Normal"/>
    <w:pPr>
      <w:spacing w:before="4" w:line="211" w:lineRule="exact"/>
      <w:jc w:val="both"/>
    </w:pPr>
  </w:style>
  <w:style w:type="paragraph" w:styleId="BodyTextIndent">
    <w:name w:val="Body Text Indent"/>
    <w:basedOn w:val="Normal"/>
    <w:link w:val="BodyTextIndentChar"/>
    <w:rsid w:val="003E4D8A"/>
    <w:pPr>
      <w:spacing w:before="60" w:after="60"/>
      <w:ind w:left="720"/>
      <w:jc w:val="both"/>
    </w:pPr>
  </w:style>
  <w:style w:type="paragraph" w:styleId="TOC1">
    <w:name w:val="toc 1"/>
    <w:basedOn w:val="Normal"/>
    <w:next w:val="Normal"/>
    <w:autoRedefine/>
    <w:uiPriority w:val="39"/>
    <w:rsid w:val="007F7D07"/>
    <w:pPr>
      <w:tabs>
        <w:tab w:val="left" w:pos="567"/>
        <w:tab w:val="right" w:leader="dot" w:pos="9072"/>
      </w:tabs>
      <w:spacing w:before="120" w:after="60"/>
      <w:ind w:left="567" w:hanging="567"/>
    </w:pPr>
    <w:rPr>
      <w:b/>
      <w:caps/>
      <w:sz w:val="24"/>
    </w:rPr>
  </w:style>
  <w:style w:type="paragraph" w:styleId="TOC2">
    <w:name w:val="toc 2"/>
    <w:basedOn w:val="Normal"/>
    <w:next w:val="Normal"/>
    <w:autoRedefine/>
    <w:uiPriority w:val="39"/>
    <w:rsid w:val="006A065B"/>
    <w:pPr>
      <w:tabs>
        <w:tab w:val="left" w:pos="1134"/>
        <w:tab w:val="right" w:leader="dot" w:pos="9072"/>
      </w:tabs>
      <w:spacing w:before="20" w:after="20"/>
      <w:ind w:left="1134" w:hanging="567"/>
      <w:contextualSpacing/>
    </w:pPr>
    <w:rPr>
      <w:b/>
      <w:smallCaps/>
      <w:sz w:val="22"/>
    </w:rPr>
  </w:style>
  <w:style w:type="paragraph" w:styleId="TOC3">
    <w:name w:val="toc 3"/>
    <w:basedOn w:val="Normal"/>
    <w:next w:val="Normal"/>
    <w:autoRedefine/>
    <w:uiPriority w:val="39"/>
    <w:rsid w:val="006A065B"/>
    <w:pPr>
      <w:tabs>
        <w:tab w:val="left" w:pos="1701"/>
        <w:tab w:val="right" w:leader="dot" w:pos="9060"/>
      </w:tabs>
      <w:ind w:left="1134" w:firstLine="1"/>
    </w:pPr>
    <w:rPr>
      <w:rFonts w:cs="Arial"/>
      <w:b/>
      <w:noProof/>
      <w:szCs w:val="22"/>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pPr>
      <w:keepNext/>
      <w:keepLines/>
      <w:tabs>
        <w:tab w:val="left" w:pos="622"/>
        <w:tab w:val="left" w:pos="1303"/>
        <w:tab w:val="left" w:pos="1773"/>
        <w:tab w:val="left" w:pos="2493"/>
        <w:tab w:val="left" w:pos="3213"/>
        <w:tab w:val="left" w:pos="3933"/>
        <w:tab w:val="left" w:pos="4653"/>
        <w:tab w:val="left" w:pos="5373"/>
        <w:tab w:val="left" w:pos="6093"/>
        <w:tab w:val="left" w:pos="6813"/>
        <w:tab w:val="left" w:pos="7533"/>
        <w:tab w:val="left" w:pos="8253"/>
        <w:tab w:val="left" w:pos="8973"/>
      </w:tabs>
      <w:spacing w:before="120" w:after="120"/>
    </w:pPr>
    <w:rPr>
      <w:b/>
      <w:snapToGrid w:val="0"/>
      <w:lang w:eastAsia="en-US"/>
    </w:rPr>
  </w:style>
  <w:style w:type="paragraph" w:customStyle="1" w:styleId="hdg4">
    <w:name w:val="hdg 4"/>
    <w:basedOn w:val="Normal"/>
    <w:next w:val="BodyText"/>
    <w:pPr>
      <w:keepNext/>
      <w:keepLines/>
      <w:spacing w:before="60" w:after="110"/>
      <w:ind w:left="709"/>
    </w:pPr>
    <w:rPr>
      <w:b/>
      <w:snapToGrid w:val="0"/>
      <w:u w:val="single"/>
      <w:lang w:eastAsia="en-US"/>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3"/>
      </w:numPr>
      <w:spacing w:before="120"/>
    </w:pPr>
    <w:rPr>
      <w:rFonts w:ascii="CG Times" w:hAnsi="CG Times"/>
      <w:sz w:val="22"/>
    </w:rPr>
  </w:style>
  <w:style w:type="paragraph" w:customStyle="1" w:styleId="Hdg40">
    <w:name w:val="Hdg4"/>
    <w:basedOn w:val="Heading3"/>
    <w:next w:val="Normal"/>
    <w:rPr>
      <w:i/>
      <w:caps w:val="0"/>
    </w:rPr>
  </w:style>
  <w:style w:type="paragraph" w:customStyle="1" w:styleId="a">
    <w:name w:val="_"/>
    <w:basedOn w:val="Normal"/>
    <w:pPr>
      <w:widowControl w:val="0"/>
      <w:spacing w:before="240" w:after="60"/>
      <w:ind w:left="720" w:hanging="720"/>
    </w:pPr>
    <w:rPr>
      <w:rFonts w:ascii="CG Times" w:hAnsi="CG Times"/>
      <w:snapToGrid w:val="0"/>
      <w:sz w:val="24"/>
      <w:lang w:val="en-US" w:eastAsia="en-US"/>
    </w:rPr>
  </w:style>
  <w:style w:type="paragraph" w:customStyle="1" w:styleId="Level1">
    <w:name w:val="Level 1"/>
    <w:basedOn w:val="Normal"/>
    <w:pPr>
      <w:widowControl w:val="0"/>
      <w:spacing w:before="240"/>
      <w:ind w:left="622" w:hanging="622"/>
    </w:pPr>
    <w:rPr>
      <w:rFonts w:ascii="CG Times" w:hAnsi="CG Times"/>
      <w:snapToGrid w:val="0"/>
      <w:sz w:val="24"/>
      <w:lang w:val="en-US" w:eastAsia="en-US"/>
    </w:rPr>
  </w:style>
  <w:style w:type="paragraph" w:customStyle="1" w:styleId="hdg5">
    <w:name w:val="hdg 5"/>
    <w:basedOn w:val="Normal"/>
    <w:next w:val="BlockText"/>
    <w:pPr>
      <w:widowControl w:val="0"/>
      <w:spacing w:before="120"/>
    </w:pPr>
    <w:rPr>
      <w:b/>
      <w:snapToGrid w:val="0"/>
      <w:lang w:val="en-US" w:eastAsia="en-US"/>
    </w:rPr>
  </w:style>
  <w:style w:type="paragraph" w:styleId="BlockText">
    <w:name w:val="Block Text"/>
    <w:basedOn w:val="Normal"/>
    <w:pPr>
      <w:spacing w:before="240" w:after="120"/>
      <w:ind w:left="1440" w:right="1440"/>
    </w:pPr>
    <w:rPr>
      <w:rFonts w:ascii="CG Times" w:hAnsi="CG Times"/>
      <w:sz w:val="22"/>
    </w:rPr>
  </w:style>
  <w:style w:type="paragraph" w:customStyle="1" w:styleId="hdr1">
    <w:name w:val="hdr1"/>
    <w:basedOn w:val="Notes"/>
    <w:next w:val="Normal"/>
    <w:rPr>
      <w:rFonts w:ascii="Arial" w:hAnsi="Arial"/>
      <w:b/>
      <w:sz w:val="24"/>
    </w:rPr>
  </w:style>
  <w:style w:type="paragraph" w:customStyle="1" w:styleId="Hdr2">
    <w:name w:val="Hdr 2"/>
    <w:basedOn w:val="Notes"/>
    <w:next w:val="Notes"/>
    <w:pPr>
      <w:spacing w:before="120"/>
      <w:jc w:val="right"/>
    </w:pPr>
    <w:rPr>
      <w:rFonts w:ascii="MarkingPenHeavy" w:hAnsi="MarkingPenHeavy"/>
      <w:i/>
      <w:kern w:val="28"/>
      <w:sz w:val="28"/>
    </w:rPr>
  </w:style>
  <w:style w:type="paragraph" w:styleId="BodyTextIndent2">
    <w:name w:val="Body Text Indent 2"/>
    <w:basedOn w:val="Normal"/>
    <w:rsid w:val="00B2105C"/>
    <w:pPr>
      <w:spacing w:before="60" w:after="60"/>
      <w:ind w:left="709"/>
    </w:pPr>
  </w:style>
  <w:style w:type="paragraph" w:styleId="FootnoteText">
    <w:name w:val="footnote text"/>
    <w:basedOn w:val="Normal"/>
    <w:semiHidden/>
    <w:pPr>
      <w:widowControl w:val="0"/>
    </w:pPr>
    <w:rPr>
      <w:rFonts w:ascii="Times New Roman" w:hAnsi="Times New Roman"/>
      <w:snapToGrid w:val="0"/>
      <w:lang w:val="en-US" w:eastAsia="en-US"/>
    </w:rPr>
  </w:style>
  <w:style w:type="paragraph" w:styleId="BodyTextIndent3">
    <w:name w:val="Body Text Indent 3"/>
    <w:basedOn w:val="Normal"/>
    <w:pPr>
      <w:ind w:left="709"/>
      <w:jc w:val="both"/>
    </w:pPr>
    <w:rPr>
      <w:color w:val="FF000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860F12"/>
    <w:rPr>
      <w:rFonts w:ascii="Tahoma" w:hAnsi="Tahoma" w:cs="Tahoma"/>
      <w:sz w:val="16"/>
      <w:szCs w:val="16"/>
    </w:rPr>
  </w:style>
  <w:style w:type="paragraph" w:customStyle="1" w:styleId="Table">
    <w:name w:val="Table"/>
    <w:basedOn w:val="BodyTextIndent3"/>
    <w:rsid w:val="006E06D3"/>
    <w:pPr>
      <w:spacing w:before="20" w:after="20"/>
      <w:ind w:left="0"/>
      <w:jc w:val="left"/>
    </w:pPr>
    <w:rPr>
      <w:snapToGrid w:val="0"/>
      <w:color w:val="auto"/>
      <w:sz w:val="18"/>
      <w:lang w:eastAsia="en-US"/>
    </w:rPr>
  </w:style>
  <w:style w:type="paragraph" w:customStyle="1" w:styleId="TableCen">
    <w:name w:val="Table Cen"/>
    <w:basedOn w:val="Table"/>
    <w:rsid w:val="00492410"/>
    <w:pPr>
      <w:jc w:val="center"/>
    </w:pPr>
  </w:style>
  <w:style w:type="paragraph" w:customStyle="1" w:styleId="TableHeadCen">
    <w:name w:val="Table Head Cen"/>
    <w:basedOn w:val="Normal"/>
    <w:rsid w:val="007F7D07"/>
    <w:pPr>
      <w:spacing w:before="40" w:after="40"/>
      <w:jc w:val="center"/>
    </w:pPr>
    <w:rPr>
      <w:b/>
      <w:sz w:val="18"/>
    </w:rPr>
  </w:style>
  <w:style w:type="paragraph" w:customStyle="1" w:styleId="CoverHeading">
    <w:name w:val="Cover Heading"/>
    <w:basedOn w:val="Normal"/>
    <w:rsid w:val="006E06D3"/>
    <w:pPr>
      <w:spacing w:before="240" w:after="120"/>
      <w:jc w:val="center"/>
      <w:outlineLvl w:val="0"/>
    </w:pPr>
    <w:rPr>
      <w:b/>
      <w:caps/>
      <w:sz w:val="24"/>
    </w:rPr>
  </w:style>
  <w:style w:type="paragraph" w:customStyle="1" w:styleId="BodyTextIndentDot">
    <w:name w:val="Body Text Indent Dot"/>
    <w:basedOn w:val="Normal"/>
    <w:rsid w:val="00390E4D"/>
    <w:pPr>
      <w:numPr>
        <w:numId w:val="4"/>
      </w:numPr>
      <w:spacing w:before="40" w:after="40"/>
      <w:jc w:val="both"/>
    </w:pPr>
  </w:style>
  <w:style w:type="paragraph" w:customStyle="1" w:styleId="BodyTextIndentBoldUnderline">
    <w:name w:val="Body Text Indent Bold Underline"/>
    <w:basedOn w:val="BodyTextIndent"/>
    <w:rsid w:val="003E4D8A"/>
    <w:rPr>
      <w:b/>
      <w:u w:val="single"/>
    </w:rPr>
  </w:style>
  <w:style w:type="paragraph" w:customStyle="1" w:styleId="BodyTextIndentBold">
    <w:name w:val="Body Text Indent Bold"/>
    <w:basedOn w:val="BodyTextIndent"/>
    <w:link w:val="BodyTextIndentBoldChar"/>
    <w:rsid w:val="00C738AF"/>
    <w:pPr>
      <w:ind w:left="709"/>
    </w:pPr>
    <w:rPr>
      <w:b/>
    </w:rPr>
  </w:style>
  <w:style w:type="character" w:customStyle="1" w:styleId="BodyTextIndentBoldChar">
    <w:name w:val="Body Text Indent Bold Char"/>
    <w:basedOn w:val="DefaultParagraphFont"/>
    <w:link w:val="BodyTextIndentBold"/>
    <w:rsid w:val="00C738AF"/>
    <w:rPr>
      <w:rFonts w:ascii="Arial" w:hAnsi="Arial"/>
      <w:b/>
      <w:lang w:val="en-AU" w:eastAsia="en-AU" w:bidi="ar-SA"/>
    </w:rPr>
  </w:style>
  <w:style w:type="paragraph" w:customStyle="1" w:styleId="BodyTextIndentNum">
    <w:name w:val="Body Text Indent Num"/>
    <w:basedOn w:val="BodyTextIndent"/>
    <w:rsid w:val="004A08B6"/>
    <w:pPr>
      <w:numPr>
        <w:numId w:val="5"/>
      </w:numPr>
      <w:tabs>
        <w:tab w:val="clear" w:pos="720"/>
        <w:tab w:val="num" w:pos="1080"/>
      </w:tabs>
      <w:ind w:left="1066" w:hanging="357"/>
    </w:pPr>
  </w:style>
  <w:style w:type="paragraph" w:customStyle="1" w:styleId="TableHead">
    <w:name w:val="Table Head"/>
    <w:basedOn w:val="TableHeadCen"/>
    <w:rsid w:val="004A08B6"/>
    <w:pPr>
      <w:jc w:val="left"/>
    </w:pPr>
  </w:style>
  <w:style w:type="paragraph" w:customStyle="1" w:styleId="BodyTextIndent9Num">
    <w:name w:val="Body Text Indent 9 Num"/>
    <w:basedOn w:val="Normal"/>
    <w:rsid w:val="00D83054"/>
    <w:pPr>
      <w:numPr>
        <w:numId w:val="19"/>
      </w:numPr>
      <w:spacing w:before="40" w:after="40"/>
      <w:jc w:val="both"/>
    </w:pPr>
    <w:rPr>
      <w:sz w:val="18"/>
    </w:rPr>
  </w:style>
  <w:style w:type="paragraph" w:customStyle="1" w:styleId="BodyTextIndent9">
    <w:name w:val="Body Text Indent 9"/>
    <w:basedOn w:val="BodyTextIndent"/>
    <w:rsid w:val="004A08B6"/>
    <w:rPr>
      <w:sz w:val="18"/>
      <w:szCs w:val="18"/>
    </w:rPr>
  </w:style>
  <w:style w:type="paragraph" w:customStyle="1" w:styleId="TableDot">
    <w:name w:val="Table Dot"/>
    <w:basedOn w:val="Normal"/>
    <w:rsid w:val="00D83054"/>
    <w:pPr>
      <w:numPr>
        <w:numId w:val="27"/>
      </w:numPr>
      <w:spacing w:before="20" w:after="20"/>
    </w:pPr>
    <w:rPr>
      <w:sz w:val="18"/>
    </w:rPr>
  </w:style>
  <w:style w:type="paragraph" w:customStyle="1" w:styleId="BodyTextIndentBoldItalicCen">
    <w:name w:val="Body Text Indent Bold Italic Cen"/>
    <w:basedOn w:val="BodyTextIndent"/>
    <w:rsid w:val="003E7717"/>
    <w:pPr>
      <w:jc w:val="center"/>
    </w:pPr>
    <w:rPr>
      <w:b/>
      <w:i/>
    </w:rPr>
  </w:style>
  <w:style w:type="paragraph" w:customStyle="1" w:styleId="Default">
    <w:name w:val="Default"/>
    <w:rsid w:val="0006670C"/>
    <w:pPr>
      <w:autoSpaceDE w:val="0"/>
      <w:autoSpaceDN w:val="0"/>
      <w:adjustRightInd w:val="0"/>
    </w:pPr>
    <w:rPr>
      <w:rFonts w:ascii="Arial" w:hAnsi="Arial" w:cs="Arial"/>
      <w:color w:val="000000"/>
      <w:sz w:val="24"/>
      <w:szCs w:val="24"/>
    </w:rPr>
  </w:style>
  <w:style w:type="paragraph" w:customStyle="1" w:styleId="TableIDNum">
    <w:name w:val="Table ID Num"/>
    <w:basedOn w:val="Normal"/>
    <w:rsid w:val="00537337"/>
    <w:pPr>
      <w:spacing w:before="120" w:after="60"/>
      <w:ind w:left="709"/>
    </w:pPr>
    <w:rPr>
      <w:b/>
      <w:i/>
      <w:sz w:val="18"/>
    </w:rPr>
  </w:style>
  <w:style w:type="paragraph" w:customStyle="1" w:styleId="BodyTextIndentUnderline">
    <w:name w:val="Body Text Indent Underline"/>
    <w:basedOn w:val="BodyTextIndent"/>
    <w:rsid w:val="00366B19"/>
    <w:rPr>
      <w:rFonts w:cs="Arial"/>
      <w:u w:val="single"/>
    </w:rPr>
  </w:style>
  <w:style w:type="character" w:styleId="Hyperlink">
    <w:name w:val="Hyperlink"/>
    <w:basedOn w:val="DefaultParagraphFont"/>
    <w:unhideWhenUsed/>
    <w:rsid w:val="003B303A"/>
    <w:rPr>
      <w:color w:val="0000FF" w:themeColor="hyperlink"/>
      <w:u w:val="single"/>
    </w:rPr>
  </w:style>
  <w:style w:type="character" w:customStyle="1" w:styleId="BodyTextIndentChar">
    <w:name w:val="Body Text Indent Char"/>
    <w:basedOn w:val="DefaultParagraphFont"/>
    <w:link w:val="BodyTextIndent"/>
    <w:rsid w:val="00792357"/>
    <w:rPr>
      <w:rFonts w:ascii="Arial" w:hAnsi="Arial"/>
    </w:rPr>
  </w:style>
  <w:style w:type="paragraph" w:styleId="NormalWeb">
    <w:name w:val="Normal (Web)"/>
    <w:basedOn w:val="Normal"/>
    <w:uiPriority w:val="99"/>
    <w:semiHidden/>
    <w:unhideWhenUsed/>
    <w:rsid w:val="008C4557"/>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4854E2"/>
    <w:rPr>
      <w:rFonts w:ascii="Arial" w:hAnsi="Arial"/>
      <w:b/>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plan.brisbane.qld.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brisbane.qld.gov.au/clean-and-green/natural-environment-and-water/plants-trees-and-gardens/verge-garden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eplan.brisbane.qld.gov.au/"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eplan.brisbane.qld.gov.a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9AD72-10BC-48AB-8D2D-0DB8B1979B06}">
  <ds:schemaRefs>
    <ds:schemaRef ds:uri="http://schemas.openxmlformats.org/officeDocument/2006/bibliography"/>
  </ds:schemaRefs>
</ds:datastoreItem>
</file>

<file path=customXml/itemProps2.xml><?xml version="1.0" encoding="utf-8"?>
<ds:datastoreItem xmlns:ds="http://schemas.openxmlformats.org/officeDocument/2006/customXml" ds:itemID="{F6B1A969-AD9A-4DA0-884A-8E5854886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B4065-3DD3-4100-9EAF-28A7F40A0101}">
  <ds:schemaRefs>
    <ds:schemaRef ds:uri="http://schemas.microsoft.com/sharepoint/v3/contenttype/forms"/>
  </ds:schemaRefs>
</ds:datastoreItem>
</file>

<file path=customXml/itemProps4.xml><?xml version="1.0" encoding="utf-8"?>
<ds:datastoreItem xmlns:ds="http://schemas.openxmlformats.org/officeDocument/2006/customXml" ds:itemID="{72020700-FBBB-43FB-8992-8236BC31A1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20</Pages>
  <Words>7750</Words>
  <Characters>44181</Characters>
  <Application>Microsoft Office Word</Application>
  <DocSecurity>0</DocSecurity>
  <Lines>368</Lines>
  <Paragraphs>103</Paragraphs>
  <ScaleCrop>false</ScaleCrop>
  <Manager>Bruce Hansen</Manager>
  <Company>Brisbane City Council</Company>
  <LinksUpToDate>false</LinksUpToDate>
  <CharactersWithSpaces>51828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S140 Earthworks</dc:subject>
  <dc:creator>Lucy Ting</dc:creator>
  <cp:lastModifiedBy>David Brady</cp:lastModifiedBy>
  <cp:revision>123</cp:revision>
  <cp:lastPrinted>2013-02-18T23:43:00Z</cp:lastPrinted>
  <dcterms:created xsi:type="dcterms:W3CDTF">2016-05-23T03:48:00Z</dcterms:created>
  <dcterms:modified xsi:type="dcterms:W3CDTF">2021-11-16T22:25:00Z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