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8947C" w14:textId="77777777" w:rsidR="00520289" w:rsidRPr="00B71BB6" w:rsidRDefault="00520289" w:rsidP="00B71BB6">
      <w:pPr>
        <w:pStyle w:val="Heading1"/>
      </w:pPr>
      <w:permStart w:id="936536465" w:edGrp="everyone"/>
      <w:r w:rsidRPr="00B71BB6">
        <w:t>Brisbane City Council</w:t>
      </w:r>
    </w:p>
    <w:p w14:paraId="7D650A6C" w14:textId="77777777" w:rsidR="00520289" w:rsidRDefault="00520289" w:rsidP="00B71BB6">
      <w:pPr>
        <w:pStyle w:val="Heading1"/>
      </w:pPr>
      <w:r>
        <w:t>Reference Specifications for Engineering Work</w:t>
      </w:r>
    </w:p>
    <w:p w14:paraId="4C048B2D" w14:textId="77777777" w:rsidR="00220345" w:rsidRDefault="00520289" w:rsidP="00B71BB6">
      <w:pPr>
        <w:pStyle w:val="Heading1"/>
      </w:pPr>
      <w:r>
        <w:t>S150 Roadworks</w:t>
      </w:r>
    </w:p>
    <w:p w14:paraId="3A6EDC99" w14:textId="5E8C6B7D" w:rsidR="00F46C8B" w:rsidRPr="00F46C8B" w:rsidRDefault="00F46C8B" w:rsidP="00F46C8B">
      <w:pPr>
        <w:sectPr w:rsidR="00F46C8B" w:rsidRPr="00F46C8B" w:rsidSect="00531621">
          <w:headerReference w:type="even" r:id="rId11"/>
          <w:headerReference w:type="default" r:id="rId12"/>
          <w:footerReference w:type="default" r:id="rId13"/>
          <w:pgSz w:w="11906" w:h="16838" w:code="9"/>
          <w:pgMar w:top="1134" w:right="1134" w:bottom="992" w:left="1418" w:header="1134" w:footer="851" w:gutter="0"/>
          <w:pgNumType w:fmt="lowerRoman" w:start="1"/>
          <w:cols w:space="720"/>
        </w:sectPr>
      </w:pPr>
    </w:p>
    <w:permEnd w:id="936536465"/>
    <w:p w14:paraId="579A806C" w14:textId="43875905" w:rsidR="003E556D" w:rsidRDefault="003E556D" w:rsidP="000379CB">
      <w:pPr>
        <w:pStyle w:val="Heading2"/>
        <w:numPr>
          <w:ilvl w:val="0"/>
          <w:numId w:val="0"/>
        </w:numPr>
        <w:ind w:left="709" w:hanging="709"/>
      </w:pPr>
      <w:r>
        <w:lastRenderedPageBreak/>
        <w:t>Amendment Register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10"/>
        <w:gridCol w:w="5386"/>
        <w:gridCol w:w="1560"/>
      </w:tblGrid>
      <w:tr w:rsidR="003E556D" w14:paraId="3F15DDD7" w14:textId="77777777" w:rsidTr="001D7C48">
        <w:tc>
          <w:tcPr>
            <w:tcW w:w="1242" w:type="dxa"/>
            <w:tcBorders>
              <w:top w:val="single" w:sz="12" w:space="0" w:color="auto"/>
              <w:left w:val="nil"/>
              <w:bottom w:val="single" w:sz="12" w:space="0" w:color="auto"/>
              <w:right w:val="single" w:sz="6" w:space="0" w:color="auto"/>
            </w:tcBorders>
            <w:shd w:val="clear" w:color="auto" w:fill="auto"/>
            <w:vAlign w:val="center"/>
          </w:tcPr>
          <w:p w14:paraId="5D3DA565" w14:textId="77777777" w:rsidR="003E556D" w:rsidRDefault="003E556D" w:rsidP="00CB0FC3">
            <w:pPr>
              <w:pStyle w:val="TableHeadCen"/>
            </w:pPr>
            <w:r>
              <w:t>Ed/Rev Number</w:t>
            </w:r>
          </w:p>
        </w:tc>
        <w:tc>
          <w:tcPr>
            <w:tcW w:w="1310" w:type="dxa"/>
            <w:tcBorders>
              <w:top w:val="single" w:sz="12" w:space="0" w:color="auto"/>
              <w:left w:val="single" w:sz="6" w:space="0" w:color="auto"/>
              <w:bottom w:val="single" w:sz="12" w:space="0" w:color="auto"/>
              <w:right w:val="single" w:sz="6" w:space="0" w:color="auto"/>
            </w:tcBorders>
            <w:shd w:val="clear" w:color="auto" w:fill="auto"/>
            <w:vAlign w:val="center"/>
          </w:tcPr>
          <w:p w14:paraId="20FEFEB1" w14:textId="77777777" w:rsidR="003E556D" w:rsidRDefault="003E556D" w:rsidP="00CB0FC3">
            <w:pPr>
              <w:pStyle w:val="TableHeadCen"/>
            </w:pPr>
            <w:r>
              <w:t>Section Number</w:t>
            </w:r>
          </w:p>
        </w:tc>
        <w:tc>
          <w:tcPr>
            <w:tcW w:w="5386" w:type="dxa"/>
            <w:tcBorders>
              <w:top w:val="single" w:sz="12" w:space="0" w:color="auto"/>
              <w:left w:val="single" w:sz="6" w:space="0" w:color="auto"/>
              <w:bottom w:val="single" w:sz="12" w:space="0" w:color="auto"/>
              <w:right w:val="single" w:sz="6" w:space="0" w:color="auto"/>
            </w:tcBorders>
            <w:shd w:val="clear" w:color="auto" w:fill="auto"/>
            <w:vAlign w:val="center"/>
          </w:tcPr>
          <w:p w14:paraId="717D8E76" w14:textId="77777777" w:rsidR="003E556D" w:rsidRDefault="003E556D" w:rsidP="00CB0FC3">
            <w:pPr>
              <w:pStyle w:val="TableHeadCen"/>
            </w:pPr>
            <w:r>
              <w:t>Description</w:t>
            </w:r>
          </w:p>
        </w:tc>
        <w:tc>
          <w:tcPr>
            <w:tcW w:w="1560" w:type="dxa"/>
            <w:tcBorders>
              <w:top w:val="single" w:sz="12" w:space="0" w:color="auto"/>
              <w:left w:val="single" w:sz="6" w:space="0" w:color="auto"/>
              <w:bottom w:val="single" w:sz="12" w:space="0" w:color="auto"/>
              <w:right w:val="nil"/>
            </w:tcBorders>
            <w:shd w:val="clear" w:color="auto" w:fill="auto"/>
            <w:vAlign w:val="center"/>
          </w:tcPr>
          <w:p w14:paraId="78CF2D9D" w14:textId="77777777" w:rsidR="003E556D" w:rsidRDefault="003E556D" w:rsidP="00CB0FC3">
            <w:pPr>
              <w:pStyle w:val="TableHeadCen"/>
            </w:pPr>
            <w:r>
              <w:t>Date</w:t>
            </w:r>
          </w:p>
        </w:tc>
      </w:tr>
      <w:tr w:rsidR="003E556D" w14:paraId="3597D3D7" w14:textId="77777777" w:rsidTr="001D7C48">
        <w:trPr>
          <w:trHeight w:val="340"/>
        </w:trPr>
        <w:tc>
          <w:tcPr>
            <w:tcW w:w="1242" w:type="dxa"/>
            <w:tcBorders>
              <w:top w:val="single" w:sz="12" w:space="0" w:color="auto"/>
              <w:left w:val="nil"/>
              <w:bottom w:val="single" w:sz="8" w:space="0" w:color="auto"/>
              <w:right w:val="single" w:sz="6" w:space="0" w:color="auto"/>
            </w:tcBorders>
            <w:vAlign w:val="center"/>
          </w:tcPr>
          <w:p w14:paraId="44EC5A0C" w14:textId="77777777" w:rsidR="003E556D" w:rsidRDefault="003E556D" w:rsidP="00CB0FC3">
            <w:pPr>
              <w:pStyle w:val="TableCen"/>
            </w:pPr>
            <w:r>
              <w:t>1.0</w:t>
            </w:r>
          </w:p>
        </w:tc>
        <w:tc>
          <w:tcPr>
            <w:tcW w:w="1310" w:type="dxa"/>
            <w:tcBorders>
              <w:top w:val="single" w:sz="12" w:space="0" w:color="auto"/>
              <w:left w:val="single" w:sz="6" w:space="0" w:color="auto"/>
              <w:bottom w:val="single" w:sz="8" w:space="0" w:color="auto"/>
              <w:right w:val="single" w:sz="6" w:space="0" w:color="auto"/>
            </w:tcBorders>
            <w:vAlign w:val="center"/>
          </w:tcPr>
          <w:p w14:paraId="3A474923" w14:textId="77777777" w:rsidR="003E556D" w:rsidRDefault="003E556D" w:rsidP="00CB0FC3">
            <w:pPr>
              <w:pStyle w:val="TableCen"/>
            </w:pPr>
          </w:p>
        </w:tc>
        <w:tc>
          <w:tcPr>
            <w:tcW w:w="5386" w:type="dxa"/>
            <w:tcBorders>
              <w:top w:val="single" w:sz="12" w:space="0" w:color="auto"/>
              <w:left w:val="single" w:sz="6" w:space="0" w:color="auto"/>
              <w:bottom w:val="single" w:sz="8" w:space="0" w:color="auto"/>
              <w:right w:val="single" w:sz="6" w:space="0" w:color="auto"/>
            </w:tcBorders>
            <w:vAlign w:val="center"/>
          </w:tcPr>
          <w:p w14:paraId="5BCDA831" w14:textId="77777777" w:rsidR="003E556D" w:rsidRDefault="003E556D" w:rsidP="00CB0FC3">
            <w:pPr>
              <w:pStyle w:val="Table"/>
            </w:pPr>
            <w:r>
              <w:t>Original issue</w:t>
            </w:r>
          </w:p>
        </w:tc>
        <w:tc>
          <w:tcPr>
            <w:tcW w:w="1560" w:type="dxa"/>
            <w:tcBorders>
              <w:top w:val="single" w:sz="12" w:space="0" w:color="auto"/>
              <w:left w:val="single" w:sz="6" w:space="0" w:color="auto"/>
              <w:bottom w:val="single" w:sz="8" w:space="0" w:color="auto"/>
              <w:right w:val="nil"/>
            </w:tcBorders>
            <w:vAlign w:val="center"/>
          </w:tcPr>
          <w:p w14:paraId="7BBA4FE4" w14:textId="77777777" w:rsidR="003E556D" w:rsidRDefault="003E556D" w:rsidP="00CB0FC3">
            <w:pPr>
              <w:pStyle w:val="TableCen"/>
            </w:pPr>
            <w:r>
              <w:t>Oct 2001</w:t>
            </w:r>
          </w:p>
        </w:tc>
      </w:tr>
      <w:tr w:rsidR="003E556D" w14:paraId="6C5CD3AA" w14:textId="77777777" w:rsidTr="001D7C48">
        <w:trPr>
          <w:trHeight w:val="340"/>
        </w:trPr>
        <w:tc>
          <w:tcPr>
            <w:tcW w:w="1242" w:type="dxa"/>
            <w:tcBorders>
              <w:top w:val="single" w:sz="8" w:space="0" w:color="auto"/>
              <w:left w:val="nil"/>
              <w:bottom w:val="single" w:sz="8" w:space="0" w:color="auto"/>
              <w:right w:val="single" w:sz="6" w:space="0" w:color="auto"/>
            </w:tcBorders>
            <w:vAlign w:val="center"/>
          </w:tcPr>
          <w:p w14:paraId="1CA6BC3E" w14:textId="77777777" w:rsidR="003E556D" w:rsidRDefault="003E556D" w:rsidP="00CB0FC3">
            <w:pPr>
              <w:pStyle w:val="TableCen"/>
            </w:pPr>
            <w:r>
              <w:t>2.0</w:t>
            </w:r>
          </w:p>
        </w:tc>
        <w:tc>
          <w:tcPr>
            <w:tcW w:w="1310" w:type="dxa"/>
            <w:tcBorders>
              <w:top w:val="single" w:sz="8" w:space="0" w:color="auto"/>
              <w:left w:val="single" w:sz="6" w:space="0" w:color="auto"/>
              <w:bottom w:val="single" w:sz="8" w:space="0" w:color="auto"/>
              <w:right w:val="single" w:sz="6" w:space="0" w:color="auto"/>
            </w:tcBorders>
            <w:vAlign w:val="center"/>
          </w:tcPr>
          <w:p w14:paraId="439067E5" w14:textId="77777777" w:rsidR="003E556D" w:rsidRDefault="003E556D" w:rsidP="00CB0FC3">
            <w:pPr>
              <w:pStyle w:val="TableCen"/>
            </w:pPr>
            <w:r>
              <w:t>7, 8, 9 &amp; 10</w:t>
            </w:r>
          </w:p>
        </w:tc>
        <w:tc>
          <w:tcPr>
            <w:tcW w:w="5386" w:type="dxa"/>
            <w:tcBorders>
              <w:top w:val="single" w:sz="8" w:space="0" w:color="auto"/>
              <w:left w:val="single" w:sz="6" w:space="0" w:color="auto"/>
              <w:bottom w:val="single" w:sz="8" w:space="0" w:color="auto"/>
              <w:right w:val="single" w:sz="6" w:space="0" w:color="auto"/>
            </w:tcBorders>
            <w:vAlign w:val="center"/>
          </w:tcPr>
          <w:p w14:paraId="15EEA013" w14:textId="77777777" w:rsidR="003E556D" w:rsidRDefault="003E556D" w:rsidP="00CB0FC3">
            <w:pPr>
              <w:pStyle w:val="Table"/>
            </w:pPr>
            <w:r>
              <w:t>Complete revision and reissue of the following sections:</w:t>
            </w:r>
          </w:p>
          <w:p w14:paraId="7E7FB13F" w14:textId="77777777" w:rsidR="003E556D" w:rsidRDefault="003E556D" w:rsidP="00CB0FC3">
            <w:pPr>
              <w:pStyle w:val="Table"/>
            </w:pPr>
            <w:r>
              <w:t>Section 7 – Surface Treatments;</w:t>
            </w:r>
          </w:p>
          <w:p w14:paraId="03BFAE82" w14:textId="77777777" w:rsidR="003E556D" w:rsidRDefault="003E556D" w:rsidP="00CB0FC3">
            <w:pPr>
              <w:pStyle w:val="Table"/>
            </w:pPr>
            <w:r>
              <w:t>Section 8 – Traffic Signs;</w:t>
            </w:r>
          </w:p>
          <w:p w14:paraId="6B966500" w14:textId="77777777" w:rsidR="003E556D" w:rsidRDefault="003E556D" w:rsidP="00CB0FC3">
            <w:pPr>
              <w:pStyle w:val="Table"/>
            </w:pPr>
            <w:r>
              <w:t>Section 9 – Pavement Marking and;</w:t>
            </w:r>
          </w:p>
          <w:p w14:paraId="03AD9E8D" w14:textId="77777777" w:rsidR="003E556D" w:rsidRDefault="003E556D" w:rsidP="00CB0FC3">
            <w:pPr>
              <w:pStyle w:val="Table"/>
            </w:pPr>
            <w:r>
              <w:t>Section 10 – Other Surface Features.</w:t>
            </w:r>
          </w:p>
        </w:tc>
        <w:tc>
          <w:tcPr>
            <w:tcW w:w="1560" w:type="dxa"/>
            <w:tcBorders>
              <w:top w:val="single" w:sz="8" w:space="0" w:color="auto"/>
              <w:left w:val="single" w:sz="6" w:space="0" w:color="auto"/>
              <w:bottom w:val="single" w:sz="8" w:space="0" w:color="auto"/>
              <w:right w:val="nil"/>
            </w:tcBorders>
            <w:vAlign w:val="center"/>
          </w:tcPr>
          <w:p w14:paraId="36A829EA" w14:textId="77777777" w:rsidR="003E556D" w:rsidRDefault="003E556D" w:rsidP="00CB0FC3">
            <w:pPr>
              <w:pStyle w:val="TableCen"/>
            </w:pPr>
            <w:r>
              <w:t>Feb 2005</w:t>
            </w:r>
          </w:p>
        </w:tc>
      </w:tr>
      <w:tr w:rsidR="003E556D" w14:paraId="26156155" w14:textId="77777777" w:rsidTr="001D7C48">
        <w:trPr>
          <w:trHeight w:val="340"/>
        </w:trPr>
        <w:tc>
          <w:tcPr>
            <w:tcW w:w="1242" w:type="dxa"/>
            <w:tcBorders>
              <w:top w:val="single" w:sz="8" w:space="0" w:color="auto"/>
              <w:left w:val="nil"/>
              <w:bottom w:val="single" w:sz="8" w:space="0" w:color="auto"/>
              <w:right w:val="single" w:sz="6" w:space="0" w:color="auto"/>
            </w:tcBorders>
            <w:vAlign w:val="center"/>
          </w:tcPr>
          <w:p w14:paraId="403122E9" w14:textId="77777777" w:rsidR="003E556D" w:rsidRDefault="003E556D" w:rsidP="00CB0FC3">
            <w:pPr>
              <w:pStyle w:val="TableCen"/>
            </w:pPr>
            <w:r>
              <w:t>2.5</w:t>
            </w:r>
          </w:p>
        </w:tc>
        <w:tc>
          <w:tcPr>
            <w:tcW w:w="1310" w:type="dxa"/>
            <w:tcBorders>
              <w:top w:val="single" w:sz="8" w:space="0" w:color="auto"/>
              <w:left w:val="single" w:sz="6" w:space="0" w:color="auto"/>
              <w:bottom w:val="single" w:sz="8" w:space="0" w:color="auto"/>
              <w:right w:val="single" w:sz="6" w:space="0" w:color="auto"/>
            </w:tcBorders>
            <w:vAlign w:val="center"/>
          </w:tcPr>
          <w:p w14:paraId="38150BC1" w14:textId="77777777" w:rsidR="003E556D" w:rsidRDefault="003E556D" w:rsidP="00CB0FC3">
            <w:pPr>
              <w:pStyle w:val="TableCen"/>
            </w:pPr>
            <w:r>
              <w:t>8 &amp; 9</w:t>
            </w:r>
          </w:p>
        </w:tc>
        <w:tc>
          <w:tcPr>
            <w:tcW w:w="5386" w:type="dxa"/>
            <w:tcBorders>
              <w:top w:val="single" w:sz="8" w:space="0" w:color="auto"/>
              <w:left w:val="single" w:sz="6" w:space="0" w:color="auto"/>
              <w:bottom w:val="single" w:sz="8" w:space="0" w:color="auto"/>
              <w:right w:val="single" w:sz="6" w:space="0" w:color="auto"/>
            </w:tcBorders>
            <w:vAlign w:val="center"/>
          </w:tcPr>
          <w:p w14:paraId="1A70AD0E" w14:textId="77777777" w:rsidR="003E556D" w:rsidRDefault="003E556D" w:rsidP="00CB0FC3">
            <w:pPr>
              <w:pStyle w:val="Table"/>
            </w:pPr>
            <w:r>
              <w:t>Minor revision of typographical errors from Revision 2.0</w:t>
            </w:r>
          </w:p>
        </w:tc>
        <w:tc>
          <w:tcPr>
            <w:tcW w:w="1560" w:type="dxa"/>
            <w:tcBorders>
              <w:top w:val="single" w:sz="8" w:space="0" w:color="auto"/>
              <w:left w:val="single" w:sz="6" w:space="0" w:color="auto"/>
              <w:bottom w:val="single" w:sz="8" w:space="0" w:color="auto"/>
              <w:right w:val="nil"/>
            </w:tcBorders>
            <w:vAlign w:val="center"/>
          </w:tcPr>
          <w:p w14:paraId="6FAB9F91" w14:textId="77777777" w:rsidR="003E556D" w:rsidRDefault="003E556D" w:rsidP="00CB0FC3">
            <w:pPr>
              <w:pStyle w:val="TableCen"/>
            </w:pPr>
            <w:r>
              <w:t>Apr 2005</w:t>
            </w:r>
          </w:p>
        </w:tc>
      </w:tr>
      <w:tr w:rsidR="002750A8" w14:paraId="64B0D5B0" w14:textId="77777777" w:rsidTr="001D7C48">
        <w:trPr>
          <w:trHeight w:val="340"/>
        </w:trPr>
        <w:tc>
          <w:tcPr>
            <w:tcW w:w="1242" w:type="dxa"/>
            <w:vMerge w:val="restart"/>
            <w:tcBorders>
              <w:top w:val="single" w:sz="8" w:space="0" w:color="auto"/>
              <w:left w:val="nil"/>
              <w:bottom w:val="single" w:sz="8" w:space="0" w:color="auto"/>
              <w:right w:val="single" w:sz="6" w:space="0" w:color="auto"/>
            </w:tcBorders>
            <w:shd w:val="clear" w:color="auto" w:fill="auto"/>
            <w:vAlign w:val="center"/>
          </w:tcPr>
          <w:p w14:paraId="1D43C3D6" w14:textId="77777777" w:rsidR="002750A8" w:rsidRDefault="002750A8" w:rsidP="00CB0FC3">
            <w:pPr>
              <w:pStyle w:val="TableCen"/>
            </w:pPr>
            <w:r>
              <w:t>3.0</w:t>
            </w:r>
          </w:p>
        </w:tc>
        <w:tc>
          <w:tcPr>
            <w:tcW w:w="1310" w:type="dxa"/>
            <w:tcBorders>
              <w:top w:val="single" w:sz="8" w:space="0" w:color="auto"/>
              <w:left w:val="single" w:sz="6" w:space="0" w:color="auto"/>
              <w:bottom w:val="single" w:sz="2" w:space="0" w:color="auto"/>
              <w:right w:val="single" w:sz="2" w:space="0" w:color="auto"/>
            </w:tcBorders>
            <w:vAlign w:val="center"/>
          </w:tcPr>
          <w:p w14:paraId="4BBCA6EF" w14:textId="77777777" w:rsidR="002750A8" w:rsidRDefault="002750A8" w:rsidP="00CB0FC3">
            <w:pPr>
              <w:pStyle w:val="TableCen"/>
            </w:pPr>
            <w:r>
              <w:t>9.1</w:t>
            </w:r>
          </w:p>
        </w:tc>
        <w:tc>
          <w:tcPr>
            <w:tcW w:w="5386" w:type="dxa"/>
            <w:tcBorders>
              <w:top w:val="single" w:sz="8" w:space="0" w:color="auto"/>
              <w:left w:val="single" w:sz="2" w:space="0" w:color="auto"/>
              <w:bottom w:val="single" w:sz="2" w:space="0" w:color="auto"/>
              <w:right w:val="single" w:sz="6" w:space="0" w:color="auto"/>
            </w:tcBorders>
            <w:vAlign w:val="center"/>
          </w:tcPr>
          <w:p w14:paraId="1F5CEF86" w14:textId="77777777" w:rsidR="002750A8" w:rsidRDefault="002750A8" w:rsidP="00CB0FC3">
            <w:pPr>
              <w:pStyle w:val="Table"/>
            </w:pPr>
            <w:r>
              <w:t>‘Blacking out’ clearly identified as an unacceptable practice for line removal</w:t>
            </w:r>
          </w:p>
        </w:tc>
        <w:tc>
          <w:tcPr>
            <w:tcW w:w="1560" w:type="dxa"/>
            <w:vMerge w:val="restart"/>
            <w:tcBorders>
              <w:top w:val="single" w:sz="8" w:space="0" w:color="auto"/>
              <w:left w:val="single" w:sz="6" w:space="0" w:color="auto"/>
              <w:bottom w:val="single" w:sz="4" w:space="0" w:color="auto"/>
              <w:right w:val="nil"/>
            </w:tcBorders>
            <w:shd w:val="clear" w:color="auto" w:fill="auto"/>
            <w:vAlign w:val="center"/>
          </w:tcPr>
          <w:p w14:paraId="4B5DB335" w14:textId="77777777" w:rsidR="002750A8" w:rsidRDefault="002750A8" w:rsidP="00CB0FC3">
            <w:pPr>
              <w:pStyle w:val="TableCen"/>
            </w:pPr>
            <w:r>
              <w:t>Jan 2008</w:t>
            </w:r>
          </w:p>
        </w:tc>
      </w:tr>
      <w:tr w:rsidR="002750A8" w14:paraId="551B0A9F" w14:textId="77777777" w:rsidTr="001D7C48">
        <w:trPr>
          <w:trHeight w:val="340"/>
        </w:trPr>
        <w:tc>
          <w:tcPr>
            <w:tcW w:w="1242" w:type="dxa"/>
            <w:vMerge/>
            <w:tcBorders>
              <w:left w:val="nil"/>
            </w:tcBorders>
            <w:vAlign w:val="center"/>
          </w:tcPr>
          <w:p w14:paraId="6F02AE2E" w14:textId="77777777" w:rsidR="002750A8" w:rsidRDefault="002750A8" w:rsidP="00CB0FC3">
            <w:pPr>
              <w:pStyle w:val="TableCen"/>
            </w:pPr>
          </w:p>
        </w:tc>
        <w:tc>
          <w:tcPr>
            <w:tcW w:w="1310" w:type="dxa"/>
            <w:tcBorders>
              <w:top w:val="single" w:sz="2" w:space="0" w:color="auto"/>
              <w:left w:val="single" w:sz="6" w:space="0" w:color="auto"/>
              <w:bottom w:val="single" w:sz="2" w:space="0" w:color="auto"/>
              <w:right w:val="single" w:sz="2" w:space="0" w:color="auto"/>
            </w:tcBorders>
            <w:vAlign w:val="center"/>
          </w:tcPr>
          <w:p w14:paraId="54E11478" w14:textId="77777777" w:rsidR="002750A8" w:rsidRDefault="002750A8" w:rsidP="00CB0FC3">
            <w:pPr>
              <w:pStyle w:val="TableCen"/>
            </w:pPr>
            <w:r>
              <w:t>9.2</w:t>
            </w:r>
          </w:p>
        </w:tc>
        <w:tc>
          <w:tcPr>
            <w:tcW w:w="5386" w:type="dxa"/>
            <w:tcBorders>
              <w:top w:val="single" w:sz="2" w:space="0" w:color="auto"/>
              <w:left w:val="single" w:sz="2" w:space="0" w:color="auto"/>
              <w:bottom w:val="single" w:sz="2" w:space="0" w:color="auto"/>
              <w:right w:val="single" w:sz="6" w:space="0" w:color="auto"/>
            </w:tcBorders>
            <w:vAlign w:val="center"/>
          </w:tcPr>
          <w:p w14:paraId="59DB1FE0" w14:textId="77777777" w:rsidR="002750A8" w:rsidRDefault="002750A8" w:rsidP="00CB0FC3">
            <w:pPr>
              <w:pStyle w:val="Table"/>
            </w:pPr>
            <w:r>
              <w:t>Modification in type of glass beads and anti-skid material specified. Class ‘B’ glass beads removed, Class ’C’ glass beads added, anti-skid material (crushed quartz) requirements modified</w:t>
            </w:r>
          </w:p>
        </w:tc>
        <w:tc>
          <w:tcPr>
            <w:tcW w:w="1560" w:type="dxa"/>
            <w:vMerge/>
            <w:tcBorders>
              <w:right w:val="nil"/>
            </w:tcBorders>
            <w:vAlign w:val="center"/>
          </w:tcPr>
          <w:p w14:paraId="4662BDE0" w14:textId="77777777" w:rsidR="002750A8" w:rsidRDefault="002750A8" w:rsidP="00CB0FC3">
            <w:pPr>
              <w:pStyle w:val="TableCen"/>
            </w:pPr>
          </w:p>
        </w:tc>
      </w:tr>
      <w:tr w:rsidR="002750A8" w14:paraId="0B869BE7" w14:textId="77777777" w:rsidTr="001D7C48">
        <w:trPr>
          <w:trHeight w:val="340"/>
        </w:trPr>
        <w:tc>
          <w:tcPr>
            <w:tcW w:w="1242" w:type="dxa"/>
            <w:vMerge/>
            <w:tcBorders>
              <w:left w:val="nil"/>
            </w:tcBorders>
            <w:vAlign w:val="center"/>
          </w:tcPr>
          <w:p w14:paraId="09736436" w14:textId="77777777" w:rsidR="002750A8" w:rsidRDefault="002750A8" w:rsidP="00CB0FC3">
            <w:pPr>
              <w:pStyle w:val="TableCen"/>
            </w:pPr>
          </w:p>
        </w:tc>
        <w:tc>
          <w:tcPr>
            <w:tcW w:w="1310" w:type="dxa"/>
            <w:tcBorders>
              <w:top w:val="single" w:sz="2" w:space="0" w:color="auto"/>
              <w:left w:val="single" w:sz="6" w:space="0" w:color="auto"/>
              <w:bottom w:val="single" w:sz="2" w:space="0" w:color="auto"/>
              <w:right w:val="single" w:sz="2" w:space="0" w:color="auto"/>
            </w:tcBorders>
            <w:vAlign w:val="center"/>
          </w:tcPr>
          <w:p w14:paraId="2AD8150E" w14:textId="77777777" w:rsidR="002750A8" w:rsidRDefault="002750A8" w:rsidP="00CB0FC3">
            <w:pPr>
              <w:pStyle w:val="TableCen"/>
            </w:pPr>
            <w:r>
              <w:t>9.3</w:t>
            </w:r>
          </w:p>
        </w:tc>
        <w:tc>
          <w:tcPr>
            <w:tcW w:w="5386" w:type="dxa"/>
            <w:tcBorders>
              <w:top w:val="single" w:sz="2" w:space="0" w:color="auto"/>
              <w:left w:val="single" w:sz="2" w:space="0" w:color="auto"/>
              <w:bottom w:val="single" w:sz="2" w:space="0" w:color="auto"/>
              <w:right w:val="single" w:sz="6" w:space="0" w:color="auto"/>
            </w:tcBorders>
            <w:vAlign w:val="center"/>
          </w:tcPr>
          <w:p w14:paraId="3EAC7EB8" w14:textId="77777777" w:rsidR="002750A8" w:rsidRDefault="002750A8" w:rsidP="00CB0FC3">
            <w:pPr>
              <w:pStyle w:val="Table"/>
            </w:pPr>
            <w:r>
              <w:t>Modification and clarification of application rates for drop-on glass beads and anti-skid material, application of raised pavement markers.</w:t>
            </w:r>
          </w:p>
        </w:tc>
        <w:tc>
          <w:tcPr>
            <w:tcW w:w="1560" w:type="dxa"/>
            <w:vMerge/>
            <w:tcBorders>
              <w:right w:val="nil"/>
            </w:tcBorders>
            <w:vAlign w:val="center"/>
          </w:tcPr>
          <w:p w14:paraId="7A86415E" w14:textId="77777777" w:rsidR="002750A8" w:rsidRDefault="002750A8" w:rsidP="00CB0FC3">
            <w:pPr>
              <w:pStyle w:val="TableCen"/>
            </w:pPr>
          </w:p>
        </w:tc>
      </w:tr>
      <w:tr w:rsidR="002750A8" w14:paraId="3E2BF859" w14:textId="77777777" w:rsidTr="001D7C48">
        <w:trPr>
          <w:trHeight w:val="340"/>
        </w:trPr>
        <w:tc>
          <w:tcPr>
            <w:tcW w:w="1242" w:type="dxa"/>
            <w:vMerge/>
            <w:tcBorders>
              <w:left w:val="nil"/>
            </w:tcBorders>
            <w:vAlign w:val="center"/>
          </w:tcPr>
          <w:p w14:paraId="46179DFF" w14:textId="77777777" w:rsidR="002750A8" w:rsidRDefault="002750A8" w:rsidP="00CB0FC3">
            <w:pPr>
              <w:pStyle w:val="TableCen"/>
            </w:pPr>
          </w:p>
        </w:tc>
        <w:tc>
          <w:tcPr>
            <w:tcW w:w="1310" w:type="dxa"/>
            <w:tcBorders>
              <w:top w:val="single" w:sz="2" w:space="0" w:color="auto"/>
              <w:left w:val="single" w:sz="6" w:space="0" w:color="auto"/>
              <w:bottom w:val="single" w:sz="2" w:space="0" w:color="auto"/>
              <w:right w:val="single" w:sz="2" w:space="0" w:color="auto"/>
            </w:tcBorders>
            <w:vAlign w:val="center"/>
          </w:tcPr>
          <w:p w14:paraId="13151881" w14:textId="77777777" w:rsidR="002750A8" w:rsidRDefault="002750A8" w:rsidP="00CB0FC3">
            <w:pPr>
              <w:pStyle w:val="TableCen"/>
            </w:pPr>
            <w:r>
              <w:t>9.4</w:t>
            </w:r>
          </w:p>
        </w:tc>
        <w:tc>
          <w:tcPr>
            <w:tcW w:w="5386" w:type="dxa"/>
            <w:tcBorders>
              <w:top w:val="single" w:sz="2" w:space="0" w:color="auto"/>
              <w:left w:val="single" w:sz="2" w:space="0" w:color="auto"/>
              <w:bottom w:val="single" w:sz="2" w:space="0" w:color="auto"/>
              <w:right w:val="single" w:sz="6" w:space="0" w:color="auto"/>
            </w:tcBorders>
            <w:vAlign w:val="center"/>
          </w:tcPr>
          <w:p w14:paraId="2B59D0AD" w14:textId="77777777" w:rsidR="002750A8" w:rsidRDefault="002750A8" w:rsidP="00CB0FC3">
            <w:pPr>
              <w:pStyle w:val="Table"/>
            </w:pPr>
            <w:r>
              <w:t>Revision of road types/descriptions to align with Brisbane City Council Road Hierarchy Plan, clarification of requirements for materials on bicycle facilities.</w:t>
            </w:r>
          </w:p>
        </w:tc>
        <w:tc>
          <w:tcPr>
            <w:tcW w:w="1560" w:type="dxa"/>
            <w:vMerge/>
            <w:tcBorders>
              <w:right w:val="nil"/>
            </w:tcBorders>
            <w:vAlign w:val="center"/>
          </w:tcPr>
          <w:p w14:paraId="2FA73F16" w14:textId="77777777" w:rsidR="002750A8" w:rsidRDefault="002750A8" w:rsidP="00CB0FC3">
            <w:pPr>
              <w:pStyle w:val="TableCen"/>
            </w:pPr>
          </w:p>
        </w:tc>
      </w:tr>
      <w:tr w:rsidR="002750A8" w14:paraId="20810EC8" w14:textId="77777777" w:rsidTr="001D7C48">
        <w:trPr>
          <w:trHeight w:val="340"/>
        </w:trPr>
        <w:tc>
          <w:tcPr>
            <w:tcW w:w="1242" w:type="dxa"/>
            <w:vMerge/>
            <w:tcBorders>
              <w:left w:val="nil"/>
            </w:tcBorders>
            <w:vAlign w:val="center"/>
          </w:tcPr>
          <w:p w14:paraId="37E34181" w14:textId="77777777" w:rsidR="002750A8" w:rsidRDefault="002750A8" w:rsidP="00CB0FC3">
            <w:pPr>
              <w:pStyle w:val="TableCen"/>
            </w:pPr>
          </w:p>
        </w:tc>
        <w:tc>
          <w:tcPr>
            <w:tcW w:w="1310" w:type="dxa"/>
            <w:tcBorders>
              <w:top w:val="single" w:sz="2" w:space="0" w:color="auto"/>
              <w:left w:val="single" w:sz="6" w:space="0" w:color="auto"/>
              <w:bottom w:val="single" w:sz="8" w:space="0" w:color="auto"/>
              <w:right w:val="single" w:sz="2" w:space="0" w:color="auto"/>
            </w:tcBorders>
            <w:vAlign w:val="center"/>
          </w:tcPr>
          <w:p w14:paraId="2454BD2B" w14:textId="77777777" w:rsidR="002750A8" w:rsidRDefault="002750A8" w:rsidP="00CB0FC3">
            <w:pPr>
              <w:pStyle w:val="TableCen"/>
            </w:pPr>
            <w:r>
              <w:t>10.0</w:t>
            </w:r>
          </w:p>
        </w:tc>
        <w:tc>
          <w:tcPr>
            <w:tcW w:w="5386" w:type="dxa"/>
            <w:tcBorders>
              <w:top w:val="single" w:sz="2" w:space="0" w:color="auto"/>
              <w:left w:val="single" w:sz="2" w:space="0" w:color="auto"/>
              <w:bottom w:val="single" w:sz="8" w:space="0" w:color="auto"/>
              <w:right w:val="single" w:sz="6" w:space="0" w:color="auto"/>
            </w:tcBorders>
            <w:vAlign w:val="center"/>
          </w:tcPr>
          <w:p w14:paraId="61E9E326" w14:textId="77777777" w:rsidR="002750A8" w:rsidRDefault="002750A8" w:rsidP="00CB0FC3">
            <w:pPr>
              <w:pStyle w:val="Table"/>
            </w:pPr>
            <w:r>
              <w:t>Non-flared gating guardrail end terminals requirements modified</w:t>
            </w:r>
          </w:p>
        </w:tc>
        <w:tc>
          <w:tcPr>
            <w:tcW w:w="1560" w:type="dxa"/>
            <w:vMerge/>
            <w:tcBorders>
              <w:right w:val="nil"/>
            </w:tcBorders>
            <w:vAlign w:val="center"/>
          </w:tcPr>
          <w:p w14:paraId="64BC2269" w14:textId="77777777" w:rsidR="002750A8" w:rsidRDefault="002750A8" w:rsidP="00CB0FC3">
            <w:pPr>
              <w:pStyle w:val="TableCen"/>
            </w:pPr>
          </w:p>
        </w:tc>
      </w:tr>
      <w:tr w:rsidR="00B11BD9" w14:paraId="7A6C9BD8" w14:textId="77777777" w:rsidTr="001D7C48">
        <w:trPr>
          <w:trHeight w:val="340"/>
        </w:trPr>
        <w:tc>
          <w:tcPr>
            <w:tcW w:w="1242" w:type="dxa"/>
            <w:vMerge w:val="restart"/>
            <w:tcBorders>
              <w:top w:val="single" w:sz="8" w:space="0" w:color="auto"/>
              <w:left w:val="nil"/>
              <w:bottom w:val="single" w:sz="8" w:space="0" w:color="auto"/>
              <w:right w:val="single" w:sz="6" w:space="0" w:color="auto"/>
            </w:tcBorders>
            <w:shd w:val="clear" w:color="auto" w:fill="auto"/>
            <w:vAlign w:val="center"/>
          </w:tcPr>
          <w:p w14:paraId="1220D312" w14:textId="77777777" w:rsidR="00B11BD9" w:rsidRDefault="00B11BD9" w:rsidP="00CB0FC3">
            <w:pPr>
              <w:pStyle w:val="TableCen"/>
            </w:pPr>
            <w:r>
              <w:t>4.0</w:t>
            </w:r>
          </w:p>
        </w:tc>
        <w:tc>
          <w:tcPr>
            <w:tcW w:w="1310" w:type="dxa"/>
            <w:tcBorders>
              <w:top w:val="single" w:sz="8" w:space="0" w:color="auto"/>
              <w:left w:val="single" w:sz="6" w:space="0" w:color="auto"/>
              <w:bottom w:val="single" w:sz="2" w:space="0" w:color="auto"/>
              <w:right w:val="single" w:sz="6" w:space="0" w:color="auto"/>
            </w:tcBorders>
            <w:vAlign w:val="center"/>
          </w:tcPr>
          <w:p w14:paraId="104E06CD" w14:textId="77777777" w:rsidR="00B11BD9" w:rsidRDefault="00B11BD9" w:rsidP="00CB0FC3">
            <w:pPr>
              <w:pStyle w:val="TableCen"/>
            </w:pPr>
            <w:r>
              <w:t>5.3</w:t>
            </w:r>
          </w:p>
        </w:tc>
        <w:tc>
          <w:tcPr>
            <w:tcW w:w="5386" w:type="dxa"/>
            <w:tcBorders>
              <w:top w:val="single" w:sz="8" w:space="0" w:color="auto"/>
              <w:left w:val="single" w:sz="6" w:space="0" w:color="auto"/>
              <w:bottom w:val="single" w:sz="2" w:space="0" w:color="auto"/>
              <w:right w:val="single" w:sz="6" w:space="0" w:color="auto"/>
            </w:tcBorders>
            <w:vAlign w:val="center"/>
          </w:tcPr>
          <w:p w14:paraId="1C678EDD" w14:textId="77777777" w:rsidR="00B11BD9" w:rsidRDefault="00B11BD9" w:rsidP="00CB0FC3">
            <w:pPr>
              <w:pStyle w:val="Table"/>
            </w:pPr>
            <w:r>
              <w:t>Kerb Adaptor requirements revised and updated.</w:t>
            </w:r>
          </w:p>
        </w:tc>
        <w:tc>
          <w:tcPr>
            <w:tcW w:w="1560" w:type="dxa"/>
            <w:vMerge w:val="restart"/>
            <w:tcBorders>
              <w:top w:val="single" w:sz="8" w:space="0" w:color="auto"/>
              <w:left w:val="single" w:sz="6" w:space="0" w:color="auto"/>
              <w:right w:val="nil"/>
            </w:tcBorders>
            <w:shd w:val="clear" w:color="auto" w:fill="auto"/>
            <w:vAlign w:val="center"/>
          </w:tcPr>
          <w:p w14:paraId="4BE06417" w14:textId="77777777" w:rsidR="00B11BD9" w:rsidRDefault="00584581" w:rsidP="00CB0FC3">
            <w:pPr>
              <w:pStyle w:val="TableCen"/>
            </w:pPr>
            <w:r>
              <w:t>Apr 2014</w:t>
            </w:r>
          </w:p>
        </w:tc>
      </w:tr>
      <w:tr w:rsidR="00B11BD9" w14:paraId="2661D2B9" w14:textId="77777777" w:rsidTr="001D7C48">
        <w:trPr>
          <w:trHeight w:val="340"/>
        </w:trPr>
        <w:tc>
          <w:tcPr>
            <w:tcW w:w="1242" w:type="dxa"/>
            <w:vMerge/>
            <w:tcBorders>
              <w:left w:val="nil"/>
            </w:tcBorders>
            <w:vAlign w:val="center"/>
          </w:tcPr>
          <w:p w14:paraId="33A3B756" w14:textId="77777777" w:rsidR="00B11BD9" w:rsidRDefault="00B11BD9" w:rsidP="00CB0FC3">
            <w:pPr>
              <w:pStyle w:val="TableCen"/>
            </w:pPr>
          </w:p>
        </w:tc>
        <w:tc>
          <w:tcPr>
            <w:tcW w:w="1310" w:type="dxa"/>
            <w:tcBorders>
              <w:top w:val="single" w:sz="2" w:space="0" w:color="auto"/>
              <w:left w:val="single" w:sz="6" w:space="0" w:color="auto"/>
              <w:bottom w:val="single" w:sz="8" w:space="0" w:color="auto"/>
              <w:right w:val="single" w:sz="6" w:space="0" w:color="auto"/>
            </w:tcBorders>
            <w:vAlign w:val="center"/>
          </w:tcPr>
          <w:p w14:paraId="2ABD407A" w14:textId="77777777" w:rsidR="00B11BD9" w:rsidRDefault="00B11BD9" w:rsidP="00CB0FC3">
            <w:pPr>
              <w:pStyle w:val="TableCen"/>
            </w:pPr>
            <w:r>
              <w:t>7, 8, 9 &amp; 10</w:t>
            </w:r>
          </w:p>
        </w:tc>
        <w:tc>
          <w:tcPr>
            <w:tcW w:w="5386" w:type="dxa"/>
            <w:tcBorders>
              <w:top w:val="single" w:sz="2" w:space="0" w:color="auto"/>
              <w:left w:val="single" w:sz="6" w:space="0" w:color="auto"/>
              <w:bottom w:val="single" w:sz="8" w:space="0" w:color="auto"/>
              <w:right w:val="single" w:sz="6" w:space="0" w:color="auto"/>
            </w:tcBorders>
            <w:vAlign w:val="center"/>
          </w:tcPr>
          <w:p w14:paraId="395F40D1" w14:textId="77777777" w:rsidR="00B11BD9" w:rsidRDefault="00B11BD9" w:rsidP="00CB0FC3">
            <w:pPr>
              <w:pStyle w:val="Table"/>
            </w:pPr>
            <w:r>
              <w:t>Sections removed to new Reference Specifications for Civil Engineering Works S154 Traffic Signs and Associated Roadside Furniture and S155 Road Pavement Markings</w:t>
            </w:r>
          </w:p>
        </w:tc>
        <w:tc>
          <w:tcPr>
            <w:tcW w:w="1560" w:type="dxa"/>
            <w:vMerge/>
            <w:tcBorders>
              <w:right w:val="nil"/>
            </w:tcBorders>
            <w:vAlign w:val="center"/>
          </w:tcPr>
          <w:p w14:paraId="16466A1F" w14:textId="77777777" w:rsidR="00B11BD9" w:rsidRDefault="00B11BD9" w:rsidP="00CB0FC3">
            <w:pPr>
              <w:pStyle w:val="TableCen"/>
            </w:pPr>
          </w:p>
        </w:tc>
      </w:tr>
      <w:tr w:rsidR="00531621" w14:paraId="294E4AFD" w14:textId="77777777" w:rsidTr="001D7C48">
        <w:trPr>
          <w:trHeight w:val="340"/>
        </w:trPr>
        <w:tc>
          <w:tcPr>
            <w:tcW w:w="1242" w:type="dxa"/>
            <w:tcBorders>
              <w:top w:val="single" w:sz="8" w:space="0" w:color="auto"/>
              <w:left w:val="nil"/>
              <w:bottom w:val="single" w:sz="8" w:space="0" w:color="auto"/>
              <w:right w:val="single" w:sz="6" w:space="0" w:color="auto"/>
            </w:tcBorders>
            <w:shd w:val="clear" w:color="auto" w:fill="auto"/>
            <w:vAlign w:val="center"/>
          </w:tcPr>
          <w:p w14:paraId="11DDC42C" w14:textId="77777777" w:rsidR="00531621" w:rsidRDefault="008B4D2C" w:rsidP="00CB0FC3">
            <w:pPr>
              <w:pStyle w:val="TableCen"/>
            </w:pPr>
            <w:r>
              <w:t>5.0</w:t>
            </w:r>
          </w:p>
        </w:tc>
        <w:tc>
          <w:tcPr>
            <w:tcW w:w="1310" w:type="dxa"/>
            <w:tcBorders>
              <w:top w:val="single" w:sz="8" w:space="0" w:color="auto"/>
              <w:left w:val="single" w:sz="6" w:space="0" w:color="auto"/>
              <w:bottom w:val="single" w:sz="8" w:space="0" w:color="auto"/>
              <w:right w:val="single" w:sz="6" w:space="0" w:color="auto"/>
            </w:tcBorders>
            <w:vAlign w:val="center"/>
          </w:tcPr>
          <w:p w14:paraId="03BB91F9" w14:textId="77777777" w:rsidR="00531621" w:rsidRDefault="008B4D2C" w:rsidP="00CB0FC3">
            <w:pPr>
              <w:pStyle w:val="TableCen"/>
            </w:pPr>
            <w:r>
              <w:t>1.2 and 1.3</w:t>
            </w:r>
          </w:p>
        </w:tc>
        <w:tc>
          <w:tcPr>
            <w:tcW w:w="5386" w:type="dxa"/>
            <w:tcBorders>
              <w:top w:val="single" w:sz="8" w:space="0" w:color="auto"/>
              <w:left w:val="single" w:sz="6" w:space="0" w:color="auto"/>
              <w:bottom w:val="single" w:sz="8" w:space="0" w:color="auto"/>
              <w:right w:val="single" w:sz="6" w:space="0" w:color="auto"/>
            </w:tcBorders>
            <w:vAlign w:val="center"/>
          </w:tcPr>
          <w:p w14:paraId="4DDBA398" w14:textId="77777777" w:rsidR="00531621" w:rsidRDefault="008B4D2C" w:rsidP="00CB0FC3">
            <w:pPr>
              <w:pStyle w:val="Table"/>
            </w:pPr>
            <w:r w:rsidRPr="008B4D2C">
              <w:t>Referenced documents list updated</w:t>
            </w:r>
          </w:p>
        </w:tc>
        <w:tc>
          <w:tcPr>
            <w:tcW w:w="1560" w:type="dxa"/>
            <w:tcBorders>
              <w:top w:val="single" w:sz="8" w:space="0" w:color="auto"/>
              <w:left w:val="single" w:sz="6" w:space="0" w:color="auto"/>
              <w:bottom w:val="single" w:sz="4" w:space="0" w:color="auto"/>
              <w:right w:val="nil"/>
            </w:tcBorders>
            <w:shd w:val="clear" w:color="auto" w:fill="auto"/>
            <w:vAlign w:val="center"/>
          </w:tcPr>
          <w:p w14:paraId="7E1FE983" w14:textId="77777777" w:rsidR="00531621" w:rsidRDefault="008B4D2C" w:rsidP="00CB0FC3">
            <w:pPr>
              <w:pStyle w:val="TableCen"/>
            </w:pPr>
            <w:r>
              <w:t>May 2016</w:t>
            </w:r>
          </w:p>
        </w:tc>
      </w:tr>
      <w:tr w:rsidR="00FF7610" w14:paraId="1CCCECF1" w14:textId="77777777" w:rsidTr="001D7C48">
        <w:trPr>
          <w:trHeight w:val="340"/>
        </w:trPr>
        <w:tc>
          <w:tcPr>
            <w:tcW w:w="1242" w:type="dxa"/>
            <w:vMerge w:val="restart"/>
            <w:tcBorders>
              <w:top w:val="single" w:sz="8" w:space="0" w:color="auto"/>
              <w:left w:val="nil"/>
              <w:right w:val="single" w:sz="6" w:space="0" w:color="auto"/>
            </w:tcBorders>
            <w:shd w:val="clear" w:color="auto" w:fill="auto"/>
            <w:vAlign w:val="center"/>
          </w:tcPr>
          <w:p w14:paraId="3B9FA440" w14:textId="77777777" w:rsidR="00FF7610" w:rsidRDefault="00FF7610" w:rsidP="00CB0FC3">
            <w:pPr>
              <w:pStyle w:val="TableCen"/>
            </w:pPr>
            <w:r>
              <w:t>6.0</w:t>
            </w:r>
          </w:p>
        </w:tc>
        <w:tc>
          <w:tcPr>
            <w:tcW w:w="1310" w:type="dxa"/>
            <w:tcBorders>
              <w:top w:val="single" w:sz="8" w:space="0" w:color="auto"/>
              <w:left w:val="single" w:sz="6" w:space="0" w:color="auto"/>
              <w:bottom w:val="single" w:sz="2" w:space="0" w:color="auto"/>
              <w:right w:val="single" w:sz="6" w:space="0" w:color="auto"/>
            </w:tcBorders>
            <w:vAlign w:val="center"/>
          </w:tcPr>
          <w:p w14:paraId="766D0B01" w14:textId="77777777" w:rsidR="00FF7610" w:rsidRDefault="00FF7610" w:rsidP="00CB0FC3">
            <w:pPr>
              <w:pStyle w:val="TableCen"/>
            </w:pPr>
            <w:r>
              <w:t>1.3</w:t>
            </w:r>
          </w:p>
        </w:tc>
        <w:tc>
          <w:tcPr>
            <w:tcW w:w="5386" w:type="dxa"/>
            <w:tcBorders>
              <w:top w:val="single" w:sz="8" w:space="0" w:color="auto"/>
              <w:left w:val="single" w:sz="6" w:space="0" w:color="auto"/>
              <w:bottom w:val="single" w:sz="2" w:space="0" w:color="auto"/>
              <w:right w:val="single" w:sz="6" w:space="0" w:color="auto"/>
            </w:tcBorders>
            <w:vAlign w:val="center"/>
          </w:tcPr>
          <w:p w14:paraId="504C2ACF" w14:textId="77777777" w:rsidR="00FF7610" w:rsidRPr="008B4D2C" w:rsidRDefault="00FF7610" w:rsidP="00995788">
            <w:pPr>
              <w:pStyle w:val="Table"/>
            </w:pPr>
            <w:r>
              <w:t>Reference to S310 Supply of Dense Graded Asphalt added</w:t>
            </w:r>
          </w:p>
        </w:tc>
        <w:tc>
          <w:tcPr>
            <w:tcW w:w="1560" w:type="dxa"/>
            <w:vMerge w:val="restart"/>
            <w:tcBorders>
              <w:top w:val="single" w:sz="8" w:space="0" w:color="auto"/>
              <w:left w:val="single" w:sz="6" w:space="0" w:color="auto"/>
              <w:right w:val="nil"/>
            </w:tcBorders>
            <w:shd w:val="clear" w:color="auto" w:fill="auto"/>
            <w:vAlign w:val="center"/>
          </w:tcPr>
          <w:p w14:paraId="1513345F" w14:textId="77777777" w:rsidR="00FF7610" w:rsidRDefault="00FF7610" w:rsidP="00CB0FC3">
            <w:pPr>
              <w:pStyle w:val="TableCen"/>
            </w:pPr>
            <w:r>
              <w:t>June 2018</w:t>
            </w:r>
          </w:p>
        </w:tc>
      </w:tr>
      <w:tr w:rsidR="00FF7610" w14:paraId="4F31DDDA" w14:textId="77777777" w:rsidTr="001D7C48">
        <w:trPr>
          <w:trHeight w:val="340"/>
        </w:trPr>
        <w:tc>
          <w:tcPr>
            <w:tcW w:w="1242" w:type="dxa"/>
            <w:vMerge/>
            <w:tcBorders>
              <w:left w:val="nil"/>
            </w:tcBorders>
            <w:vAlign w:val="center"/>
          </w:tcPr>
          <w:p w14:paraId="7CAA9783" w14:textId="77777777" w:rsidR="00FF7610" w:rsidRDefault="00FF7610" w:rsidP="00CB0FC3">
            <w:pPr>
              <w:pStyle w:val="TableCen"/>
            </w:pPr>
          </w:p>
        </w:tc>
        <w:tc>
          <w:tcPr>
            <w:tcW w:w="1310" w:type="dxa"/>
            <w:tcBorders>
              <w:top w:val="single" w:sz="2" w:space="0" w:color="auto"/>
              <w:left w:val="single" w:sz="6" w:space="0" w:color="auto"/>
              <w:bottom w:val="single" w:sz="2" w:space="0" w:color="auto"/>
              <w:right w:val="single" w:sz="6" w:space="0" w:color="auto"/>
            </w:tcBorders>
            <w:vAlign w:val="center"/>
          </w:tcPr>
          <w:p w14:paraId="3783851C" w14:textId="77777777" w:rsidR="00FF7610" w:rsidRDefault="00FF7610" w:rsidP="00CB0FC3">
            <w:pPr>
              <w:pStyle w:val="TableCen"/>
            </w:pPr>
            <w:r>
              <w:t>1.4</w:t>
            </w:r>
          </w:p>
        </w:tc>
        <w:tc>
          <w:tcPr>
            <w:tcW w:w="5386" w:type="dxa"/>
            <w:tcBorders>
              <w:top w:val="single" w:sz="2" w:space="0" w:color="auto"/>
              <w:left w:val="single" w:sz="6" w:space="0" w:color="auto"/>
              <w:bottom w:val="single" w:sz="2" w:space="0" w:color="auto"/>
              <w:right w:val="single" w:sz="6" w:space="0" w:color="auto"/>
            </w:tcBorders>
            <w:vAlign w:val="center"/>
          </w:tcPr>
          <w:p w14:paraId="4B965B36" w14:textId="77777777" w:rsidR="00FF7610" w:rsidRDefault="00FF7610" w:rsidP="00995788">
            <w:pPr>
              <w:pStyle w:val="Table"/>
            </w:pPr>
            <w:r>
              <w:t>New definitions added to align with Infrastructure Design Planning Scheme Policy (IDPSP)</w:t>
            </w:r>
          </w:p>
        </w:tc>
        <w:tc>
          <w:tcPr>
            <w:tcW w:w="1560" w:type="dxa"/>
            <w:vMerge/>
            <w:tcBorders>
              <w:right w:val="nil"/>
            </w:tcBorders>
            <w:vAlign w:val="center"/>
          </w:tcPr>
          <w:p w14:paraId="623610DD" w14:textId="77777777" w:rsidR="00FF7610" w:rsidRDefault="00FF7610" w:rsidP="00CB0FC3">
            <w:pPr>
              <w:pStyle w:val="TableCen"/>
            </w:pPr>
          </w:p>
        </w:tc>
      </w:tr>
      <w:tr w:rsidR="00FF7610" w14:paraId="67018592" w14:textId="77777777" w:rsidTr="001D7C48">
        <w:trPr>
          <w:trHeight w:val="340"/>
        </w:trPr>
        <w:tc>
          <w:tcPr>
            <w:tcW w:w="1242" w:type="dxa"/>
            <w:vMerge/>
            <w:tcBorders>
              <w:left w:val="nil"/>
            </w:tcBorders>
            <w:vAlign w:val="center"/>
          </w:tcPr>
          <w:p w14:paraId="4718DFCB" w14:textId="77777777" w:rsidR="00FF7610" w:rsidRDefault="00FF7610" w:rsidP="00CB0FC3">
            <w:pPr>
              <w:pStyle w:val="TableCen"/>
            </w:pPr>
          </w:p>
        </w:tc>
        <w:tc>
          <w:tcPr>
            <w:tcW w:w="1310" w:type="dxa"/>
            <w:tcBorders>
              <w:top w:val="single" w:sz="2" w:space="0" w:color="auto"/>
              <w:left w:val="single" w:sz="6" w:space="0" w:color="auto"/>
              <w:bottom w:val="single" w:sz="2" w:space="0" w:color="auto"/>
              <w:right w:val="single" w:sz="6" w:space="0" w:color="auto"/>
            </w:tcBorders>
            <w:vAlign w:val="center"/>
          </w:tcPr>
          <w:p w14:paraId="204E424B" w14:textId="77777777" w:rsidR="00FF7610" w:rsidRDefault="00FF7610" w:rsidP="00CB0FC3">
            <w:pPr>
              <w:pStyle w:val="TableCen"/>
            </w:pPr>
            <w:r>
              <w:t>2.1</w:t>
            </w:r>
          </w:p>
        </w:tc>
        <w:tc>
          <w:tcPr>
            <w:tcW w:w="5386" w:type="dxa"/>
            <w:tcBorders>
              <w:top w:val="single" w:sz="2" w:space="0" w:color="auto"/>
              <w:left w:val="single" w:sz="6" w:space="0" w:color="auto"/>
              <w:bottom w:val="single" w:sz="2" w:space="0" w:color="auto"/>
              <w:right w:val="single" w:sz="6" w:space="0" w:color="auto"/>
            </w:tcBorders>
            <w:vAlign w:val="center"/>
          </w:tcPr>
          <w:p w14:paraId="7551FF06" w14:textId="77777777" w:rsidR="00FF7610" w:rsidRDefault="00FF7610" w:rsidP="00995788">
            <w:pPr>
              <w:pStyle w:val="Table"/>
            </w:pPr>
            <w:r>
              <w:t>Hold point for proof rolling of base surface added</w:t>
            </w:r>
          </w:p>
        </w:tc>
        <w:tc>
          <w:tcPr>
            <w:tcW w:w="1560" w:type="dxa"/>
            <w:vMerge/>
            <w:tcBorders>
              <w:right w:val="nil"/>
            </w:tcBorders>
            <w:vAlign w:val="center"/>
          </w:tcPr>
          <w:p w14:paraId="65B189D4" w14:textId="77777777" w:rsidR="00FF7610" w:rsidRDefault="00FF7610" w:rsidP="00CB0FC3">
            <w:pPr>
              <w:pStyle w:val="TableCen"/>
            </w:pPr>
          </w:p>
        </w:tc>
      </w:tr>
      <w:tr w:rsidR="00FF7610" w14:paraId="7C95D6A5" w14:textId="77777777" w:rsidTr="001D7C48">
        <w:trPr>
          <w:trHeight w:val="340"/>
        </w:trPr>
        <w:tc>
          <w:tcPr>
            <w:tcW w:w="1242" w:type="dxa"/>
            <w:vMerge/>
            <w:tcBorders>
              <w:left w:val="nil"/>
            </w:tcBorders>
            <w:vAlign w:val="center"/>
          </w:tcPr>
          <w:p w14:paraId="406E2009" w14:textId="77777777" w:rsidR="00FF7610" w:rsidRDefault="00FF7610" w:rsidP="00CB0FC3">
            <w:pPr>
              <w:pStyle w:val="TableCen"/>
            </w:pPr>
          </w:p>
        </w:tc>
        <w:tc>
          <w:tcPr>
            <w:tcW w:w="1310" w:type="dxa"/>
            <w:tcBorders>
              <w:top w:val="single" w:sz="2" w:space="0" w:color="auto"/>
              <w:left w:val="single" w:sz="6" w:space="0" w:color="auto"/>
              <w:bottom w:val="single" w:sz="2" w:space="0" w:color="auto"/>
              <w:right w:val="single" w:sz="6" w:space="0" w:color="auto"/>
            </w:tcBorders>
            <w:vAlign w:val="center"/>
          </w:tcPr>
          <w:p w14:paraId="5BCFC59F" w14:textId="77777777" w:rsidR="00FF7610" w:rsidRDefault="00FF7610" w:rsidP="009646BD">
            <w:pPr>
              <w:pStyle w:val="TableCen"/>
            </w:pPr>
            <w:r>
              <w:t>3.1</w:t>
            </w:r>
          </w:p>
        </w:tc>
        <w:tc>
          <w:tcPr>
            <w:tcW w:w="5386" w:type="dxa"/>
            <w:tcBorders>
              <w:top w:val="single" w:sz="2" w:space="0" w:color="auto"/>
              <w:left w:val="single" w:sz="6" w:space="0" w:color="auto"/>
              <w:bottom w:val="single" w:sz="2" w:space="0" w:color="auto"/>
              <w:right w:val="single" w:sz="6" w:space="0" w:color="auto"/>
            </w:tcBorders>
            <w:vAlign w:val="center"/>
          </w:tcPr>
          <w:p w14:paraId="4CDD421F" w14:textId="77777777" w:rsidR="00FF7610" w:rsidRDefault="00FF7610" w:rsidP="00FF7610">
            <w:pPr>
              <w:pStyle w:val="Table"/>
            </w:pPr>
            <w:r>
              <w:t>Base layer thickness and materials changed to align with IDPSP</w:t>
            </w:r>
          </w:p>
        </w:tc>
        <w:tc>
          <w:tcPr>
            <w:tcW w:w="1560" w:type="dxa"/>
            <w:vMerge/>
            <w:tcBorders>
              <w:right w:val="nil"/>
            </w:tcBorders>
            <w:vAlign w:val="center"/>
          </w:tcPr>
          <w:p w14:paraId="5F3E858A" w14:textId="77777777" w:rsidR="00FF7610" w:rsidRDefault="00FF7610" w:rsidP="00CB0FC3">
            <w:pPr>
              <w:pStyle w:val="TableCen"/>
            </w:pPr>
          </w:p>
        </w:tc>
      </w:tr>
      <w:tr w:rsidR="00FF7610" w14:paraId="3094E5B4" w14:textId="77777777" w:rsidTr="001D7C48">
        <w:trPr>
          <w:trHeight w:val="340"/>
        </w:trPr>
        <w:tc>
          <w:tcPr>
            <w:tcW w:w="1242" w:type="dxa"/>
            <w:vMerge/>
            <w:tcBorders>
              <w:left w:val="nil"/>
            </w:tcBorders>
            <w:vAlign w:val="center"/>
          </w:tcPr>
          <w:p w14:paraId="1B587E24" w14:textId="77777777" w:rsidR="00FF7610" w:rsidRDefault="00FF7610" w:rsidP="00CB0FC3">
            <w:pPr>
              <w:pStyle w:val="TableCen"/>
            </w:pPr>
          </w:p>
        </w:tc>
        <w:tc>
          <w:tcPr>
            <w:tcW w:w="1310" w:type="dxa"/>
            <w:tcBorders>
              <w:top w:val="single" w:sz="2" w:space="0" w:color="auto"/>
              <w:left w:val="single" w:sz="6" w:space="0" w:color="auto"/>
              <w:bottom w:val="single" w:sz="2" w:space="0" w:color="auto"/>
              <w:right w:val="single" w:sz="6" w:space="0" w:color="auto"/>
            </w:tcBorders>
            <w:vAlign w:val="center"/>
          </w:tcPr>
          <w:p w14:paraId="2CEBEAD8" w14:textId="77777777" w:rsidR="00FF7610" w:rsidRDefault="00FF7610" w:rsidP="00CB0FC3">
            <w:pPr>
              <w:pStyle w:val="TableCen"/>
            </w:pPr>
            <w:r>
              <w:t>3.3</w:t>
            </w:r>
          </w:p>
        </w:tc>
        <w:tc>
          <w:tcPr>
            <w:tcW w:w="5386" w:type="dxa"/>
            <w:tcBorders>
              <w:top w:val="single" w:sz="2" w:space="0" w:color="auto"/>
              <w:left w:val="single" w:sz="6" w:space="0" w:color="auto"/>
              <w:bottom w:val="single" w:sz="2" w:space="0" w:color="auto"/>
              <w:right w:val="single" w:sz="6" w:space="0" w:color="auto"/>
            </w:tcBorders>
            <w:vAlign w:val="center"/>
          </w:tcPr>
          <w:p w14:paraId="719D2A0C" w14:textId="77777777" w:rsidR="00FF7610" w:rsidRDefault="00FF7610" w:rsidP="009646BD">
            <w:pPr>
              <w:pStyle w:val="Table"/>
            </w:pPr>
            <w:r>
              <w:t>Requirements for joining to existing asphalt pavements added</w:t>
            </w:r>
          </w:p>
        </w:tc>
        <w:tc>
          <w:tcPr>
            <w:tcW w:w="1560" w:type="dxa"/>
            <w:vMerge/>
            <w:tcBorders>
              <w:right w:val="nil"/>
            </w:tcBorders>
            <w:vAlign w:val="center"/>
          </w:tcPr>
          <w:p w14:paraId="3562F670" w14:textId="77777777" w:rsidR="00FF7610" w:rsidRDefault="00FF7610" w:rsidP="00CB0FC3">
            <w:pPr>
              <w:pStyle w:val="TableCen"/>
            </w:pPr>
          </w:p>
        </w:tc>
      </w:tr>
      <w:tr w:rsidR="00FF7610" w14:paraId="2771057B" w14:textId="77777777" w:rsidTr="001D7C48">
        <w:trPr>
          <w:trHeight w:val="340"/>
        </w:trPr>
        <w:tc>
          <w:tcPr>
            <w:tcW w:w="1242" w:type="dxa"/>
            <w:vMerge/>
            <w:tcBorders>
              <w:left w:val="nil"/>
            </w:tcBorders>
            <w:vAlign w:val="center"/>
          </w:tcPr>
          <w:p w14:paraId="5B3CFB03" w14:textId="77777777" w:rsidR="00FF7610" w:rsidRDefault="00FF7610" w:rsidP="00CB0FC3">
            <w:pPr>
              <w:pStyle w:val="TableCen"/>
            </w:pPr>
          </w:p>
        </w:tc>
        <w:tc>
          <w:tcPr>
            <w:tcW w:w="1310" w:type="dxa"/>
            <w:tcBorders>
              <w:top w:val="single" w:sz="2" w:space="0" w:color="auto"/>
              <w:left w:val="single" w:sz="6" w:space="0" w:color="auto"/>
              <w:bottom w:val="single" w:sz="2" w:space="0" w:color="auto"/>
              <w:right w:val="single" w:sz="6" w:space="0" w:color="auto"/>
            </w:tcBorders>
            <w:vAlign w:val="center"/>
          </w:tcPr>
          <w:p w14:paraId="4D768D03" w14:textId="77777777" w:rsidR="00FF7610" w:rsidRDefault="00FF7610" w:rsidP="00CB0FC3">
            <w:pPr>
              <w:pStyle w:val="TableCen"/>
            </w:pPr>
            <w:r>
              <w:t>3.8</w:t>
            </w:r>
          </w:p>
        </w:tc>
        <w:tc>
          <w:tcPr>
            <w:tcW w:w="5386" w:type="dxa"/>
            <w:tcBorders>
              <w:top w:val="single" w:sz="2" w:space="0" w:color="auto"/>
              <w:left w:val="single" w:sz="6" w:space="0" w:color="auto"/>
              <w:bottom w:val="single" w:sz="2" w:space="0" w:color="auto"/>
              <w:right w:val="single" w:sz="6" w:space="0" w:color="auto"/>
            </w:tcBorders>
            <w:vAlign w:val="center"/>
          </w:tcPr>
          <w:p w14:paraId="580C8DA5" w14:textId="4A7D73BD" w:rsidR="00FF7610" w:rsidRDefault="00FF7610" w:rsidP="009646BD">
            <w:pPr>
              <w:pStyle w:val="Table"/>
            </w:pPr>
            <w:r>
              <w:t>Proof rolling requirements included</w:t>
            </w:r>
            <w:r w:rsidR="71372496">
              <w:t>F</w:t>
            </w:r>
          </w:p>
        </w:tc>
        <w:tc>
          <w:tcPr>
            <w:tcW w:w="1560" w:type="dxa"/>
            <w:vMerge/>
            <w:tcBorders>
              <w:right w:val="nil"/>
            </w:tcBorders>
            <w:vAlign w:val="center"/>
          </w:tcPr>
          <w:p w14:paraId="74A2DFCF" w14:textId="77777777" w:rsidR="00FF7610" w:rsidRDefault="00FF7610" w:rsidP="00CB0FC3">
            <w:pPr>
              <w:pStyle w:val="TableCen"/>
            </w:pPr>
          </w:p>
        </w:tc>
      </w:tr>
      <w:tr w:rsidR="00FF7610" w14:paraId="389A2F02" w14:textId="77777777" w:rsidTr="001D7C48">
        <w:trPr>
          <w:trHeight w:val="340"/>
        </w:trPr>
        <w:tc>
          <w:tcPr>
            <w:tcW w:w="1242" w:type="dxa"/>
            <w:vMerge/>
            <w:tcBorders>
              <w:left w:val="nil"/>
              <w:bottom w:val="single" w:sz="8" w:space="0" w:color="auto"/>
            </w:tcBorders>
            <w:vAlign w:val="center"/>
          </w:tcPr>
          <w:p w14:paraId="35EC0E22" w14:textId="77777777" w:rsidR="00FF7610" w:rsidRDefault="00FF7610" w:rsidP="00CB0FC3">
            <w:pPr>
              <w:pStyle w:val="TableCen"/>
            </w:pPr>
          </w:p>
        </w:tc>
        <w:tc>
          <w:tcPr>
            <w:tcW w:w="1310" w:type="dxa"/>
            <w:tcBorders>
              <w:top w:val="single" w:sz="2" w:space="0" w:color="auto"/>
              <w:left w:val="single" w:sz="6" w:space="0" w:color="auto"/>
              <w:bottom w:val="single" w:sz="8" w:space="0" w:color="auto"/>
              <w:right w:val="single" w:sz="6" w:space="0" w:color="auto"/>
            </w:tcBorders>
            <w:vAlign w:val="center"/>
          </w:tcPr>
          <w:p w14:paraId="3BE70F02" w14:textId="77777777" w:rsidR="00FF7610" w:rsidRDefault="00FF7610" w:rsidP="00CB0FC3">
            <w:pPr>
              <w:pStyle w:val="TableCen"/>
            </w:pPr>
            <w:r>
              <w:t>4</w:t>
            </w:r>
          </w:p>
        </w:tc>
        <w:tc>
          <w:tcPr>
            <w:tcW w:w="5386" w:type="dxa"/>
            <w:tcBorders>
              <w:top w:val="single" w:sz="2" w:space="0" w:color="auto"/>
              <w:left w:val="single" w:sz="6" w:space="0" w:color="auto"/>
              <w:bottom w:val="single" w:sz="8" w:space="0" w:color="auto"/>
              <w:right w:val="single" w:sz="6" w:space="0" w:color="auto"/>
            </w:tcBorders>
            <w:vAlign w:val="center"/>
          </w:tcPr>
          <w:p w14:paraId="2A37A5B5" w14:textId="46F09D9D" w:rsidR="00FF7610" w:rsidRDefault="00FF7610" w:rsidP="009646BD">
            <w:pPr>
              <w:pStyle w:val="Table"/>
            </w:pPr>
            <w:r>
              <w:t>Table</w:t>
            </w:r>
            <w:r w:rsidR="002C55FD">
              <w:t> </w:t>
            </w:r>
            <w:r>
              <w:t>4.1 amended to align with IDPSP</w:t>
            </w:r>
          </w:p>
        </w:tc>
        <w:tc>
          <w:tcPr>
            <w:tcW w:w="1560" w:type="dxa"/>
            <w:vMerge/>
            <w:tcBorders>
              <w:right w:val="nil"/>
            </w:tcBorders>
            <w:vAlign w:val="center"/>
          </w:tcPr>
          <w:p w14:paraId="33DCCC66" w14:textId="77777777" w:rsidR="00FF7610" w:rsidRDefault="00FF7610" w:rsidP="00CB0FC3">
            <w:pPr>
              <w:pStyle w:val="TableCen"/>
            </w:pPr>
          </w:p>
        </w:tc>
      </w:tr>
      <w:tr w:rsidR="000C720C" w14:paraId="7A4EF2D7" w14:textId="77777777" w:rsidTr="001D7C48">
        <w:trPr>
          <w:trHeight w:val="340"/>
        </w:trPr>
        <w:tc>
          <w:tcPr>
            <w:tcW w:w="1242" w:type="dxa"/>
            <w:vMerge w:val="restart"/>
            <w:tcBorders>
              <w:top w:val="single" w:sz="8" w:space="0" w:color="auto"/>
              <w:left w:val="nil"/>
              <w:bottom w:val="single" w:sz="8" w:space="0" w:color="auto"/>
              <w:right w:val="single" w:sz="6" w:space="0" w:color="auto"/>
            </w:tcBorders>
            <w:shd w:val="clear" w:color="auto" w:fill="auto"/>
            <w:vAlign w:val="center"/>
          </w:tcPr>
          <w:p w14:paraId="0E0A4449" w14:textId="77777777" w:rsidR="000C720C" w:rsidRDefault="000C720C" w:rsidP="00A250F0">
            <w:pPr>
              <w:pStyle w:val="TableCen"/>
            </w:pPr>
            <w:r>
              <w:t>7.0</w:t>
            </w:r>
          </w:p>
        </w:tc>
        <w:tc>
          <w:tcPr>
            <w:tcW w:w="1310" w:type="dxa"/>
            <w:tcBorders>
              <w:top w:val="single" w:sz="8" w:space="0" w:color="auto"/>
              <w:left w:val="single" w:sz="6" w:space="0" w:color="auto"/>
              <w:bottom w:val="single" w:sz="2" w:space="0" w:color="auto"/>
              <w:right w:val="single" w:sz="6" w:space="0" w:color="auto"/>
            </w:tcBorders>
            <w:vAlign w:val="center"/>
          </w:tcPr>
          <w:p w14:paraId="3AEA4EDB" w14:textId="77777777" w:rsidR="000C720C" w:rsidRDefault="000C720C" w:rsidP="00A250F0">
            <w:pPr>
              <w:pStyle w:val="TableCen"/>
            </w:pPr>
            <w:r w:rsidRPr="00747309">
              <w:t>General</w:t>
            </w:r>
          </w:p>
        </w:tc>
        <w:tc>
          <w:tcPr>
            <w:tcW w:w="5386" w:type="dxa"/>
            <w:tcBorders>
              <w:top w:val="single" w:sz="8" w:space="0" w:color="auto"/>
              <w:left w:val="single" w:sz="6" w:space="0" w:color="auto"/>
              <w:bottom w:val="single" w:sz="2" w:space="0" w:color="auto"/>
              <w:right w:val="single" w:sz="6" w:space="0" w:color="auto"/>
            </w:tcBorders>
            <w:vAlign w:val="center"/>
          </w:tcPr>
          <w:p w14:paraId="49DFF316" w14:textId="77777777" w:rsidR="000C720C" w:rsidRDefault="000C720C" w:rsidP="00A250F0">
            <w:pPr>
              <w:pStyle w:val="Table"/>
            </w:pPr>
            <w:r w:rsidRPr="00747309">
              <w:t>Document name changed from ‘Reference Specifications for Civil Engineering Work’ to ‘Reference Specifications for Engineering Work’</w:t>
            </w:r>
          </w:p>
        </w:tc>
        <w:tc>
          <w:tcPr>
            <w:tcW w:w="1560" w:type="dxa"/>
            <w:vMerge w:val="restart"/>
            <w:tcBorders>
              <w:top w:val="single" w:sz="8" w:space="0" w:color="auto"/>
              <w:left w:val="single" w:sz="6" w:space="0" w:color="auto"/>
              <w:right w:val="nil"/>
            </w:tcBorders>
            <w:shd w:val="clear" w:color="auto" w:fill="auto"/>
            <w:vAlign w:val="center"/>
          </w:tcPr>
          <w:p w14:paraId="2F7D706E" w14:textId="4E98D64E" w:rsidR="000C720C" w:rsidRDefault="000C720C" w:rsidP="00A250F0">
            <w:pPr>
              <w:pStyle w:val="TableCen"/>
            </w:pPr>
            <w:r w:rsidRPr="00747309">
              <w:t>Ma</w:t>
            </w:r>
            <w:r w:rsidR="006762B1">
              <w:t>r</w:t>
            </w:r>
            <w:r w:rsidRPr="00747309">
              <w:t xml:space="preserve"> 20</w:t>
            </w:r>
            <w:r w:rsidR="00D07CA1">
              <w:t>21</w:t>
            </w:r>
          </w:p>
        </w:tc>
      </w:tr>
      <w:tr w:rsidR="000C720C" w14:paraId="14E119B6" w14:textId="77777777" w:rsidTr="001D7C48">
        <w:trPr>
          <w:trHeight w:val="340"/>
        </w:trPr>
        <w:tc>
          <w:tcPr>
            <w:tcW w:w="1242" w:type="dxa"/>
            <w:vMerge/>
            <w:tcBorders>
              <w:left w:val="nil"/>
              <w:bottom w:val="single" w:sz="12" w:space="0" w:color="auto"/>
            </w:tcBorders>
            <w:vAlign w:val="center"/>
          </w:tcPr>
          <w:p w14:paraId="41C71BDD" w14:textId="77777777" w:rsidR="000C720C" w:rsidRDefault="000C720C" w:rsidP="00A250F0">
            <w:pPr>
              <w:pStyle w:val="TableCen"/>
            </w:pPr>
          </w:p>
        </w:tc>
        <w:tc>
          <w:tcPr>
            <w:tcW w:w="1310" w:type="dxa"/>
            <w:tcBorders>
              <w:top w:val="single" w:sz="2" w:space="0" w:color="auto"/>
              <w:left w:val="single" w:sz="6" w:space="0" w:color="auto"/>
              <w:bottom w:val="single" w:sz="12" w:space="0" w:color="auto"/>
              <w:right w:val="single" w:sz="6" w:space="0" w:color="auto"/>
            </w:tcBorders>
            <w:vAlign w:val="center"/>
          </w:tcPr>
          <w:p w14:paraId="17CF1D2D" w14:textId="3B634CF9" w:rsidR="000C720C" w:rsidRPr="00747309" w:rsidRDefault="005201BB" w:rsidP="00A250F0">
            <w:pPr>
              <w:pStyle w:val="TableCen"/>
            </w:pPr>
            <w:r>
              <w:t>5.1</w:t>
            </w:r>
            <w:r w:rsidR="00715388">
              <w:t xml:space="preserve"> and </w:t>
            </w:r>
            <w:r w:rsidR="000C720C">
              <w:t>6.2</w:t>
            </w:r>
          </w:p>
        </w:tc>
        <w:tc>
          <w:tcPr>
            <w:tcW w:w="5386" w:type="dxa"/>
            <w:tcBorders>
              <w:top w:val="single" w:sz="2" w:space="0" w:color="auto"/>
              <w:left w:val="single" w:sz="6" w:space="0" w:color="auto"/>
              <w:bottom w:val="single" w:sz="12" w:space="0" w:color="auto"/>
              <w:right w:val="single" w:sz="6" w:space="0" w:color="auto"/>
            </w:tcBorders>
            <w:vAlign w:val="center"/>
          </w:tcPr>
          <w:p w14:paraId="7F9F1798" w14:textId="2466AB35" w:rsidR="000C720C" w:rsidRPr="00747309" w:rsidRDefault="000C720C" w:rsidP="000C720C">
            <w:pPr>
              <w:pStyle w:val="Table"/>
            </w:pPr>
            <w:r>
              <w:t xml:space="preserve">Expansion joint </w:t>
            </w:r>
            <w:r w:rsidR="0085674B">
              <w:t>sealant</w:t>
            </w:r>
            <w:r>
              <w:t xml:space="preserve"> material </w:t>
            </w:r>
            <w:r w:rsidRPr="000C720C">
              <w:t xml:space="preserve">specification </w:t>
            </w:r>
            <w:r w:rsidR="0035198C" w:rsidRPr="000C720C">
              <w:t>updated;</w:t>
            </w:r>
            <w:permStart w:id="2029982146" w:edGrp="everyone"/>
            <w:permEnd w:id="2029982146"/>
            <w:r w:rsidRPr="000C720C">
              <w:t xml:space="preserve"> proprietary product reference removed.</w:t>
            </w:r>
          </w:p>
        </w:tc>
        <w:tc>
          <w:tcPr>
            <w:tcW w:w="1560" w:type="dxa"/>
            <w:vMerge/>
            <w:tcBorders>
              <w:bottom w:val="single" w:sz="12" w:space="0" w:color="auto"/>
              <w:right w:val="nil"/>
            </w:tcBorders>
            <w:vAlign w:val="center"/>
          </w:tcPr>
          <w:p w14:paraId="155910AA" w14:textId="77777777" w:rsidR="000C720C" w:rsidRPr="00747309" w:rsidRDefault="000C720C" w:rsidP="00A250F0">
            <w:pPr>
              <w:pStyle w:val="TableCen"/>
            </w:pPr>
          </w:p>
        </w:tc>
      </w:tr>
    </w:tbl>
    <w:p w14:paraId="1AA40754" w14:textId="77777777" w:rsidR="003E556D" w:rsidRDefault="003E556D" w:rsidP="004A2005"/>
    <w:p w14:paraId="21B9DB70" w14:textId="77777777" w:rsidR="004A2005" w:rsidRDefault="004A2005" w:rsidP="004A2005"/>
    <w:p w14:paraId="2069DB0B" w14:textId="77777777" w:rsidR="005A7289" w:rsidRDefault="005A7289" w:rsidP="005A7289">
      <w:pPr>
        <w:pStyle w:val="BodyTextIndent"/>
        <w:jc w:val="center"/>
        <w:sectPr w:rsidR="005A7289" w:rsidSect="00531621">
          <w:headerReference w:type="default" r:id="rId14"/>
          <w:footerReference w:type="default" r:id="rId15"/>
          <w:pgSz w:w="11906" w:h="16838" w:code="9"/>
          <w:pgMar w:top="1134" w:right="1134" w:bottom="992" w:left="1418" w:header="1134" w:footer="851" w:gutter="0"/>
          <w:pgNumType w:fmt="lowerRoman" w:start="1"/>
          <w:cols w:space="720"/>
        </w:sectPr>
      </w:pPr>
    </w:p>
    <w:p w14:paraId="18050313" w14:textId="77777777" w:rsidR="0043634C" w:rsidRPr="004A2005" w:rsidRDefault="00674EDE" w:rsidP="00CB0FC3">
      <w:pPr>
        <w:pStyle w:val="BodyTextIndentBoldItalicCen"/>
      </w:pPr>
      <w:r w:rsidRPr="004A2005">
        <w:lastRenderedPageBreak/>
        <w:t>(</w:t>
      </w:r>
      <w:r w:rsidR="0043634C" w:rsidRPr="004A2005">
        <w:t xml:space="preserve">This </w:t>
      </w:r>
      <w:r w:rsidRPr="004A2005">
        <w:t>Page Left Intentionally Blank)</w:t>
      </w:r>
    </w:p>
    <w:p w14:paraId="1353ADB9" w14:textId="77777777" w:rsidR="0043634C" w:rsidRPr="007A6E5E" w:rsidRDefault="0043634C" w:rsidP="00ED6B42">
      <w:pPr>
        <w:sectPr w:rsidR="0043634C" w:rsidRPr="007A6E5E" w:rsidSect="00531621">
          <w:pgSz w:w="11906" w:h="16838" w:code="9"/>
          <w:pgMar w:top="1134" w:right="1134" w:bottom="992" w:left="1418" w:header="1134" w:footer="851" w:gutter="0"/>
          <w:pgNumType w:fmt="lowerRoman" w:start="1"/>
          <w:cols w:space="720"/>
          <w:vAlign w:val="center"/>
        </w:sectPr>
      </w:pPr>
    </w:p>
    <w:p w14:paraId="0C3C4011" w14:textId="77777777" w:rsidR="001911F3" w:rsidRDefault="001911F3" w:rsidP="000379CB">
      <w:pPr>
        <w:pStyle w:val="Heading2"/>
        <w:numPr>
          <w:ilvl w:val="0"/>
          <w:numId w:val="0"/>
        </w:numPr>
        <w:ind w:left="709" w:hanging="709"/>
      </w:pPr>
      <w:r>
        <w:lastRenderedPageBreak/>
        <w:t>TABLE OF CONTENTS</w:t>
      </w:r>
    </w:p>
    <w:p w14:paraId="6DB162C3" w14:textId="418E5377" w:rsidR="00F46C8B" w:rsidRDefault="00F46C8B">
      <w:pPr>
        <w:pStyle w:val="TOC1"/>
        <w:rPr>
          <w:rFonts w:asciiTheme="minorHAnsi" w:eastAsiaTheme="minorEastAsia" w:hAnsiTheme="minorHAnsi" w:cstheme="minorBidi"/>
          <w:b w:val="0"/>
          <w:caps w:val="0"/>
          <w:sz w:val="22"/>
        </w:rPr>
      </w:pPr>
      <w:r>
        <w:rPr>
          <w:i/>
          <w:caps w:val="0"/>
        </w:rPr>
        <w:fldChar w:fldCharType="begin"/>
      </w:r>
      <w:r>
        <w:rPr>
          <w:i/>
          <w:caps w:val="0"/>
        </w:rPr>
        <w:instrText xml:space="preserve"> TOC \t "Heading 2,1,Heading 3,2,Heading 4,3" </w:instrText>
      </w:r>
      <w:r>
        <w:rPr>
          <w:i/>
          <w:caps w:val="0"/>
        </w:rPr>
        <w:fldChar w:fldCharType="separate"/>
      </w:r>
      <w:r>
        <w:t>1.0</w:t>
      </w:r>
      <w:r>
        <w:rPr>
          <w:rFonts w:asciiTheme="minorHAnsi" w:eastAsiaTheme="minorEastAsia" w:hAnsiTheme="minorHAnsi" w:cstheme="minorBidi"/>
          <w:b w:val="0"/>
          <w:caps w:val="0"/>
          <w:sz w:val="22"/>
        </w:rPr>
        <w:tab/>
      </w:r>
      <w:r>
        <w:t>GENERAL</w:t>
      </w:r>
      <w:r>
        <w:tab/>
      </w:r>
      <w:r>
        <w:fldChar w:fldCharType="begin"/>
      </w:r>
      <w:r>
        <w:instrText xml:space="preserve"> PAGEREF _Toc76027905 \h </w:instrText>
      </w:r>
      <w:r>
        <w:fldChar w:fldCharType="separate"/>
      </w:r>
      <w:r>
        <w:t>1</w:t>
      </w:r>
      <w:r>
        <w:fldChar w:fldCharType="end"/>
      </w:r>
    </w:p>
    <w:p w14:paraId="4926B9B7" w14:textId="1AA123A5" w:rsidR="00F46C8B" w:rsidRDefault="00F46C8B">
      <w:pPr>
        <w:pStyle w:val="TOC2"/>
        <w:rPr>
          <w:rFonts w:asciiTheme="minorHAnsi" w:eastAsiaTheme="minorEastAsia" w:hAnsiTheme="minorHAnsi" w:cstheme="minorBidi"/>
          <w:b w:val="0"/>
          <w:smallCaps w:val="0"/>
        </w:rPr>
      </w:pPr>
      <w:r>
        <w:t>1.1</w:t>
      </w:r>
      <w:r>
        <w:rPr>
          <w:rFonts w:asciiTheme="minorHAnsi" w:eastAsiaTheme="minorEastAsia" w:hAnsiTheme="minorHAnsi" w:cstheme="minorBidi"/>
          <w:b w:val="0"/>
          <w:smallCaps w:val="0"/>
        </w:rPr>
        <w:tab/>
      </w:r>
      <w:r>
        <w:t>Section Content</w:t>
      </w:r>
      <w:r>
        <w:tab/>
      </w:r>
      <w:r>
        <w:fldChar w:fldCharType="begin"/>
      </w:r>
      <w:r>
        <w:instrText xml:space="preserve"> PAGEREF _Toc76027906 \h </w:instrText>
      </w:r>
      <w:r>
        <w:fldChar w:fldCharType="separate"/>
      </w:r>
      <w:r>
        <w:t>1</w:t>
      </w:r>
      <w:r>
        <w:fldChar w:fldCharType="end"/>
      </w:r>
    </w:p>
    <w:p w14:paraId="6DAF8A74" w14:textId="7DD63B15" w:rsidR="00F46C8B" w:rsidRDefault="00F46C8B">
      <w:pPr>
        <w:pStyle w:val="TOC2"/>
        <w:rPr>
          <w:rFonts w:asciiTheme="minorHAnsi" w:eastAsiaTheme="minorEastAsia" w:hAnsiTheme="minorHAnsi" w:cstheme="minorBidi"/>
          <w:b w:val="0"/>
          <w:smallCaps w:val="0"/>
        </w:rPr>
      </w:pPr>
      <w:r>
        <w:t>1.2</w:t>
      </w:r>
      <w:r>
        <w:rPr>
          <w:rFonts w:asciiTheme="minorHAnsi" w:eastAsiaTheme="minorEastAsia" w:hAnsiTheme="minorHAnsi" w:cstheme="minorBidi"/>
          <w:b w:val="0"/>
          <w:smallCaps w:val="0"/>
        </w:rPr>
        <w:tab/>
      </w:r>
      <w:r>
        <w:t>Standards</w:t>
      </w:r>
      <w:r>
        <w:tab/>
      </w:r>
      <w:r>
        <w:fldChar w:fldCharType="begin"/>
      </w:r>
      <w:r>
        <w:instrText xml:space="preserve"> PAGEREF _Toc76027907 \h </w:instrText>
      </w:r>
      <w:r>
        <w:fldChar w:fldCharType="separate"/>
      </w:r>
      <w:r>
        <w:t>1</w:t>
      </w:r>
      <w:r>
        <w:fldChar w:fldCharType="end"/>
      </w:r>
    </w:p>
    <w:p w14:paraId="025F7057" w14:textId="1219A800" w:rsidR="00F46C8B" w:rsidRDefault="00F46C8B">
      <w:pPr>
        <w:pStyle w:val="TOC2"/>
        <w:rPr>
          <w:rFonts w:asciiTheme="minorHAnsi" w:eastAsiaTheme="minorEastAsia" w:hAnsiTheme="minorHAnsi" w:cstheme="minorBidi"/>
          <w:b w:val="0"/>
          <w:smallCaps w:val="0"/>
        </w:rPr>
      </w:pPr>
      <w:r>
        <w:t>1.3</w:t>
      </w:r>
      <w:r>
        <w:rPr>
          <w:rFonts w:asciiTheme="minorHAnsi" w:eastAsiaTheme="minorEastAsia" w:hAnsiTheme="minorHAnsi" w:cstheme="minorBidi"/>
          <w:b w:val="0"/>
          <w:smallCaps w:val="0"/>
        </w:rPr>
        <w:tab/>
      </w:r>
      <w:r>
        <w:t>References</w:t>
      </w:r>
      <w:r>
        <w:tab/>
      </w:r>
      <w:r>
        <w:fldChar w:fldCharType="begin"/>
      </w:r>
      <w:r>
        <w:instrText xml:space="preserve"> PAGEREF _Toc76027908 \h </w:instrText>
      </w:r>
      <w:r>
        <w:fldChar w:fldCharType="separate"/>
      </w:r>
      <w:r>
        <w:t>1</w:t>
      </w:r>
      <w:r>
        <w:fldChar w:fldCharType="end"/>
      </w:r>
    </w:p>
    <w:p w14:paraId="2265782C" w14:textId="0F6D3F12" w:rsidR="00F46C8B" w:rsidRDefault="00F46C8B">
      <w:pPr>
        <w:pStyle w:val="TOC2"/>
        <w:rPr>
          <w:rFonts w:asciiTheme="minorHAnsi" w:eastAsiaTheme="minorEastAsia" w:hAnsiTheme="minorHAnsi" w:cstheme="minorBidi"/>
          <w:b w:val="0"/>
          <w:smallCaps w:val="0"/>
        </w:rPr>
      </w:pPr>
      <w:r>
        <w:t>1.4</w:t>
      </w:r>
      <w:r>
        <w:rPr>
          <w:rFonts w:asciiTheme="minorHAnsi" w:eastAsiaTheme="minorEastAsia" w:hAnsiTheme="minorHAnsi" w:cstheme="minorBidi"/>
          <w:b w:val="0"/>
          <w:smallCaps w:val="0"/>
        </w:rPr>
        <w:tab/>
      </w:r>
      <w:r>
        <w:t>Definitions</w:t>
      </w:r>
      <w:r>
        <w:tab/>
      </w:r>
      <w:r>
        <w:fldChar w:fldCharType="begin"/>
      </w:r>
      <w:r>
        <w:instrText xml:space="preserve"> PAGEREF _Toc76027909 \h </w:instrText>
      </w:r>
      <w:r>
        <w:fldChar w:fldCharType="separate"/>
      </w:r>
      <w:r>
        <w:t>2</w:t>
      </w:r>
      <w:r>
        <w:fldChar w:fldCharType="end"/>
      </w:r>
    </w:p>
    <w:p w14:paraId="29BFFD2A" w14:textId="457EA312" w:rsidR="00F46C8B" w:rsidRDefault="00F46C8B">
      <w:pPr>
        <w:pStyle w:val="TOC1"/>
        <w:rPr>
          <w:rFonts w:asciiTheme="minorHAnsi" w:eastAsiaTheme="minorEastAsia" w:hAnsiTheme="minorHAnsi" w:cstheme="minorBidi"/>
          <w:b w:val="0"/>
          <w:caps w:val="0"/>
          <w:sz w:val="22"/>
        </w:rPr>
      </w:pPr>
      <w:r>
        <w:t>2.0</w:t>
      </w:r>
      <w:r>
        <w:rPr>
          <w:rFonts w:asciiTheme="minorHAnsi" w:eastAsiaTheme="minorEastAsia" w:hAnsiTheme="minorHAnsi" w:cstheme="minorBidi"/>
          <w:b w:val="0"/>
          <w:caps w:val="0"/>
          <w:sz w:val="22"/>
        </w:rPr>
        <w:tab/>
      </w:r>
      <w:r>
        <w:t>QUALITY</w:t>
      </w:r>
      <w:r>
        <w:tab/>
      </w:r>
      <w:r>
        <w:fldChar w:fldCharType="begin"/>
      </w:r>
      <w:r>
        <w:instrText xml:space="preserve"> PAGEREF _Toc76027910 \h </w:instrText>
      </w:r>
      <w:r>
        <w:fldChar w:fldCharType="separate"/>
      </w:r>
      <w:r>
        <w:t>2</w:t>
      </w:r>
      <w:r>
        <w:fldChar w:fldCharType="end"/>
      </w:r>
    </w:p>
    <w:p w14:paraId="4560022F" w14:textId="608523A1" w:rsidR="00F46C8B" w:rsidRDefault="00F46C8B">
      <w:pPr>
        <w:pStyle w:val="TOC2"/>
        <w:rPr>
          <w:rFonts w:asciiTheme="minorHAnsi" w:eastAsiaTheme="minorEastAsia" w:hAnsiTheme="minorHAnsi" w:cstheme="minorBidi"/>
          <w:b w:val="0"/>
          <w:smallCaps w:val="0"/>
        </w:rPr>
      </w:pPr>
      <w:r>
        <w:t>2.1</w:t>
      </w:r>
      <w:r>
        <w:rPr>
          <w:rFonts w:asciiTheme="minorHAnsi" w:eastAsiaTheme="minorEastAsia" w:hAnsiTheme="minorHAnsi" w:cstheme="minorBidi"/>
          <w:b w:val="0"/>
          <w:smallCaps w:val="0"/>
        </w:rPr>
        <w:tab/>
      </w:r>
      <w:r>
        <w:t>Inspection</w:t>
      </w:r>
      <w:r>
        <w:tab/>
      </w:r>
      <w:r>
        <w:fldChar w:fldCharType="begin"/>
      </w:r>
      <w:r>
        <w:instrText xml:space="preserve"> PAGEREF _Toc76027911 \h </w:instrText>
      </w:r>
      <w:r>
        <w:fldChar w:fldCharType="separate"/>
      </w:r>
      <w:r>
        <w:t>2</w:t>
      </w:r>
      <w:r>
        <w:fldChar w:fldCharType="end"/>
      </w:r>
    </w:p>
    <w:p w14:paraId="0F409B52" w14:textId="7E34F5CC" w:rsidR="00F46C8B" w:rsidRDefault="00F46C8B">
      <w:pPr>
        <w:pStyle w:val="TOC2"/>
        <w:rPr>
          <w:rFonts w:asciiTheme="minorHAnsi" w:eastAsiaTheme="minorEastAsia" w:hAnsiTheme="minorHAnsi" w:cstheme="minorBidi"/>
          <w:b w:val="0"/>
          <w:smallCaps w:val="0"/>
        </w:rPr>
      </w:pPr>
      <w:r>
        <w:t>2.2</w:t>
      </w:r>
      <w:r>
        <w:rPr>
          <w:rFonts w:asciiTheme="minorHAnsi" w:eastAsiaTheme="minorEastAsia" w:hAnsiTheme="minorHAnsi" w:cstheme="minorBidi"/>
          <w:b w:val="0"/>
          <w:smallCaps w:val="0"/>
        </w:rPr>
        <w:tab/>
      </w:r>
      <w:r>
        <w:t>Samples</w:t>
      </w:r>
      <w:r>
        <w:tab/>
      </w:r>
      <w:r>
        <w:fldChar w:fldCharType="begin"/>
      </w:r>
      <w:r>
        <w:instrText xml:space="preserve"> PAGEREF _Toc76027912 \h </w:instrText>
      </w:r>
      <w:r>
        <w:fldChar w:fldCharType="separate"/>
      </w:r>
      <w:r>
        <w:t>3</w:t>
      </w:r>
      <w:r>
        <w:fldChar w:fldCharType="end"/>
      </w:r>
    </w:p>
    <w:p w14:paraId="3C934EE3" w14:textId="7CD45217" w:rsidR="00F46C8B" w:rsidRDefault="00F46C8B">
      <w:pPr>
        <w:pStyle w:val="TOC2"/>
        <w:rPr>
          <w:rFonts w:asciiTheme="minorHAnsi" w:eastAsiaTheme="minorEastAsia" w:hAnsiTheme="minorHAnsi" w:cstheme="minorBidi"/>
          <w:b w:val="0"/>
          <w:smallCaps w:val="0"/>
        </w:rPr>
      </w:pPr>
      <w:r>
        <w:t>2.3</w:t>
      </w:r>
      <w:r>
        <w:rPr>
          <w:rFonts w:asciiTheme="minorHAnsi" w:eastAsiaTheme="minorEastAsia" w:hAnsiTheme="minorHAnsi" w:cstheme="minorBidi"/>
          <w:b w:val="0"/>
          <w:smallCaps w:val="0"/>
        </w:rPr>
        <w:tab/>
      </w:r>
      <w:r>
        <w:t>Contractor’s Submissions</w:t>
      </w:r>
      <w:r>
        <w:tab/>
      </w:r>
      <w:r>
        <w:fldChar w:fldCharType="begin"/>
      </w:r>
      <w:r>
        <w:instrText xml:space="preserve"> PAGEREF _Toc76027913 \h </w:instrText>
      </w:r>
      <w:r>
        <w:fldChar w:fldCharType="separate"/>
      </w:r>
      <w:r>
        <w:t>3</w:t>
      </w:r>
      <w:r>
        <w:fldChar w:fldCharType="end"/>
      </w:r>
    </w:p>
    <w:p w14:paraId="7A4639D8" w14:textId="79A3CD39" w:rsidR="00F46C8B" w:rsidRDefault="00F46C8B">
      <w:pPr>
        <w:pStyle w:val="TOC1"/>
        <w:rPr>
          <w:rFonts w:asciiTheme="minorHAnsi" w:eastAsiaTheme="minorEastAsia" w:hAnsiTheme="minorHAnsi" w:cstheme="minorBidi"/>
          <w:b w:val="0"/>
          <w:caps w:val="0"/>
          <w:sz w:val="22"/>
        </w:rPr>
      </w:pPr>
      <w:r>
        <w:t>3.0</w:t>
      </w:r>
      <w:r>
        <w:rPr>
          <w:rFonts w:asciiTheme="minorHAnsi" w:eastAsiaTheme="minorEastAsia" w:hAnsiTheme="minorHAnsi" w:cstheme="minorBidi"/>
          <w:b w:val="0"/>
          <w:caps w:val="0"/>
          <w:sz w:val="22"/>
        </w:rPr>
        <w:tab/>
      </w:r>
      <w:r>
        <w:t>FLEXIBLE PAVEMENT</w:t>
      </w:r>
      <w:r>
        <w:tab/>
      </w:r>
      <w:r>
        <w:fldChar w:fldCharType="begin"/>
      </w:r>
      <w:r>
        <w:instrText xml:space="preserve"> PAGEREF _Toc76027914 \h </w:instrText>
      </w:r>
      <w:r>
        <w:fldChar w:fldCharType="separate"/>
      </w:r>
      <w:r>
        <w:t>3</w:t>
      </w:r>
      <w:r>
        <w:fldChar w:fldCharType="end"/>
      </w:r>
    </w:p>
    <w:p w14:paraId="73261C6F" w14:textId="798B7BFA" w:rsidR="00F46C8B" w:rsidRDefault="00F46C8B">
      <w:pPr>
        <w:pStyle w:val="TOC2"/>
        <w:rPr>
          <w:rFonts w:asciiTheme="minorHAnsi" w:eastAsiaTheme="minorEastAsia" w:hAnsiTheme="minorHAnsi" w:cstheme="minorBidi"/>
          <w:b w:val="0"/>
          <w:smallCaps w:val="0"/>
        </w:rPr>
      </w:pPr>
      <w:r>
        <w:t>3.1</w:t>
      </w:r>
      <w:r>
        <w:rPr>
          <w:rFonts w:asciiTheme="minorHAnsi" w:eastAsiaTheme="minorEastAsia" w:hAnsiTheme="minorHAnsi" w:cstheme="minorBidi"/>
          <w:b w:val="0"/>
          <w:smallCaps w:val="0"/>
        </w:rPr>
        <w:tab/>
      </w:r>
      <w:r>
        <w:t>Materials</w:t>
      </w:r>
      <w:r>
        <w:tab/>
      </w:r>
      <w:r>
        <w:fldChar w:fldCharType="begin"/>
      </w:r>
      <w:r>
        <w:instrText xml:space="preserve"> PAGEREF _Toc76027915 \h </w:instrText>
      </w:r>
      <w:r>
        <w:fldChar w:fldCharType="separate"/>
      </w:r>
      <w:r>
        <w:t>3</w:t>
      </w:r>
      <w:r>
        <w:fldChar w:fldCharType="end"/>
      </w:r>
    </w:p>
    <w:p w14:paraId="181DD007" w14:textId="47E192A0" w:rsidR="00F46C8B" w:rsidRDefault="00F46C8B">
      <w:pPr>
        <w:pStyle w:val="TOC2"/>
        <w:rPr>
          <w:rFonts w:asciiTheme="minorHAnsi" w:eastAsiaTheme="minorEastAsia" w:hAnsiTheme="minorHAnsi" w:cstheme="minorBidi"/>
          <w:b w:val="0"/>
          <w:smallCaps w:val="0"/>
        </w:rPr>
      </w:pPr>
      <w:r>
        <w:t>3.2</w:t>
      </w:r>
      <w:r>
        <w:rPr>
          <w:rFonts w:asciiTheme="minorHAnsi" w:eastAsiaTheme="minorEastAsia" w:hAnsiTheme="minorHAnsi" w:cstheme="minorBidi"/>
          <w:b w:val="0"/>
          <w:smallCaps w:val="0"/>
        </w:rPr>
        <w:tab/>
      </w:r>
      <w:r>
        <w:t>Placing Base, Subbase and Working Platform</w:t>
      </w:r>
      <w:r>
        <w:tab/>
      </w:r>
      <w:r>
        <w:fldChar w:fldCharType="begin"/>
      </w:r>
      <w:r>
        <w:instrText xml:space="preserve"> PAGEREF _Toc76027916 \h </w:instrText>
      </w:r>
      <w:r>
        <w:fldChar w:fldCharType="separate"/>
      </w:r>
      <w:r>
        <w:t>4</w:t>
      </w:r>
      <w:r>
        <w:fldChar w:fldCharType="end"/>
      </w:r>
    </w:p>
    <w:p w14:paraId="4AC26034" w14:textId="560E1B11" w:rsidR="00F46C8B" w:rsidRDefault="00F46C8B">
      <w:pPr>
        <w:pStyle w:val="TOC2"/>
        <w:rPr>
          <w:rFonts w:asciiTheme="minorHAnsi" w:eastAsiaTheme="minorEastAsia" w:hAnsiTheme="minorHAnsi" w:cstheme="minorBidi"/>
          <w:b w:val="0"/>
          <w:smallCaps w:val="0"/>
        </w:rPr>
      </w:pPr>
      <w:r>
        <w:t>3.3</w:t>
      </w:r>
      <w:r>
        <w:rPr>
          <w:rFonts w:asciiTheme="minorHAnsi" w:eastAsiaTheme="minorEastAsia" w:hAnsiTheme="minorHAnsi" w:cstheme="minorBidi"/>
          <w:b w:val="0"/>
          <w:smallCaps w:val="0"/>
        </w:rPr>
        <w:tab/>
      </w:r>
      <w:r>
        <w:t>Junctions with Existing Pavements</w:t>
      </w:r>
      <w:r>
        <w:tab/>
      </w:r>
      <w:r>
        <w:fldChar w:fldCharType="begin"/>
      </w:r>
      <w:r>
        <w:instrText xml:space="preserve"> PAGEREF _Toc76027917 \h </w:instrText>
      </w:r>
      <w:r>
        <w:fldChar w:fldCharType="separate"/>
      </w:r>
      <w:r>
        <w:t>4</w:t>
      </w:r>
      <w:r>
        <w:fldChar w:fldCharType="end"/>
      </w:r>
    </w:p>
    <w:p w14:paraId="1DF1858E" w14:textId="3DF1314C" w:rsidR="00F46C8B" w:rsidRDefault="00F46C8B">
      <w:pPr>
        <w:pStyle w:val="TOC2"/>
        <w:rPr>
          <w:rFonts w:asciiTheme="minorHAnsi" w:eastAsiaTheme="minorEastAsia" w:hAnsiTheme="minorHAnsi" w:cstheme="minorBidi"/>
          <w:b w:val="0"/>
          <w:smallCaps w:val="0"/>
        </w:rPr>
      </w:pPr>
      <w:r>
        <w:t>3.4</w:t>
      </w:r>
      <w:r>
        <w:rPr>
          <w:rFonts w:asciiTheme="minorHAnsi" w:eastAsiaTheme="minorEastAsia" w:hAnsiTheme="minorHAnsi" w:cstheme="minorBidi"/>
          <w:b w:val="0"/>
          <w:smallCaps w:val="0"/>
        </w:rPr>
        <w:tab/>
      </w:r>
      <w:r>
        <w:t>Base, Subbase and Working Platform Compaction</w:t>
      </w:r>
      <w:r>
        <w:tab/>
      </w:r>
      <w:r>
        <w:fldChar w:fldCharType="begin"/>
      </w:r>
      <w:r>
        <w:instrText xml:space="preserve"> PAGEREF _Toc76027918 \h </w:instrText>
      </w:r>
      <w:r>
        <w:fldChar w:fldCharType="separate"/>
      </w:r>
      <w:r>
        <w:t>4</w:t>
      </w:r>
      <w:r>
        <w:fldChar w:fldCharType="end"/>
      </w:r>
    </w:p>
    <w:p w14:paraId="559D6A2F" w14:textId="1625DC88" w:rsidR="00F46C8B" w:rsidRDefault="00F46C8B">
      <w:pPr>
        <w:pStyle w:val="TOC2"/>
        <w:rPr>
          <w:rFonts w:asciiTheme="minorHAnsi" w:eastAsiaTheme="minorEastAsia" w:hAnsiTheme="minorHAnsi" w:cstheme="minorBidi"/>
          <w:b w:val="0"/>
          <w:smallCaps w:val="0"/>
        </w:rPr>
      </w:pPr>
      <w:r>
        <w:t>3.5</w:t>
      </w:r>
      <w:r>
        <w:rPr>
          <w:rFonts w:asciiTheme="minorHAnsi" w:eastAsiaTheme="minorEastAsia" w:hAnsiTheme="minorHAnsi" w:cstheme="minorBidi"/>
          <w:b w:val="0"/>
          <w:smallCaps w:val="0"/>
        </w:rPr>
        <w:tab/>
      </w:r>
      <w:r>
        <w:t>Finishing Base Surfaces</w:t>
      </w:r>
      <w:r>
        <w:tab/>
      </w:r>
      <w:r>
        <w:fldChar w:fldCharType="begin"/>
      </w:r>
      <w:r>
        <w:instrText xml:space="preserve"> PAGEREF _Toc76027919 \h </w:instrText>
      </w:r>
      <w:r>
        <w:fldChar w:fldCharType="separate"/>
      </w:r>
      <w:r>
        <w:t>5</w:t>
      </w:r>
      <w:r>
        <w:fldChar w:fldCharType="end"/>
      </w:r>
    </w:p>
    <w:p w14:paraId="12FF5F80" w14:textId="6E730110" w:rsidR="00F46C8B" w:rsidRDefault="00F46C8B">
      <w:pPr>
        <w:pStyle w:val="TOC2"/>
        <w:rPr>
          <w:rFonts w:asciiTheme="minorHAnsi" w:eastAsiaTheme="minorEastAsia" w:hAnsiTheme="minorHAnsi" w:cstheme="minorBidi"/>
          <w:b w:val="0"/>
          <w:smallCaps w:val="0"/>
        </w:rPr>
      </w:pPr>
      <w:r>
        <w:t>3.6</w:t>
      </w:r>
      <w:r>
        <w:rPr>
          <w:rFonts w:asciiTheme="minorHAnsi" w:eastAsiaTheme="minorEastAsia" w:hAnsiTheme="minorHAnsi" w:cstheme="minorBidi"/>
          <w:b w:val="0"/>
          <w:smallCaps w:val="0"/>
        </w:rPr>
        <w:tab/>
      </w:r>
      <w:r>
        <w:t>Tolerances</w:t>
      </w:r>
      <w:r>
        <w:tab/>
      </w:r>
      <w:r>
        <w:fldChar w:fldCharType="begin"/>
      </w:r>
      <w:r>
        <w:instrText xml:space="preserve"> PAGEREF _Toc76027920 \h </w:instrText>
      </w:r>
      <w:r>
        <w:fldChar w:fldCharType="separate"/>
      </w:r>
      <w:r>
        <w:t>5</w:t>
      </w:r>
      <w:r>
        <w:fldChar w:fldCharType="end"/>
      </w:r>
    </w:p>
    <w:p w14:paraId="69FF5D7B" w14:textId="726BD5B7" w:rsidR="00F46C8B" w:rsidRDefault="00F46C8B">
      <w:pPr>
        <w:pStyle w:val="TOC2"/>
        <w:rPr>
          <w:rFonts w:asciiTheme="minorHAnsi" w:eastAsiaTheme="minorEastAsia" w:hAnsiTheme="minorHAnsi" w:cstheme="minorBidi"/>
          <w:b w:val="0"/>
          <w:smallCaps w:val="0"/>
        </w:rPr>
      </w:pPr>
      <w:r>
        <w:t>3.7</w:t>
      </w:r>
      <w:r>
        <w:rPr>
          <w:rFonts w:asciiTheme="minorHAnsi" w:eastAsiaTheme="minorEastAsia" w:hAnsiTheme="minorHAnsi" w:cstheme="minorBidi"/>
          <w:b w:val="0"/>
          <w:smallCaps w:val="0"/>
        </w:rPr>
        <w:tab/>
      </w:r>
      <w:r>
        <w:t>Degree Of Saturation</w:t>
      </w:r>
      <w:r>
        <w:tab/>
      </w:r>
      <w:r>
        <w:fldChar w:fldCharType="begin"/>
      </w:r>
      <w:r>
        <w:instrText xml:space="preserve"> PAGEREF _Toc76027921 \h </w:instrText>
      </w:r>
      <w:r>
        <w:fldChar w:fldCharType="separate"/>
      </w:r>
      <w:r>
        <w:t>5</w:t>
      </w:r>
      <w:r>
        <w:fldChar w:fldCharType="end"/>
      </w:r>
    </w:p>
    <w:p w14:paraId="04B2296E" w14:textId="2A21129A" w:rsidR="00F46C8B" w:rsidRDefault="00F46C8B">
      <w:pPr>
        <w:pStyle w:val="TOC2"/>
        <w:rPr>
          <w:rFonts w:asciiTheme="minorHAnsi" w:eastAsiaTheme="minorEastAsia" w:hAnsiTheme="minorHAnsi" w:cstheme="minorBidi"/>
          <w:b w:val="0"/>
          <w:smallCaps w:val="0"/>
        </w:rPr>
      </w:pPr>
      <w:r>
        <w:t>3.8</w:t>
      </w:r>
      <w:r>
        <w:rPr>
          <w:rFonts w:asciiTheme="minorHAnsi" w:eastAsiaTheme="minorEastAsia" w:hAnsiTheme="minorHAnsi" w:cstheme="minorBidi"/>
          <w:b w:val="0"/>
          <w:smallCaps w:val="0"/>
        </w:rPr>
        <w:tab/>
      </w:r>
      <w:r>
        <w:t>Proof Rolling</w:t>
      </w:r>
      <w:r>
        <w:tab/>
      </w:r>
      <w:r>
        <w:fldChar w:fldCharType="begin"/>
      </w:r>
      <w:r>
        <w:instrText xml:space="preserve"> PAGEREF _Toc76027922 \h </w:instrText>
      </w:r>
      <w:r>
        <w:fldChar w:fldCharType="separate"/>
      </w:r>
      <w:r>
        <w:t>6</w:t>
      </w:r>
      <w:r>
        <w:fldChar w:fldCharType="end"/>
      </w:r>
    </w:p>
    <w:p w14:paraId="41EC0A19" w14:textId="54F70800" w:rsidR="00F46C8B" w:rsidRDefault="00F46C8B">
      <w:pPr>
        <w:pStyle w:val="TOC1"/>
        <w:rPr>
          <w:rFonts w:asciiTheme="minorHAnsi" w:eastAsiaTheme="minorEastAsia" w:hAnsiTheme="minorHAnsi" w:cstheme="minorBidi"/>
          <w:b w:val="0"/>
          <w:caps w:val="0"/>
          <w:sz w:val="22"/>
        </w:rPr>
      </w:pPr>
      <w:r>
        <w:t>4.0</w:t>
      </w:r>
      <w:r>
        <w:rPr>
          <w:rFonts w:asciiTheme="minorHAnsi" w:eastAsiaTheme="minorEastAsia" w:hAnsiTheme="minorHAnsi" w:cstheme="minorBidi"/>
          <w:b w:val="0"/>
          <w:caps w:val="0"/>
          <w:sz w:val="22"/>
        </w:rPr>
        <w:tab/>
      </w:r>
      <w:r>
        <w:t>ASPHALT SURFACING</w:t>
      </w:r>
      <w:r>
        <w:tab/>
      </w:r>
      <w:r>
        <w:fldChar w:fldCharType="begin"/>
      </w:r>
      <w:r>
        <w:instrText xml:space="preserve"> PAGEREF _Toc76027923 \h </w:instrText>
      </w:r>
      <w:r>
        <w:fldChar w:fldCharType="separate"/>
      </w:r>
      <w:r>
        <w:t>6</w:t>
      </w:r>
      <w:r>
        <w:fldChar w:fldCharType="end"/>
      </w:r>
    </w:p>
    <w:p w14:paraId="174C3036" w14:textId="78EC5335" w:rsidR="00F46C8B" w:rsidRDefault="00F46C8B">
      <w:pPr>
        <w:pStyle w:val="TOC1"/>
        <w:rPr>
          <w:rFonts w:asciiTheme="minorHAnsi" w:eastAsiaTheme="minorEastAsia" w:hAnsiTheme="minorHAnsi" w:cstheme="minorBidi"/>
          <w:b w:val="0"/>
          <w:caps w:val="0"/>
          <w:sz w:val="22"/>
        </w:rPr>
      </w:pPr>
      <w:r>
        <w:t>5.0</w:t>
      </w:r>
      <w:r>
        <w:rPr>
          <w:rFonts w:asciiTheme="minorHAnsi" w:eastAsiaTheme="minorEastAsia" w:hAnsiTheme="minorHAnsi" w:cstheme="minorBidi"/>
          <w:b w:val="0"/>
          <w:caps w:val="0"/>
          <w:sz w:val="22"/>
        </w:rPr>
        <w:tab/>
      </w:r>
      <w:r>
        <w:t>CONCRETE KERBS and CHANNELS</w:t>
      </w:r>
      <w:r>
        <w:tab/>
      </w:r>
      <w:r>
        <w:fldChar w:fldCharType="begin"/>
      </w:r>
      <w:r>
        <w:instrText xml:space="preserve"> PAGEREF _Toc76027924 \h </w:instrText>
      </w:r>
      <w:r>
        <w:fldChar w:fldCharType="separate"/>
      </w:r>
      <w:r>
        <w:t>6</w:t>
      </w:r>
      <w:r>
        <w:fldChar w:fldCharType="end"/>
      </w:r>
    </w:p>
    <w:p w14:paraId="60E233E6" w14:textId="28A3CC22" w:rsidR="00F46C8B" w:rsidRDefault="00F46C8B">
      <w:pPr>
        <w:pStyle w:val="TOC2"/>
        <w:rPr>
          <w:rFonts w:asciiTheme="minorHAnsi" w:eastAsiaTheme="minorEastAsia" w:hAnsiTheme="minorHAnsi" w:cstheme="minorBidi"/>
          <w:b w:val="0"/>
          <w:smallCaps w:val="0"/>
        </w:rPr>
      </w:pPr>
      <w:r>
        <w:t>5.1</w:t>
      </w:r>
      <w:r>
        <w:rPr>
          <w:rFonts w:asciiTheme="minorHAnsi" w:eastAsiaTheme="minorEastAsia" w:hAnsiTheme="minorHAnsi" w:cstheme="minorBidi"/>
          <w:b w:val="0"/>
          <w:smallCaps w:val="0"/>
        </w:rPr>
        <w:tab/>
      </w:r>
      <w:r>
        <w:t>General</w:t>
      </w:r>
      <w:r>
        <w:tab/>
      </w:r>
      <w:r>
        <w:fldChar w:fldCharType="begin"/>
      </w:r>
      <w:r>
        <w:instrText xml:space="preserve"> PAGEREF _Toc76027925 \h </w:instrText>
      </w:r>
      <w:r>
        <w:fldChar w:fldCharType="separate"/>
      </w:r>
      <w:r>
        <w:t>6</w:t>
      </w:r>
      <w:r>
        <w:fldChar w:fldCharType="end"/>
      </w:r>
    </w:p>
    <w:p w14:paraId="60EDE5CE" w14:textId="597285F6" w:rsidR="00F46C8B" w:rsidRDefault="00F46C8B">
      <w:pPr>
        <w:pStyle w:val="TOC2"/>
        <w:rPr>
          <w:rFonts w:asciiTheme="minorHAnsi" w:eastAsiaTheme="minorEastAsia" w:hAnsiTheme="minorHAnsi" w:cstheme="minorBidi"/>
          <w:b w:val="0"/>
          <w:smallCaps w:val="0"/>
        </w:rPr>
      </w:pPr>
      <w:r>
        <w:t>5.2</w:t>
      </w:r>
      <w:r>
        <w:rPr>
          <w:rFonts w:asciiTheme="minorHAnsi" w:eastAsiaTheme="minorEastAsia" w:hAnsiTheme="minorHAnsi" w:cstheme="minorBidi"/>
          <w:b w:val="0"/>
          <w:smallCaps w:val="0"/>
        </w:rPr>
        <w:tab/>
      </w:r>
      <w:r>
        <w:t>Placing Concrete</w:t>
      </w:r>
      <w:r>
        <w:tab/>
      </w:r>
      <w:r>
        <w:fldChar w:fldCharType="begin"/>
      </w:r>
      <w:r>
        <w:instrText xml:space="preserve"> PAGEREF _Toc76027926 \h </w:instrText>
      </w:r>
      <w:r>
        <w:fldChar w:fldCharType="separate"/>
      </w:r>
      <w:r>
        <w:t>7</w:t>
      </w:r>
      <w:r>
        <w:fldChar w:fldCharType="end"/>
      </w:r>
    </w:p>
    <w:p w14:paraId="2195F537" w14:textId="1C99A094" w:rsidR="00F46C8B" w:rsidRDefault="00F46C8B">
      <w:pPr>
        <w:pStyle w:val="TOC2"/>
        <w:rPr>
          <w:rFonts w:asciiTheme="minorHAnsi" w:eastAsiaTheme="minorEastAsia" w:hAnsiTheme="minorHAnsi" w:cstheme="minorBidi"/>
          <w:b w:val="0"/>
          <w:smallCaps w:val="0"/>
        </w:rPr>
      </w:pPr>
      <w:r>
        <w:t>5.3</w:t>
      </w:r>
      <w:r>
        <w:rPr>
          <w:rFonts w:asciiTheme="minorHAnsi" w:eastAsiaTheme="minorEastAsia" w:hAnsiTheme="minorHAnsi" w:cstheme="minorBidi"/>
          <w:b w:val="0"/>
          <w:smallCaps w:val="0"/>
        </w:rPr>
        <w:tab/>
      </w:r>
      <w:r>
        <w:t>Kerb Adaptors</w:t>
      </w:r>
      <w:r>
        <w:tab/>
      </w:r>
      <w:r>
        <w:fldChar w:fldCharType="begin"/>
      </w:r>
      <w:r>
        <w:instrText xml:space="preserve"> PAGEREF _Toc76027927 \h </w:instrText>
      </w:r>
      <w:r>
        <w:fldChar w:fldCharType="separate"/>
      </w:r>
      <w:r>
        <w:t>7</w:t>
      </w:r>
      <w:r>
        <w:fldChar w:fldCharType="end"/>
      </w:r>
    </w:p>
    <w:p w14:paraId="10ED0F9B" w14:textId="096F24EA" w:rsidR="00F46C8B" w:rsidRDefault="00F46C8B">
      <w:pPr>
        <w:pStyle w:val="TOC3"/>
        <w:rPr>
          <w:rFonts w:asciiTheme="minorHAnsi" w:eastAsiaTheme="minorEastAsia" w:hAnsiTheme="minorHAnsi" w:cstheme="minorBidi"/>
          <w:b w:val="0"/>
          <w:i w:val="0"/>
          <w:noProof/>
          <w:sz w:val="22"/>
          <w:szCs w:val="22"/>
        </w:rPr>
      </w:pPr>
      <w:r>
        <w:rPr>
          <w:noProof/>
        </w:rPr>
        <w:t>5.3.1</w:t>
      </w:r>
      <w:r>
        <w:rPr>
          <w:rFonts w:asciiTheme="minorHAnsi" w:eastAsiaTheme="minorEastAsia" w:hAnsiTheme="minorHAnsi" w:cstheme="minorBidi"/>
          <w:b w:val="0"/>
          <w:i w:val="0"/>
          <w:noProof/>
          <w:sz w:val="22"/>
          <w:szCs w:val="22"/>
        </w:rPr>
        <w:tab/>
      </w:r>
      <w:r>
        <w:rPr>
          <w:noProof/>
        </w:rPr>
        <w:t>General</w:t>
      </w:r>
      <w:r>
        <w:rPr>
          <w:noProof/>
        </w:rPr>
        <w:tab/>
      </w:r>
      <w:r>
        <w:rPr>
          <w:noProof/>
        </w:rPr>
        <w:fldChar w:fldCharType="begin"/>
      </w:r>
      <w:r>
        <w:rPr>
          <w:noProof/>
        </w:rPr>
        <w:instrText xml:space="preserve"> PAGEREF _Toc76027928 \h </w:instrText>
      </w:r>
      <w:r>
        <w:rPr>
          <w:noProof/>
        </w:rPr>
      </w:r>
      <w:r>
        <w:rPr>
          <w:noProof/>
        </w:rPr>
        <w:fldChar w:fldCharType="separate"/>
      </w:r>
      <w:r>
        <w:rPr>
          <w:noProof/>
        </w:rPr>
        <w:t>7</w:t>
      </w:r>
      <w:r>
        <w:rPr>
          <w:noProof/>
        </w:rPr>
        <w:fldChar w:fldCharType="end"/>
      </w:r>
    </w:p>
    <w:p w14:paraId="717C71DE" w14:textId="5F6DD6E7" w:rsidR="00F46C8B" w:rsidRDefault="00F46C8B">
      <w:pPr>
        <w:pStyle w:val="TOC3"/>
        <w:rPr>
          <w:rFonts w:asciiTheme="minorHAnsi" w:eastAsiaTheme="minorEastAsia" w:hAnsiTheme="minorHAnsi" w:cstheme="minorBidi"/>
          <w:b w:val="0"/>
          <w:i w:val="0"/>
          <w:noProof/>
          <w:sz w:val="22"/>
          <w:szCs w:val="22"/>
        </w:rPr>
      </w:pPr>
      <w:r>
        <w:rPr>
          <w:noProof/>
        </w:rPr>
        <w:t>5.3.2</w:t>
      </w:r>
      <w:r>
        <w:rPr>
          <w:rFonts w:asciiTheme="minorHAnsi" w:eastAsiaTheme="minorEastAsia" w:hAnsiTheme="minorHAnsi" w:cstheme="minorBidi"/>
          <w:b w:val="0"/>
          <w:i w:val="0"/>
          <w:noProof/>
          <w:sz w:val="22"/>
          <w:szCs w:val="22"/>
        </w:rPr>
        <w:tab/>
      </w:r>
      <w:r>
        <w:rPr>
          <w:noProof/>
        </w:rPr>
        <w:t>Location</w:t>
      </w:r>
      <w:r>
        <w:rPr>
          <w:noProof/>
        </w:rPr>
        <w:tab/>
      </w:r>
      <w:r>
        <w:rPr>
          <w:noProof/>
        </w:rPr>
        <w:fldChar w:fldCharType="begin"/>
      </w:r>
      <w:r>
        <w:rPr>
          <w:noProof/>
        </w:rPr>
        <w:instrText xml:space="preserve"> PAGEREF _Toc76027929 \h </w:instrText>
      </w:r>
      <w:r>
        <w:rPr>
          <w:noProof/>
        </w:rPr>
      </w:r>
      <w:r>
        <w:rPr>
          <w:noProof/>
        </w:rPr>
        <w:fldChar w:fldCharType="separate"/>
      </w:r>
      <w:r>
        <w:rPr>
          <w:noProof/>
        </w:rPr>
        <w:t>7</w:t>
      </w:r>
      <w:r>
        <w:rPr>
          <w:noProof/>
        </w:rPr>
        <w:fldChar w:fldCharType="end"/>
      </w:r>
    </w:p>
    <w:p w14:paraId="4E293334" w14:textId="51E47E82" w:rsidR="00F46C8B" w:rsidRDefault="00F46C8B">
      <w:pPr>
        <w:pStyle w:val="TOC3"/>
        <w:rPr>
          <w:rFonts w:asciiTheme="minorHAnsi" w:eastAsiaTheme="minorEastAsia" w:hAnsiTheme="minorHAnsi" w:cstheme="minorBidi"/>
          <w:b w:val="0"/>
          <w:i w:val="0"/>
          <w:noProof/>
          <w:sz w:val="22"/>
          <w:szCs w:val="22"/>
        </w:rPr>
      </w:pPr>
      <w:r>
        <w:rPr>
          <w:noProof/>
        </w:rPr>
        <w:t>5.3.3</w:t>
      </w:r>
      <w:r>
        <w:rPr>
          <w:rFonts w:asciiTheme="minorHAnsi" w:eastAsiaTheme="minorEastAsia" w:hAnsiTheme="minorHAnsi" w:cstheme="minorBidi"/>
          <w:b w:val="0"/>
          <w:i w:val="0"/>
          <w:noProof/>
          <w:sz w:val="22"/>
          <w:szCs w:val="22"/>
        </w:rPr>
        <w:tab/>
      </w:r>
      <w:r>
        <w:rPr>
          <w:noProof/>
        </w:rPr>
        <w:t>Load Testing</w:t>
      </w:r>
      <w:r>
        <w:rPr>
          <w:noProof/>
        </w:rPr>
        <w:tab/>
      </w:r>
      <w:r>
        <w:rPr>
          <w:noProof/>
        </w:rPr>
        <w:fldChar w:fldCharType="begin"/>
      </w:r>
      <w:r>
        <w:rPr>
          <w:noProof/>
        </w:rPr>
        <w:instrText xml:space="preserve"> PAGEREF _Toc76027930 \h </w:instrText>
      </w:r>
      <w:r>
        <w:rPr>
          <w:noProof/>
        </w:rPr>
      </w:r>
      <w:r>
        <w:rPr>
          <w:noProof/>
        </w:rPr>
        <w:fldChar w:fldCharType="separate"/>
      </w:r>
      <w:r>
        <w:rPr>
          <w:noProof/>
        </w:rPr>
        <w:t>8</w:t>
      </w:r>
      <w:r>
        <w:rPr>
          <w:noProof/>
        </w:rPr>
        <w:fldChar w:fldCharType="end"/>
      </w:r>
    </w:p>
    <w:p w14:paraId="1D9E3EEA" w14:textId="7E7BC8BD" w:rsidR="00F46C8B" w:rsidRDefault="00F46C8B">
      <w:pPr>
        <w:pStyle w:val="TOC2"/>
        <w:rPr>
          <w:rFonts w:asciiTheme="minorHAnsi" w:eastAsiaTheme="minorEastAsia" w:hAnsiTheme="minorHAnsi" w:cstheme="minorBidi"/>
          <w:b w:val="0"/>
          <w:smallCaps w:val="0"/>
        </w:rPr>
      </w:pPr>
      <w:r>
        <w:t>5.4</w:t>
      </w:r>
      <w:r>
        <w:rPr>
          <w:rFonts w:asciiTheme="minorHAnsi" w:eastAsiaTheme="minorEastAsia" w:hAnsiTheme="minorHAnsi" w:cstheme="minorBidi"/>
          <w:b w:val="0"/>
          <w:smallCaps w:val="0"/>
        </w:rPr>
        <w:tab/>
      </w:r>
      <w:r>
        <w:t>Tolerances</w:t>
      </w:r>
      <w:r>
        <w:tab/>
      </w:r>
      <w:r>
        <w:fldChar w:fldCharType="begin"/>
      </w:r>
      <w:r>
        <w:instrText xml:space="preserve"> PAGEREF _Toc76027931 \h </w:instrText>
      </w:r>
      <w:r>
        <w:fldChar w:fldCharType="separate"/>
      </w:r>
      <w:r>
        <w:t>9</w:t>
      </w:r>
      <w:r>
        <w:fldChar w:fldCharType="end"/>
      </w:r>
    </w:p>
    <w:p w14:paraId="5AE0557F" w14:textId="28F5D0DE" w:rsidR="00F46C8B" w:rsidRDefault="00F46C8B">
      <w:pPr>
        <w:pStyle w:val="TOC1"/>
        <w:rPr>
          <w:rFonts w:asciiTheme="minorHAnsi" w:eastAsiaTheme="minorEastAsia" w:hAnsiTheme="minorHAnsi" w:cstheme="minorBidi"/>
          <w:b w:val="0"/>
          <w:caps w:val="0"/>
          <w:sz w:val="22"/>
        </w:rPr>
      </w:pPr>
      <w:r>
        <w:t>6.0</w:t>
      </w:r>
      <w:r>
        <w:rPr>
          <w:rFonts w:asciiTheme="minorHAnsi" w:eastAsiaTheme="minorEastAsia" w:hAnsiTheme="minorHAnsi" w:cstheme="minorBidi"/>
          <w:b w:val="0"/>
          <w:caps w:val="0"/>
          <w:sz w:val="22"/>
        </w:rPr>
        <w:tab/>
      </w:r>
      <w:r>
        <w:t>Concrete slabs</w:t>
      </w:r>
      <w:r>
        <w:tab/>
      </w:r>
      <w:r>
        <w:fldChar w:fldCharType="begin"/>
      </w:r>
      <w:r>
        <w:instrText xml:space="preserve"> PAGEREF _Toc76027932 \h </w:instrText>
      </w:r>
      <w:r>
        <w:fldChar w:fldCharType="separate"/>
      </w:r>
      <w:r>
        <w:t>10</w:t>
      </w:r>
      <w:r>
        <w:fldChar w:fldCharType="end"/>
      </w:r>
    </w:p>
    <w:p w14:paraId="6B3CD5B5" w14:textId="00788A8A" w:rsidR="00F46C8B" w:rsidRDefault="00F46C8B">
      <w:pPr>
        <w:pStyle w:val="TOC2"/>
        <w:rPr>
          <w:rFonts w:asciiTheme="minorHAnsi" w:eastAsiaTheme="minorEastAsia" w:hAnsiTheme="minorHAnsi" w:cstheme="minorBidi"/>
          <w:b w:val="0"/>
          <w:smallCaps w:val="0"/>
        </w:rPr>
      </w:pPr>
      <w:r>
        <w:t>6.1</w:t>
      </w:r>
      <w:r>
        <w:rPr>
          <w:rFonts w:asciiTheme="minorHAnsi" w:eastAsiaTheme="minorEastAsia" w:hAnsiTheme="minorHAnsi" w:cstheme="minorBidi"/>
          <w:b w:val="0"/>
          <w:smallCaps w:val="0"/>
        </w:rPr>
        <w:tab/>
      </w:r>
      <w:r>
        <w:t>General</w:t>
      </w:r>
      <w:r>
        <w:tab/>
      </w:r>
      <w:r>
        <w:fldChar w:fldCharType="begin"/>
      </w:r>
      <w:r>
        <w:instrText xml:space="preserve"> PAGEREF _Toc76027933 \h </w:instrText>
      </w:r>
      <w:r>
        <w:fldChar w:fldCharType="separate"/>
      </w:r>
      <w:r>
        <w:t>10</w:t>
      </w:r>
      <w:r>
        <w:fldChar w:fldCharType="end"/>
      </w:r>
    </w:p>
    <w:p w14:paraId="17DF622A" w14:textId="11E152E8" w:rsidR="00F46C8B" w:rsidRDefault="00F46C8B">
      <w:pPr>
        <w:pStyle w:val="TOC2"/>
        <w:rPr>
          <w:rFonts w:asciiTheme="minorHAnsi" w:eastAsiaTheme="minorEastAsia" w:hAnsiTheme="minorHAnsi" w:cstheme="minorBidi"/>
          <w:b w:val="0"/>
          <w:smallCaps w:val="0"/>
        </w:rPr>
      </w:pPr>
      <w:r>
        <w:t>6.2</w:t>
      </w:r>
      <w:r>
        <w:rPr>
          <w:rFonts w:asciiTheme="minorHAnsi" w:eastAsiaTheme="minorEastAsia" w:hAnsiTheme="minorHAnsi" w:cstheme="minorBidi"/>
          <w:b w:val="0"/>
          <w:smallCaps w:val="0"/>
        </w:rPr>
        <w:tab/>
      </w:r>
      <w:r>
        <w:t>Joints</w:t>
      </w:r>
      <w:r>
        <w:tab/>
      </w:r>
      <w:r>
        <w:fldChar w:fldCharType="begin"/>
      </w:r>
      <w:r>
        <w:instrText xml:space="preserve"> PAGEREF _Toc76027934 \h </w:instrText>
      </w:r>
      <w:r>
        <w:fldChar w:fldCharType="separate"/>
      </w:r>
      <w:r>
        <w:t>10</w:t>
      </w:r>
      <w:r>
        <w:fldChar w:fldCharType="end"/>
      </w:r>
    </w:p>
    <w:p w14:paraId="6FC59DD3" w14:textId="13A5D90F" w:rsidR="00F46C8B" w:rsidRDefault="00F46C8B">
      <w:pPr>
        <w:pStyle w:val="TOC2"/>
        <w:rPr>
          <w:rFonts w:asciiTheme="minorHAnsi" w:eastAsiaTheme="minorEastAsia" w:hAnsiTheme="minorHAnsi" w:cstheme="minorBidi"/>
          <w:b w:val="0"/>
          <w:smallCaps w:val="0"/>
        </w:rPr>
      </w:pPr>
      <w:r>
        <w:t>6.3</w:t>
      </w:r>
      <w:r>
        <w:rPr>
          <w:rFonts w:asciiTheme="minorHAnsi" w:eastAsiaTheme="minorEastAsia" w:hAnsiTheme="minorHAnsi" w:cstheme="minorBidi"/>
          <w:b w:val="0"/>
          <w:smallCaps w:val="0"/>
        </w:rPr>
        <w:tab/>
      </w:r>
      <w:r>
        <w:t>Tolerances</w:t>
      </w:r>
      <w:r>
        <w:tab/>
      </w:r>
      <w:r>
        <w:fldChar w:fldCharType="begin"/>
      </w:r>
      <w:r>
        <w:instrText xml:space="preserve"> PAGEREF _Toc76027935 \h </w:instrText>
      </w:r>
      <w:r>
        <w:fldChar w:fldCharType="separate"/>
      </w:r>
      <w:r>
        <w:t>10</w:t>
      </w:r>
      <w:r>
        <w:fldChar w:fldCharType="end"/>
      </w:r>
    </w:p>
    <w:p w14:paraId="0B44AD2E" w14:textId="42839636" w:rsidR="00F46C8B" w:rsidRDefault="00F46C8B">
      <w:pPr>
        <w:pStyle w:val="TOC1"/>
        <w:rPr>
          <w:rFonts w:asciiTheme="minorHAnsi" w:eastAsiaTheme="minorEastAsia" w:hAnsiTheme="minorHAnsi" w:cstheme="minorBidi"/>
          <w:b w:val="0"/>
          <w:caps w:val="0"/>
          <w:sz w:val="22"/>
        </w:rPr>
      </w:pPr>
      <w:r>
        <w:t>7.0</w:t>
      </w:r>
      <w:r>
        <w:rPr>
          <w:rFonts w:asciiTheme="minorHAnsi" w:eastAsiaTheme="minorEastAsia" w:hAnsiTheme="minorHAnsi" w:cstheme="minorBidi"/>
          <w:b w:val="0"/>
          <w:caps w:val="0"/>
          <w:sz w:val="22"/>
        </w:rPr>
        <w:tab/>
      </w:r>
      <w:r>
        <w:t>surface treatments</w:t>
      </w:r>
      <w:r>
        <w:tab/>
      </w:r>
      <w:r>
        <w:fldChar w:fldCharType="begin"/>
      </w:r>
      <w:r>
        <w:instrText xml:space="preserve"> PAGEREF _Toc76027936 \h </w:instrText>
      </w:r>
      <w:r>
        <w:fldChar w:fldCharType="separate"/>
      </w:r>
      <w:r>
        <w:t>10</w:t>
      </w:r>
      <w:r>
        <w:fldChar w:fldCharType="end"/>
      </w:r>
    </w:p>
    <w:p w14:paraId="64B46532" w14:textId="256C69D3" w:rsidR="00F46C8B" w:rsidRDefault="00F46C8B">
      <w:pPr>
        <w:pStyle w:val="TOC2"/>
        <w:rPr>
          <w:rFonts w:asciiTheme="minorHAnsi" w:eastAsiaTheme="minorEastAsia" w:hAnsiTheme="minorHAnsi" w:cstheme="minorBidi"/>
          <w:b w:val="0"/>
          <w:smallCaps w:val="0"/>
        </w:rPr>
      </w:pPr>
      <w:r>
        <w:t>7.1</w:t>
      </w:r>
      <w:r>
        <w:rPr>
          <w:rFonts w:asciiTheme="minorHAnsi" w:eastAsiaTheme="minorEastAsia" w:hAnsiTheme="minorHAnsi" w:cstheme="minorBidi"/>
          <w:b w:val="0"/>
          <w:smallCaps w:val="0"/>
        </w:rPr>
        <w:tab/>
      </w:r>
      <w:r>
        <w:t>General</w:t>
      </w:r>
      <w:r>
        <w:tab/>
      </w:r>
      <w:r>
        <w:fldChar w:fldCharType="begin"/>
      </w:r>
      <w:r>
        <w:instrText xml:space="preserve"> PAGEREF _Toc76027937 \h </w:instrText>
      </w:r>
      <w:r>
        <w:fldChar w:fldCharType="separate"/>
      </w:r>
      <w:r>
        <w:t>10</w:t>
      </w:r>
      <w:r>
        <w:fldChar w:fldCharType="end"/>
      </w:r>
    </w:p>
    <w:p w14:paraId="779B24CC" w14:textId="400F8B35" w:rsidR="00F46C8B" w:rsidRDefault="00F46C8B">
      <w:pPr>
        <w:pStyle w:val="TOC1"/>
        <w:rPr>
          <w:rFonts w:asciiTheme="minorHAnsi" w:eastAsiaTheme="minorEastAsia" w:hAnsiTheme="minorHAnsi" w:cstheme="minorBidi"/>
          <w:b w:val="0"/>
          <w:caps w:val="0"/>
          <w:sz w:val="22"/>
        </w:rPr>
      </w:pPr>
      <w:r>
        <w:t>8.0</w:t>
      </w:r>
      <w:r>
        <w:rPr>
          <w:rFonts w:asciiTheme="minorHAnsi" w:eastAsiaTheme="minorEastAsia" w:hAnsiTheme="minorHAnsi" w:cstheme="minorBidi"/>
          <w:b w:val="0"/>
          <w:caps w:val="0"/>
          <w:sz w:val="22"/>
        </w:rPr>
        <w:tab/>
      </w:r>
      <w:r>
        <w:t>Traffic signs</w:t>
      </w:r>
      <w:r>
        <w:tab/>
      </w:r>
      <w:r>
        <w:fldChar w:fldCharType="begin"/>
      </w:r>
      <w:r>
        <w:instrText xml:space="preserve"> PAGEREF _Toc76027938 \h </w:instrText>
      </w:r>
      <w:r>
        <w:fldChar w:fldCharType="separate"/>
      </w:r>
      <w:r>
        <w:t>11</w:t>
      </w:r>
      <w:r>
        <w:fldChar w:fldCharType="end"/>
      </w:r>
    </w:p>
    <w:p w14:paraId="15DFAD0F" w14:textId="7B67CEC8" w:rsidR="00F46C8B" w:rsidRDefault="00F46C8B">
      <w:pPr>
        <w:pStyle w:val="TOC2"/>
        <w:rPr>
          <w:rFonts w:asciiTheme="minorHAnsi" w:eastAsiaTheme="minorEastAsia" w:hAnsiTheme="minorHAnsi" w:cstheme="minorBidi"/>
          <w:b w:val="0"/>
          <w:smallCaps w:val="0"/>
        </w:rPr>
      </w:pPr>
      <w:r>
        <w:t>8.1</w:t>
      </w:r>
      <w:r>
        <w:rPr>
          <w:rFonts w:asciiTheme="minorHAnsi" w:eastAsiaTheme="minorEastAsia" w:hAnsiTheme="minorHAnsi" w:cstheme="minorBidi"/>
          <w:b w:val="0"/>
          <w:smallCaps w:val="0"/>
        </w:rPr>
        <w:tab/>
      </w:r>
      <w:r>
        <w:t>General requirement</w:t>
      </w:r>
      <w:r>
        <w:tab/>
      </w:r>
      <w:r>
        <w:fldChar w:fldCharType="begin"/>
      </w:r>
      <w:r>
        <w:instrText xml:space="preserve"> PAGEREF _Toc76027939 \h </w:instrText>
      </w:r>
      <w:r>
        <w:fldChar w:fldCharType="separate"/>
      </w:r>
      <w:r>
        <w:t>11</w:t>
      </w:r>
      <w:r>
        <w:fldChar w:fldCharType="end"/>
      </w:r>
    </w:p>
    <w:p w14:paraId="40FED12C" w14:textId="38784FDE" w:rsidR="00F46C8B" w:rsidRDefault="00F46C8B">
      <w:pPr>
        <w:pStyle w:val="TOC1"/>
        <w:rPr>
          <w:rFonts w:asciiTheme="minorHAnsi" w:eastAsiaTheme="minorEastAsia" w:hAnsiTheme="minorHAnsi" w:cstheme="minorBidi"/>
          <w:b w:val="0"/>
          <w:caps w:val="0"/>
          <w:sz w:val="22"/>
        </w:rPr>
      </w:pPr>
      <w:r>
        <w:t>9.0</w:t>
      </w:r>
      <w:r>
        <w:rPr>
          <w:rFonts w:asciiTheme="minorHAnsi" w:eastAsiaTheme="minorEastAsia" w:hAnsiTheme="minorHAnsi" w:cstheme="minorBidi"/>
          <w:b w:val="0"/>
          <w:caps w:val="0"/>
          <w:sz w:val="22"/>
        </w:rPr>
        <w:tab/>
      </w:r>
      <w:r>
        <w:t>Pavement marking</w:t>
      </w:r>
      <w:r>
        <w:tab/>
      </w:r>
      <w:r>
        <w:fldChar w:fldCharType="begin"/>
      </w:r>
      <w:r>
        <w:instrText xml:space="preserve"> PAGEREF _Toc76027940 \h </w:instrText>
      </w:r>
      <w:r>
        <w:fldChar w:fldCharType="separate"/>
      </w:r>
      <w:r>
        <w:t>11</w:t>
      </w:r>
      <w:r>
        <w:fldChar w:fldCharType="end"/>
      </w:r>
    </w:p>
    <w:p w14:paraId="0AAB4BB8" w14:textId="443B614D" w:rsidR="00F46C8B" w:rsidRDefault="00F46C8B">
      <w:pPr>
        <w:pStyle w:val="TOC2"/>
        <w:rPr>
          <w:rFonts w:asciiTheme="minorHAnsi" w:eastAsiaTheme="minorEastAsia" w:hAnsiTheme="minorHAnsi" w:cstheme="minorBidi"/>
          <w:b w:val="0"/>
          <w:smallCaps w:val="0"/>
        </w:rPr>
      </w:pPr>
      <w:r>
        <w:t>9.1</w:t>
      </w:r>
      <w:r>
        <w:rPr>
          <w:rFonts w:asciiTheme="minorHAnsi" w:eastAsiaTheme="minorEastAsia" w:hAnsiTheme="minorHAnsi" w:cstheme="minorBidi"/>
          <w:b w:val="0"/>
          <w:smallCaps w:val="0"/>
        </w:rPr>
        <w:tab/>
      </w:r>
      <w:r>
        <w:t>General</w:t>
      </w:r>
      <w:r>
        <w:tab/>
      </w:r>
      <w:r>
        <w:fldChar w:fldCharType="begin"/>
      </w:r>
      <w:r>
        <w:instrText xml:space="preserve"> PAGEREF _Toc76027941 \h </w:instrText>
      </w:r>
      <w:r>
        <w:fldChar w:fldCharType="separate"/>
      </w:r>
      <w:r>
        <w:t>11</w:t>
      </w:r>
      <w:r>
        <w:fldChar w:fldCharType="end"/>
      </w:r>
    </w:p>
    <w:p w14:paraId="6884974D" w14:textId="3632FE70" w:rsidR="00F46C8B" w:rsidRDefault="00F46C8B">
      <w:pPr>
        <w:pStyle w:val="TOC1"/>
        <w:rPr>
          <w:rFonts w:asciiTheme="minorHAnsi" w:eastAsiaTheme="minorEastAsia" w:hAnsiTheme="minorHAnsi" w:cstheme="minorBidi"/>
          <w:b w:val="0"/>
          <w:caps w:val="0"/>
          <w:sz w:val="22"/>
        </w:rPr>
      </w:pPr>
      <w:r>
        <w:t>10.0</w:t>
      </w:r>
      <w:r>
        <w:rPr>
          <w:rFonts w:asciiTheme="minorHAnsi" w:eastAsiaTheme="minorEastAsia" w:hAnsiTheme="minorHAnsi" w:cstheme="minorBidi"/>
          <w:b w:val="0"/>
          <w:caps w:val="0"/>
          <w:sz w:val="22"/>
        </w:rPr>
        <w:tab/>
      </w:r>
      <w:r>
        <w:t>other surface features</w:t>
      </w:r>
      <w:r>
        <w:tab/>
      </w:r>
      <w:r>
        <w:fldChar w:fldCharType="begin"/>
      </w:r>
      <w:r>
        <w:instrText xml:space="preserve"> PAGEREF _Toc76027942 \h </w:instrText>
      </w:r>
      <w:r>
        <w:fldChar w:fldCharType="separate"/>
      </w:r>
      <w:r>
        <w:t>11</w:t>
      </w:r>
      <w:r>
        <w:fldChar w:fldCharType="end"/>
      </w:r>
    </w:p>
    <w:p w14:paraId="41AD4D6C" w14:textId="579DC412" w:rsidR="00F46C8B" w:rsidRDefault="00F46C8B">
      <w:pPr>
        <w:pStyle w:val="TOC2"/>
        <w:rPr>
          <w:rFonts w:asciiTheme="minorHAnsi" w:eastAsiaTheme="minorEastAsia" w:hAnsiTheme="minorHAnsi" w:cstheme="minorBidi"/>
          <w:b w:val="0"/>
          <w:smallCaps w:val="0"/>
        </w:rPr>
      </w:pPr>
      <w:r>
        <w:t>10.1</w:t>
      </w:r>
      <w:r>
        <w:rPr>
          <w:rFonts w:asciiTheme="minorHAnsi" w:eastAsiaTheme="minorEastAsia" w:hAnsiTheme="minorHAnsi" w:cstheme="minorBidi"/>
          <w:b w:val="0"/>
          <w:smallCaps w:val="0"/>
        </w:rPr>
        <w:tab/>
      </w:r>
      <w:r>
        <w:t>General</w:t>
      </w:r>
      <w:r>
        <w:tab/>
      </w:r>
      <w:r>
        <w:fldChar w:fldCharType="begin"/>
      </w:r>
      <w:r>
        <w:instrText xml:space="preserve"> PAGEREF _Toc76027943 \h </w:instrText>
      </w:r>
      <w:r>
        <w:fldChar w:fldCharType="separate"/>
      </w:r>
      <w:r>
        <w:t>11</w:t>
      </w:r>
      <w:r>
        <w:fldChar w:fldCharType="end"/>
      </w:r>
    </w:p>
    <w:p w14:paraId="2B8AFE2D" w14:textId="30800A04" w:rsidR="00B04831" w:rsidRDefault="00F46C8B" w:rsidP="00F05C96">
      <w:pPr>
        <w:pStyle w:val="BodyTextIndentBoldItalicCen"/>
        <w:sectPr w:rsidR="00B04831" w:rsidSect="00F05C96">
          <w:footerReference w:type="default" r:id="rId16"/>
          <w:pgSz w:w="11906" w:h="16838" w:code="9"/>
          <w:pgMar w:top="1134" w:right="1134" w:bottom="992" w:left="1418" w:header="1134" w:footer="851" w:gutter="0"/>
          <w:pgNumType w:fmt="lowerRoman" w:start="1"/>
          <w:cols w:space="720"/>
          <w:vAlign w:val="center"/>
        </w:sectPr>
      </w:pPr>
      <w:r>
        <w:rPr>
          <w:rFonts w:cs="Arial"/>
          <w:i w:val="0"/>
          <w:caps/>
          <w:noProof/>
          <w:sz w:val="24"/>
          <w:szCs w:val="22"/>
        </w:rPr>
        <w:fldChar w:fldCharType="end"/>
      </w:r>
    </w:p>
    <w:p w14:paraId="46EA037E" w14:textId="43624201" w:rsidR="003E556D" w:rsidRDefault="00E8717D" w:rsidP="00F05C96">
      <w:pPr>
        <w:pStyle w:val="BodyTextIndentBoldItalicCen"/>
      </w:pPr>
      <w:r w:rsidRPr="004A2005">
        <w:lastRenderedPageBreak/>
        <w:t>(This Page Left Intentionally Blank)</w:t>
      </w:r>
    </w:p>
    <w:p w14:paraId="1EA48171" w14:textId="77777777" w:rsidR="005A7289" w:rsidRDefault="005A7289" w:rsidP="005A7289">
      <w:pPr>
        <w:pStyle w:val="BodyTextIndent"/>
        <w:jc w:val="center"/>
        <w:sectPr w:rsidR="005A7289" w:rsidSect="00F05C96">
          <w:footerReference w:type="default" r:id="rId17"/>
          <w:pgSz w:w="11906" w:h="16838" w:code="9"/>
          <w:pgMar w:top="1134" w:right="1134" w:bottom="992" w:left="1418" w:header="1134" w:footer="851" w:gutter="0"/>
          <w:pgNumType w:fmt="lowerRoman" w:start="1"/>
          <w:cols w:space="720"/>
          <w:vAlign w:val="center"/>
        </w:sectPr>
      </w:pPr>
    </w:p>
    <w:p w14:paraId="280698DB" w14:textId="77777777" w:rsidR="003E556D" w:rsidRPr="00B71BB6" w:rsidRDefault="003E556D" w:rsidP="00B71BB6">
      <w:pPr>
        <w:pStyle w:val="Heading2"/>
      </w:pPr>
      <w:bookmarkStart w:id="0" w:name="_Toc493942089"/>
      <w:bookmarkStart w:id="1" w:name="_Toc493986928"/>
      <w:bookmarkStart w:id="2" w:name="_Toc76027905"/>
      <w:r w:rsidRPr="00B71BB6">
        <w:lastRenderedPageBreak/>
        <w:t>GENERAL</w:t>
      </w:r>
      <w:bookmarkEnd w:id="0"/>
      <w:bookmarkEnd w:id="1"/>
      <w:bookmarkEnd w:id="2"/>
    </w:p>
    <w:p w14:paraId="2022C401" w14:textId="77777777" w:rsidR="003E556D" w:rsidRPr="00B71BB6" w:rsidRDefault="0097134E" w:rsidP="00B71BB6">
      <w:pPr>
        <w:pStyle w:val="Heading3"/>
      </w:pPr>
      <w:bookmarkStart w:id="3" w:name="_Toc76027906"/>
      <w:r w:rsidRPr="00B71BB6">
        <w:t>Section Content</w:t>
      </w:r>
      <w:bookmarkEnd w:id="3"/>
    </w:p>
    <w:p w14:paraId="70C627E9" w14:textId="339AF1D4" w:rsidR="003E556D" w:rsidRDefault="003E556D">
      <w:pPr>
        <w:pStyle w:val="BodyTextIndent"/>
      </w:pPr>
      <w:r>
        <w:t xml:space="preserve">Type of asphalt surfacing; flexible </w:t>
      </w:r>
      <w:r w:rsidR="0074752B">
        <w:t>sub-base</w:t>
      </w:r>
      <w:r>
        <w:t xml:space="preserve"> and base courses; roadworks</w:t>
      </w:r>
      <w:r w:rsidR="000749EE">
        <w:t xml:space="preserve"> and</w:t>
      </w:r>
      <w:r>
        <w:t xml:space="preserve"> surface features such as kerbs, channels, vehicular crossings and the like</w:t>
      </w:r>
      <w:r w:rsidR="000749EE">
        <w:t>.</w:t>
      </w:r>
    </w:p>
    <w:p w14:paraId="7CF615C5" w14:textId="77777777" w:rsidR="00531621" w:rsidRDefault="00531621" w:rsidP="00B71BB6">
      <w:pPr>
        <w:pStyle w:val="Heading3"/>
      </w:pPr>
      <w:bookmarkStart w:id="4" w:name="_Toc76027907"/>
      <w:r>
        <w:t>Standards</w:t>
      </w:r>
      <w:bookmarkEnd w:id="4"/>
    </w:p>
    <w:tbl>
      <w:tblPr>
        <w:tblW w:w="0" w:type="auto"/>
        <w:tblInd w:w="709" w:type="dxa"/>
        <w:tblLook w:val="0400" w:firstRow="0" w:lastRow="0" w:firstColumn="0" w:lastColumn="0" w:noHBand="0" w:noVBand="1"/>
      </w:tblPr>
      <w:tblGrid>
        <w:gridCol w:w="2456"/>
        <w:gridCol w:w="1414"/>
        <w:gridCol w:w="4775"/>
      </w:tblGrid>
      <w:tr w:rsidR="00531621" w:rsidRPr="00CC52E2" w14:paraId="15E4A6CA" w14:textId="77777777" w:rsidTr="00B71BB6">
        <w:tc>
          <w:tcPr>
            <w:tcW w:w="2518" w:type="dxa"/>
            <w:vAlign w:val="center"/>
          </w:tcPr>
          <w:p w14:paraId="07AE17C9" w14:textId="77777777" w:rsidR="00531621" w:rsidRPr="00CC52E2" w:rsidRDefault="00531621" w:rsidP="00CB0FC3">
            <w:pPr>
              <w:pStyle w:val="Table"/>
            </w:pPr>
            <w:r>
              <w:t>Australian Standard</w:t>
            </w:r>
          </w:p>
        </w:tc>
        <w:tc>
          <w:tcPr>
            <w:tcW w:w="1417" w:type="dxa"/>
            <w:vAlign w:val="center"/>
          </w:tcPr>
          <w:p w14:paraId="3CD33F2E" w14:textId="77777777" w:rsidR="00531621" w:rsidRPr="00B77C4B" w:rsidRDefault="00531621" w:rsidP="00B77C4B">
            <w:pPr>
              <w:pStyle w:val="TableCen"/>
            </w:pPr>
            <w:r w:rsidRPr="00B77C4B">
              <w:t>AS 1289.5.2.1</w:t>
            </w:r>
          </w:p>
        </w:tc>
        <w:tc>
          <w:tcPr>
            <w:tcW w:w="4926" w:type="dxa"/>
            <w:vAlign w:val="center"/>
          </w:tcPr>
          <w:p w14:paraId="0F2B944A" w14:textId="77777777" w:rsidR="00531621" w:rsidRPr="00CC52E2" w:rsidRDefault="00531621" w:rsidP="00CB0FC3">
            <w:pPr>
              <w:pStyle w:val="Table"/>
            </w:pPr>
            <w:r>
              <w:t>Methods of testing soils for engineering purposes – Soil compaction and density tests – Determination of the dry density or moisture content relation of a soil using modified compactive effort</w:t>
            </w:r>
          </w:p>
        </w:tc>
      </w:tr>
      <w:tr w:rsidR="006F3F30" w:rsidRPr="00CC52E2" w14:paraId="7F88ADF8" w14:textId="77777777" w:rsidTr="00B71BB6">
        <w:tc>
          <w:tcPr>
            <w:tcW w:w="2518" w:type="dxa"/>
            <w:vAlign w:val="center"/>
          </w:tcPr>
          <w:p w14:paraId="7FDF46EE" w14:textId="77777777" w:rsidR="006F3F30" w:rsidRPr="00CC52E2" w:rsidRDefault="006F3F30" w:rsidP="00CB0FC3">
            <w:pPr>
              <w:pStyle w:val="Table"/>
            </w:pPr>
            <w:r>
              <w:t>Australian Standard</w:t>
            </w:r>
          </w:p>
        </w:tc>
        <w:tc>
          <w:tcPr>
            <w:tcW w:w="1417" w:type="dxa"/>
            <w:vAlign w:val="center"/>
          </w:tcPr>
          <w:p w14:paraId="33B11777" w14:textId="77777777" w:rsidR="006F3F30" w:rsidRPr="00B77C4B" w:rsidRDefault="006F3F30" w:rsidP="00B77C4B">
            <w:pPr>
              <w:pStyle w:val="TableCen"/>
            </w:pPr>
            <w:r w:rsidRPr="00B77C4B">
              <w:t>AS 1289.5.3.1</w:t>
            </w:r>
          </w:p>
        </w:tc>
        <w:tc>
          <w:tcPr>
            <w:tcW w:w="4926" w:type="dxa"/>
            <w:vAlign w:val="center"/>
          </w:tcPr>
          <w:p w14:paraId="2BDE0593" w14:textId="77777777" w:rsidR="006F3F30" w:rsidRPr="00CC52E2" w:rsidRDefault="006F3F30" w:rsidP="00CB0FC3">
            <w:pPr>
              <w:pStyle w:val="Table"/>
            </w:pPr>
            <w:r>
              <w:t>Methods of testing soils for engineering purposes – Soil compaction and density tests – Determination of the field density of a soil – Sand replacement method using a sand-cone pouring apparatus</w:t>
            </w:r>
          </w:p>
        </w:tc>
      </w:tr>
      <w:tr w:rsidR="006F3F30" w:rsidRPr="00CC52E2" w14:paraId="69DB3B2C" w14:textId="77777777" w:rsidTr="00B71BB6">
        <w:tc>
          <w:tcPr>
            <w:tcW w:w="2518" w:type="dxa"/>
            <w:vAlign w:val="center"/>
          </w:tcPr>
          <w:p w14:paraId="3986ED91" w14:textId="77777777" w:rsidR="006F3F30" w:rsidRPr="00CC52E2" w:rsidRDefault="006F3F30" w:rsidP="00CB0FC3">
            <w:pPr>
              <w:pStyle w:val="Table"/>
            </w:pPr>
            <w:r>
              <w:t>Australian Standard</w:t>
            </w:r>
          </w:p>
        </w:tc>
        <w:tc>
          <w:tcPr>
            <w:tcW w:w="1417" w:type="dxa"/>
            <w:vAlign w:val="center"/>
          </w:tcPr>
          <w:p w14:paraId="0854B1DD" w14:textId="77777777" w:rsidR="006F3F30" w:rsidRPr="00B77C4B" w:rsidRDefault="006F3F30" w:rsidP="00B77C4B">
            <w:pPr>
              <w:pStyle w:val="TableCen"/>
            </w:pPr>
            <w:r w:rsidRPr="00B77C4B">
              <w:t>AS 1289.5.3.5</w:t>
            </w:r>
          </w:p>
        </w:tc>
        <w:tc>
          <w:tcPr>
            <w:tcW w:w="4926" w:type="dxa"/>
            <w:vAlign w:val="center"/>
          </w:tcPr>
          <w:p w14:paraId="34382B20" w14:textId="77777777" w:rsidR="006F3F30" w:rsidRPr="006F3F30" w:rsidRDefault="006F3F30" w:rsidP="00CB0FC3">
            <w:pPr>
              <w:pStyle w:val="Table"/>
            </w:pPr>
            <w:r w:rsidRPr="006F3F30">
              <w:t xml:space="preserve">Methods of testing soils for engineering purposes </w:t>
            </w:r>
            <w:r>
              <w:t>–</w:t>
            </w:r>
            <w:r w:rsidRPr="006F3F30">
              <w:t xml:space="preserve"> Soil compaction and density tests </w:t>
            </w:r>
            <w:r>
              <w:t>–</w:t>
            </w:r>
            <w:r w:rsidRPr="006F3F30">
              <w:t xml:space="preserve"> Determination of the field dry density of a soil </w:t>
            </w:r>
            <w:r>
              <w:t>–</w:t>
            </w:r>
            <w:r w:rsidRPr="006F3F30">
              <w:t xml:space="preserve"> Water replacement method </w:t>
            </w:r>
          </w:p>
        </w:tc>
      </w:tr>
      <w:tr w:rsidR="006F3F30" w:rsidRPr="00CC52E2" w14:paraId="015AC319" w14:textId="77777777" w:rsidTr="00B71BB6">
        <w:tc>
          <w:tcPr>
            <w:tcW w:w="2518" w:type="dxa"/>
            <w:vAlign w:val="center"/>
          </w:tcPr>
          <w:p w14:paraId="1A79EAF1" w14:textId="77777777" w:rsidR="006F3F30" w:rsidRPr="00CC52E2" w:rsidRDefault="006F3F30" w:rsidP="00CB0FC3">
            <w:pPr>
              <w:pStyle w:val="Table"/>
            </w:pPr>
            <w:r>
              <w:t>Australian Standard</w:t>
            </w:r>
          </w:p>
        </w:tc>
        <w:tc>
          <w:tcPr>
            <w:tcW w:w="1417" w:type="dxa"/>
            <w:vAlign w:val="center"/>
          </w:tcPr>
          <w:p w14:paraId="5236DEDD" w14:textId="77777777" w:rsidR="006F3F30" w:rsidRPr="00B77C4B" w:rsidRDefault="006F3F30" w:rsidP="00B77C4B">
            <w:pPr>
              <w:pStyle w:val="TableCen"/>
            </w:pPr>
            <w:r w:rsidRPr="00B77C4B">
              <w:t>AS 1289.5.8.1</w:t>
            </w:r>
          </w:p>
        </w:tc>
        <w:tc>
          <w:tcPr>
            <w:tcW w:w="4926" w:type="dxa"/>
            <w:vAlign w:val="center"/>
          </w:tcPr>
          <w:p w14:paraId="1E10B0C9" w14:textId="77777777" w:rsidR="006F3F30" w:rsidRPr="006F3F30" w:rsidRDefault="006F3F30" w:rsidP="00CB0FC3">
            <w:pPr>
              <w:pStyle w:val="Table"/>
            </w:pPr>
            <w:r w:rsidRPr="006F3F30">
              <w:t xml:space="preserve">Methods of testing soils for engineering purposes </w:t>
            </w:r>
            <w:r>
              <w:t>–</w:t>
            </w:r>
            <w:r w:rsidRPr="006F3F30">
              <w:t xml:space="preserve"> Soil compaction and density tests </w:t>
            </w:r>
            <w:r>
              <w:t>–</w:t>
            </w:r>
            <w:r w:rsidRPr="006F3F30">
              <w:t xml:space="preserve"> Determination of field density and field moisture content of a soil using a nuclear surface moisture–Density gauge </w:t>
            </w:r>
            <w:r>
              <w:t>–</w:t>
            </w:r>
            <w:r w:rsidRPr="006F3F30">
              <w:t xml:space="preserve"> Direct transmission mode </w:t>
            </w:r>
          </w:p>
        </w:tc>
      </w:tr>
      <w:tr w:rsidR="006F3F30" w:rsidRPr="00CC52E2" w14:paraId="6DCE2884" w14:textId="77777777" w:rsidTr="00B71BB6">
        <w:tc>
          <w:tcPr>
            <w:tcW w:w="2518" w:type="dxa"/>
            <w:vAlign w:val="center"/>
          </w:tcPr>
          <w:p w14:paraId="11FB52C7" w14:textId="77777777" w:rsidR="006F3F30" w:rsidRPr="00CC52E2" w:rsidRDefault="006F3F30" w:rsidP="00CB0FC3">
            <w:pPr>
              <w:pStyle w:val="Table"/>
            </w:pPr>
            <w:r>
              <w:t>Australian Standard</w:t>
            </w:r>
          </w:p>
        </w:tc>
        <w:tc>
          <w:tcPr>
            <w:tcW w:w="1417" w:type="dxa"/>
            <w:vAlign w:val="center"/>
          </w:tcPr>
          <w:p w14:paraId="71A354B6" w14:textId="77777777" w:rsidR="006F3F30" w:rsidRPr="00B77C4B" w:rsidRDefault="006F3F30" w:rsidP="00B77C4B">
            <w:pPr>
              <w:pStyle w:val="TableCen"/>
            </w:pPr>
            <w:r w:rsidRPr="00B77C4B">
              <w:t>AS 1289.5.4.1</w:t>
            </w:r>
          </w:p>
        </w:tc>
        <w:tc>
          <w:tcPr>
            <w:tcW w:w="4926" w:type="dxa"/>
            <w:vAlign w:val="center"/>
          </w:tcPr>
          <w:p w14:paraId="21F5CD35" w14:textId="77777777" w:rsidR="006F3F30" w:rsidRPr="006F3F30" w:rsidRDefault="006F3F30" w:rsidP="00011927">
            <w:pPr>
              <w:pStyle w:val="Table"/>
            </w:pPr>
            <w:r w:rsidRPr="006F3F30">
              <w:t xml:space="preserve">Methods of testing soils for engineering purposes </w:t>
            </w:r>
            <w:r>
              <w:t>–</w:t>
            </w:r>
            <w:r w:rsidRPr="006F3F30">
              <w:t xml:space="preserve"> Soil compaction and density tests </w:t>
            </w:r>
            <w:r>
              <w:t>–</w:t>
            </w:r>
            <w:r w:rsidRPr="006F3F30">
              <w:t xml:space="preserve"> Compaction control test </w:t>
            </w:r>
            <w:r>
              <w:t>–</w:t>
            </w:r>
            <w:r w:rsidRPr="006F3F30">
              <w:t xml:space="preserve"> Dry density ratio, moisture variation and moisture ratio </w:t>
            </w:r>
          </w:p>
        </w:tc>
      </w:tr>
      <w:tr w:rsidR="006F3F30" w:rsidRPr="00CC52E2" w14:paraId="6776CA48" w14:textId="77777777" w:rsidTr="00B71BB6">
        <w:tc>
          <w:tcPr>
            <w:tcW w:w="2518" w:type="dxa"/>
            <w:vAlign w:val="center"/>
          </w:tcPr>
          <w:p w14:paraId="18F54DFC" w14:textId="77777777" w:rsidR="006F3F30" w:rsidRPr="00CC52E2" w:rsidRDefault="006F3F30" w:rsidP="00CB0FC3">
            <w:pPr>
              <w:pStyle w:val="Table"/>
            </w:pPr>
            <w:r>
              <w:t>Australian Standard</w:t>
            </w:r>
          </w:p>
        </w:tc>
        <w:tc>
          <w:tcPr>
            <w:tcW w:w="1417" w:type="dxa"/>
            <w:vAlign w:val="center"/>
          </w:tcPr>
          <w:p w14:paraId="15BD841B" w14:textId="77777777" w:rsidR="006F3F30" w:rsidRPr="00B77C4B" w:rsidRDefault="00986DC3" w:rsidP="00B77C4B">
            <w:pPr>
              <w:pStyle w:val="TableCen"/>
            </w:pPr>
            <w:r>
              <w:t>AS</w:t>
            </w:r>
            <w:r w:rsidRPr="00B77C4B">
              <w:t> </w:t>
            </w:r>
            <w:r w:rsidR="006F3F30" w:rsidRPr="00B77C4B">
              <w:t>1289.5.8.4</w:t>
            </w:r>
          </w:p>
        </w:tc>
        <w:tc>
          <w:tcPr>
            <w:tcW w:w="4926" w:type="dxa"/>
            <w:vAlign w:val="center"/>
          </w:tcPr>
          <w:p w14:paraId="2281C532" w14:textId="77777777" w:rsidR="006F3F30" w:rsidRPr="006F3F30" w:rsidRDefault="006F3F30" w:rsidP="00CB0FC3">
            <w:pPr>
              <w:pStyle w:val="Table"/>
            </w:pPr>
            <w:r w:rsidRPr="006F3F30">
              <w:t xml:space="preserve">Methods of testing soils for engineering purposes </w:t>
            </w:r>
            <w:r>
              <w:t>–</w:t>
            </w:r>
            <w:r w:rsidRPr="006F3F30">
              <w:t xml:space="preserve"> Soil compaction and density tests </w:t>
            </w:r>
            <w:r>
              <w:t>–</w:t>
            </w:r>
            <w:r w:rsidRPr="006F3F30">
              <w:t xml:space="preserve"> Nuclear surface moisture-density gauges </w:t>
            </w:r>
            <w:r>
              <w:t>–</w:t>
            </w:r>
            <w:r w:rsidRPr="006F3F30">
              <w:t xml:space="preserve"> Calibration using standard blocks </w:t>
            </w:r>
          </w:p>
        </w:tc>
      </w:tr>
      <w:tr w:rsidR="006F3F30" w:rsidRPr="00CC52E2" w14:paraId="0B2F023B" w14:textId="77777777" w:rsidTr="00B71BB6">
        <w:tc>
          <w:tcPr>
            <w:tcW w:w="2518" w:type="dxa"/>
            <w:vAlign w:val="center"/>
          </w:tcPr>
          <w:p w14:paraId="533B120F" w14:textId="77777777" w:rsidR="006F3F30" w:rsidRPr="00CC52E2" w:rsidRDefault="006F3F30" w:rsidP="00CB0FC3">
            <w:pPr>
              <w:pStyle w:val="Table"/>
            </w:pPr>
            <w:r>
              <w:t>Australian Standard</w:t>
            </w:r>
          </w:p>
        </w:tc>
        <w:tc>
          <w:tcPr>
            <w:tcW w:w="1417" w:type="dxa"/>
            <w:vAlign w:val="center"/>
          </w:tcPr>
          <w:p w14:paraId="1C30A47D" w14:textId="77777777" w:rsidR="006F3F30" w:rsidRPr="00B77C4B" w:rsidRDefault="00986DC3" w:rsidP="00B77C4B">
            <w:pPr>
              <w:pStyle w:val="TableCen"/>
            </w:pPr>
            <w:r>
              <w:t>AS</w:t>
            </w:r>
            <w:r w:rsidRPr="00B77C4B">
              <w:t> </w:t>
            </w:r>
            <w:r w:rsidR="006F3F30" w:rsidRPr="00B77C4B">
              <w:t>1830</w:t>
            </w:r>
          </w:p>
        </w:tc>
        <w:tc>
          <w:tcPr>
            <w:tcW w:w="4926" w:type="dxa"/>
            <w:vAlign w:val="center"/>
          </w:tcPr>
          <w:p w14:paraId="11231D7D" w14:textId="77777777" w:rsidR="006F3F30" w:rsidRPr="006F3F30" w:rsidRDefault="006F3F30" w:rsidP="00CB0FC3">
            <w:pPr>
              <w:pStyle w:val="Table"/>
            </w:pPr>
            <w:r w:rsidRPr="006F3F30">
              <w:t xml:space="preserve">Grey cast iron </w:t>
            </w:r>
          </w:p>
        </w:tc>
      </w:tr>
      <w:tr w:rsidR="006F3F30" w:rsidRPr="00CC52E2" w14:paraId="6FFD1CF1" w14:textId="77777777" w:rsidTr="00B71BB6">
        <w:tc>
          <w:tcPr>
            <w:tcW w:w="2518" w:type="dxa"/>
            <w:vAlign w:val="center"/>
          </w:tcPr>
          <w:p w14:paraId="25753F4B" w14:textId="77777777" w:rsidR="006F3F30" w:rsidRPr="00CC52E2" w:rsidRDefault="006F3F30" w:rsidP="00CB0FC3">
            <w:pPr>
              <w:pStyle w:val="Table"/>
            </w:pPr>
            <w:r>
              <w:t>Australian Standard</w:t>
            </w:r>
          </w:p>
        </w:tc>
        <w:tc>
          <w:tcPr>
            <w:tcW w:w="1417" w:type="dxa"/>
            <w:vAlign w:val="center"/>
          </w:tcPr>
          <w:p w14:paraId="1E09DA05" w14:textId="77777777" w:rsidR="006F3F30" w:rsidRPr="00B77C4B" w:rsidRDefault="00986DC3" w:rsidP="00B77C4B">
            <w:pPr>
              <w:pStyle w:val="TableCen"/>
            </w:pPr>
            <w:r>
              <w:t>AS</w:t>
            </w:r>
            <w:r w:rsidRPr="00B77C4B">
              <w:t> </w:t>
            </w:r>
            <w:r w:rsidR="006F3F30" w:rsidRPr="00B77C4B">
              <w:t>1874</w:t>
            </w:r>
          </w:p>
        </w:tc>
        <w:tc>
          <w:tcPr>
            <w:tcW w:w="4926" w:type="dxa"/>
            <w:vAlign w:val="center"/>
          </w:tcPr>
          <w:p w14:paraId="7AFDA703" w14:textId="77777777" w:rsidR="006F3F30" w:rsidRPr="006F3F30" w:rsidRDefault="006F3F30" w:rsidP="00CB0FC3">
            <w:pPr>
              <w:pStyle w:val="Table"/>
            </w:pPr>
            <w:r w:rsidRPr="006F3F30">
              <w:t xml:space="preserve">Aluminium and aluminium alloys </w:t>
            </w:r>
            <w:r>
              <w:t>–</w:t>
            </w:r>
            <w:r w:rsidRPr="006F3F30">
              <w:t xml:space="preserve"> Ingots and castings </w:t>
            </w:r>
          </w:p>
        </w:tc>
      </w:tr>
      <w:tr w:rsidR="006F3F30" w:rsidRPr="00CC52E2" w14:paraId="564DCC61" w14:textId="77777777" w:rsidTr="00B71BB6">
        <w:tc>
          <w:tcPr>
            <w:tcW w:w="2518" w:type="dxa"/>
            <w:vAlign w:val="center"/>
          </w:tcPr>
          <w:p w14:paraId="5C4C3752" w14:textId="77777777" w:rsidR="006F3F30" w:rsidRPr="00CC52E2" w:rsidRDefault="006F3F30" w:rsidP="00CB0FC3">
            <w:pPr>
              <w:pStyle w:val="Table"/>
            </w:pPr>
            <w:r>
              <w:t>Australian Standard</w:t>
            </w:r>
          </w:p>
        </w:tc>
        <w:tc>
          <w:tcPr>
            <w:tcW w:w="1417" w:type="dxa"/>
            <w:vAlign w:val="center"/>
          </w:tcPr>
          <w:p w14:paraId="72F322AC" w14:textId="77777777" w:rsidR="006F3F30" w:rsidRPr="00B77C4B" w:rsidRDefault="00986DC3" w:rsidP="00B77C4B">
            <w:pPr>
              <w:pStyle w:val="TableCen"/>
            </w:pPr>
            <w:r>
              <w:t>AS</w:t>
            </w:r>
            <w:r w:rsidRPr="00B77C4B">
              <w:t> </w:t>
            </w:r>
            <w:r w:rsidR="006F3F30" w:rsidRPr="00B77C4B">
              <w:t>2876</w:t>
            </w:r>
          </w:p>
        </w:tc>
        <w:tc>
          <w:tcPr>
            <w:tcW w:w="4926" w:type="dxa"/>
            <w:vAlign w:val="center"/>
          </w:tcPr>
          <w:p w14:paraId="7486112C" w14:textId="77777777" w:rsidR="006F3F30" w:rsidRPr="006F3F30" w:rsidRDefault="006F3F30" w:rsidP="00CB0FC3">
            <w:pPr>
              <w:pStyle w:val="Table"/>
            </w:pPr>
            <w:r w:rsidRPr="006F3F30">
              <w:t xml:space="preserve">Concrete kerbs and channels (gutters) </w:t>
            </w:r>
            <w:r>
              <w:t>–</w:t>
            </w:r>
            <w:r w:rsidRPr="006F3F30">
              <w:t xml:space="preserve"> Manually or machine placed </w:t>
            </w:r>
          </w:p>
        </w:tc>
      </w:tr>
      <w:tr w:rsidR="006F3F30" w:rsidRPr="00CC52E2" w14:paraId="1DC5BA21" w14:textId="77777777" w:rsidTr="00B71BB6">
        <w:tc>
          <w:tcPr>
            <w:tcW w:w="2518" w:type="dxa"/>
            <w:vAlign w:val="center"/>
          </w:tcPr>
          <w:p w14:paraId="01A687C6" w14:textId="77777777" w:rsidR="006F3F30" w:rsidRPr="00CC52E2" w:rsidRDefault="006F3F30" w:rsidP="00CB0FC3">
            <w:pPr>
              <w:pStyle w:val="Table"/>
            </w:pPr>
            <w:r>
              <w:t>Australian Standard</w:t>
            </w:r>
          </w:p>
        </w:tc>
        <w:tc>
          <w:tcPr>
            <w:tcW w:w="1417" w:type="dxa"/>
            <w:vAlign w:val="center"/>
          </w:tcPr>
          <w:p w14:paraId="6CB364EF" w14:textId="77777777" w:rsidR="006F3F30" w:rsidRPr="00B77C4B" w:rsidRDefault="00986DC3" w:rsidP="00B77C4B">
            <w:pPr>
              <w:pStyle w:val="TableCen"/>
            </w:pPr>
            <w:r>
              <w:t>AS</w:t>
            </w:r>
            <w:r w:rsidRPr="00B77C4B">
              <w:t> </w:t>
            </w:r>
            <w:r w:rsidR="006F3F30" w:rsidRPr="00B77C4B">
              <w:t>3715</w:t>
            </w:r>
          </w:p>
        </w:tc>
        <w:tc>
          <w:tcPr>
            <w:tcW w:w="4926" w:type="dxa"/>
            <w:vAlign w:val="center"/>
          </w:tcPr>
          <w:p w14:paraId="393412E5" w14:textId="77777777" w:rsidR="006F3F30" w:rsidRPr="006F3F30" w:rsidRDefault="006F3F30" w:rsidP="00CB0FC3">
            <w:pPr>
              <w:pStyle w:val="Table"/>
            </w:pPr>
            <w:r w:rsidRPr="006F3F30">
              <w:t xml:space="preserve">Metal finishing </w:t>
            </w:r>
            <w:r>
              <w:t>–</w:t>
            </w:r>
            <w:r w:rsidRPr="006F3F30">
              <w:t xml:space="preserve"> Thermoset powder coating for architectural applications of aluminium and aluminium alloys </w:t>
            </w:r>
          </w:p>
        </w:tc>
      </w:tr>
      <w:tr w:rsidR="006F3F30" w:rsidRPr="00CC52E2" w14:paraId="224C8753" w14:textId="77777777" w:rsidTr="00B71BB6">
        <w:tc>
          <w:tcPr>
            <w:tcW w:w="2518" w:type="dxa"/>
            <w:vAlign w:val="center"/>
          </w:tcPr>
          <w:p w14:paraId="45823CC9" w14:textId="77777777" w:rsidR="006F3F30" w:rsidRPr="00CC52E2" w:rsidRDefault="006F3F30" w:rsidP="00CB0FC3">
            <w:pPr>
              <w:pStyle w:val="Table"/>
            </w:pPr>
            <w:r>
              <w:t>Australian Standard</w:t>
            </w:r>
          </w:p>
        </w:tc>
        <w:tc>
          <w:tcPr>
            <w:tcW w:w="1417" w:type="dxa"/>
            <w:vAlign w:val="center"/>
          </w:tcPr>
          <w:p w14:paraId="3062B8B9" w14:textId="77777777" w:rsidR="006F3F30" w:rsidRPr="00B77C4B" w:rsidRDefault="006F3F30" w:rsidP="00986DC3">
            <w:pPr>
              <w:pStyle w:val="TableCen"/>
            </w:pPr>
            <w:r w:rsidRPr="00B77C4B">
              <w:t>AS</w:t>
            </w:r>
            <w:r w:rsidR="00986DC3" w:rsidRPr="00B77C4B">
              <w:t> </w:t>
            </w:r>
            <w:r w:rsidRPr="00B77C4B">
              <w:t>3996</w:t>
            </w:r>
          </w:p>
        </w:tc>
        <w:tc>
          <w:tcPr>
            <w:tcW w:w="4926" w:type="dxa"/>
            <w:vAlign w:val="center"/>
          </w:tcPr>
          <w:p w14:paraId="5655528B" w14:textId="77777777" w:rsidR="006F3F30" w:rsidRPr="006F3F30" w:rsidRDefault="006F3F30" w:rsidP="00CB0FC3">
            <w:pPr>
              <w:pStyle w:val="Table"/>
            </w:pPr>
            <w:r w:rsidRPr="006F3F30">
              <w:t xml:space="preserve">Access covers and grates </w:t>
            </w:r>
          </w:p>
        </w:tc>
      </w:tr>
      <w:tr w:rsidR="006F3F30" w:rsidRPr="00CC52E2" w14:paraId="58984894" w14:textId="77777777" w:rsidTr="00B71BB6">
        <w:tc>
          <w:tcPr>
            <w:tcW w:w="2518" w:type="dxa"/>
            <w:vAlign w:val="center"/>
          </w:tcPr>
          <w:p w14:paraId="6CF0330C" w14:textId="77777777" w:rsidR="006F3F30" w:rsidRPr="00CC52E2" w:rsidRDefault="006F3F30" w:rsidP="00CB0FC3">
            <w:pPr>
              <w:pStyle w:val="Table"/>
            </w:pPr>
            <w:r>
              <w:t>Australian Standard</w:t>
            </w:r>
          </w:p>
        </w:tc>
        <w:tc>
          <w:tcPr>
            <w:tcW w:w="1417" w:type="dxa"/>
            <w:vAlign w:val="center"/>
          </w:tcPr>
          <w:p w14:paraId="55E34087" w14:textId="77777777" w:rsidR="006F3F30" w:rsidRPr="00B77C4B" w:rsidRDefault="006F3F30" w:rsidP="00986DC3">
            <w:pPr>
              <w:pStyle w:val="TableCen"/>
            </w:pPr>
            <w:r w:rsidRPr="00B77C4B">
              <w:t>AS</w:t>
            </w:r>
            <w:r w:rsidR="00986DC3" w:rsidRPr="00B77C4B">
              <w:t> </w:t>
            </w:r>
            <w:r w:rsidRPr="00B77C4B">
              <w:t>4506</w:t>
            </w:r>
          </w:p>
        </w:tc>
        <w:tc>
          <w:tcPr>
            <w:tcW w:w="4926" w:type="dxa"/>
            <w:vAlign w:val="center"/>
          </w:tcPr>
          <w:p w14:paraId="0A2F6DE9" w14:textId="77777777" w:rsidR="006F3F30" w:rsidRPr="006F3F30" w:rsidRDefault="006F3F30" w:rsidP="00CB0FC3">
            <w:pPr>
              <w:pStyle w:val="Table"/>
            </w:pPr>
            <w:r w:rsidRPr="006F3F30">
              <w:t xml:space="preserve">Metal finishing </w:t>
            </w:r>
            <w:r>
              <w:t>–</w:t>
            </w:r>
            <w:r w:rsidRPr="006F3F30">
              <w:t xml:space="preserve"> Thermoset powder coatings </w:t>
            </w:r>
          </w:p>
        </w:tc>
      </w:tr>
      <w:tr w:rsidR="006F3F30" w:rsidRPr="00CC52E2" w14:paraId="168ACCFC" w14:textId="77777777" w:rsidTr="00B71BB6">
        <w:tc>
          <w:tcPr>
            <w:tcW w:w="2518" w:type="dxa"/>
            <w:vAlign w:val="center"/>
          </w:tcPr>
          <w:p w14:paraId="652533CC" w14:textId="77777777" w:rsidR="006F3F30" w:rsidRPr="00CC52E2" w:rsidRDefault="006F3F30" w:rsidP="00CB0FC3">
            <w:pPr>
              <w:pStyle w:val="Table"/>
            </w:pPr>
            <w:r>
              <w:t>Australian Standard</w:t>
            </w:r>
          </w:p>
        </w:tc>
        <w:tc>
          <w:tcPr>
            <w:tcW w:w="1417" w:type="dxa"/>
            <w:vAlign w:val="center"/>
          </w:tcPr>
          <w:p w14:paraId="5F4117BD" w14:textId="77777777" w:rsidR="006F3F30" w:rsidRPr="00B77C4B" w:rsidRDefault="006F3F30" w:rsidP="00986DC3">
            <w:pPr>
              <w:pStyle w:val="TableCen"/>
            </w:pPr>
            <w:r w:rsidRPr="00B77C4B">
              <w:t>AS</w:t>
            </w:r>
            <w:r w:rsidR="00986DC3" w:rsidRPr="00B77C4B">
              <w:t> </w:t>
            </w:r>
            <w:r w:rsidRPr="00B77C4B">
              <w:t>4680</w:t>
            </w:r>
          </w:p>
        </w:tc>
        <w:tc>
          <w:tcPr>
            <w:tcW w:w="4926" w:type="dxa"/>
            <w:vAlign w:val="center"/>
          </w:tcPr>
          <w:p w14:paraId="5F388673" w14:textId="77777777" w:rsidR="006F3F30" w:rsidRPr="006F3F30" w:rsidRDefault="006F3F30" w:rsidP="00CB0FC3">
            <w:pPr>
              <w:pStyle w:val="Table"/>
            </w:pPr>
            <w:r w:rsidRPr="006F3F30">
              <w:t xml:space="preserve">Hot-dip galvanized (zinc) coatings on fabricated ferrous articles </w:t>
            </w:r>
          </w:p>
        </w:tc>
      </w:tr>
      <w:tr w:rsidR="006F3F30" w:rsidRPr="00CC52E2" w14:paraId="2B9BBDD1" w14:textId="77777777" w:rsidTr="00B71BB6">
        <w:tc>
          <w:tcPr>
            <w:tcW w:w="2518" w:type="dxa"/>
            <w:vAlign w:val="center"/>
          </w:tcPr>
          <w:p w14:paraId="65E6A5E7" w14:textId="77777777" w:rsidR="006F3F30" w:rsidRPr="00CC52E2" w:rsidRDefault="006F3F30" w:rsidP="00CB0FC3">
            <w:pPr>
              <w:pStyle w:val="Table"/>
            </w:pPr>
            <w:r>
              <w:t>Australian Standard</w:t>
            </w:r>
          </w:p>
        </w:tc>
        <w:tc>
          <w:tcPr>
            <w:tcW w:w="1417" w:type="dxa"/>
            <w:vAlign w:val="center"/>
          </w:tcPr>
          <w:p w14:paraId="5C777E43" w14:textId="77777777" w:rsidR="006F3F30" w:rsidRPr="00B77C4B" w:rsidRDefault="006F3F30" w:rsidP="00986DC3">
            <w:pPr>
              <w:pStyle w:val="TableCen"/>
            </w:pPr>
            <w:r w:rsidRPr="00B77C4B">
              <w:t>AS</w:t>
            </w:r>
            <w:r w:rsidR="00986DC3" w:rsidRPr="00B77C4B">
              <w:t> </w:t>
            </w:r>
            <w:r w:rsidRPr="00B77C4B">
              <w:t>4792</w:t>
            </w:r>
          </w:p>
        </w:tc>
        <w:tc>
          <w:tcPr>
            <w:tcW w:w="4926" w:type="dxa"/>
            <w:vAlign w:val="center"/>
          </w:tcPr>
          <w:p w14:paraId="6F33A708" w14:textId="77777777" w:rsidR="006F3F30" w:rsidRPr="006F3F30" w:rsidRDefault="006F3F30" w:rsidP="00CB0FC3">
            <w:pPr>
              <w:pStyle w:val="Table"/>
            </w:pPr>
            <w:r w:rsidRPr="006F3F30">
              <w:t xml:space="preserve">Hot-dip galvanized (zinc) coatings on ferrous hollow sections, applied by a continuous or a specialized process </w:t>
            </w:r>
          </w:p>
        </w:tc>
      </w:tr>
    </w:tbl>
    <w:p w14:paraId="10CDC196" w14:textId="77777777" w:rsidR="003E556D" w:rsidRDefault="0097134E" w:rsidP="00B71BB6">
      <w:pPr>
        <w:pStyle w:val="Heading3"/>
      </w:pPr>
      <w:bookmarkStart w:id="5" w:name="_Toc76027908"/>
      <w:r>
        <w:t>References</w:t>
      </w:r>
      <w:bookmarkEnd w:id="5"/>
    </w:p>
    <w:tbl>
      <w:tblPr>
        <w:tblW w:w="0" w:type="auto"/>
        <w:tblInd w:w="709" w:type="dxa"/>
        <w:tblLook w:val="0400" w:firstRow="0" w:lastRow="0" w:firstColumn="0" w:lastColumn="0" w:noHBand="0" w:noVBand="1"/>
      </w:tblPr>
      <w:tblGrid>
        <w:gridCol w:w="2463"/>
        <w:gridCol w:w="1392"/>
        <w:gridCol w:w="843"/>
        <w:gridCol w:w="3947"/>
      </w:tblGrid>
      <w:tr w:rsidR="00CD70C0" w:rsidRPr="006F3F30" w14:paraId="0F1EF66A" w14:textId="77777777" w:rsidTr="00B71BB6">
        <w:tc>
          <w:tcPr>
            <w:tcW w:w="2518" w:type="dxa"/>
            <w:vAlign w:val="center"/>
          </w:tcPr>
          <w:p w14:paraId="408855FC" w14:textId="77777777" w:rsidR="00CD70C0" w:rsidRPr="00CC52E2" w:rsidRDefault="00CD70C0" w:rsidP="00CD70C0">
            <w:pPr>
              <w:pStyle w:val="Table"/>
            </w:pPr>
            <w:r w:rsidRPr="00307771">
              <w:t xml:space="preserve">Queensland Department of Transport and Main Roads </w:t>
            </w:r>
          </w:p>
        </w:tc>
        <w:tc>
          <w:tcPr>
            <w:tcW w:w="1417" w:type="dxa"/>
            <w:vAlign w:val="center"/>
          </w:tcPr>
          <w:p w14:paraId="49576AC1" w14:textId="77777777" w:rsidR="00CD70C0" w:rsidRPr="006F3F30" w:rsidRDefault="00CD70C0" w:rsidP="00CB0FC3">
            <w:pPr>
              <w:pStyle w:val="TableCen"/>
            </w:pPr>
            <w:r w:rsidRPr="00307771">
              <w:t>Test Method</w:t>
            </w:r>
          </w:p>
        </w:tc>
        <w:tc>
          <w:tcPr>
            <w:tcW w:w="851" w:type="dxa"/>
            <w:vAlign w:val="center"/>
          </w:tcPr>
          <w:p w14:paraId="39A74F85" w14:textId="77777777" w:rsidR="00CD70C0" w:rsidRPr="006F3F30" w:rsidRDefault="00CD70C0" w:rsidP="00CB0FC3">
            <w:pPr>
              <w:pStyle w:val="Table"/>
            </w:pPr>
            <w:r w:rsidRPr="006F3F30">
              <w:t>Q146</w:t>
            </w:r>
          </w:p>
        </w:tc>
        <w:tc>
          <w:tcPr>
            <w:tcW w:w="4075" w:type="dxa"/>
            <w:vAlign w:val="center"/>
          </w:tcPr>
          <w:p w14:paraId="62A28040" w14:textId="77777777" w:rsidR="00CD70C0" w:rsidRPr="006F3F30" w:rsidRDefault="00CD70C0" w:rsidP="00CB0FC3">
            <w:pPr>
              <w:pStyle w:val="Table"/>
            </w:pPr>
            <w:r w:rsidRPr="00307771">
              <w:t>Degree of saturation of soils and crushed rock</w:t>
            </w:r>
          </w:p>
        </w:tc>
      </w:tr>
    </w:tbl>
    <w:p w14:paraId="31DFE7D9" w14:textId="2495FC9A" w:rsidR="003E556D" w:rsidRDefault="003E556D">
      <w:pPr>
        <w:pStyle w:val="BodyTextIndent"/>
      </w:pPr>
      <w:r>
        <w:t>Refer to the following other Reference Specifications</w:t>
      </w:r>
      <w:r w:rsidR="00531621">
        <w:t xml:space="preserve"> for Engineering Works</w:t>
      </w:r>
      <w:r>
        <w:t>:</w:t>
      </w:r>
    </w:p>
    <w:tbl>
      <w:tblPr>
        <w:tblW w:w="0" w:type="auto"/>
        <w:tblInd w:w="709" w:type="dxa"/>
        <w:tblLook w:val="0400" w:firstRow="0" w:lastRow="0" w:firstColumn="0" w:lastColumn="0" w:noHBand="0" w:noVBand="1"/>
      </w:tblPr>
      <w:tblGrid>
        <w:gridCol w:w="1085"/>
        <w:gridCol w:w="7560"/>
      </w:tblGrid>
      <w:tr w:rsidR="008B4D2C" w:rsidRPr="006F3F30" w14:paraId="18931EC0" w14:textId="77777777" w:rsidTr="00B71BB6">
        <w:tc>
          <w:tcPr>
            <w:tcW w:w="1100" w:type="dxa"/>
            <w:vAlign w:val="center"/>
          </w:tcPr>
          <w:p w14:paraId="75CE312B" w14:textId="77777777" w:rsidR="008B4D2C" w:rsidRPr="00CC52E2" w:rsidRDefault="008B4D2C" w:rsidP="00CB0FC3">
            <w:pPr>
              <w:pStyle w:val="TableCen"/>
            </w:pPr>
            <w:r>
              <w:t>S110</w:t>
            </w:r>
          </w:p>
        </w:tc>
        <w:tc>
          <w:tcPr>
            <w:tcW w:w="7761" w:type="dxa"/>
            <w:vAlign w:val="center"/>
          </w:tcPr>
          <w:p w14:paraId="02412773" w14:textId="77777777" w:rsidR="008B4D2C" w:rsidRPr="006F3F30" w:rsidRDefault="008B4D2C" w:rsidP="00CB0FC3">
            <w:pPr>
              <w:pStyle w:val="Table"/>
            </w:pPr>
            <w:r>
              <w:t>General Requirements: General technical requirements and interpretation of terminologies</w:t>
            </w:r>
          </w:p>
        </w:tc>
      </w:tr>
      <w:tr w:rsidR="008B4D2C" w:rsidRPr="006F3F30" w14:paraId="3677CB55" w14:textId="77777777" w:rsidTr="00B71BB6">
        <w:tc>
          <w:tcPr>
            <w:tcW w:w="1100" w:type="dxa"/>
            <w:vAlign w:val="center"/>
          </w:tcPr>
          <w:p w14:paraId="5F0F7987" w14:textId="77777777" w:rsidR="008B4D2C" w:rsidRPr="00CC52E2" w:rsidRDefault="008B4D2C" w:rsidP="00CB0FC3">
            <w:pPr>
              <w:pStyle w:val="TableCen"/>
            </w:pPr>
            <w:r>
              <w:t>S120</w:t>
            </w:r>
          </w:p>
        </w:tc>
        <w:tc>
          <w:tcPr>
            <w:tcW w:w="7761" w:type="dxa"/>
            <w:vAlign w:val="center"/>
          </w:tcPr>
          <w:p w14:paraId="6FB60F59" w14:textId="77777777" w:rsidR="008B4D2C" w:rsidRPr="006F3F30" w:rsidRDefault="008B4D2C" w:rsidP="00CB0FC3">
            <w:pPr>
              <w:pStyle w:val="Table"/>
            </w:pPr>
            <w:r>
              <w:t>Quality. Process control testing</w:t>
            </w:r>
          </w:p>
        </w:tc>
      </w:tr>
      <w:tr w:rsidR="008B4D2C" w:rsidRPr="006F3F30" w14:paraId="41502209" w14:textId="77777777" w:rsidTr="00B71BB6">
        <w:tc>
          <w:tcPr>
            <w:tcW w:w="1100" w:type="dxa"/>
            <w:vAlign w:val="center"/>
          </w:tcPr>
          <w:p w14:paraId="2CC05B6A" w14:textId="77777777" w:rsidR="008B4D2C" w:rsidRPr="00CC52E2" w:rsidRDefault="000633BF" w:rsidP="00CB0FC3">
            <w:pPr>
              <w:pStyle w:val="TableCen"/>
            </w:pPr>
            <w:r>
              <w:t>S</w:t>
            </w:r>
            <w:r w:rsidR="008B4D2C">
              <w:t>140</w:t>
            </w:r>
          </w:p>
        </w:tc>
        <w:tc>
          <w:tcPr>
            <w:tcW w:w="7761" w:type="dxa"/>
            <w:vAlign w:val="center"/>
          </w:tcPr>
          <w:p w14:paraId="6A7FBBAF" w14:textId="77777777" w:rsidR="008B4D2C" w:rsidRPr="006F3F30" w:rsidRDefault="008B4D2C" w:rsidP="00CB0FC3">
            <w:pPr>
              <w:pStyle w:val="Table"/>
            </w:pPr>
            <w:r>
              <w:t>Earthworks: Protection of trees, protection of existing services, site clearing, bulk earthworks, preparation of subgrade, and trenching.</w:t>
            </w:r>
          </w:p>
        </w:tc>
      </w:tr>
      <w:tr w:rsidR="008B4D2C" w:rsidRPr="006F3F30" w14:paraId="03CA4D3E" w14:textId="77777777" w:rsidTr="00B71BB6">
        <w:tc>
          <w:tcPr>
            <w:tcW w:w="1100" w:type="dxa"/>
            <w:vAlign w:val="center"/>
          </w:tcPr>
          <w:p w14:paraId="3A36779B" w14:textId="77777777" w:rsidR="008B4D2C" w:rsidRPr="00CC52E2" w:rsidRDefault="008B4D2C" w:rsidP="00CB0FC3">
            <w:pPr>
              <w:pStyle w:val="TableCen"/>
            </w:pPr>
            <w:r>
              <w:lastRenderedPageBreak/>
              <w:t>S145</w:t>
            </w:r>
          </w:p>
        </w:tc>
        <w:tc>
          <w:tcPr>
            <w:tcW w:w="7761" w:type="dxa"/>
            <w:vAlign w:val="center"/>
          </w:tcPr>
          <w:p w14:paraId="569741F6" w14:textId="77777777" w:rsidR="008B4D2C" w:rsidRPr="006F3F30" w:rsidRDefault="008B4D2C" w:rsidP="00CB0FC3">
            <w:pPr>
              <w:pStyle w:val="Table"/>
            </w:pPr>
            <w:r w:rsidRPr="004435BF">
              <w:t>Installation and Maintenance of Utility Services</w:t>
            </w:r>
            <w:r>
              <w:t>: Requirements for installation of services and utilities utilising trenching and boring</w:t>
            </w:r>
          </w:p>
        </w:tc>
      </w:tr>
      <w:tr w:rsidR="008B4D2C" w:rsidRPr="006F3F30" w14:paraId="2BE025C8" w14:textId="77777777" w:rsidTr="00B71BB6">
        <w:tc>
          <w:tcPr>
            <w:tcW w:w="1100" w:type="dxa"/>
            <w:vAlign w:val="center"/>
          </w:tcPr>
          <w:p w14:paraId="0301F2F5" w14:textId="77777777" w:rsidR="008B4D2C" w:rsidRPr="00CC52E2" w:rsidRDefault="008B4D2C" w:rsidP="00CB0FC3">
            <w:pPr>
              <w:pStyle w:val="TableCen"/>
            </w:pPr>
            <w:r w:rsidRPr="00970AE6">
              <w:t>S154</w:t>
            </w:r>
          </w:p>
        </w:tc>
        <w:tc>
          <w:tcPr>
            <w:tcW w:w="7761" w:type="dxa"/>
            <w:vAlign w:val="center"/>
          </w:tcPr>
          <w:p w14:paraId="7CD253A7" w14:textId="77777777" w:rsidR="008B4D2C" w:rsidRPr="006F3F30" w:rsidRDefault="008B4D2C" w:rsidP="00CB0FC3">
            <w:pPr>
              <w:pStyle w:val="Table"/>
            </w:pPr>
            <w:r w:rsidRPr="00970AE6">
              <w:t>Traffic Signs and Roadside Furniture</w:t>
            </w:r>
            <w:r>
              <w:t>:</w:t>
            </w:r>
            <w:r w:rsidRPr="00970AE6">
              <w:t xml:space="preserve"> </w:t>
            </w:r>
            <w:r>
              <w:t>Installation of traffic signs and associated road furniture</w:t>
            </w:r>
          </w:p>
        </w:tc>
      </w:tr>
      <w:tr w:rsidR="008B4D2C" w:rsidRPr="006F3F30" w14:paraId="72707F7D" w14:textId="77777777" w:rsidTr="00B71BB6">
        <w:tc>
          <w:tcPr>
            <w:tcW w:w="1100" w:type="dxa"/>
            <w:vAlign w:val="center"/>
          </w:tcPr>
          <w:p w14:paraId="51163AA7" w14:textId="77777777" w:rsidR="008B4D2C" w:rsidRPr="00CC52E2" w:rsidRDefault="008B4D2C" w:rsidP="00CB0FC3">
            <w:pPr>
              <w:pStyle w:val="TableCen"/>
            </w:pPr>
            <w:r>
              <w:t>S155</w:t>
            </w:r>
          </w:p>
        </w:tc>
        <w:tc>
          <w:tcPr>
            <w:tcW w:w="7761" w:type="dxa"/>
            <w:vAlign w:val="center"/>
          </w:tcPr>
          <w:p w14:paraId="5CD50011" w14:textId="77777777" w:rsidR="008B4D2C" w:rsidRPr="006F3F30" w:rsidRDefault="008B4D2C" w:rsidP="00CB0FC3">
            <w:pPr>
              <w:pStyle w:val="Table"/>
            </w:pPr>
            <w:r>
              <w:t>R</w:t>
            </w:r>
            <w:r w:rsidRPr="00970AE6">
              <w:t>oad Pavement Markings</w:t>
            </w:r>
            <w:r>
              <w:t>:</w:t>
            </w:r>
            <w:r w:rsidRPr="00970AE6">
              <w:t xml:space="preserve"> </w:t>
            </w:r>
            <w:r>
              <w:t>Installation of road pavement markings</w:t>
            </w:r>
          </w:p>
        </w:tc>
      </w:tr>
      <w:tr w:rsidR="008B4D2C" w:rsidRPr="006F3F30" w14:paraId="08BE9E5D" w14:textId="77777777" w:rsidTr="00B71BB6">
        <w:tc>
          <w:tcPr>
            <w:tcW w:w="1100" w:type="dxa"/>
            <w:vAlign w:val="center"/>
          </w:tcPr>
          <w:p w14:paraId="60D7CD27" w14:textId="77777777" w:rsidR="008B4D2C" w:rsidRPr="00CC52E2" w:rsidRDefault="008B4D2C" w:rsidP="00CB0FC3">
            <w:pPr>
              <w:pStyle w:val="TableCen"/>
            </w:pPr>
            <w:r>
              <w:t>S200</w:t>
            </w:r>
          </w:p>
        </w:tc>
        <w:tc>
          <w:tcPr>
            <w:tcW w:w="7761" w:type="dxa"/>
            <w:vAlign w:val="center"/>
          </w:tcPr>
          <w:p w14:paraId="51E63CFD" w14:textId="77777777" w:rsidR="008B4D2C" w:rsidRPr="006F3F30" w:rsidRDefault="008B4D2C" w:rsidP="00CB0FC3">
            <w:pPr>
              <w:pStyle w:val="Table"/>
            </w:pPr>
            <w:r>
              <w:t>Concrete Work: Concrete supply, placing, curing, reinforcement, in situ concrete surfaces</w:t>
            </w:r>
          </w:p>
        </w:tc>
      </w:tr>
      <w:tr w:rsidR="008B4D2C" w:rsidRPr="006F3F30" w14:paraId="609521E3" w14:textId="77777777" w:rsidTr="00B71BB6">
        <w:tc>
          <w:tcPr>
            <w:tcW w:w="1100" w:type="dxa"/>
            <w:vAlign w:val="center"/>
          </w:tcPr>
          <w:p w14:paraId="13CE1135" w14:textId="77777777" w:rsidR="008B4D2C" w:rsidRPr="00CC52E2" w:rsidRDefault="008B4D2C" w:rsidP="00CB0FC3">
            <w:pPr>
              <w:pStyle w:val="TableCen"/>
            </w:pPr>
            <w:r>
              <w:t>S300</w:t>
            </w:r>
          </w:p>
        </w:tc>
        <w:tc>
          <w:tcPr>
            <w:tcW w:w="7761" w:type="dxa"/>
            <w:vAlign w:val="center"/>
          </w:tcPr>
          <w:p w14:paraId="6376D34D" w14:textId="77777777" w:rsidR="008B4D2C" w:rsidRPr="006F3F30" w:rsidRDefault="008B4D2C" w:rsidP="00CB0FC3">
            <w:pPr>
              <w:pStyle w:val="Table"/>
            </w:pPr>
            <w:r>
              <w:t>Quarry Products: Base and sub base material</w:t>
            </w:r>
          </w:p>
        </w:tc>
      </w:tr>
      <w:tr w:rsidR="00EA5C39" w:rsidRPr="002935C9" w14:paraId="4AC9701D" w14:textId="77777777" w:rsidTr="00B71BB6">
        <w:tc>
          <w:tcPr>
            <w:tcW w:w="1100" w:type="dxa"/>
            <w:vAlign w:val="center"/>
          </w:tcPr>
          <w:p w14:paraId="5441F767" w14:textId="77777777" w:rsidR="00EA5C39" w:rsidRPr="002935C9" w:rsidRDefault="00EA5C39" w:rsidP="00CB0FC3">
            <w:pPr>
              <w:pStyle w:val="TableCen"/>
            </w:pPr>
            <w:r w:rsidRPr="002935C9">
              <w:t>S310</w:t>
            </w:r>
          </w:p>
        </w:tc>
        <w:tc>
          <w:tcPr>
            <w:tcW w:w="7761" w:type="dxa"/>
            <w:vAlign w:val="center"/>
          </w:tcPr>
          <w:p w14:paraId="01BD0084" w14:textId="77777777" w:rsidR="00EA5C39" w:rsidRPr="002935C9" w:rsidRDefault="00EA5C39" w:rsidP="00EA5C39">
            <w:pPr>
              <w:pStyle w:val="Table"/>
            </w:pPr>
            <w:r w:rsidRPr="002935C9">
              <w:t>Supply of Dense Graded Asphalt</w:t>
            </w:r>
          </w:p>
        </w:tc>
      </w:tr>
      <w:tr w:rsidR="008B4D2C" w:rsidRPr="002935C9" w14:paraId="29A3BE6E" w14:textId="77777777" w:rsidTr="00B71BB6">
        <w:tc>
          <w:tcPr>
            <w:tcW w:w="1100" w:type="dxa"/>
            <w:vAlign w:val="center"/>
          </w:tcPr>
          <w:p w14:paraId="2CDEF02A" w14:textId="77777777" w:rsidR="008B4D2C" w:rsidRPr="002935C9" w:rsidRDefault="008B4D2C" w:rsidP="00CB0FC3">
            <w:pPr>
              <w:pStyle w:val="TableCen"/>
            </w:pPr>
            <w:r w:rsidRPr="002935C9">
              <w:t>S320</w:t>
            </w:r>
          </w:p>
        </w:tc>
        <w:tc>
          <w:tcPr>
            <w:tcW w:w="7761" w:type="dxa"/>
            <w:vAlign w:val="center"/>
          </w:tcPr>
          <w:p w14:paraId="7FB04DC0" w14:textId="77777777" w:rsidR="008B4D2C" w:rsidRPr="002935C9" w:rsidRDefault="008B4D2C" w:rsidP="00CB0FC3">
            <w:pPr>
              <w:pStyle w:val="Table"/>
            </w:pPr>
            <w:r w:rsidRPr="002935C9">
              <w:t>Laying of Asphalt: Placement and compaction of asphalt pavement</w:t>
            </w:r>
          </w:p>
        </w:tc>
      </w:tr>
    </w:tbl>
    <w:p w14:paraId="09CD4939" w14:textId="77777777" w:rsidR="003E556D" w:rsidRPr="002935C9" w:rsidRDefault="0097134E" w:rsidP="00B71BB6">
      <w:pPr>
        <w:pStyle w:val="Heading3"/>
      </w:pPr>
      <w:bookmarkStart w:id="6" w:name="_Toc76027909"/>
      <w:r w:rsidRPr="002935C9">
        <w:t>Definitions</w:t>
      </w:r>
      <w:bookmarkEnd w:id="6"/>
    </w:p>
    <w:p w14:paraId="237EB938" w14:textId="77777777" w:rsidR="003E556D" w:rsidRPr="002935C9" w:rsidRDefault="003E556D">
      <w:pPr>
        <w:pStyle w:val="BodyTextIndent"/>
      </w:pPr>
      <w:r w:rsidRPr="002935C9">
        <w:rPr>
          <w:u w:val="single"/>
        </w:rPr>
        <w:t>Base course</w:t>
      </w:r>
      <w:r w:rsidRPr="002935C9">
        <w:t>: That portion of the pavement immediately supporting the surfacing.  It is and principally intended to directly support the traffic loads.</w:t>
      </w:r>
    </w:p>
    <w:p w14:paraId="4F9464F2" w14:textId="7EC9D700" w:rsidR="00DB1576" w:rsidRPr="002935C9" w:rsidRDefault="00DB1576" w:rsidP="00DB1576">
      <w:pPr>
        <w:pStyle w:val="BodyTextIndent"/>
        <w:spacing w:after="120"/>
      </w:pPr>
      <w:r w:rsidRPr="002935C9">
        <w:rPr>
          <w:u w:val="single"/>
        </w:rPr>
        <w:t>Pavement</w:t>
      </w:r>
      <w:r w:rsidRPr="002935C9">
        <w:t xml:space="preserve">: That part of the road placed above the subgrade for the support of, and to form a running surface for, vehicular traffic.  The pavement comprises one or more layers of material referred to as surfacing, base course and </w:t>
      </w:r>
      <w:r w:rsidR="009E65D6" w:rsidRPr="002935C9">
        <w:t>sub</w:t>
      </w:r>
      <w:r w:rsidR="005E710B">
        <w:t>-</w:t>
      </w:r>
      <w:r w:rsidR="009E65D6" w:rsidRPr="002935C9">
        <w:t>base</w:t>
      </w:r>
      <w:r w:rsidRPr="002935C9">
        <w:t xml:space="preserve"> course.</w:t>
      </w:r>
    </w:p>
    <w:p w14:paraId="0AF17C52" w14:textId="05A4263D" w:rsidR="00EA5C39" w:rsidRPr="002935C9" w:rsidRDefault="00EA5C39">
      <w:pPr>
        <w:pStyle w:val="BodyTextIndent"/>
      </w:pPr>
      <w:r w:rsidRPr="002935C9">
        <w:rPr>
          <w:u w:val="single"/>
        </w:rPr>
        <w:t>Roads subject to light traffic loading</w:t>
      </w:r>
      <w:r w:rsidRPr="002935C9">
        <w:t xml:space="preserve">: </w:t>
      </w:r>
      <w:r w:rsidR="004930F3" w:rsidRPr="002935C9">
        <w:t>These roads have pavements designed for the 20</w:t>
      </w:r>
      <w:r w:rsidR="009E65D6">
        <w:t> </w:t>
      </w:r>
      <w:r w:rsidR="004930F3" w:rsidRPr="002935C9">
        <w:t xml:space="preserve">year </w:t>
      </w:r>
      <w:r w:rsidRPr="002935C9">
        <w:t>design traffic</w:t>
      </w:r>
      <w:r w:rsidR="004930F3" w:rsidRPr="002935C9">
        <w:t xml:space="preserve"> loading</w:t>
      </w:r>
      <w:r w:rsidRPr="002935C9">
        <w:t xml:space="preserve"> up to TL</w:t>
      </w:r>
      <w:r w:rsidRPr="002935C9">
        <w:rPr>
          <w:vertAlign w:val="subscript"/>
        </w:rPr>
        <w:t>20</w:t>
      </w:r>
      <w:r w:rsidRPr="002935C9">
        <w:t xml:space="preserve"> of 1</w:t>
      </w:r>
      <w:r w:rsidR="00681EBF">
        <w:t> </w:t>
      </w:r>
      <w:r w:rsidRPr="002935C9">
        <w:t>x</w:t>
      </w:r>
      <w:r w:rsidR="00681EBF">
        <w:t> </w:t>
      </w:r>
      <w:r w:rsidRPr="002935C9">
        <w:t>10</w:t>
      </w:r>
      <w:r w:rsidRPr="002935C9">
        <w:rPr>
          <w:vertAlign w:val="superscript"/>
        </w:rPr>
        <w:t>6</w:t>
      </w:r>
      <w:r w:rsidR="00681EBF">
        <w:t> </w:t>
      </w:r>
      <w:r w:rsidRPr="002935C9">
        <w:t xml:space="preserve">ESA. </w:t>
      </w:r>
      <w:r w:rsidR="004930F3" w:rsidRPr="002935C9">
        <w:t xml:space="preserve"> These roads will typically have granular pavements with thin asphalt surfaces.</w:t>
      </w:r>
    </w:p>
    <w:p w14:paraId="6D3B188C" w14:textId="055BAB2F" w:rsidR="004930F3" w:rsidRDefault="004930F3" w:rsidP="004930F3">
      <w:pPr>
        <w:pStyle w:val="BodyTextIndent"/>
      </w:pPr>
      <w:r w:rsidRPr="002935C9">
        <w:rPr>
          <w:u w:val="single"/>
        </w:rPr>
        <w:t>Roads subject to heavy traffic loading</w:t>
      </w:r>
      <w:r w:rsidRPr="002935C9">
        <w:t>: These roads have pavements designed for the 20</w:t>
      </w:r>
      <w:r w:rsidR="009E65D6">
        <w:t> </w:t>
      </w:r>
      <w:r w:rsidRPr="002935C9">
        <w:t>year design traffic loading greater than TL</w:t>
      </w:r>
      <w:r w:rsidRPr="002935C9">
        <w:rPr>
          <w:vertAlign w:val="subscript"/>
        </w:rPr>
        <w:t>20</w:t>
      </w:r>
      <w:r w:rsidRPr="002935C9">
        <w:t xml:space="preserve"> of 1</w:t>
      </w:r>
      <w:bookmarkStart w:id="7" w:name="_Hlk40947915"/>
      <w:r w:rsidR="00681EBF">
        <w:t> </w:t>
      </w:r>
      <w:bookmarkEnd w:id="7"/>
      <w:r w:rsidRPr="002935C9">
        <w:t>x</w:t>
      </w:r>
      <w:r w:rsidR="00681EBF">
        <w:t> </w:t>
      </w:r>
      <w:r w:rsidRPr="002935C9">
        <w:t>10</w:t>
      </w:r>
      <w:r w:rsidRPr="002935C9">
        <w:rPr>
          <w:vertAlign w:val="superscript"/>
        </w:rPr>
        <w:t>6</w:t>
      </w:r>
      <w:r w:rsidR="00681EBF">
        <w:t> </w:t>
      </w:r>
      <w:r w:rsidRPr="002935C9">
        <w:t xml:space="preserve">ESA. </w:t>
      </w:r>
      <w:r w:rsidR="00DB1576" w:rsidRPr="002935C9">
        <w:t xml:space="preserve"> These roads will typically have full-depth asphalt pavements on a granular working platform.</w:t>
      </w:r>
    </w:p>
    <w:p w14:paraId="0F29ACFF" w14:textId="0376C756" w:rsidR="00DB1576" w:rsidRDefault="005E710B" w:rsidP="00DB1576">
      <w:pPr>
        <w:pStyle w:val="BodyTextIndent"/>
      </w:pPr>
      <w:r w:rsidRPr="00580DA6">
        <w:rPr>
          <w:u w:val="single"/>
        </w:rPr>
        <w:t>Sub</w:t>
      </w:r>
      <w:r>
        <w:rPr>
          <w:u w:val="single"/>
        </w:rPr>
        <w:t>-</w:t>
      </w:r>
      <w:r w:rsidR="00DB1576" w:rsidRPr="00580DA6">
        <w:rPr>
          <w:u w:val="single"/>
        </w:rPr>
        <w:t>base course</w:t>
      </w:r>
      <w:r w:rsidR="00DB1576">
        <w:t>: That portion of the pavement below the base course to provide additional thickness of material required above the subgrade. It is principally intended to distribute to the subgrade the loads from overlying courses.</w:t>
      </w:r>
    </w:p>
    <w:p w14:paraId="4CDE691C" w14:textId="77777777" w:rsidR="0042342F" w:rsidRDefault="0042342F" w:rsidP="00DB1576">
      <w:pPr>
        <w:pStyle w:val="BodyTextIndent"/>
      </w:pPr>
      <w:r w:rsidRPr="0042342F">
        <w:rPr>
          <w:u w:val="single"/>
        </w:rPr>
        <w:t>Subgrade</w:t>
      </w:r>
      <w:r w:rsidRPr="0042342F">
        <w:t>: The prepared formation on which a pavement or slab is constructed or the top portion of earthworks immediately below the pavement or slab.  Subgrade is considered to be the top 150</w:t>
      </w:r>
      <w:r w:rsidR="00681EBF">
        <w:t> </w:t>
      </w:r>
      <w:r w:rsidRPr="0042342F">
        <w:t>mm in cuttings and the top 300</w:t>
      </w:r>
      <w:r w:rsidR="00681EBF">
        <w:t> </w:t>
      </w:r>
      <w:r w:rsidRPr="0042342F">
        <w:t>mm in embankment unless stated otherwise.</w:t>
      </w:r>
    </w:p>
    <w:p w14:paraId="0B73330A" w14:textId="77777777" w:rsidR="003E556D" w:rsidRDefault="003E556D" w:rsidP="00B71BB6">
      <w:pPr>
        <w:pStyle w:val="Heading2"/>
      </w:pPr>
      <w:bookmarkStart w:id="8" w:name="_Toc493942090"/>
      <w:bookmarkStart w:id="9" w:name="_Toc493986929"/>
      <w:bookmarkStart w:id="10" w:name="_Toc76027910"/>
      <w:r>
        <w:t>QUALITY</w:t>
      </w:r>
      <w:bookmarkEnd w:id="8"/>
      <w:bookmarkEnd w:id="9"/>
      <w:bookmarkEnd w:id="10"/>
    </w:p>
    <w:p w14:paraId="5D79AE45" w14:textId="77777777" w:rsidR="003E556D" w:rsidRDefault="0097134E" w:rsidP="00B71BB6">
      <w:pPr>
        <w:pStyle w:val="Heading3"/>
      </w:pPr>
      <w:bookmarkStart w:id="11" w:name="_Toc76027911"/>
      <w:r>
        <w:t>Inspection</w:t>
      </w:r>
      <w:bookmarkEnd w:id="11"/>
    </w:p>
    <w:p w14:paraId="201F6A48" w14:textId="77777777" w:rsidR="003E556D" w:rsidRDefault="003E556D" w:rsidP="00CB0FC3">
      <w:pPr>
        <w:pStyle w:val="BodyTextIndentBoldUnderline"/>
      </w:pPr>
      <w:r>
        <w:t>Witness points</w:t>
      </w:r>
    </w:p>
    <w:p w14:paraId="703CFE21" w14:textId="77777777" w:rsidR="003E556D" w:rsidRDefault="003E556D">
      <w:pPr>
        <w:ind w:left="709"/>
      </w:pPr>
      <w:r>
        <w:rPr>
          <w:i/>
        </w:rPr>
        <w:t>Refer annexure</w:t>
      </w:r>
      <w:r>
        <w:t>.  Give sufficient notice so that inspection may be made at the following stages:</w:t>
      </w:r>
    </w:p>
    <w:p w14:paraId="6EEE3E1B" w14:textId="77777777" w:rsidR="003E556D" w:rsidRDefault="003E556D" w:rsidP="00F936A9">
      <w:pPr>
        <w:pStyle w:val="BodyTextIndentDot"/>
      </w:pPr>
      <w:r>
        <w:t>Bedding material prepared for kerb and channel.</w:t>
      </w:r>
    </w:p>
    <w:p w14:paraId="44D19768" w14:textId="4D8B3885" w:rsidR="003E556D" w:rsidRDefault="003E556D" w:rsidP="005201BB">
      <w:pPr>
        <w:pStyle w:val="BodyTextIndentDot"/>
      </w:pPr>
      <w:r>
        <w:t xml:space="preserve">Placing </w:t>
      </w:r>
      <w:r w:rsidR="005A500A">
        <w:t>sub-</w:t>
      </w:r>
      <w:r>
        <w:t>base and base.</w:t>
      </w:r>
    </w:p>
    <w:p w14:paraId="37AA4587" w14:textId="77777777" w:rsidR="003E556D" w:rsidRDefault="003E556D">
      <w:pPr>
        <w:pStyle w:val="BodyTextIndentDot"/>
      </w:pPr>
      <w:r>
        <w:t>Completion of each compacted layer.</w:t>
      </w:r>
    </w:p>
    <w:p w14:paraId="1A3A103B" w14:textId="77777777" w:rsidR="003E556D" w:rsidRDefault="003E556D">
      <w:pPr>
        <w:pStyle w:val="BodyTextIndentDot"/>
      </w:pPr>
      <w:r>
        <w:t>At the commencement of asphalt surfacing.</w:t>
      </w:r>
    </w:p>
    <w:p w14:paraId="408D6626" w14:textId="77777777" w:rsidR="003E556D" w:rsidRDefault="003E556D">
      <w:pPr>
        <w:pStyle w:val="BodyTextIndentDot"/>
      </w:pPr>
      <w:r>
        <w:t>Pavement marking set out ready for marking.</w:t>
      </w:r>
    </w:p>
    <w:p w14:paraId="0B949AEC" w14:textId="77777777" w:rsidR="003E556D" w:rsidRDefault="003E556D" w:rsidP="00CB0FC3">
      <w:pPr>
        <w:pStyle w:val="BodyTextIndentBoldUnderline"/>
        <w:rPr>
          <w:i/>
        </w:rPr>
      </w:pPr>
      <w:r>
        <w:t>Hold points</w:t>
      </w:r>
    </w:p>
    <w:p w14:paraId="5F07FE6A" w14:textId="77777777" w:rsidR="003E556D" w:rsidRDefault="003E556D">
      <w:pPr>
        <w:pStyle w:val="BodyTextIndent"/>
      </w:pPr>
      <w:r>
        <w:rPr>
          <w:i/>
        </w:rPr>
        <w:t>Refer annexure</w:t>
      </w:r>
      <w:r>
        <w:t>.  Do not proceed without approval.  Give sufficient notice so that inspection may be made at the following stages:</w:t>
      </w:r>
    </w:p>
    <w:p w14:paraId="50B80891" w14:textId="77777777" w:rsidR="00DB1576" w:rsidRPr="002935C9" w:rsidRDefault="00DB1576" w:rsidP="00F936A9">
      <w:pPr>
        <w:pStyle w:val="BodyTextIndentDot"/>
      </w:pPr>
      <w:r w:rsidRPr="002935C9">
        <w:t>Proof rolling of the completed base surface.</w:t>
      </w:r>
    </w:p>
    <w:p w14:paraId="3F2D7745" w14:textId="77777777" w:rsidR="00DA1278" w:rsidRDefault="00DA1278" w:rsidP="005201BB">
      <w:pPr>
        <w:pStyle w:val="BodyTextIndentDot"/>
      </w:pPr>
      <w:r>
        <w:t>Surfaces prepared for priming, sealing or surfacing.</w:t>
      </w:r>
    </w:p>
    <w:p w14:paraId="62AD7909" w14:textId="77777777" w:rsidR="001748AF" w:rsidRDefault="001748AF" w:rsidP="001748AF">
      <w:pPr>
        <w:pStyle w:val="BodyText"/>
        <w:rPr>
          <w:rFonts w:ascii="Arial Bold" w:hAnsi="Arial Bold"/>
          <w:sz w:val="24"/>
          <w:szCs w:val="22"/>
        </w:rPr>
      </w:pPr>
      <w:bookmarkStart w:id="12" w:name="_Toc511716790"/>
      <w:r>
        <w:br w:type="page"/>
      </w:r>
    </w:p>
    <w:p w14:paraId="4E456EAD" w14:textId="131D3601" w:rsidR="003E556D" w:rsidRDefault="0097134E" w:rsidP="00B71BB6">
      <w:pPr>
        <w:pStyle w:val="Heading3"/>
      </w:pPr>
      <w:bookmarkStart w:id="13" w:name="_Toc76027912"/>
      <w:r>
        <w:lastRenderedPageBreak/>
        <w:t>Samples</w:t>
      </w:r>
      <w:bookmarkEnd w:id="12"/>
      <w:bookmarkEnd w:id="13"/>
    </w:p>
    <w:p w14:paraId="58B3D02B" w14:textId="77777777" w:rsidR="003E556D" w:rsidRDefault="003E556D" w:rsidP="00CB0FC3">
      <w:pPr>
        <w:pStyle w:val="BodyTextIndentBoldUnderline"/>
      </w:pPr>
      <w:r>
        <w:t>General</w:t>
      </w:r>
    </w:p>
    <w:p w14:paraId="0545DBFD" w14:textId="77777777" w:rsidR="003E556D" w:rsidRDefault="003E556D">
      <w:pPr>
        <w:pStyle w:val="BodyTextIndent"/>
      </w:pPr>
      <w:r>
        <w:rPr>
          <w:i/>
        </w:rPr>
        <w:t>Refer annexure</w:t>
      </w:r>
      <w:r>
        <w:t>.  Submit to the testing authority samples of the following:</w:t>
      </w:r>
    </w:p>
    <w:p w14:paraId="64152EA2" w14:textId="77777777" w:rsidR="003E556D" w:rsidRDefault="003E556D" w:rsidP="00F936A9">
      <w:pPr>
        <w:pStyle w:val="BodyTextIndentDot"/>
      </w:pPr>
      <w:r>
        <w:t>Each type of imported fill.</w:t>
      </w:r>
    </w:p>
    <w:p w14:paraId="1BAADFC2" w14:textId="77777777" w:rsidR="003E556D" w:rsidRDefault="003E556D" w:rsidP="005201BB">
      <w:pPr>
        <w:pStyle w:val="BodyTextIndentDot"/>
      </w:pPr>
      <w:r>
        <w:t>Each type of excavated material, which is to be re-used for constructing flexible pavement in the Works.</w:t>
      </w:r>
    </w:p>
    <w:p w14:paraId="0556E654" w14:textId="77777777" w:rsidR="003E556D" w:rsidRDefault="003E556D" w:rsidP="00CB0FC3">
      <w:pPr>
        <w:pStyle w:val="BodyTextIndentBoldUnderline"/>
      </w:pPr>
      <w:r>
        <w:t>Identification</w:t>
      </w:r>
    </w:p>
    <w:p w14:paraId="71CED79D" w14:textId="77777777" w:rsidR="003E556D" w:rsidRDefault="003E556D">
      <w:pPr>
        <w:pStyle w:val="BodyTextIndent"/>
      </w:pPr>
      <w:r>
        <w:t>Attach a tag to each sample showing relevant information including description, source and nominal size of material.</w:t>
      </w:r>
    </w:p>
    <w:p w14:paraId="27329D98" w14:textId="77777777" w:rsidR="003E556D" w:rsidRDefault="0097134E" w:rsidP="00B71BB6">
      <w:pPr>
        <w:pStyle w:val="Heading3"/>
      </w:pPr>
      <w:bookmarkStart w:id="14" w:name="_Toc511716791"/>
      <w:bookmarkStart w:id="15" w:name="_Toc76027913"/>
      <w:r>
        <w:t>Contractor</w:t>
      </w:r>
      <w:r>
        <w:rPr>
          <w:rFonts w:hint="eastAsia"/>
        </w:rPr>
        <w:t>’</w:t>
      </w:r>
      <w:r>
        <w:t>s Submissions</w:t>
      </w:r>
      <w:bookmarkEnd w:id="14"/>
      <w:bookmarkEnd w:id="15"/>
    </w:p>
    <w:p w14:paraId="5BD497EC" w14:textId="77777777" w:rsidR="003E556D" w:rsidRDefault="003E556D">
      <w:pPr>
        <w:pStyle w:val="BodyTextIndent"/>
      </w:pPr>
      <w:r w:rsidRPr="005A500A">
        <w:rPr>
          <w:u w:val="single"/>
        </w:rPr>
        <w:t>Imported materials</w:t>
      </w:r>
      <w:r>
        <w:t>: Notify the supplier, source and description of all imported materials.  Submit certification or test results, which establish the compliance of imported materials.</w:t>
      </w:r>
    </w:p>
    <w:p w14:paraId="05D5326C" w14:textId="77777777" w:rsidR="003E556D" w:rsidRDefault="003E556D">
      <w:pPr>
        <w:pStyle w:val="BodyTextIndent"/>
      </w:pPr>
      <w:r w:rsidRPr="005A500A">
        <w:rPr>
          <w:u w:val="single"/>
        </w:rPr>
        <w:t>Recycled products</w:t>
      </w:r>
      <w:r>
        <w:t>: Notify the nature, source, proportions and method of incorporation of any added fillers or binders.</w:t>
      </w:r>
    </w:p>
    <w:p w14:paraId="5EFC0C1C" w14:textId="3EBA60E8" w:rsidR="003E556D" w:rsidRDefault="00810E19">
      <w:pPr>
        <w:pStyle w:val="BodyTextIndent"/>
      </w:pPr>
      <w:r w:rsidRPr="005A500A">
        <w:rPr>
          <w:u w:val="single"/>
        </w:rPr>
        <w:t>Sub</w:t>
      </w:r>
      <w:r w:rsidR="00460967" w:rsidRPr="005A500A">
        <w:rPr>
          <w:u w:val="single"/>
        </w:rPr>
        <w:t>-</w:t>
      </w:r>
      <w:r w:rsidRPr="005A500A">
        <w:rPr>
          <w:u w:val="single"/>
        </w:rPr>
        <w:t>base</w:t>
      </w:r>
      <w:r w:rsidR="003E556D" w:rsidRPr="005A500A">
        <w:rPr>
          <w:u w:val="single"/>
        </w:rPr>
        <w:t xml:space="preserve"> and base delivery</w:t>
      </w:r>
      <w:r w:rsidR="003E556D">
        <w:t xml:space="preserve">: Submit a delivery docket at the time of delivery for each truckload of </w:t>
      </w:r>
      <w:r w:rsidR="005E710B">
        <w:t>sub-</w:t>
      </w:r>
      <w:r w:rsidR="003E556D">
        <w:t>base and base material.  Endorse it to show the location of the material in the Works.  Information should include:</w:t>
      </w:r>
    </w:p>
    <w:p w14:paraId="066974D4" w14:textId="77777777" w:rsidR="003E556D" w:rsidRDefault="003E556D" w:rsidP="00F936A9">
      <w:pPr>
        <w:pStyle w:val="BodyTextIndentDot"/>
      </w:pPr>
      <w:r>
        <w:t>Empty and loaded mass of vehicle.</w:t>
      </w:r>
    </w:p>
    <w:p w14:paraId="16B396A6" w14:textId="77777777" w:rsidR="003E556D" w:rsidRDefault="003E556D" w:rsidP="005201BB">
      <w:pPr>
        <w:pStyle w:val="BodyTextIndentDot"/>
      </w:pPr>
      <w:r>
        <w:t>Date and time of dispatch.</w:t>
      </w:r>
    </w:p>
    <w:p w14:paraId="02A72989" w14:textId="77777777" w:rsidR="003E556D" w:rsidRDefault="003E556D">
      <w:pPr>
        <w:pStyle w:val="BodyTextIndentDot"/>
      </w:pPr>
      <w:r>
        <w:t>Supplier and location of mixing plant.</w:t>
      </w:r>
    </w:p>
    <w:p w14:paraId="61F12E54" w14:textId="77777777" w:rsidR="003E556D" w:rsidRDefault="003E556D">
      <w:pPr>
        <w:pStyle w:val="BodyTextIndentDot"/>
      </w:pPr>
      <w:r>
        <w:t>Registration number of the vehicle.</w:t>
      </w:r>
    </w:p>
    <w:p w14:paraId="7C8B4A3F" w14:textId="77777777" w:rsidR="003E556D" w:rsidRDefault="003E556D">
      <w:pPr>
        <w:pStyle w:val="BodyTextIndentDot"/>
      </w:pPr>
      <w:r>
        <w:t>Nature of material.</w:t>
      </w:r>
    </w:p>
    <w:p w14:paraId="06AC3BCA" w14:textId="77777777" w:rsidR="003E556D" w:rsidRDefault="003E556D" w:rsidP="00B71BB6">
      <w:pPr>
        <w:pStyle w:val="Heading2"/>
      </w:pPr>
      <w:bookmarkStart w:id="16" w:name="_Toc493942079"/>
      <w:bookmarkStart w:id="17" w:name="_Toc493986918"/>
      <w:bookmarkStart w:id="18" w:name="_Toc511716819"/>
      <w:bookmarkStart w:id="19" w:name="_Toc76027914"/>
      <w:r>
        <w:t>FLEXIBLE PAVEMENT</w:t>
      </w:r>
      <w:bookmarkEnd w:id="16"/>
      <w:bookmarkEnd w:id="17"/>
      <w:bookmarkEnd w:id="18"/>
      <w:bookmarkEnd w:id="19"/>
    </w:p>
    <w:p w14:paraId="187E7340" w14:textId="77777777" w:rsidR="003E556D" w:rsidRPr="002935C9" w:rsidRDefault="0097134E" w:rsidP="00B71BB6">
      <w:pPr>
        <w:pStyle w:val="Heading3"/>
      </w:pPr>
      <w:bookmarkStart w:id="20" w:name="_Toc511716820"/>
      <w:bookmarkStart w:id="21" w:name="_Toc76027915"/>
      <w:r w:rsidRPr="002935C9">
        <w:t>Materials</w:t>
      </w:r>
      <w:bookmarkEnd w:id="20"/>
      <w:bookmarkEnd w:id="21"/>
    </w:p>
    <w:p w14:paraId="461820F0" w14:textId="77777777" w:rsidR="003E556D" w:rsidRPr="002935C9" w:rsidRDefault="003E556D" w:rsidP="00CB0FC3">
      <w:pPr>
        <w:pStyle w:val="BodyTextIndent"/>
        <w:rPr>
          <w:i/>
        </w:rPr>
      </w:pPr>
      <w:r w:rsidRPr="002935C9">
        <w:rPr>
          <w:i/>
        </w:rPr>
        <w:t>Refer annexure.</w:t>
      </w:r>
    </w:p>
    <w:p w14:paraId="26B463FE" w14:textId="77777777" w:rsidR="003E556D" w:rsidRPr="002935C9" w:rsidRDefault="003E556D">
      <w:pPr>
        <w:pStyle w:val="BodyTextIndent"/>
      </w:pPr>
      <w:r w:rsidRPr="002935C9">
        <w:rPr>
          <w:u w:val="single"/>
        </w:rPr>
        <w:t>Material properties</w:t>
      </w:r>
      <w:r w:rsidRPr="002935C9">
        <w:t xml:space="preserve">: Refer to </w:t>
      </w:r>
      <w:r w:rsidRPr="002935C9">
        <w:rPr>
          <w:i/>
        </w:rPr>
        <w:t>S300</w:t>
      </w:r>
      <w:r w:rsidR="00681EBF">
        <w:rPr>
          <w:i/>
        </w:rPr>
        <w:t xml:space="preserve"> </w:t>
      </w:r>
      <w:r w:rsidRPr="002935C9">
        <w:rPr>
          <w:i/>
        </w:rPr>
        <w:t>Quarry Products</w:t>
      </w:r>
      <w:r w:rsidRPr="002935C9">
        <w:t>.</w:t>
      </w:r>
    </w:p>
    <w:p w14:paraId="716CC1B7" w14:textId="7B852A72" w:rsidR="008D7624" w:rsidRPr="002935C9" w:rsidRDefault="003E556D">
      <w:pPr>
        <w:pStyle w:val="BodyTextIndent"/>
      </w:pPr>
      <w:r w:rsidRPr="002935C9">
        <w:rPr>
          <w:u w:val="single"/>
        </w:rPr>
        <w:t xml:space="preserve">Base course </w:t>
      </w:r>
      <w:r w:rsidR="008D7624" w:rsidRPr="002935C9">
        <w:rPr>
          <w:u w:val="single"/>
        </w:rPr>
        <w:t>for roads subject to light traffic</w:t>
      </w:r>
      <w:r w:rsidRPr="002935C9">
        <w:t>: Use Class</w:t>
      </w:r>
      <w:r w:rsidR="00681EBF">
        <w:t> </w:t>
      </w:r>
      <w:r w:rsidRPr="002935C9">
        <w:t>1 material.  Provide a minimum 100 mm thick course</w:t>
      </w:r>
      <w:r w:rsidR="008D7624" w:rsidRPr="002935C9">
        <w:t>.</w:t>
      </w:r>
    </w:p>
    <w:p w14:paraId="74507D64" w14:textId="08071816" w:rsidR="003E556D" w:rsidRPr="002935C9" w:rsidRDefault="00D45E86">
      <w:pPr>
        <w:pStyle w:val="BodyTextIndent"/>
      </w:pPr>
      <w:r w:rsidRPr="002935C9">
        <w:rPr>
          <w:u w:val="single"/>
        </w:rPr>
        <w:t>Sub</w:t>
      </w:r>
      <w:r>
        <w:rPr>
          <w:u w:val="single"/>
        </w:rPr>
        <w:t>-</w:t>
      </w:r>
      <w:r w:rsidR="003E556D" w:rsidRPr="002935C9">
        <w:rPr>
          <w:u w:val="single"/>
        </w:rPr>
        <w:t>base course</w:t>
      </w:r>
      <w:r w:rsidR="008D7624" w:rsidRPr="002935C9">
        <w:rPr>
          <w:u w:val="single"/>
        </w:rPr>
        <w:t xml:space="preserve"> for roads subject to light traffic</w:t>
      </w:r>
      <w:r w:rsidR="008D7624" w:rsidRPr="002935C9">
        <w:t>:</w:t>
      </w:r>
      <w:r w:rsidR="003E556D" w:rsidRPr="002935C9">
        <w:t xml:space="preserve"> Use Class 2 material (or alternatively Class 1 material) to construct a minimum 100 mm thick top layer.  Use Class 3 material (or alternatively Class 2 material) to construct subsequent </w:t>
      </w:r>
      <w:r w:rsidR="00810E19" w:rsidRPr="002935C9">
        <w:t>sub</w:t>
      </w:r>
      <w:r w:rsidR="00810E19">
        <w:t>-</w:t>
      </w:r>
      <w:r w:rsidR="003E556D" w:rsidRPr="002935C9">
        <w:t>base courses as required to obtain design pavement thickness.</w:t>
      </w:r>
    </w:p>
    <w:p w14:paraId="4EE76588" w14:textId="696B06A0" w:rsidR="008D7624" w:rsidRPr="002935C9" w:rsidRDefault="008D7624" w:rsidP="008D7624">
      <w:pPr>
        <w:pStyle w:val="BodyTextIndent"/>
      </w:pPr>
      <w:r w:rsidRPr="002935C9">
        <w:rPr>
          <w:u w:val="single"/>
        </w:rPr>
        <w:t>Working platform for roads subject to heavy traffic</w:t>
      </w:r>
      <w:r w:rsidRPr="002935C9">
        <w:t>: Use Class</w:t>
      </w:r>
      <w:r w:rsidR="00681EBF">
        <w:t> </w:t>
      </w:r>
      <w:r w:rsidRPr="002935C9">
        <w:t xml:space="preserve">1 material.  Provide a minimum 150 mm thick course.  </w:t>
      </w:r>
      <w:r w:rsidR="006775D5" w:rsidRPr="002935C9">
        <w:t>Where specified u</w:t>
      </w:r>
      <w:r w:rsidRPr="002935C9">
        <w:t xml:space="preserve">se Class 2 material (or alternatively Class 1 material) to construct </w:t>
      </w:r>
      <w:r w:rsidR="006775D5" w:rsidRPr="002935C9">
        <w:t>an additional 150</w:t>
      </w:r>
      <w:r w:rsidR="00681EBF">
        <w:t> </w:t>
      </w:r>
      <w:r w:rsidR="006775D5" w:rsidRPr="002935C9">
        <w:t>mm thick sub-base courses.</w:t>
      </w:r>
      <w:r w:rsidRPr="002935C9">
        <w:t xml:space="preserve">  Use Class 3 material (or alternatively Class 2 material) to construct subsequent </w:t>
      </w:r>
      <w:r w:rsidR="005E710B" w:rsidRPr="002935C9">
        <w:t>sub</w:t>
      </w:r>
      <w:r w:rsidR="005E710B">
        <w:t>-</w:t>
      </w:r>
      <w:r w:rsidRPr="002935C9">
        <w:t xml:space="preserve">base courses as required </w:t>
      </w:r>
      <w:r w:rsidR="006775D5" w:rsidRPr="002935C9">
        <w:t>for subgrade improvement.</w:t>
      </w:r>
    </w:p>
    <w:p w14:paraId="1E2EE428" w14:textId="1F041ACF" w:rsidR="003E556D" w:rsidRDefault="003E556D">
      <w:pPr>
        <w:pStyle w:val="BodyTextIndent"/>
      </w:pPr>
      <w:r w:rsidRPr="002935C9">
        <w:rPr>
          <w:u w:val="single"/>
        </w:rPr>
        <w:t>Unsealed roads and shoulders</w:t>
      </w:r>
      <w:r w:rsidRPr="002935C9">
        <w:t>: Class</w:t>
      </w:r>
      <w:r w:rsidR="00681EBF">
        <w:t> </w:t>
      </w:r>
      <w:r w:rsidRPr="002935C9">
        <w:t>1 or</w:t>
      </w:r>
      <w:r>
        <w:t xml:space="preserve"> </w:t>
      </w:r>
      <w:r w:rsidR="00CB13EC">
        <w:t>C</w:t>
      </w:r>
      <w:r>
        <w:t>lass</w:t>
      </w:r>
      <w:r w:rsidR="00681EBF">
        <w:t> </w:t>
      </w:r>
      <w:r>
        <w:t>2 soil aggregate.</w:t>
      </w:r>
    </w:p>
    <w:p w14:paraId="07F38C88" w14:textId="79F8EA5C" w:rsidR="003E556D" w:rsidRDefault="003E556D">
      <w:pPr>
        <w:pStyle w:val="BodyTextIndent"/>
      </w:pPr>
      <w:r w:rsidRPr="00414B0B">
        <w:rPr>
          <w:u w:val="single"/>
        </w:rPr>
        <w:t>Material maximum size</w:t>
      </w:r>
      <w:r>
        <w:t xml:space="preserve">: Do not use </w:t>
      </w:r>
      <w:r w:rsidR="00CB13EC">
        <w:t>C</w:t>
      </w:r>
      <w:r>
        <w:t>lass</w:t>
      </w:r>
      <w:r w:rsidR="00681EBF">
        <w:t> </w:t>
      </w:r>
      <w:r>
        <w:t>1 crushed rock exceeding 25 mm nominal size in base courses where surfacing is spray seal or asphalt less than 50 mm thick.</w:t>
      </w:r>
    </w:p>
    <w:p w14:paraId="2562E126" w14:textId="77777777" w:rsidR="003E556D" w:rsidRDefault="006775D5">
      <w:pPr>
        <w:pStyle w:val="BodyTextIndent"/>
      </w:pPr>
      <w:r>
        <w:rPr>
          <w:u w:val="single"/>
        </w:rPr>
        <w:t>Stabilised or modified</w:t>
      </w:r>
      <w:r w:rsidR="003E556D" w:rsidRPr="00414B0B">
        <w:rPr>
          <w:u w:val="single"/>
        </w:rPr>
        <w:t xml:space="preserve"> materials (where specified)</w:t>
      </w:r>
      <w:r w:rsidR="003E556D">
        <w:t xml:space="preserve">: </w:t>
      </w:r>
      <w:r>
        <w:t>Incorporate stabilising agent</w:t>
      </w:r>
      <w:r w:rsidR="003E556D">
        <w:t xml:space="preserve"> </w:t>
      </w:r>
      <w:r w:rsidR="00F8774D">
        <w:t>(</w:t>
      </w:r>
      <w:r w:rsidR="003E556D">
        <w:t>cement and mix in place using approved specialised plant or mix off-site in a suitable batching plant.</w:t>
      </w:r>
    </w:p>
    <w:p w14:paraId="5D643AEE" w14:textId="77777777" w:rsidR="003E556D" w:rsidRDefault="003E556D">
      <w:pPr>
        <w:pStyle w:val="BodyTextIndent"/>
      </w:pPr>
      <w:r w:rsidRPr="00414B0B">
        <w:rPr>
          <w:u w:val="single"/>
        </w:rPr>
        <w:t>Pavement widening or rehabilitation</w:t>
      </w:r>
      <w:r>
        <w:t>: Select paving materials to match the characteristics of the existing pavement profile.  Use low or high permeable material as appropriate to minimise differential permeability.</w:t>
      </w:r>
    </w:p>
    <w:p w14:paraId="6935AB47" w14:textId="4B00EE1A" w:rsidR="003E556D" w:rsidRPr="0035198C" w:rsidRDefault="0097134E" w:rsidP="00B71BB6">
      <w:pPr>
        <w:pStyle w:val="Heading3"/>
      </w:pPr>
      <w:bookmarkStart w:id="22" w:name="_Toc511716821"/>
      <w:bookmarkStart w:id="23" w:name="_Toc76027916"/>
      <w:r w:rsidRPr="00BF45A9">
        <w:lastRenderedPageBreak/>
        <w:t>Placing Base</w:t>
      </w:r>
      <w:r w:rsidR="00F8774D" w:rsidRPr="00BF45A9">
        <w:t xml:space="preserve">, </w:t>
      </w:r>
      <w:r w:rsidR="00BF45A9" w:rsidRPr="0035198C">
        <w:t>Subbase</w:t>
      </w:r>
      <w:r w:rsidRPr="00BF45A9">
        <w:t xml:space="preserve"> and</w:t>
      </w:r>
      <w:r w:rsidRPr="00102297">
        <w:t xml:space="preserve"> </w:t>
      </w:r>
      <w:bookmarkEnd w:id="22"/>
      <w:r w:rsidR="00F8774D" w:rsidRPr="00102297">
        <w:t>Working Platform</w:t>
      </w:r>
      <w:bookmarkEnd w:id="23"/>
    </w:p>
    <w:p w14:paraId="4AF8B56F" w14:textId="77777777" w:rsidR="003E556D" w:rsidRDefault="003E556D" w:rsidP="00CB0FC3">
      <w:pPr>
        <w:pStyle w:val="BodyTextIndentBoldUnderline"/>
      </w:pPr>
      <w:r>
        <w:t>General</w:t>
      </w:r>
    </w:p>
    <w:p w14:paraId="425539B7" w14:textId="77777777" w:rsidR="003E556D" w:rsidRDefault="003E556D">
      <w:pPr>
        <w:pStyle w:val="BodyTextIndent"/>
      </w:pPr>
      <w:r w:rsidRPr="00414B0B">
        <w:rPr>
          <w:u w:val="single"/>
        </w:rPr>
        <w:t>Material separation</w:t>
      </w:r>
      <w:r>
        <w:t>: Place materials of different grading or from different sources in separate layers or separate sections of the work.</w:t>
      </w:r>
    </w:p>
    <w:p w14:paraId="5A940BE1" w14:textId="77777777" w:rsidR="003E556D" w:rsidRDefault="003E556D">
      <w:pPr>
        <w:pStyle w:val="BodyTextIndent"/>
      </w:pPr>
      <w:r w:rsidRPr="00414B0B">
        <w:rPr>
          <w:u w:val="single"/>
        </w:rPr>
        <w:t>Spreading</w:t>
      </w:r>
      <w:r>
        <w:t>: Spread material in uniform layers.  Do not segregate the material.</w:t>
      </w:r>
    </w:p>
    <w:p w14:paraId="7C988DE0" w14:textId="77777777" w:rsidR="003E556D" w:rsidRDefault="003E556D">
      <w:pPr>
        <w:pStyle w:val="BodyTextIndent"/>
      </w:pPr>
      <w:r w:rsidRPr="00414B0B">
        <w:rPr>
          <w:u w:val="single"/>
        </w:rPr>
        <w:t>Layer thickness</w:t>
      </w:r>
      <w:r>
        <w:t>: 100</w:t>
      </w:r>
      <w:r w:rsidR="000C6F94">
        <w:t>-</w:t>
      </w:r>
      <w:r>
        <w:t>150 mm (after compaction) to suit the construction process.  Use equal layers in multi layer courses.</w:t>
      </w:r>
    </w:p>
    <w:p w14:paraId="0387D419" w14:textId="77777777" w:rsidR="003E556D" w:rsidRDefault="003E556D">
      <w:pPr>
        <w:pStyle w:val="BodyTextIndent"/>
      </w:pPr>
      <w:r w:rsidRPr="00414B0B">
        <w:rPr>
          <w:u w:val="single"/>
        </w:rPr>
        <w:t>Moisture content of underlying layers</w:t>
      </w:r>
      <w:r>
        <w:t>: Adjust the surface moisture content of underlying layers to prevent new material losing moisture.</w:t>
      </w:r>
    </w:p>
    <w:p w14:paraId="0CE0712B" w14:textId="77777777" w:rsidR="003E556D" w:rsidRDefault="003E556D" w:rsidP="00346E2E">
      <w:pPr>
        <w:pStyle w:val="BodyTextIndentBoldUnderline"/>
      </w:pPr>
      <w:r>
        <w:t>Joints</w:t>
      </w:r>
    </w:p>
    <w:p w14:paraId="196226EF" w14:textId="77777777" w:rsidR="003E556D" w:rsidRPr="00BE22E4" w:rsidRDefault="003E556D">
      <w:pPr>
        <w:pStyle w:val="BodyTextIndent"/>
      </w:pPr>
      <w:r w:rsidRPr="00BE22E4">
        <w:t>Plan the spreading and delivery to minimise the number of joints.  Offset joints in successive layers by at least 300 mm.</w:t>
      </w:r>
    </w:p>
    <w:p w14:paraId="657C6E05" w14:textId="77777777" w:rsidR="003E556D" w:rsidRDefault="003E556D" w:rsidP="00346E2E">
      <w:pPr>
        <w:pStyle w:val="BodyTextIndentBoldUnderline"/>
      </w:pPr>
      <w:r>
        <w:t>Existing road surface as subgrade</w:t>
      </w:r>
    </w:p>
    <w:p w14:paraId="7195B5CB" w14:textId="77777777" w:rsidR="003E556D" w:rsidRDefault="003E556D">
      <w:pPr>
        <w:pStyle w:val="BodyTextIndent"/>
      </w:pPr>
      <w:r>
        <w:t>Carry out minor reshaping to improve vertical alignment as directed.  Do not otherwise lower or excavate the existing roadway.  After final shaping of the metal box, scarify the existing pavement forming the subgrade before placement of the pavement material.</w:t>
      </w:r>
    </w:p>
    <w:p w14:paraId="176C0FE1" w14:textId="77777777" w:rsidR="003E556D" w:rsidRPr="002935C9" w:rsidRDefault="0097134E" w:rsidP="00B71BB6">
      <w:pPr>
        <w:pStyle w:val="Heading3"/>
      </w:pPr>
      <w:bookmarkStart w:id="24" w:name="_Toc511716822"/>
      <w:bookmarkStart w:id="25" w:name="_Toc76027917"/>
      <w:r w:rsidRPr="002935C9">
        <w:t>Junctions with Existing Pavements</w:t>
      </w:r>
      <w:bookmarkEnd w:id="24"/>
      <w:bookmarkEnd w:id="25"/>
    </w:p>
    <w:p w14:paraId="27A9EA34" w14:textId="67C80BF5" w:rsidR="003E556D" w:rsidRPr="002935C9" w:rsidRDefault="00F8774D">
      <w:pPr>
        <w:pStyle w:val="BodyTextIndent"/>
      </w:pPr>
      <w:r w:rsidRPr="002935C9">
        <w:rPr>
          <w:u w:val="single"/>
        </w:rPr>
        <w:t>Granular Pavement</w:t>
      </w:r>
      <w:r w:rsidR="003E556D" w:rsidRPr="002935C9">
        <w:t xml:space="preserve">: Where the pavement is to be joined to an existing </w:t>
      </w:r>
      <w:r w:rsidRPr="002935C9">
        <w:t xml:space="preserve">granular </w:t>
      </w:r>
      <w:r w:rsidR="003E556D" w:rsidRPr="002935C9">
        <w:t>pavement, remove a strip of the existing pavement at least 300 mm wide for its full depth and trim the edge to an angle of approximately 45</w:t>
      </w:r>
      <w:r w:rsidR="006540EC">
        <w:rPr>
          <w:rFonts w:cs="Arial"/>
        </w:rPr>
        <w:t>°</w:t>
      </w:r>
      <w:r w:rsidR="003E556D" w:rsidRPr="002935C9">
        <w:t xml:space="preserve"> in steps of maximum height 150 mm before placing new pavement material.</w:t>
      </w:r>
    </w:p>
    <w:p w14:paraId="3C8AA0F6" w14:textId="56931CCB" w:rsidR="00F8774D" w:rsidRDefault="00F8774D" w:rsidP="00F8774D">
      <w:pPr>
        <w:pStyle w:val="BodyTextIndent"/>
      </w:pPr>
      <w:r w:rsidRPr="002935C9">
        <w:rPr>
          <w:u w:val="single"/>
        </w:rPr>
        <w:t>Asphalt Pavement</w:t>
      </w:r>
      <w:r w:rsidRPr="002935C9">
        <w:t>: Where the pavement is to be joined to an existing full depth asphalt pavement, cut back into the existing asphalt by at least 100</w:t>
      </w:r>
      <w:r w:rsidR="00681EBF">
        <w:t> </w:t>
      </w:r>
      <w:r w:rsidRPr="002935C9">
        <w:t>mm</w:t>
      </w:r>
      <w:r w:rsidR="00387649" w:rsidRPr="002935C9">
        <w:t xml:space="preserve">.  Extend each subsequent layer of structural asphalt into the existing pavement by </w:t>
      </w:r>
      <w:r w:rsidRPr="002935C9">
        <w:t xml:space="preserve">at least </w:t>
      </w:r>
      <w:r w:rsidR="00387649" w:rsidRPr="002935C9">
        <w:t>1</w:t>
      </w:r>
      <w:r w:rsidRPr="002935C9">
        <w:t>00 mm</w:t>
      </w:r>
      <w:r w:rsidR="00387649" w:rsidRPr="002935C9">
        <w:t>.  The surface layer of asphalt is to extend</w:t>
      </w:r>
      <w:r w:rsidRPr="002935C9">
        <w:t xml:space="preserve"> </w:t>
      </w:r>
      <w:r w:rsidR="00387649" w:rsidRPr="002935C9">
        <w:t>into the existing pavement at least 150</w:t>
      </w:r>
      <w:r w:rsidR="00681EBF">
        <w:t> </w:t>
      </w:r>
      <w:r w:rsidR="00387649" w:rsidRPr="002935C9">
        <w:t>mm beyond the upper most structural layer placed.  Treat each layer as a cold joint as detailed in</w:t>
      </w:r>
      <w:r w:rsidR="002935C9">
        <w:t xml:space="preserve"> </w:t>
      </w:r>
      <w:r w:rsidR="002935C9" w:rsidRPr="002935C9">
        <w:rPr>
          <w:i/>
        </w:rPr>
        <w:t xml:space="preserve">Reference </w:t>
      </w:r>
      <w:r w:rsidR="002868EA" w:rsidRPr="002935C9">
        <w:rPr>
          <w:i/>
        </w:rPr>
        <w:t>Specification</w:t>
      </w:r>
      <w:r w:rsidR="00387649" w:rsidRPr="002935C9">
        <w:rPr>
          <w:i/>
        </w:rPr>
        <w:t xml:space="preserve"> S320</w:t>
      </w:r>
      <w:r w:rsidR="00387649" w:rsidRPr="002935C9">
        <w:t>.</w:t>
      </w:r>
    </w:p>
    <w:p w14:paraId="2D4DCF91" w14:textId="39C96E40" w:rsidR="003E556D" w:rsidRPr="0035198C" w:rsidRDefault="00387649" w:rsidP="00B71BB6">
      <w:pPr>
        <w:pStyle w:val="Heading3"/>
      </w:pPr>
      <w:bookmarkStart w:id="26" w:name="_Toc511716823"/>
      <w:bookmarkStart w:id="27" w:name="_Toc76027918"/>
      <w:r w:rsidRPr="00102297">
        <w:t xml:space="preserve">Base, </w:t>
      </w:r>
      <w:r w:rsidR="00102297" w:rsidRPr="0035198C">
        <w:t xml:space="preserve">Subbase </w:t>
      </w:r>
      <w:r w:rsidR="0097134E" w:rsidRPr="00102297">
        <w:t xml:space="preserve">and </w:t>
      </w:r>
      <w:r w:rsidR="00404260" w:rsidRPr="00102297">
        <w:t>Working Platform</w:t>
      </w:r>
      <w:r w:rsidR="0097134E" w:rsidRPr="0035198C">
        <w:t xml:space="preserve"> Compaction</w:t>
      </w:r>
      <w:bookmarkEnd w:id="26"/>
      <w:bookmarkEnd w:id="27"/>
    </w:p>
    <w:p w14:paraId="1D20AB1F" w14:textId="77777777" w:rsidR="003E556D" w:rsidRDefault="003E556D" w:rsidP="00346E2E">
      <w:pPr>
        <w:pStyle w:val="BodyTextIndentBoldUnderline"/>
      </w:pPr>
      <w:r>
        <w:t>Compaction</w:t>
      </w:r>
    </w:p>
    <w:p w14:paraId="095175A5" w14:textId="77777777" w:rsidR="003E556D" w:rsidRDefault="003E556D">
      <w:pPr>
        <w:pStyle w:val="BodyTextIndent"/>
      </w:pPr>
      <w:r w:rsidRPr="00414B0B">
        <w:rPr>
          <w:u w:val="single"/>
        </w:rPr>
        <w:t>Modified maximum dry density</w:t>
      </w:r>
      <w:r>
        <w:t xml:space="preserve">: To </w:t>
      </w:r>
      <w:r w:rsidRPr="00346E2E">
        <w:rPr>
          <w:i/>
        </w:rPr>
        <w:t>AS 1289.5.2.1</w:t>
      </w:r>
      <w:r>
        <w:t>.</w:t>
      </w:r>
    </w:p>
    <w:p w14:paraId="151AE2F5" w14:textId="77777777" w:rsidR="003E556D" w:rsidRDefault="00404260">
      <w:pPr>
        <w:pStyle w:val="BodyTextIndent"/>
      </w:pPr>
      <w:r>
        <w:rPr>
          <w:u w:val="single"/>
        </w:rPr>
        <w:t>M</w:t>
      </w:r>
      <w:r w:rsidR="003E556D" w:rsidRPr="00414B0B">
        <w:rPr>
          <w:u w:val="single"/>
        </w:rPr>
        <w:t xml:space="preserve">inimum relative </w:t>
      </w:r>
      <w:r w:rsidR="003E556D" w:rsidRPr="00404260">
        <w:rPr>
          <w:u w:val="single"/>
        </w:rPr>
        <w:t>compaction</w:t>
      </w:r>
      <w:r w:rsidR="003E556D">
        <w:t xml:space="preserve">: 95% of modified maximum dry density, to </w:t>
      </w:r>
      <w:r w:rsidR="003E556D" w:rsidRPr="00346E2E">
        <w:rPr>
          <w:i/>
        </w:rPr>
        <w:t>AS 1289.5.4.1</w:t>
      </w:r>
      <w:r w:rsidR="003E556D">
        <w:t xml:space="preserve">.  </w:t>
      </w:r>
      <w:r w:rsidR="003E556D">
        <w:rPr>
          <w:i/>
        </w:rPr>
        <w:t>Refer annexure.</w:t>
      </w:r>
    </w:p>
    <w:p w14:paraId="43818454" w14:textId="77777777" w:rsidR="003E556D" w:rsidRDefault="003E556D">
      <w:pPr>
        <w:pStyle w:val="BodyTextIndent"/>
      </w:pPr>
      <w:r w:rsidRPr="00414B0B">
        <w:rPr>
          <w:u w:val="single"/>
        </w:rPr>
        <w:t>Conformance criteria</w:t>
      </w:r>
      <w:r>
        <w:t xml:space="preserve">: Refer to </w:t>
      </w:r>
      <w:r>
        <w:rPr>
          <w:i/>
        </w:rPr>
        <w:t>S120</w:t>
      </w:r>
      <w:r w:rsidR="00681EBF">
        <w:rPr>
          <w:i/>
        </w:rPr>
        <w:t xml:space="preserve"> </w:t>
      </w:r>
      <w:r>
        <w:rPr>
          <w:i/>
        </w:rPr>
        <w:t>Quality Clause 6.2</w:t>
      </w:r>
      <w:r>
        <w:t>.</w:t>
      </w:r>
    </w:p>
    <w:p w14:paraId="5ABE749D" w14:textId="77777777" w:rsidR="003E556D" w:rsidRDefault="003E556D">
      <w:pPr>
        <w:pStyle w:val="BodyTextIndent"/>
      </w:pPr>
      <w:r w:rsidRPr="00414B0B">
        <w:rPr>
          <w:u w:val="single"/>
        </w:rPr>
        <w:t>Field dry density</w:t>
      </w:r>
      <w:r>
        <w:t xml:space="preserve">: To </w:t>
      </w:r>
      <w:r w:rsidRPr="00307771">
        <w:rPr>
          <w:i/>
        </w:rPr>
        <w:t>AS 1289.5.3.1</w:t>
      </w:r>
      <w:r>
        <w:t xml:space="preserve">, </w:t>
      </w:r>
      <w:r w:rsidRPr="00307771">
        <w:rPr>
          <w:i/>
        </w:rPr>
        <w:t>AS 1289.5.3.5</w:t>
      </w:r>
      <w:r>
        <w:t xml:space="preserve"> or </w:t>
      </w:r>
      <w:r w:rsidRPr="00307771">
        <w:rPr>
          <w:i/>
        </w:rPr>
        <w:t>AS 1289.5.8.1</w:t>
      </w:r>
      <w:r>
        <w:t xml:space="preserve">.  If using </w:t>
      </w:r>
      <w:r w:rsidRPr="00307771">
        <w:rPr>
          <w:i/>
        </w:rPr>
        <w:t>AS 1289.5.8.1</w:t>
      </w:r>
      <w:r>
        <w:t xml:space="preserve">, calibrate the surface moisture-density gauge in accordance with </w:t>
      </w:r>
      <w:r w:rsidRPr="00681EBF">
        <w:rPr>
          <w:i/>
        </w:rPr>
        <w:t>AS 1289.5.8.4</w:t>
      </w:r>
      <w:r>
        <w:t xml:space="preserve"> before use on site.</w:t>
      </w:r>
    </w:p>
    <w:p w14:paraId="578C8CAA" w14:textId="77777777" w:rsidR="003E556D" w:rsidRDefault="003E556D" w:rsidP="008B4D2C">
      <w:pPr>
        <w:pStyle w:val="BodyTextIndentBoldUnderline"/>
      </w:pPr>
      <w:r>
        <w:t>Moisture content</w:t>
      </w:r>
    </w:p>
    <w:p w14:paraId="45FD4999" w14:textId="03341F4C" w:rsidR="003E556D" w:rsidRDefault="003E556D">
      <w:pPr>
        <w:pStyle w:val="BodyTextIndent"/>
      </w:pPr>
      <w:r w:rsidRPr="00414B0B">
        <w:rPr>
          <w:u w:val="single"/>
        </w:rPr>
        <w:t>General</w:t>
      </w:r>
      <w:r>
        <w:t>: During spreading and compaction, maintain materials within the range of - 2%</w:t>
      </w:r>
      <w:r w:rsidR="00681EBF">
        <w:t> </w:t>
      </w:r>
      <w:r>
        <w:t>to</w:t>
      </w:r>
      <w:r w:rsidR="00681EBF">
        <w:t> </w:t>
      </w:r>
      <w:r>
        <w:t>+ 1% from the optimum moisture content (modified compaction) appropriate to each material.</w:t>
      </w:r>
    </w:p>
    <w:p w14:paraId="2F5B6910" w14:textId="77777777" w:rsidR="003E556D" w:rsidRDefault="003E556D" w:rsidP="008B4D2C">
      <w:pPr>
        <w:pStyle w:val="BodyTextIndentBoldUnderline"/>
      </w:pPr>
      <w:r>
        <w:t>Rectification</w:t>
      </w:r>
    </w:p>
    <w:p w14:paraId="60DA67F2" w14:textId="0A1EEAA7" w:rsidR="003E556D" w:rsidRDefault="003E556D">
      <w:pPr>
        <w:pStyle w:val="BodyTextIndent"/>
      </w:pPr>
      <w:r>
        <w:t>If a section of pavement material fails to meet the required conformance criteria as specified in</w:t>
      </w:r>
      <w:r>
        <w:rPr>
          <w:i/>
        </w:rPr>
        <w:t xml:space="preserve"> </w:t>
      </w:r>
      <w:r w:rsidR="006540EC">
        <w:rPr>
          <w:i/>
        </w:rPr>
        <w:t xml:space="preserve">Reference Specification </w:t>
      </w:r>
      <w:r>
        <w:rPr>
          <w:i/>
        </w:rPr>
        <w:t>S120 Quality Clause 6.2</w:t>
      </w:r>
      <w:r>
        <w:t>, remove the non-complying material, replace with new pavement material, and recompact.</w:t>
      </w:r>
    </w:p>
    <w:p w14:paraId="35D2A6A7" w14:textId="77777777" w:rsidR="003E556D" w:rsidRDefault="003E556D" w:rsidP="008B4D2C">
      <w:pPr>
        <w:pStyle w:val="BodyTextIndentBoldUnderline"/>
      </w:pPr>
      <w:r>
        <w:t>Level corrections</w:t>
      </w:r>
    </w:p>
    <w:p w14:paraId="6D50122F" w14:textId="77777777" w:rsidR="003E556D" w:rsidRDefault="003E556D">
      <w:pPr>
        <w:pStyle w:val="BodyTextIndent"/>
      </w:pPr>
      <w:r w:rsidRPr="00414B0B">
        <w:rPr>
          <w:u w:val="single"/>
        </w:rPr>
        <w:t>High areas</w:t>
      </w:r>
      <w:r>
        <w:t>: Grade off.</w:t>
      </w:r>
    </w:p>
    <w:p w14:paraId="33D673C9" w14:textId="367AA9D6" w:rsidR="003E556D" w:rsidRDefault="003E556D">
      <w:pPr>
        <w:pStyle w:val="BodyTextIndent"/>
      </w:pPr>
      <w:r w:rsidRPr="00414B0B">
        <w:rPr>
          <w:u w:val="single"/>
        </w:rPr>
        <w:t>Low areas</w:t>
      </w:r>
      <w:r>
        <w:t>: Remove to a minimum depth of 75 mm, replace with new material and recompact.</w:t>
      </w:r>
    </w:p>
    <w:p w14:paraId="4524B046" w14:textId="77777777" w:rsidR="003E556D" w:rsidRDefault="0097134E" w:rsidP="00B04831">
      <w:pPr>
        <w:pStyle w:val="Heading3"/>
      </w:pPr>
      <w:bookmarkStart w:id="28" w:name="_Toc511716824"/>
      <w:bookmarkStart w:id="29" w:name="_Toc76027919"/>
      <w:r>
        <w:lastRenderedPageBreak/>
        <w:t>Finishing Base Surfaces</w:t>
      </w:r>
      <w:bookmarkEnd w:id="28"/>
      <w:bookmarkEnd w:id="29"/>
    </w:p>
    <w:p w14:paraId="2B8B477F" w14:textId="77777777" w:rsidR="003E556D" w:rsidRDefault="003E556D" w:rsidP="008B4D2C">
      <w:pPr>
        <w:pStyle w:val="BodyTextIndentBoldUnderline"/>
      </w:pPr>
      <w:r>
        <w:t>Final trim</w:t>
      </w:r>
    </w:p>
    <w:p w14:paraId="1942935A" w14:textId="77777777" w:rsidR="003E556D" w:rsidRDefault="003E556D">
      <w:pPr>
        <w:pStyle w:val="BodyTextIndent"/>
      </w:pPr>
      <w:r>
        <w:t>Grade and trim the base course surface to the specified tolerances to produce a hard, dense, tightly packed surface free of lenses, compaction planes and caking.</w:t>
      </w:r>
    </w:p>
    <w:p w14:paraId="2A1BB0B9" w14:textId="77777777" w:rsidR="003E556D" w:rsidRDefault="003E556D" w:rsidP="008B4D2C">
      <w:pPr>
        <w:pStyle w:val="BodyTextIndentBoldUnderline"/>
      </w:pPr>
      <w:r>
        <w:t>Traffic on uncompleted work</w:t>
      </w:r>
    </w:p>
    <w:p w14:paraId="0357788F" w14:textId="77777777" w:rsidR="003E556D" w:rsidRDefault="003E556D">
      <w:pPr>
        <w:pStyle w:val="BodyTextIndent"/>
      </w:pPr>
      <w:r>
        <w:t>Give notice before opening the pavement to traffic before the work is completed.  Provide adequate means of protection.</w:t>
      </w:r>
    </w:p>
    <w:p w14:paraId="4DB8C723" w14:textId="77777777" w:rsidR="003E556D" w:rsidRDefault="003E556D" w:rsidP="00B04831">
      <w:pPr>
        <w:pStyle w:val="Heading3"/>
      </w:pPr>
      <w:bookmarkStart w:id="30" w:name="_Toc76027920"/>
      <w:r>
        <w:t>Tolerances</w:t>
      </w:r>
      <w:bookmarkEnd w:id="30"/>
    </w:p>
    <w:p w14:paraId="44BC649A" w14:textId="77777777" w:rsidR="003E556D" w:rsidRDefault="003E556D" w:rsidP="00CB0FC3">
      <w:pPr>
        <w:pStyle w:val="BodyTextIndentBoldUnderline"/>
      </w:pPr>
      <w:r>
        <w:t>Surface level</w:t>
      </w:r>
    </w:p>
    <w:p w14:paraId="0A6C4E73" w14:textId="0B957312" w:rsidR="003E556D" w:rsidRDefault="003E556D">
      <w:pPr>
        <w:pStyle w:val="BodyTextIndent"/>
      </w:pPr>
      <w:r w:rsidRPr="00414B0B">
        <w:rPr>
          <w:u w:val="single"/>
        </w:rPr>
        <w:t>General</w:t>
      </w:r>
      <w:r>
        <w:t xml:space="preserve">: Provide finished </w:t>
      </w:r>
      <w:r w:rsidR="006540EC">
        <w:t>sub-</w:t>
      </w:r>
      <w:r>
        <w:t>base and base surfaces, which are evenly graded between level points, free draining and conform to the required tolerances.</w:t>
      </w:r>
    </w:p>
    <w:p w14:paraId="780A57D5" w14:textId="77777777" w:rsidR="003E556D" w:rsidRDefault="003E556D">
      <w:pPr>
        <w:pStyle w:val="BodyTextIndent"/>
      </w:pPr>
      <w:r w:rsidRPr="00414B0B">
        <w:rPr>
          <w:u w:val="single"/>
        </w:rPr>
        <w:t>Smoothness</w:t>
      </w:r>
      <w:r>
        <w:t>: As normally produced by a grader blade (except for batters without topsoil).</w:t>
      </w:r>
    </w:p>
    <w:p w14:paraId="3FD88036" w14:textId="77777777" w:rsidR="00CB0FC3" w:rsidRDefault="003E556D">
      <w:pPr>
        <w:pStyle w:val="BodyTextIndent"/>
      </w:pPr>
      <w:r w:rsidRPr="00414B0B">
        <w:rPr>
          <w:u w:val="single"/>
        </w:rPr>
        <w:t>Tolerances</w:t>
      </w:r>
      <w:r>
        <w:t>: The limits in the Table 3.1 apply to the finished surface unless overridden by the requirements for the finished level and thickness of the surfacing.</w:t>
      </w:r>
    </w:p>
    <w:p w14:paraId="6FBB7EF1" w14:textId="01A1639B" w:rsidR="003E556D" w:rsidRDefault="003E556D" w:rsidP="00CB0FC3">
      <w:pPr>
        <w:pStyle w:val="TableIdNum"/>
      </w:pPr>
      <w:r>
        <w:t>Table</w:t>
      </w:r>
      <w:r w:rsidR="00FE7823">
        <w:t> </w:t>
      </w:r>
      <w:r>
        <w:t>3.1 – Tolerances</w:t>
      </w:r>
    </w:p>
    <w:tbl>
      <w:tblPr>
        <w:tblW w:w="8789" w:type="dxa"/>
        <w:tblInd w:w="709"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410"/>
        <w:gridCol w:w="3189"/>
        <w:gridCol w:w="3190"/>
      </w:tblGrid>
      <w:tr w:rsidR="003E556D" w14:paraId="4696FF20" w14:textId="77777777" w:rsidTr="00F563D9">
        <w:trPr>
          <w:cantSplit/>
          <w:trHeight w:val="397"/>
          <w:tblHeader/>
        </w:trPr>
        <w:tc>
          <w:tcPr>
            <w:tcW w:w="2410" w:type="dxa"/>
            <w:vMerge w:val="restart"/>
            <w:tcBorders>
              <w:top w:val="single" w:sz="12" w:space="0" w:color="000000"/>
              <w:left w:val="nil"/>
              <w:bottom w:val="single" w:sz="12" w:space="0" w:color="000000"/>
              <w:right w:val="nil"/>
            </w:tcBorders>
            <w:shd w:val="pct10" w:color="auto" w:fill="auto"/>
            <w:vAlign w:val="center"/>
          </w:tcPr>
          <w:p w14:paraId="0701CFE7" w14:textId="77777777" w:rsidR="003E556D" w:rsidRDefault="003E556D" w:rsidP="00CB0FC3">
            <w:pPr>
              <w:pStyle w:val="TableHeadCen"/>
            </w:pPr>
            <w:r w:rsidRPr="00327729">
              <w:t>Item</w:t>
            </w:r>
          </w:p>
        </w:tc>
        <w:tc>
          <w:tcPr>
            <w:tcW w:w="6379" w:type="dxa"/>
            <w:gridSpan w:val="2"/>
            <w:tcBorders>
              <w:top w:val="single" w:sz="12" w:space="0" w:color="000000"/>
              <w:left w:val="nil"/>
              <w:bottom w:val="nil"/>
              <w:right w:val="nil"/>
            </w:tcBorders>
            <w:shd w:val="pct10" w:color="auto" w:fill="auto"/>
            <w:vAlign w:val="center"/>
          </w:tcPr>
          <w:p w14:paraId="6B917734" w14:textId="77777777" w:rsidR="003E556D" w:rsidRDefault="003E556D" w:rsidP="00CB0FC3">
            <w:pPr>
              <w:pStyle w:val="TableHeadCen"/>
            </w:pPr>
            <w:r>
              <w:t>Level tolerance</w:t>
            </w:r>
          </w:p>
        </w:tc>
      </w:tr>
      <w:tr w:rsidR="003E556D" w14:paraId="323E5362" w14:textId="77777777" w:rsidTr="00F563D9">
        <w:trPr>
          <w:cantSplit/>
          <w:trHeight w:val="397"/>
          <w:tblHeader/>
        </w:trPr>
        <w:tc>
          <w:tcPr>
            <w:tcW w:w="2410" w:type="dxa"/>
            <w:vMerge/>
            <w:tcBorders>
              <w:top w:val="nil"/>
              <w:left w:val="nil"/>
              <w:bottom w:val="single" w:sz="12" w:space="0" w:color="auto"/>
              <w:right w:val="nil"/>
            </w:tcBorders>
            <w:shd w:val="pct10" w:color="auto" w:fill="auto"/>
          </w:tcPr>
          <w:p w14:paraId="29C64492" w14:textId="77777777" w:rsidR="003E556D" w:rsidRDefault="003E556D" w:rsidP="000633BF">
            <w:pPr>
              <w:pStyle w:val="TableHeadCen"/>
            </w:pPr>
          </w:p>
        </w:tc>
        <w:tc>
          <w:tcPr>
            <w:tcW w:w="3189" w:type="dxa"/>
            <w:tcBorders>
              <w:top w:val="single" w:sz="4" w:space="0" w:color="auto"/>
              <w:left w:val="nil"/>
              <w:bottom w:val="single" w:sz="12" w:space="0" w:color="auto"/>
              <w:right w:val="nil"/>
            </w:tcBorders>
            <w:shd w:val="pct10" w:color="auto" w:fill="auto"/>
            <w:vAlign w:val="center"/>
          </w:tcPr>
          <w:p w14:paraId="364155A1" w14:textId="77777777" w:rsidR="003E556D" w:rsidRDefault="003E556D" w:rsidP="000633BF">
            <w:pPr>
              <w:pStyle w:val="TableHeadCen"/>
            </w:pPr>
            <w:r>
              <w:t>Absolute</w:t>
            </w:r>
          </w:p>
        </w:tc>
        <w:tc>
          <w:tcPr>
            <w:tcW w:w="3190" w:type="dxa"/>
            <w:tcBorders>
              <w:top w:val="single" w:sz="4" w:space="0" w:color="auto"/>
              <w:left w:val="nil"/>
              <w:bottom w:val="single" w:sz="12" w:space="0" w:color="auto"/>
              <w:right w:val="nil"/>
            </w:tcBorders>
            <w:shd w:val="pct10" w:color="auto" w:fill="auto"/>
            <w:vAlign w:val="center"/>
          </w:tcPr>
          <w:p w14:paraId="037ECAFF" w14:textId="77777777" w:rsidR="003E556D" w:rsidRDefault="003E556D" w:rsidP="000633BF">
            <w:pPr>
              <w:pStyle w:val="TableHeadCen"/>
            </w:pPr>
            <w:r>
              <w:t>Relative to a 3 m straightedge*</w:t>
            </w:r>
          </w:p>
        </w:tc>
      </w:tr>
      <w:tr w:rsidR="003E556D" w14:paraId="02E1B82C" w14:textId="77777777" w:rsidTr="00F563D9">
        <w:trPr>
          <w:cantSplit/>
          <w:trHeight w:val="340"/>
        </w:trPr>
        <w:tc>
          <w:tcPr>
            <w:tcW w:w="2410" w:type="dxa"/>
            <w:tcBorders>
              <w:top w:val="single" w:sz="12" w:space="0" w:color="auto"/>
              <w:left w:val="nil"/>
              <w:bottom w:val="single" w:sz="6" w:space="0" w:color="000000"/>
              <w:right w:val="nil"/>
            </w:tcBorders>
            <w:vAlign w:val="center"/>
          </w:tcPr>
          <w:p w14:paraId="1C1199AA" w14:textId="77777777" w:rsidR="003E556D" w:rsidRDefault="003E556D" w:rsidP="00CB0FC3">
            <w:pPr>
              <w:pStyle w:val="TableCen"/>
            </w:pPr>
            <w:r>
              <w:t>Sub base</w:t>
            </w:r>
          </w:p>
        </w:tc>
        <w:tc>
          <w:tcPr>
            <w:tcW w:w="3189" w:type="dxa"/>
            <w:tcBorders>
              <w:top w:val="single" w:sz="12" w:space="0" w:color="auto"/>
              <w:left w:val="nil"/>
              <w:bottom w:val="single" w:sz="6" w:space="0" w:color="000000"/>
              <w:right w:val="nil"/>
            </w:tcBorders>
            <w:vAlign w:val="center"/>
          </w:tcPr>
          <w:p w14:paraId="6A40D809" w14:textId="165F2543" w:rsidR="003E556D" w:rsidRDefault="003E556D" w:rsidP="00CB0FC3">
            <w:pPr>
              <w:pStyle w:val="TableCen"/>
            </w:pPr>
            <w:r>
              <w:t>+10</w:t>
            </w:r>
            <w:r w:rsidR="007319E3">
              <w:t> </w:t>
            </w:r>
            <w:r>
              <w:t>mm</w:t>
            </w:r>
            <w:r w:rsidR="000D1BB7">
              <w:t> </w:t>
            </w:r>
            <w:r>
              <w:t>-</w:t>
            </w:r>
            <w:r w:rsidR="007319E3">
              <w:t> </w:t>
            </w:r>
            <w:r>
              <w:t>30</w:t>
            </w:r>
            <w:r w:rsidR="007319E3">
              <w:t> </w:t>
            </w:r>
            <w:r>
              <w:t>mm</w:t>
            </w:r>
          </w:p>
        </w:tc>
        <w:tc>
          <w:tcPr>
            <w:tcW w:w="3190" w:type="dxa"/>
            <w:tcBorders>
              <w:top w:val="single" w:sz="12" w:space="0" w:color="auto"/>
              <w:left w:val="nil"/>
              <w:bottom w:val="single" w:sz="6" w:space="0" w:color="000000"/>
              <w:right w:val="nil"/>
            </w:tcBorders>
            <w:vAlign w:val="center"/>
          </w:tcPr>
          <w:p w14:paraId="54ACC3D5" w14:textId="77777777" w:rsidR="003E556D" w:rsidRDefault="003E556D" w:rsidP="00CB0FC3">
            <w:pPr>
              <w:pStyle w:val="TableCen"/>
            </w:pPr>
            <w:r>
              <w:t>10</w:t>
            </w:r>
            <w:r w:rsidR="007319E3">
              <w:t> </w:t>
            </w:r>
            <w:r>
              <w:t>mm</w:t>
            </w:r>
          </w:p>
        </w:tc>
      </w:tr>
      <w:tr w:rsidR="003E556D" w14:paraId="4F2BA559" w14:textId="77777777" w:rsidTr="00F563D9">
        <w:trPr>
          <w:cantSplit/>
          <w:trHeight w:val="340"/>
        </w:trPr>
        <w:tc>
          <w:tcPr>
            <w:tcW w:w="2410" w:type="dxa"/>
            <w:tcBorders>
              <w:top w:val="single" w:sz="6" w:space="0" w:color="000000"/>
              <w:left w:val="nil"/>
              <w:bottom w:val="single" w:sz="12" w:space="0" w:color="000000"/>
              <w:right w:val="nil"/>
            </w:tcBorders>
            <w:vAlign w:val="center"/>
          </w:tcPr>
          <w:p w14:paraId="286311C7" w14:textId="77777777" w:rsidR="003E556D" w:rsidRDefault="003E556D" w:rsidP="00CB0FC3">
            <w:pPr>
              <w:pStyle w:val="TableCen"/>
            </w:pPr>
            <w:r>
              <w:t>Base</w:t>
            </w:r>
          </w:p>
        </w:tc>
        <w:tc>
          <w:tcPr>
            <w:tcW w:w="3189" w:type="dxa"/>
            <w:tcBorders>
              <w:top w:val="single" w:sz="6" w:space="0" w:color="000000"/>
              <w:left w:val="nil"/>
              <w:bottom w:val="single" w:sz="12" w:space="0" w:color="000000"/>
              <w:right w:val="nil"/>
            </w:tcBorders>
            <w:vAlign w:val="center"/>
          </w:tcPr>
          <w:p w14:paraId="7BADD60F" w14:textId="5B253692" w:rsidR="003E556D" w:rsidRDefault="003E556D" w:rsidP="00CB0FC3">
            <w:pPr>
              <w:pStyle w:val="TableCen"/>
            </w:pPr>
            <w:r>
              <w:rPr>
                <w:rFonts w:ascii="Symbol" w:eastAsia="Symbol" w:hAnsi="Symbol" w:cs="Symbol"/>
              </w:rPr>
              <w:t>±</w:t>
            </w:r>
            <w:r>
              <w:t>10</w:t>
            </w:r>
            <w:r w:rsidR="007319E3">
              <w:t> </w:t>
            </w:r>
            <w:r>
              <w:t>mm</w:t>
            </w:r>
          </w:p>
        </w:tc>
        <w:tc>
          <w:tcPr>
            <w:tcW w:w="3190" w:type="dxa"/>
            <w:tcBorders>
              <w:top w:val="single" w:sz="6" w:space="0" w:color="000000"/>
              <w:left w:val="nil"/>
              <w:bottom w:val="single" w:sz="12" w:space="0" w:color="000000"/>
              <w:right w:val="nil"/>
            </w:tcBorders>
            <w:vAlign w:val="center"/>
          </w:tcPr>
          <w:p w14:paraId="56F9FB54" w14:textId="77777777" w:rsidR="003E556D" w:rsidRDefault="007319E3" w:rsidP="00CB0FC3">
            <w:pPr>
              <w:pStyle w:val="TableCen"/>
            </w:pPr>
            <w:r>
              <w:t>5 </w:t>
            </w:r>
            <w:r w:rsidR="003E556D">
              <w:t>mm</w:t>
            </w:r>
          </w:p>
        </w:tc>
      </w:tr>
    </w:tbl>
    <w:p w14:paraId="58732D62" w14:textId="77777777" w:rsidR="003E556D" w:rsidRDefault="003E556D" w:rsidP="00594B5E">
      <w:pPr>
        <w:pStyle w:val="BodyTextIndentMinor"/>
      </w:pPr>
      <w:r>
        <w:t>* Limits to incorporate due allowance for design shape where relevant</w:t>
      </w:r>
    </w:p>
    <w:p w14:paraId="55A0F193" w14:textId="77777777" w:rsidR="003E556D" w:rsidRDefault="003E556D" w:rsidP="00CB0FC3">
      <w:pPr>
        <w:pStyle w:val="BodyTextIndentBoldUnderline"/>
      </w:pPr>
      <w:r>
        <w:t>Crossfall</w:t>
      </w:r>
    </w:p>
    <w:p w14:paraId="1A60809A" w14:textId="0E383508" w:rsidR="003E556D" w:rsidRDefault="003E556D">
      <w:pPr>
        <w:pStyle w:val="BodyTextIndent"/>
      </w:pPr>
      <w:r w:rsidRPr="00414B0B">
        <w:rPr>
          <w:u w:val="single"/>
        </w:rPr>
        <w:t>Measurement</w:t>
      </w:r>
      <w:r>
        <w:t xml:space="preserve">: Measure crossfall at </w:t>
      </w:r>
      <w:r w:rsidR="0050094B">
        <w:t>sub-</w:t>
      </w:r>
      <w:r>
        <w:t>base and base transversely to the centreline.  Ensure that the two selected points are more than 2 m apart.</w:t>
      </w:r>
    </w:p>
    <w:p w14:paraId="03325284" w14:textId="77777777" w:rsidR="003E556D" w:rsidRDefault="003E556D">
      <w:pPr>
        <w:pStyle w:val="BodyTextIndent"/>
      </w:pPr>
      <w:r w:rsidRPr="00414B0B">
        <w:rPr>
          <w:u w:val="single"/>
        </w:rPr>
        <w:t>Requirement</w:t>
      </w:r>
      <w:r>
        <w:t>: Do not depart from the corresponding design crossfall by more than 0.2% absolute.  Maintain positive drainage slope towards pavement drainage system.</w:t>
      </w:r>
    </w:p>
    <w:p w14:paraId="3C9438C4" w14:textId="77777777" w:rsidR="003E556D" w:rsidRDefault="003E556D" w:rsidP="00346E2E">
      <w:pPr>
        <w:pStyle w:val="BodyTextIndentBoldUnderline"/>
      </w:pPr>
      <w:r>
        <w:t>Other ground surfaces</w:t>
      </w:r>
    </w:p>
    <w:p w14:paraId="1D52947E" w14:textId="383FE754" w:rsidR="003E556D" w:rsidRDefault="003E556D">
      <w:pPr>
        <w:pStyle w:val="BodyTextIndent"/>
      </w:pPr>
      <w:r w:rsidRPr="00414B0B">
        <w:rPr>
          <w:u w:val="single"/>
        </w:rPr>
        <w:t>Absolute level tolerance</w:t>
      </w:r>
      <w:r>
        <w:t>: ±50 mm, provided the area matches adjacent construction.</w:t>
      </w:r>
    </w:p>
    <w:p w14:paraId="041775BA" w14:textId="77777777" w:rsidR="003E556D" w:rsidRDefault="003E556D" w:rsidP="00346E2E">
      <w:pPr>
        <w:pStyle w:val="BodyTextIndentBoldUnderline"/>
      </w:pPr>
      <w:r>
        <w:t>Horizontal surfaces</w:t>
      </w:r>
    </w:p>
    <w:p w14:paraId="130C0CC8" w14:textId="3DAB5C36" w:rsidR="003E556D" w:rsidRDefault="007319E3">
      <w:pPr>
        <w:pStyle w:val="BodyTextIndent"/>
      </w:pPr>
      <w:r w:rsidRPr="00414B0B">
        <w:rPr>
          <w:u w:val="single"/>
        </w:rPr>
        <w:t>Absolute tolerance</w:t>
      </w:r>
      <w:r>
        <w:t xml:space="preserve">: </w:t>
      </w:r>
      <w:r w:rsidR="003E556D">
        <w:t>±</w:t>
      </w:r>
      <w:r>
        <w:t>50 </w:t>
      </w:r>
      <w:r w:rsidR="003E556D">
        <w:t>mm, except where alignment with an existing road structure is necessary.  Join new construction to the existing work in a smooth manner.</w:t>
      </w:r>
    </w:p>
    <w:p w14:paraId="50530E93" w14:textId="77777777" w:rsidR="003E556D" w:rsidRDefault="0097134E" w:rsidP="00B04831">
      <w:pPr>
        <w:pStyle w:val="Heading3"/>
      </w:pPr>
      <w:bookmarkStart w:id="31" w:name="_Toc76027921"/>
      <w:r>
        <w:t>Degree Of Saturation</w:t>
      </w:r>
      <w:bookmarkEnd w:id="31"/>
    </w:p>
    <w:p w14:paraId="1D6306E7" w14:textId="77777777" w:rsidR="003E556D" w:rsidRDefault="003E556D">
      <w:pPr>
        <w:pStyle w:val="BodyTextIndent"/>
      </w:pPr>
      <w:r w:rsidRPr="00414B0B">
        <w:rPr>
          <w:u w:val="single"/>
        </w:rPr>
        <w:t>General</w:t>
      </w:r>
      <w:r>
        <w:t>: Where directed by the Superintendent, determine degree of saturation of the pavement layer if excessive moisture content is suspected.  Sources of water entry during the construction phase may include inadequate pavement surface drainage, exposure of surface to rain, pavements left primed but not sealed for extended periods, use of high moisture content for compaction, and excessive watering of the pavement.</w:t>
      </w:r>
    </w:p>
    <w:p w14:paraId="7B0C9C2A" w14:textId="77777777" w:rsidR="003E556D" w:rsidRDefault="003E556D">
      <w:pPr>
        <w:pStyle w:val="BodyTextIndent"/>
      </w:pPr>
      <w:r w:rsidRPr="00414B0B">
        <w:rPr>
          <w:u w:val="single"/>
        </w:rPr>
        <w:t>Test method</w:t>
      </w:r>
      <w:r>
        <w:t xml:space="preserve">: Determine degree of saturation in accordance with </w:t>
      </w:r>
      <w:r w:rsidR="00307771" w:rsidRPr="00307771">
        <w:rPr>
          <w:i/>
        </w:rPr>
        <w:t>DTMR </w:t>
      </w:r>
      <w:r w:rsidRPr="00307771">
        <w:rPr>
          <w:i/>
        </w:rPr>
        <w:t>Q</w:t>
      </w:r>
      <w:r w:rsidR="00307771" w:rsidRPr="00307771">
        <w:rPr>
          <w:i/>
        </w:rPr>
        <w:t>146</w:t>
      </w:r>
      <w:r>
        <w:t>.  Perform test within a period of 6 hours prior to the placement of the next pavement layer or surfacing.</w:t>
      </w:r>
    </w:p>
    <w:p w14:paraId="2DCFE5B4" w14:textId="77777777" w:rsidR="003E556D" w:rsidRDefault="003E556D">
      <w:pPr>
        <w:pStyle w:val="BodyTextIndent"/>
      </w:pPr>
      <w:r w:rsidRPr="00414B0B">
        <w:rPr>
          <w:u w:val="single"/>
        </w:rPr>
        <w:t>Moisture content limits</w:t>
      </w:r>
      <w:r>
        <w:t>: Limit the maximum degrees of saturation to 65% for Class 1 material, and 70% for Class 2 and Class 3 materials.  Where the moisture content limits are exceeded during construction, dry back pavement prior to covering with the next layer of pavement or surfacing.</w:t>
      </w:r>
    </w:p>
    <w:p w14:paraId="1BABFA57" w14:textId="77777777" w:rsidR="00404260" w:rsidRPr="002935C9" w:rsidRDefault="00404260" w:rsidP="00B04831">
      <w:pPr>
        <w:pStyle w:val="Heading3"/>
      </w:pPr>
      <w:bookmarkStart w:id="32" w:name="_Toc76027922"/>
      <w:r w:rsidRPr="002935C9">
        <w:lastRenderedPageBreak/>
        <w:t>Proof Rolling</w:t>
      </w:r>
      <w:bookmarkEnd w:id="32"/>
    </w:p>
    <w:p w14:paraId="2FAFAE2E" w14:textId="77777777" w:rsidR="00404260" w:rsidRPr="002935C9" w:rsidRDefault="00404260" w:rsidP="00404260">
      <w:pPr>
        <w:pStyle w:val="BodyTextIndent"/>
      </w:pPr>
      <w:r w:rsidRPr="002935C9">
        <w:rPr>
          <w:u w:val="single"/>
        </w:rPr>
        <w:t>General</w:t>
      </w:r>
      <w:r w:rsidRPr="002935C9">
        <w:t xml:space="preserve">: All pavement layers must be capable of withstanding proof rolling to verify their stability.  Where directed by the Superintendent, carry out proof rolling of subbase layers. </w:t>
      </w:r>
    </w:p>
    <w:p w14:paraId="01B9D4A2" w14:textId="77777777" w:rsidR="00347B15" w:rsidRPr="002935C9" w:rsidRDefault="00347B15" w:rsidP="00347B15">
      <w:pPr>
        <w:pStyle w:val="BodyTextIndent"/>
      </w:pPr>
      <w:r w:rsidRPr="002935C9">
        <w:rPr>
          <w:u w:val="single"/>
        </w:rPr>
        <w:t>Requirement</w:t>
      </w:r>
      <w:r w:rsidRPr="002935C9">
        <w:t>: Test the finished base for perceptible surface deformation by proof rolling in the presence of the Superintendent.</w:t>
      </w:r>
    </w:p>
    <w:p w14:paraId="511F0DFD" w14:textId="71FD6B9D" w:rsidR="001D7613" w:rsidRPr="002935C9" w:rsidRDefault="00404260" w:rsidP="00F84AC7">
      <w:pPr>
        <w:pStyle w:val="BodyTextIndent"/>
      </w:pPr>
      <w:r w:rsidRPr="002935C9">
        <w:rPr>
          <w:u w:val="single"/>
        </w:rPr>
        <w:t>Test method</w:t>
      </w:r>
      <w:r w:rsidRPr="002935C9">
        <w:t xml:space="preserve">: </w:t>
      </w:r>
      <w:r w:rsidR="001D7613" w:rsidRPr="002935C9">
        <w:t xml:space="preserve">Use </w:t>
      </w:r>
      <w:r w:rsidR="00022808" w:rsidRPr="002935C9">
        <w:t>a</w:t>
      </w:r>
      <w:r w:rsidR="001D7613" w:rsidRPr="002935C9">
        <w:t xml:space="preserve"> truck with a single rear axle with dual tyres with a loaded axle mass of 9</w:t>
      </w:r>
      <w:r w:rsidR="000D1BB7">
        <w:t> </w:t>
      </w:r>
      <w:r w:rsidR="001D7613" w:rsidRPr="002935C9">
        <w:t xml:space="preserve">tonnes </w:t>
      </w:r>
      <w:r w:rsidR="00022808" w:rsidRPr="002935C9">
        <w:t>or a</w:t>
      </w:r>
      <w:r w:rsidR="001D7613" w:rsidRPr="002935C9">
        <w:t xml:space="preserve"> truck with tandem rear axles with dual tyres with a total loaded mass on the tandem axles of 16.5</w:t>
      </w:r>
      <w:r w:rsidR="000D1BB7">
        <w:t> </w:t>
      </w:r>
      <w:r w:rsidR="001D7613" w:rsidRPr="002935C9">
        <w:t>tonnes</w:t>
      </w:r>
      <w:r w:rsidR="00022808" w:rsidRPr="002935C9">
        <w:t>.</w:t>
      </w:r>
      <w:r w:rsidR="00F84AC7" w:rsidRPr="002935C9">
        <w:t xml:space="preserve"> </w:t>
      </w:r>
      <w:r w:rsidR="00022808" w:rsidRPr="002935C9">
        <w:t xml:space="preserve"> Use</w:t>
      </w:r>
      <w:r w:rsidR="001D7613" w:rsidRPr="002935C9">
        <w:t xml:space="preserve"> a minimum 600</w:t>
      </w:r>
      <w:r w:rsidR="000D1BB7">
        <w:t> </w:t>
      </w:r>
      <w:r w:rsidR="001D7613" w:rsidRPr="002935C9">
        <w:t>kPa tyre pressure</w:t>
      </w:r>
      <w:r w:rsidR="00022808" w:rsidRPr="002935C9">
        <w:t>.</w:t>
      </w:r>
      <w:r w:rsidR="00F84AC7" w:rsidRPr="002935C9">
        <w:t xml:space="preserve">  Testing for perceptible surface deformation is exempt from the requirement for NATA accreditation.</w:t>
      </w:r>
    </w:p>
    <w:p w14:paraId="2F687329" w14:textId="77777777" w:rsidR="00404260" w:rsidRPr="002935C9" w:rsidRDefault="00347B15" w:rsidP="00404260">
      <w:pPr>
        <w:pStyle w:val="BodyTextIndent"/>
      </w:pPr>
      <w:r w:rsidRPr="002935C9">
        <w:rPr>
          <w:u w:val="single"/>
        </w:rPr>
        <w:t>Corrective Action</w:t>
      </w:r>
      <w:r w:rsidR="00404260" w:rsidRPr="002935C9">
        <w:t xml:space="preserve">: </w:t>
      </w:r>
      <w:r w:rsidR="001D7613" w:rsidRPr="002935C9">
        <w:t>In areas of perceptible surface deformation, remove and replace the material, or undertake other corrective action to the satisfaction of the Superintendent.</w:t>
      </w:r>
    </w:p>
    <w:p w14:paraId="5516CAFA" w14:textId="77777777" w:rsidR="003E556D" w:rsidRPr="002935C9" w:rsidRDefault="003E556D" w:rsidP="00B04831">
      <w:pPr>
        <w:pStyle w:val="Heading2"/>
      </w:pPr>
      <w:bookmarkStart w:id="33" w:name="_Toc493942091"/>
      <w:bookmarkStart w:id="34" w:name="_Toc493986930"/>
      <w:bookmarkStart w:id="35" w:name="_Toc76027923"/>
      <w:r w:rsidRPr="002935C9">
        <w:t>ASPHALT SURFACING</w:t>
      </w:r>
      <w:bookmarkEnd w:id="33"/>
      <w:bookmarkEnd w:id="34"/>
      <w:bookmarkEnd w:id="35"/>
    </w:p>
    <w:p w14:paraId="6675C5EA" w14:textId="77777777" w:rsidR="003E556D" w:rsidRPr="002935C9" w:rsidRDefault="003E556D" w:rsidP="00462060">
      <w:pPr>
        <w:pStyle w:val="BodyTextIndent"/>
      </w:pPr>
      <w:smartTag w:uri="urn:schemas-microsoft-com:office:smarttags" w:element="place">
        <w:smartTag w:uri="urn:schemas-microsoft-com:office:smarttags" w:element="PlaceName">
          <w:r w:rsidRPr="002935C9">
            <w:t>Use</w:t>
          </w:r>
        </w:smartTag>
        <w:r w:rsidRPr="002935C9">
          <w:t xml:space="preserve"> </w:t>
        </w:r>
        <w:smartTag w:uri="urn:schemas-microsoft-com:office:smarttags" w:element="PlaceName">
          <w:r w:rsidRPr="002935C9">
            <w:t>Brisbane</w:t>
          </w:r>
        </w:smartTag>
        <w:r w:rsidRPr="002935C9">
          <w:t xml:space="preserve"> </w:t>
        </w:r>
        <w:smartTag w:uri="urn:schemas-microsoft-com:office:smarttags" w:element="PlaceType">
          <w:r w:rsidRPr="002935C9">
            <w:t>City</w:t>
          </w:r>
        </w:smartTag>
      </w:smartTag>
      <w:r w:rsidRPr="002935C9">
        <w:t xml:space="preserve"> Council standard asphalt types in accordance with Table 4.1.  </w:t>
      </w:r>
      <w:r w:rsidRPr="002935C9">
        <w:rPr>
          <w:i/>
        </w:rPr>
        <w:t>Refer annexure</w:t>
      </w:r>
      <w:r w:rsidRPr="002935C9">
        <w:t>.</w:t>
      </w:r>
    </w:p>
    <w:p w14:paraId="4F368DD4" w14:textId="509512D2" w:rsidR="00346E2E" w:rsidRPr="002935C9" w:rsidRDefault="00346E2E" w:rsidP="00346E2E">
      <w:pPr>
        <w:pStyle w:val="TableIdNum"/>
      </w:pPr>
      <w:r w:rsidRPr="002935C9">
        <w:t>Table</w:t>
      </w:r>
      <w:r w:rsidR="00715388" w:rsidRPr="002935C9">
        <w:t> </w:t>
      </w:r>
      <w:r w:rsidRPr="002935C9">
        <w:t>4.1 – Mix design applications</w:t>
      </w:r>
    </w:p>
    <w:tbl>
      <w:tblPr>
        <w:tblW w:w="8789" w:type="dxa"/>
        <w:tblInd w:w="709" w:type="dxa"/>
        <w:tblBorders>
          <w:insideH w:val="single" w:sz="4" w:space="0" w:color="auto"/>
        </w:tblBorders>
        <w:tblLayout w:type="fixed"/>
        <w:tblLook w:val="00A0" w:firstRow="1" w:lastRow="0" w:firstColumn="1" w:lastColumn="0" w:noHBand="0" w:noVBand="0"/>
      </w:tblPr>
      <w:tblGrid>
        <w:gridCol w:w="709"/>
        <w:gridCol w:w="1559"/>
        <w:gridCol w:w="6521"/>
      </w:tblGrid>
      <w:tr w:rsidR="003E556D" w:rsidRPr="002935C9" w14:paraId="2E10824A" w14:textId="77777777" w:rsidTr="004718F1">
        <w:tc>
          <w:tcPr>
            <w:tcW w:w="709" w:type="dxa"/>
            <w:tcBorders>
              <w:top w:val="single" w:sz="12" w:space="0" w:color="auto"/>
              <w:bottom w:val="single" w:sz="12" w:space="0" w:color="auto"/>
            </w:tcBorders>
            <w:shd w:val="pct10" w:color="auto" w:fill="auto"/>
            <w:vAlign w:val="center"/>
          </w:tcPr>
          <w:p w14:paraId="7AEBE676" w14:textId="77777777" w:rsidR="003E556D" w:rsidRPr="002935C9" w:rsidRDefault="003E556D" w:rsidP="00346E2E">
            <w:pPr>
              <w:pStyle w:val="TableHeadCen"/>
            </w:pPr>
            <w:r w:rsidRPr="002935C9">
              <w:t>Mix type</w:t>
            </w:r>
          </w:p>
        </w:tc>
        <w:tc>
          <w:tcPr>
            <w:tcW w:w="1559" w:type="dxa"/>
            <w:tcBorders>
              <w:top w:val="single" w:sz="12" w:space="0" w:color="auto"/>
              <w:bottom w:val="single" w:sz="12" w:space="0" w:color="auto"/>
            </w:tcBorders>
            <w:shd w:val="pct10" w:color="auto" w:fill="auto"/>
            <w:vAlign w:val="center"/>
          </w:tcPr>
          <w:p w14:paraId="46F54503" w14:textId="77777777" w:rsidR="003E556D" w:rsidRPr="002935C9" w:rsidRDefault="003E556D" w:rsidP="00346E2E">
            <w:pPr>
              <w:pStyle w:val="TableHeadCen"/>
            </w:pPr>
            <w:r w:rsidRPr="002935C9">
              <w:t>Nominal aggregate size</w:t>
            </w:r>
          </w:p>
        </w:tc>
        <w:tc>
          <w:tcPr>
            <w:tcW w:w="6521" w:type="dxa"/>
            <w:tcBorders>
              <w:top w:val="single" w:sz="12" w:space="0" w:color="auto"/>
              <w:bottom w:val="single" w:sz="12" w:space="0" w:color="auto"/>
            </w:tcBorders>
            <w:shd w:val="pct10" w:color="auto" w:fill="auto"/>
            <w:vAlign w:val="center"/>
          </w:tcPr>
          <w:p w14:paraId="4A655F94" w14:textId="77777777" w:rsidR="003E556D" w:rsidRPr="002935C9" w:rsidRDefault="003E556D" w:rsidP="00346E2E">
            <w:pPr>
              <w:pStyle w:val="TableHeadCen"/>
            </w:pPr>
            <w:r w:rsidRPr="002935C9">
              <w:t>Typical applications</w:t>
            </w:r>
          </w:p>
        </w:tc>
      </w:tr>
      <w:tr w:rsidR="003E556D" w:rsidRPr="002935C9" w14:paraId="2CBC7249" w14:textId="77777777" w:rsidTr="004718F1">
        <w:trPr>
          <w:trHeight w:val="340"/>
        </w:trPr>
        <w:tc>
          <w:tcPr>
            <w:tcW w:w="709" w:type="dxa"/>
            <w:tcBorders>
              <w:top w:val="nil"/>
            </w:tcBorders>
            <w:vAlign w:val="center"/>
          </w:tcPr>
          <w:p w14:paraId="4A631C56" w14:textId="01FFE92B" w:rsidR="003E556D" w:rsidRPr="002935C9" w:rsidRDefault="003E556D" w:rsidP="00346E2E">
            <w:pPr>
              <w:pStyle w:val="TableCen"/>
            </w:pPr>
            <w:r w:rsidRPr="002935C9">
              <w:t>1</w:t>
            </w:r>
            <w:r w:rsidR="00DD4462" w:rsidRPr="002E32AA">
              <w:rPr>
                <w:i/>
                <w:iCs/>
                <w:vertAlign w:val="superscript"/>
              </w:rPr>
              <w:t>(1)</w:t>
            </w:r>
          </w:p>
        </w:tc>
        <w:tc>
          <w:tcPr>
            <w:tcW w:w="1559" w:type="dxa"/>
            <w:tcBorders>
              <w:top w:val="nil"/>
            </w:tcBorders>
            <w:vAlign w:val="center"/>
          </w:tcPr>
          <w:p w14:paraId="5742E5B5" w14:textId="77777777" w:rsidR="003E556D" w:rsidRPr="002935C9" w:rsidRDefault="003E556D" w:rsidP="00346E2E">
            <w:pPr>
              <w:pStyle w:val="TableCen"/>
            </w:pPr>
            <w:r w:rsidRPr="002935C9">
              <w:t>5</w:t>
            </w:r>
            <w:r w:rsidR="007319E3" w:rsidRPr="002935C9">
              <w:t> </w:t>
            </w:r>
            <w:r w:rsidRPr="002935C9">
              <w:t>mm</w:t>
            </w:r>
          </w:p>
        </w:tc>
        <w:tc>
          <w:tcPr>
            <w:tcW w:w="6521" w:type="dxa"/>
            <w:tcBorders>
              <w:top w:val="nil"/>
            </w:tcBorders>
            <w:vAlign w:val="center"/>
          </w:tcPr>
          <w:p w14:paraId="3C73421F" w14:textId="77777777" w:rsidR="003E556D" w:rsidRPr="002935C9" w:rsidRDefault="003E556D" w:rsidP="00346E2E">
            <w:pPr>
              <w:pStyle w:val="Table"/>
            </w:pPr>
            <w:r w:rsidRPr="002935C9">
              <w:t>Thin wearing course, footpaths, sheet patching, and overlays in local residential streets.</w:t>
            </w:r>
          </w:p>
        </w:tc>
      </w:tr>
      <w:tr w:rsidR="003E556D" w:rsidRPr="002935C9" w14:paraId="40001459" w14:textId="77777777" w:rsidTr="004718F1">
        <w:trPr>
          <w:trHeight w:val="340"/>
        </w:trPr>
        <w:tc>
          <w:tcPr>
            <w:tcW w:w="709" w:type="dxa"/>
            <w:tcBorders>
              <w:bottom w:val="nil"/>
            </w:tcBorders>
            <w:vAlign w:val="center"/>
          </w:tcPr>
          <w:p w14:paraId="547917E3" w14:textId="51A0D928" w:rsidR="003E556D" w:rsidRPr="002935C9" w:rsidRDefault="003E556D" w:rsidP="00346E2E">
            <w:pPr>
              <w:pStyle w:val="TableCen"/>
            </w:pPr>
            <w:r w:rsidRPr="002935C9">
              <w:t>2</w:t>
            </w:r>
            <w:r w:rsidR="00DD4462" w:rsidRPr="000C528D">
              <w:rPr>
                <w:i/>
                <w:iCs/>
                <w:vertAlign w:val="superscript"/>
              </w:rPr>
              <w:t>(1)</w:t>
            </w:r>
          </w:p>
        </w:tc>
        <w:tc>
          <w:tcPr>
            <w:tcW w:w="1559" w:type="dxa"/>
            <w:tcBorders>
              <w:bottom w:val="nil"/>
            </w:tcBorders>
            <w:vAlign w:val="center"/>
          </w:tcPr>
          <w:p w14:paraId="4496303D" w14:textId="77777777" w:rsidR="003E556D" w:rsidRPr="002935C9" w:rsidRDefault="003E556D" w:rsidP="00346E2E">
            <w:pPr>
              <w:pStyle w:val="TableCen"/>
            </w:pPr>
            <w:r w:rsidRPr="002935C9">
              <w:t>10</w:t>
            </w:r>
            <w:r w:rsidR="007319E3" w:rsidRPr="002935C9">
              <w:t> </w:t>
            </w:r>
            <w:r w:rsidRPr="002935C9">
              <w:t>mm</w:t>
            </w:r>
          </w:p>
        </w:tc>
        <w:tc>
          <w:tcPr>
            <w:tcW w:w="6521" w:type="dxa"/>
            <w:tcBorders>
              <w:bottom w:val="nil"/>
            </w:tcBorders>
            <w:vAlign w:val="center"/>
          </w:tcPr>
          <w:p w14:paraId="50C566A8" w14:textId="77777777" w:rsidR="003E556D" w:rsidRPr="002935C9" w:rsidRDefault="003E556D" w:rsidP="00F84AC7">
            <w:pPr>
              <w:pStyle w:val="Table"/>
            </w:pPr>
            <w:r w:rsidRPr="002935C9">
              <w:t xml:space="preserve">Surfacing course for roads </w:t>
            </w:r>
            <w:r w:rsidR="00F84AC7" w:rsidRPr="002935C9">
              <w:t xml:space="preserve">subject to light traffic where 30mm </w:t>
            </w:r>
            <w:r w:rsidRPr="002935C9">
              <w:t>(</w:t>
            </w:r>
            <w:r w:rsidR="00F84AC7" w:rsidRPr="002935C9">
              <w:t>nominal) thick asphalt surface is specified.</w:t>
            </w:r>
          </w:p>
        </w:tc>
      </w:tr>
      <w:tr w:rsidR="003E556D" w:rsidRPr="002935C9" w14:paraId="2DC52E2D" w14:textId="77777777" w:rsidTr="004718F1">
        <w:trPr>
          <w:trHeight w:val="340"/>
        </w:trPr>
        <w:tc>
          <w:tcPr>
            <w:tcW w:w="709" w:type="dxa"/>
            <w:tcBorders>
              <w:top w:val="single" w:sz="4" w:space="0" w:color="auto"/>
              <w:bottom w:val="single" w:sz="4" w:space="0" w:color="auto"/>
            </w:tcBorders>
            <w:vAlign w:val="center"/>
          </w:tcPr>
          <w:p w14:paraId="5E196196" w14:textId="22B7B8C4" w:rsidR="003E556D" w:rsidRPr="002935C9" w:rsidRDefault="003E556D" w:rsidP="00346E2E">
            <w:pPr>
              <w:pStyle w:val="TableCen"/>
            </w:pPr>
            <w:r w:rsidRPr="002935C9">
              <w:t>3</w:t>
            </w:r>
            <w:r w:rsidR="00DD4462" w:rsidRPr="000C528D">
              <w:rPr>
                <w:i/>
                <w:iCs/>
                <w:vertAlign w:val="superscript"/>
              </w:rPr>
              <w:t>(1)</w:t>
            </w:r>
          </w:p>
        </w:tc>
        <w:tc>
          <w:tcPr>
            <w:tcW w:w="1559" w:type="dxa"/>
            <w:tcBorders>
              <w:top w:val="single" w:sz="4" w:space="0" w:color="auto"/>
              <w:bottom w:val="single" w:sz="4" w:space="0" w:color="auto"/>
            </w:tcBorders>
            <w:vAlign w:val="center"/>
          </w:tcPr>
          <w:p w14:paraId="0EC1ADBB" w14:textId="77777777" w:rsidR="003E556D" w:rsidRPr="002935C9" w:rsidRDefault="007319E3" w:rsidP="00F84AC7">
            <w:pPr>
              <w:pStyle w:val="TableCen"/>
            </w:pPr>
            <w:r w:rsidRPr="002935C9">
              <w:t>1</w:t>
            </w:r>
            <w:r w:rsidR="00F84AC7" w:rsidRPr="002935C9">
              <w:t>4</w:t>
            </w:r>
            <w:r w:rsidRPr="002935C9">
              <w:t> </w:t>
            </w:r>
            <w:r w:rsidR="003E556D" w:rsidRPr="002935C9">
              <w:t>mm</w:t>
            </w:r>
          </w:p>
        </w:tc>
        <w:tc>
          <w:tcPr>
            <w:tcW w:w="6521" w:type="dxa"/>
            <w:tcBorders>
              <w:top w:val="single" w:sz="4" w:space="0" w:color="auto"/>
              <w:bottom w:val="single" w:sz="4" w:space="0" w:color="auto"/>
            </w:tcBorders>
            <w:vAlign w:val="center"/>
          </w:tcPr>
          <w:p w14:paraId="3732AA89" w14:textId="77777777" w:rsidR="003E556D" w:rsidRPr="002935C9" w:rsidRDefault="003E556D" w:rsidP="00427A75">
            <w:pPr>
              <w:pStyle w:val="Table"/>
            </w:pPr>
            <w:r w:rsidRPr="002935C9">
              <w:t xml:space="preserve">Surfacing course for </w:t>
            </w:r>
            <w:r w:rsidR="00F84AC7" w:rsidRPr="002935C9">
              <w:t xml:space="preserve">roads subject to light traffic where 50mm (nominal) thick asphalt surface is specified.  </w:t>
            </w:r>
            <w:r w:rsidRPr="002935C9">
              <w:t xml:space="preserve">Surfacing courses for </w:t>
            </w:r>
            <w:r w:rsidR="00427A75" w:rsidRPr="002935C9">
              <w:t>roads subject to heavy traffic</w:t>
            </w:r>
            <w:r w:rsidRPr="002935C9">
              <w:t>.</w:t>
            </w:r>
            <w:r w:rsidR="00427A75" w:rsidRPr="002935C9">
              <w:t xml:space="preserve">  May be used for structural layers.</w:t>
            </w:r>
          </w:p>
        </w:tc>
      </w:tr>
      <w:tr w:rsidR="003E556D" w:rsidRPr="002935C9" w14:paraId="57B0CF96" w14:textId="77777777" w:rsidTr="004718F1">
        <w:trPr>
          <w:trHeight w:val="340"/>
        </w:trPr>
        <w:tc>
          <w:tcPr>
            <w:tcW w:w="709" w:type="dxa"/>
            <w:tcBorders>
              <w:top w:val="nil"/>
              <w:bottom w:val="single" w:sz="12" w:space="0" w:color="auto"/>
            </w:tcBorders>
            <w:vAlign w:val="center"/>
          </w:tcPr>
          <w:p w14:paraId="0089371D" w14:textId="7D37EA87" w:rsidR="003E556D" w:rsidRPr="002935C9" w:rsidRDefault="003E556D" w:rsidP="00346E2E">
            <w:pPr>
              <w:pStyle w:val="TableCen"/>
            </w:pPr>
            <w:r w:rsidRPr="002935C9">
              <w:t>4</w:t>
            </w:r>
            <w:r w:rsidR="00DD4462" w:rsidRPr="000C528D">
              <w:rPr>
                <w:i/>
                <w:iCs/>
                <w:vertAlign w:val="superscript"/>
              </w:rPr>
              <w:t>(1)</w:t>
            </w:r>
          </w:p>
        </w:tc>
        <w:tc>
          <w:tcPr>
            <w:tcW w:w="1559" w:type="dxa"/>
            <w:tcBorders>
              <w:top w:val="nil"/>
              <w:bottom w:val="single" w:sz="12" w:space="0" w:color="auto"/>
            </w:tcBorders>
            <w:vAlign w:val="center"/>
          </w:tcPr>
          <w:p w14:paraId="2B1400F1" w14:textId="77777777" w:rsidR="003E556D" w:rsidRPr="002935C9" w:rsidRDefault="003E556D" w:rsidP="00346E2E">
            <w:pPr>
              <w:pStyle w:val="TableCen"/>
            </w:pPr>
            <w:r w:rsidRPr="002935C9">
              <w:t>35</w:t>
            </w:r>
            <w:r w:rsidR="007319E3" w:rsidRPr="002935C9">
              <w:t> </w:t>
            </w:r>
            <w:r w:rsidRPr="002935C9">
              <w:t>mm</w:t>
            </w:r>
          </w:p>
        </w:tc>
        <w:tc>
          <w:tcPr>
            <w:tcW w:w="6521" w:type="dxa"/>
            <w:tcBorders>
              <w:top w:val="nil"/>
              <w:bottom w:val="single" w:sz="12" w:space="0" w:color="auto"/>
            </w:tcBorders>
            <w:vAlign w:val="center"/>
          </w:tcPr>
          <w:p w14:paraId="3974FA3D" w14:textId="77777777" w:rsidR="003E556D" w:rsidRPr="002935C9" w:rsidRDefault="003E556D" w:rsidP="00346E2E">
            <w:pPr>
              <w:pStyle w:val="Table"/>
            </w:pPr>
            <w:r w:rsidRPr="002935C9">
              <w:t>Unsuitable for final surfacing.  Generally used as structural layers for deep lift asphaltic concrete pavements.</w:t>
            </w:r>
          </w:p>
        </w:tc>
      </w:tr>
    </w:tbl>
    <w:p w14:paraId="35189259" w14:textId="65299393" w:rsidR="003E556D" w:rsidRPr="002935C9" w:rsidRDefault="00DD4462" w:rsidP="00594B5E">
      <w:pPr>
        <w:pStyle w:val="BodyTextIndentMinor"/>
      </w:pPr>
      <w:bookmarkStart w:id="36" w:name="_Toc493942092"/>
      <w:bookmarkStart w:id="37" w:name="_Toc493986931"/>
      <w:r w:rsidRPr="00C374C7">
        <w:rPr>
          <w:vertAlign w:val="superscript"/>
        </w:rPr>
        <w:t>(1)</w:t>
      </w:r>
      <w:r>
        <w:tab/>
      </w:r>
      <w:r w:rsidR="003E556D" w:rsidRPr="002935C9">
        <w:t>Denotes dense graded asphalt</w:t>
      </w:r>
    </w:p>
    <w:p w14:paraId="0AB3268B" w14:textId="652D2724" w:rsidR="003E556D" w:rsidRPr="002935C9" w:rsidRDefault="003E556D" w:rsidP="002166F2">
      <w:pPr>
        <w:pStyle w:val="Heading2"/>
      </w:pPr>
      <w:bookmarkStart w:id="38" w:name="_Toc76027924"/>
      <w:r w:rsidRPr="002935C9">
        <w:t xml:space="preserve">CONCRETE KERBS </w:t>
      </w:r>
      <w:r w:rsidR="00DD4462">
        <w:t>and</w:t>
      </w:r>
      <w:r w:rsidR="00DD4462" w:rsidRPr="002935C9">
        <w:t xml:space="preserve"> </w:t>
      </w:r>
      <w:r w:rsidRPr="002935C9">
        <w:t>CHANNELS</w:t>
      </w:r>
      <w:bookmarkEnd w:id="36"/>
      <w:bookmarkEnd w:id="37"/>
      <w:bookmarkEnd w:id="38"/>
    </w:p>
    <w:p w14:paraId="15DA5D8B" w14:textId="77777777" w:rsidR="003E556D" w:rsidRDefault="003E556D" w:rsidP="002166F2">
      <w:pPr>
        <w:pStyle w:val="Heading3"/>
      </w:pPr>
      <w:bookmarkStart w:id="39" w:name="_Toc76027925"/>
      <w:r>
        <w:t>General</w:t>
      </w:r>
      <w:bookmarkEnd w:id="39"/>
    </w:p>
    <w:p w14:paraId="75435610" w14:textId="77777777" w:rsidR="003E556D" w:rsidRDefault="003E556D">
      <w:pPr>
        <w:pStyle w:val="BodyTextIndent"/>
      </w:pPr>
      <w:r w:rsidRPr="00414B0B">
        <w:rPr>
          <w:u w:val="single"/>
        </w:rPr>
        <w:t>Scope</w:t>
      </w:r>
      <w:r>
        <w:t>: Kerbs, channels, mowing strips and other linear elements.</w:t>
      </w:r>
    </w:p>
    <w:p w14:paraId="3349A956" w14:textId="77777777" w:rsidR="003E556D" w:rsidRDefault="003E556D" w:rsidP="00584581">
      <w:pPr>
        <w:pStyle w:val="BodyTextIndent"/>
      </w:pPr>
      <w:r w:rsidRPr="00414B0B">
        <w:rPr>
          <w:u w:val="single"/>
        </w:rPr>
        <w:t>Profile</w:t>
      </w:r>
      <w:r>
        <w:t xml:space="preserve">: To </w:t>
      </w:r>
      <w:r w:rsidRPr="002B5FE8">
        <w:rPr>
          <w:i/>
        </w:rPr>
        <w:t xml:space="preserve">Standard Drawings </w:t>
      </w:r>
      <w:r w:rsidR="00584581" w:rsidRPr="002B5FE8">
        <w:rPr>
          <w:i/>
        </w:rPr>
        <w:t>BSD-2001, BSD-2002 and BSD-2003</w:t>
      </w:r>
      <w:r>
        <w:t xml:space="preserve">.  </w:t>
      </w:r>
      <w:r>
        <w:rPr>
          <w:i/>
        </w:rPr>
        <w:t>Refer annexure</w:t>
      </w:r>
      <w:r>
        <w:t>.</w:t>
      </w:r>
    </w:p>
    <w:p w14:paraId="2BF21618" w14:textId="77777777" w:rsidR="003E556D" w:rsidRDefault="003E556D">
      <w:pPr>
        <w:pStyle w:val="BodyTextIndent"/>
      </w:pPr>
      <w:r w:rsidRPr="00414B0B">
        <w:rPr>
          <w:u w:val="single"/>
        </w:rPr>
        <w:t>Hand placed (in situ) concrete</w:t>
      </w:r>
      <w:r>
        <w:t>: Grade N25.</w:t>
      </w:r>
    </w:p>
    <w:p w14:paraId="014665FF" w14:textId="77777777" w:rsidR="003E556D" w:rsidRDefault="003E556D">
      <w:pPr>
        <w:pStyle w:val="BodyTextIndent"/>
      </w:pPr>
      <w:r w:rsidRPr="00414B0B">
        <w:rPr>
          <w:u w:val="single"/>
        </w:rPr>
        <w:t>Precast concrete</w:t>
      </w:r>
      <w:r>
        <w:t>: Grade N25.</w:t>
      </w:r>
    </w:p>
    <w:p w14:paraId="04C3A1DC" w14:textId="77777777" w:rsidR="003E556D" w:rsidRDefault="003E556D">
      <w:pPr>
        <w:pStyle w:val="BodyTextIndent"/>
      </w:pPr>
      <w:r w:rsidRPr="00414B0B">
        <w:rPr>
          <w:u w:val="single"/>
        </w:rPr>
        <w:t>Machine placed (slip formed or extruded)</w:t>
      </w:r>
      <w:r>
        <w:t xml:space="preserve"> concrete: Grade S32, minimum cementitious content of the concrete is 320 kg/m</w:t>
      </w:r>
      <w:r>
        <w:rPr>
          <w:vertAlign w:val="superscript"/>
        </w:rPr>
        <w:t>3</w:t>
      </w:r>
      <w:r>
        <w:t xml:space="preserve"> for all roads.</w:t>
      </w:r>
    </w:p>
    <w:p w14:paraId="60252D91" w14:textId="77777777" w:rsidR="003E556D" w:rsidRDefault="003E556D">
      <w:pPr>
        <w:pStyle w:val="BodyTextIndent"/>
      </w:pPr>
      <w:r w:rsidRPr="00414B0B">
        <w:rPr>
          <w:u w:val="single"/>
        </w:rPr>
        <w:t>Surface finish</w:t>
      </w:r>
      <w:r>
        <w:t>: A mortar surfacing is required on extruded work and a comparable finish required for other placing methods.</w:t>
      </w:r>
    </w:p>
    <w:p w14:paraId="0D52054E" w14:textId="77777777" w:rsidR="003E556D" w:rsidRDefault="003E556D">
      <w:pPr>
        <w:pStyle w:val="BodyTextIndent"/>
      </w:pPr>
      <w:r w:rsidRPr="00414B0B">
        <w:rPr>
          <w:u w:val="single"/>
        </w:rPr>
        <w:t>Placing and curing</w:t>
      </w:r>
      <w:r>
        <w:t xml:space="preserve">: The provisions of </w:t>
      </w:r>
      <w:r>
        <w:rPr>
          <w:i/>
        </w:rPr>
        <w:t xml:space="preserve">S200 Concrete Work Clause 6.0 </w:t>
      </w:r>
      <w:r>
        <w:t>do not apply.  Provide kerbs and channels with no cracks greater than 0.3 mm wide (other than at control joints) and without impairment of slip resistance.</w:t>
      </w:r>
    </w:p>
    <w:p w14:paraId="1EA22B99" w14:textId="77777777" w:rsidR="003E556D" w:rsidRDefault="003E556D">
      <w:pPr>
        <w:pStyle w:val="BodyTextIndent"/>
      </w:pPr>
      <w:r w:rsidRPr="00414B0B">
        <w:rPr>
          <w:u w:val="single"/>
        </w:rPr>
        <w:t>Excavation limit</w:t>
      </w:r>
      <w:r>
        <w:t>: When excavating the existing pavement to construct the kerb and channel, limit excavation to the minimum required for a mechanical compactor and kerb machine.  Excavate at least 75 mm past the back of the kerb.</w:t>
      </w:r>
    </w:p>
    <w:p w14:paraId="4E6F5124" w14:textId="77777777" w:rsidR="003E556D" w:rsidRDefault="003E556D">
      <w:pPr>
        <w:pStyle w:val="BodyTextIndent"/>
      </w:pPr>
      <w:r w:rsidRPr="00414B0B">
        <w:rPr>
          <w:u w:val="single"/>
        </w:rPr>
        <w:t>Pre-wetting</w:t>
      </w:r>
      <w:r>
        <w:t>: Wet the bedding material immediately before laying concrete without resulting in free water remaining on the surface.</w:t>
      </w:r>
    </w:p>
    <w:p w14:paraId="1F88B3A3" w14:textId="77777777" w:rsidR="003E556D" w:rsidRDefault="003E556D">
      <w:pPr>
        <w:pStyle w:val="BodyTextIndent"/>
      </w:pPr>
      <w:r w:rsidRPr="00414B0B">
        <w:rPr>
          <w:u w:val="single"/>
        </w:rPr>
        <w:t>Bedding</w:t>
      </w:r>
      <w:r>
        <w:t xml:space="preserve">. Construct bedding from the same pavement material or approved free draining non-plastic material with permeability not less than the adjoining pavement material.  Continue </w:t>
      </w:r>
      <w:r>
        <w:lastRenderedPageBreak/>
        <w:t>pavement at least 75 mm past the extremities of the kerb to ensure stability of the pavement edge.  Extend bedding to the bottom of the pavement box, but the minimum bedding thickness must not be less than 75 mm.</w:t>
      </w:r>
    </w:p>
    <w:p w14:paraId="5A603AB9" w14:textId="77777777" w:rsidR="003E556D" w:rsidRDefault="003E556D">
      <w:pPr>
        <w:pStyle w:val="BodyTextIndent"/>
      </w:pPr>
      <w:r w:rsidRPr="00CB13EC">
        <w:rPr>
          <w:u w:val="single"/>
        </w:rPr>
        <w:t>Contraction or shrinkage control joints</w:t>
      </w:r>
      <w:r>
        <w:t>: Install between expansion joints at regular intervals not exceeding 4 m.  Construct joints by forming grooves 40 mm deep by 6 mm wide in all exposed surfaces of the concrete kerb and channel.  Provide grooves normal to the top surface and square to the alignment of the concrete kerb and channel.  Where relevant, locate joints to line up with contraction joints in adjacent structures.</w:t>
      </w:r>
    </w:p>
    <w:p w14:paraId="38B9A220" w14:textId="77777777" w:rsidR="003E556D" w:rsidRDefault="003E556D">
      <w:pPr>
        <w:pStyle w:val="BodyTextIndent"/>
      </w:pPr>
      <w:r w:rsidRPr="006762B1">
        <w:rPr>
          <w:u w:val="single"/>
        </w:rPr>
        <w:t>Expansion joints</w:t>
      </w:r>
      <w:r w:rsidRPr="008078C9">
        <w:t>: Provide expansion joints between the concrete kerb and channel and any abutting structures (such as bridges, rigid pavements and concrete slabs), or where directed.  Where relevant, locate joints to line up with t</w:t>
      </w:r>
      <w:r w:rsidRPr="00BF45A9">
        <w:t xml:space="preserve">he expansion joints in adjacent structures.  Construct joints by installing 10 mm thick compressible packing for the full width and depth of the concrete kerb and channel.  </w:t>
      </w:r>
      <w:r w:rsidR="005201BB" w:rsidRPr="0035198C">
        <w:t>Seal surface of joint with a polyurethane sealant suitable for sealing continuous and pronounced cyclic movements in concrete joints</w:t>
      </w:r>
      <w:r w:rsidRPr="0035198C">
        <w:t>.</w:t>
      </w:r>
    </w:p>
    <w:p w14:paraId="448D7413" w14:textId="77777777" w:rsidR="003E556D" w:rsidRDefault="003E556D">
      <w:pPr>
        <w:pStyle w:val="BodyTextIndent"/>
      </w:pPr>
      <w:r w:rsidRPr="002351A8">
        <w:rPr>
          <w:u w:val="single"/>
        </w:rPr>
        <w:t>All other requirements</w:t>
      </w:r>
      <w:r>
        <w:t xml:space="preserve">: </w:t>
      </w:r>
      <w:r w:rsidRPr="00824DDA">
        <w:rPr>
          <w:i/>
        </w:rPr>
        <w:t>To AS 2876</w:t>
      </w:r>
      <w:r>
        <w:t>.</w:t>
      </w:r>
    </w:p>
    <w:p w14:paraId="01AADD90" w14:textId="77777777" w:rsidR="003E556D" w:rsidRDefault="003E556D" w:rsidP="002166F2">
      <w:pPr>
        <w:pStyle w:val="Heading3"/>
      </w:pPr>
      <w:bookmarkStart w:id="40" w:name="_Toc76027926"/>
      <w:r>
        <w:t xml:space="preserve">Placing </w:t>
      </w:r>
      <w:r w:rsidR="0097134E">
        <w:t>Concrete</w:t>
      </w:r>
      <w:bookmarkEnd w:id="40"/>
    </w:p>
    <w:p w14:paraId="13029CEE" w14:textId="77777777" w:rsidR="003E556D" w:rsidRDefault="003E556D" w:rsidP="00346E2E">
      <w:pPr>
        <w:pStyle w:val="BodyTextIndentBoldUnderline"/>
      </w:pPr>
      <w:r>
        <w:t>Machine placing</w:t>
      </w:r>
    </w:p>
    <w:p w14:paraId="664B121B" w14:textId="77777777" w:rsidR="003E556D" w:rsidRDefault="003E556D">
      <w:pPr>
        <w:pStyle w:val="BodyTextIndent"/>
      </w:pPr>
      <w:r w:rsidRPr="002351A8">
        <w:rPr>
          <w:u w:val="single"/>
        </w:rPr>
        <w:t>Slump</w:t>
      </w:r>
      <w:r>
        <w:t>: Use the maximum slump that will maintain shape without support immediately after laying.</w:t>
      </w:r>
    </w:p>
    <w:p w14:paraId="690276C3" w14:textId="77777777" w:rsidR="003E556D" w:rsidRDefault="003E556D" w:rsidP="00346E2E">
      <w:pPr>
        <w:pStyle w:val="BodyTextIndentBoldUnderline"/>
      </w:pPr>
      <w:r>
        <w:t>Hand placing</w:t>
      </w:r>
    </w:p>
    <w:p w14:paraId="1E9318B1" w14:textId="77777777" w:rsidR="003E556D" w:rsidRDefault="003E556D">
      <w:pPr>
        <w:pStyle w:val="BodyTextIndent"/>
      </w:pPr>
      <w:r w:rsidRPr="002351A8">
        <w:rPr>
          <w:u w:val="single"/>
        </w:rPr>
        <w:t>Maximum Length</w:t>
      </w:r>
      <w:r>
        <w:t>: No more than 20 metres in contiguous lengths (including vehicular entrances and kerb ramps).</w:t>
      </w:r>
    </w:p>
    <w:p w14:paraId="0C270FD4" w14:textId="77777777" w:rsidR="003E556D" w:rsidRDefault="003E556D">
      <w:pPr>
        <w:pStyle w:val="BodyTextIndent"/>
      </w:pPr>
      <w:r w:rsidRPr="002351A8">
        <w:rPr>
          <w:u w:val="single"/>
        </w:rPr>
        <w:t>Cast together</w:t>
      </w:r>
      <w:r>
        <w:t>: Cast the kerb and channel simultaneously.</w:t>
      </w:r>
    </w:p>
    <w:p w14:paraId="5196DD1B" w14:textId="77777777" w:rsidR="003E556D" w:rsidRDefault="0097134E" w:rsidP="002166F2">
      <w:pPr>
        <w:pStyle w:val="Heading3"/>
      </w:pPr>
      <w:bookmarkStart w:id="41" w:name="_Toc76027927"/>
      <w:r>
        <w:t>Kerb Adaptors</w:t>
      </w:r>
      <w:bookmarkEnd w:id="41"/>
    </w:p>
    <w:p w14:paraId="23AD2B47" w14:textId="77777777" w:rsidR="003E556D" w:rsidRPr="0041387A" w:rsidRDefault="00824DDA" w:rsidP="0041387A">
      <w:pPr>
        <w:pStyle w:val="Heading4"/>
      </w:pPr>
      <w:bookmarkStart w:id="42" w:name="_Toc76027928"/>
      <w:r w:rsidRPr="0041387A">
        <w:t>General</w:t>
      </w:r>
      <w:bookmarkEnd w:id="42"/>
    </w:p>
    <w:p w14:paraId="45620DCC" w14:textId="77777777" w:rsidR="003E556D" w:rsidRDefault="003E556D" w:rsidP="00584581">
      <w:pPr>
        <w:pStyle w:val="BodyTextIndent"/>
      </w:pPr>
      <w:r w:rsidRPr="002351A8">
        <w:rPr>
          <w:u w:val="single"/>
        </w:rPr>
        <w:t>Standard</w:t>
      </w:r>
      <w:r>
        <w:t xml:space="preserve">: Comply with the relevant </w:t>
      </w:r>
      <w:r w:rsidRPr="002B5FE8">
        <w:rPr>
          <w:i/>
        </w:rPr>
        <w:t>Standard Drawing</w:t>
      </w:r>
      <w:r w:rsidR="002B5FE8">
        <w:rPr>
          <w:i/>
        </w:rPr>
        <w:t>s</w:t>
      </w:r>
      <w:r w:rsidRPr="002B5FE8">
        <w:rPr>
          <w:i/>
        </w:rPr>
        <w:t xml:space="preserve"> </w:t>
      </w:r>
      <w:r w:rsidR="00584581" w:rsidRPr="002B5FE8">
        <w:rPr>
          <w:i/>
        </w:rPr>
        <w:t>BSD-8111</w:t>
      </w:r>
      <w:r w:rsidR="001B6486" w:rsidRPr="002B5FE8">
        <w:rPr>
          <w:i/>
        </w:rPr>
        <w:t>,</w:t>
      </w:r>
      <w:r w:rsidRPr="002B5FE8">
        <w:rPr>
          <w:i/>
        </w:rPr>
        <w:t xml:space="preserve"> </w:t>
      </w:r>
      <w:r w:rsidR="00584581" w:rsidRPr="002B5FE8">
        <w:rPr>
          <w:i/>
        </w:rPr>
        <w:t>BSD-8302, BSD-8113 and BSD-8114</w:t>
      </w:r>
      <w:r w:rsidR="00584581">
        <w:t xml:space="preserve"> </w:t>
      </w:r>
      <w:r>
        <w:t>regarding placement and shape.</w:t>
      </w:r>
    </w:p>
    <w:p w14:paraId="5DB81E21" w14:textId="77777777" w:rsidR="003E556D" w:rsidRDefault="003E556D">
      <w:pPr>
        <w:pStyle w:val="BodyTextIndent"/>
      </w:pPr>
      <w:r w:rsidRPr="002351A8">
        <w:rPr>
          <w:u w:val="single"/>
        </w:rPr>
        <w:t>Acceptable materials</w:t>
      </w:r>
      <w:r>
        <w:t xml:space="preserve">: Fabricated steel galvanised to </w:t>
      </w:r>
      <w:r w:rsidRPr="002B5FE8">
        <w:rPr>
          <w:i/>
        </w:rPr>
        <w:t>AS 4680</w:t>
      </w:r>
      <w:r>
        <w:t xml:space="preserve">. </w:t>
      </w:r>
      <w:r w:rsidR="001B6486">
        <w:t xml:space="preserve"> </w:t>
      </w:r>
      <w:r>
        <w:t xml:space="preserve">Ferrous hollow sections galvanised to </w:t>
      </w:r>
      <w:r w:rsidRPr="002B5FE8">
        <w:rPr>
          <w:i/>
        </w:rPr>
        <w:t>AS 4792</w:t>
      </w:r>
      <w:r>
        <w:t xml:space="preserve">.  </w:t>
      </w:r>
      <w:r w:rsidR="000C6F94">
        <w:t xml:space="preserve">Cast iron to </w:t>
      </w:r>
      <w:r w:rsidR="000C6F94" w:rsidRPr="002B5FE8">
        <w:rPr>
          <w:i/>
        </w:rPr>
        <w:t>AS 1830</w:t>
      </w:r>
      <w:r w:rsidR="000C6F94">
        <w:t xml:space="preserve">.  </w:t>
      </w:r>
      <w:r>
        <w:t xml:space="preserve">Aluminium casting to </w:t>
      </w:r>
      <w:r w:rsidRPr="002B5FE8">
        <w:rPr>
          <w:i/>
        </w:rPr>
        <w:t>AS 1874</w:t>
      </w:r>
      <w:r>
        <w:t>.</w:t>
      </w:r>
    </w:p>
    <w:p w14:paraId="7B68BBB7" w14:textId="77777777" w:rsidR="0003085A" w:rsidRDefault="0003085A">
      <w:pPr>
        <w:pStyle w:val="BodyTextIndent"/>
      </w:pPr>
      <w:r>
        <w:t xml:space="preserve">Adaptors may be powder coated to </w:t>
      </w:r>
      <w:r w:rsidRPr="002B5FE8">
        <w:rPr>
          <w:i/>
        </w:rPr>
        <w:t>AS 4506</w:t>
      </w:r>
      <w:r>
        <w:t xml:space="preserve"> (metals other than aluminium) or </w:t>
      </w:r>
      <w:r w:rsidRPr="002B5FE8">
        <w:rPr>
          <w:i/>
        </w:rPr>
        <w:t>AS 3715</w:t>
      </w:r>
      <w:r>
        <w:t xml:space="preserve"> (aluminium).</w:t>
      </w:r>
    </w:p>
    <w:p w14:paraId="7BF6529D" w14:textId="77777777" w:rsidR="003E556D" w:rsidRDefault="003E556D">
      <w:pPr>
        <w:pStyle w:val="BodyTextIndent"/>
      </w:pPr>
      <w:r w:rsidRPr="002351A8">
        <w:rPr>
          <w:u w:val="single"/>
        </w:rPr>
        <w:t>Installation</w:t>
      </w:r>
      <w:r>
        <w:t xml:space="preserve">: Saw cut </w:t>
      </w:r>
      <w:r w:rsidR="00080F34">
        <w:t xml:space="preserve">300 mm </w:t>
      </w:r>
      <w:r>
        <w:t>opening in kerb and fix kerb adaptor flush with the top of kerb</w:t>
      </w:r>
      <w:r w:rsidR="009A1B22">
        <w:t xml:space="preserve"> in accordance with </w:t>
      </w:r>
      <w:r w:rsidR="009A1B22" w:rsidRPr="002B5FE8">
        <w:rPr>
          <w:i/>
        </w:rPr>
        <w:t xml:space="preserve">Standard Drawing </w:t>
      </w:r>
      <w:r w:rsidR="00584581" w:rsidRPr="002B5FE8">
        <w:rPr>
          <w:i/>
        </w:rPr>
        <w:t>BSD-8114</w:t>
      </w:r>
      <w:r>
        <w:t xml:space="preserve">.  Fill gaps on sides with </w:t>
      </w:r>
      <w:r w:rsidR="00C31BFE">
        <w:t>N25 concrete</w:t>
      </w:r>
      <w:r>
        <w:t>.</w:t>
      </w:r>
    </w:p>
    <w:p w14:paraId="33CC4A0C" w14:textId="77777777" w:rsidR="003E556D" w:rsidRDefault="003E556D">
      <w:pPr>
        <w:pStyle w:val="BodyTextIndent"/>
      </w:pPr>
      <w:r w:rsidRPr="002351A8">
        <w:rPr>
          <w:u w:val="single"/>
        </w:rPr>
        <w:t>Scope of application</w:t>
      </w:r>
      <w:r>
        <w:t xml:space="preserve">: Use Class D </w:t>
      </w:r>
      <w:r w:rsidR="001D2809">
        <w:t xml:space="preserve">load rated </w:t>
      </w:r>
      <w:r>
        <w:t>(heavy duty)</w:t>
      </w:r>
      <w:r w:rsidR="00080F34" w:rsidRPr="00080F34">
        <w:t xml:space="preserve"> </w:t>
      </w:r>
      <w:r w:rsidR="00080F34">
        <w:t>full depth</w:t>
      </w:r>
      <w:r>
        <w:t xml:space="preserve"> kerb adaptor on all road hierarchy classification.</w:t>
      </w:r>
      <w:r w:rsidR="001D2809">
        <w:t xml:space="preserve">  Refer Section</w:t>
      </w:r>
      <w:r w:rsidR="000D1BB7">
        <w:t> </w:t>
      </w:r>
      <w:r w:rsidR="001D2809">
        <w:t>5.3.3</w:t>
      </w:r>
      <w:r w:rsidR="00C31BFE">
        <w:t xml:space="preserve"> for load testing requirements and methodology.</w:t>
      </w:r>
      <w:r w:rsidR="009A1B22">
        <w:t xml:space="preserve"> </w:t>
      </w:r>
      <w:r w:rsidR="00016343">
        <w:t xml:space="preserve">Permanent markings to be in accordance with </w:t>
      </w:r>
      <w:r w:rsidR="00016343" w:rsidRPr="002B5FE8">
        <w:rPr>
          <w:i/>
        </w:rPr>
        <w:t>AS</w:t>
      </w:r>
      <w:r w:rsidR="00F0505B" w:rsidRPr="002B5FE8">
        <w:rPr>
          <w:i/>
        </w:rPr>
        <w:t> </w:t>
      </w:r>
      <w:r w:rsidR="00016343" w:rsidRPr="002B5FE8">
        <w:rPr>
          <w:i/>
        </w:rPr>
        <w:t>3996</w:t>
      </w:r>
      <w:r w:rsidR="00016343">
        <w:t xml:space="preserve"> for the relevant information required.</w:t>
      </w:r>
    </w:p>
    <w:p w14:paraId="3F416F53" w14:textId="77777777" w:rsidR="001B6486" w:rsidRPr="001B6486" w:rsidRDefault="001B6486">
      <w:pPr>
        <w:pStyle w:val="BodyTextIndent"/>
      </w:pPr>
      <w:r w:rsidRPr="001B6486">
        <w:rPr>
          <w:u w:val="single"/>
        </w:rPr>
        <w:t>Responsibility</w:t>
      </w:r>
      <w:r>
        <w:t>: R</w:t>
      </w:r>
      <w:r w:rsidRPr="001B6486">
        <w:t xml:space="preserve">oofwater drains are the responsibility of the property owner. </w:t>
      </w:r>
      <w:r>
        <w:t xml:space="preserve"> </w:t>
      </w:r>
      <w:r w:rsidRPr="001B6486">
        <w:t>The property owner is responsible for the restoration of the affected kerb, verge and footpath</w:t>
      </w:r>
      <w:r w:rsidR="0003085A">
        <w:t xml:space="preserve"> at installation</w:t>
      </w:r>
      <w:r w:rsidRPr="001B6486">
        <w:t>.</w:t>
      </w:r>
    </w:p>
    <w:p w14:paraId="4C588923" w14:textId="77777777" w:rsidR="003E556D" w:rsidRDefault="003E556D" w:rsidP="00903100">
      <w:pPr>
        <w:pStyle w:val="Heading4"/>
      </w:pPr>
      <w:bookmarkStart w:id="43" w:name="_Toc76027929"/>
      <w:r>
        <w:t>Location</w:t>
      </w:r>
      <w:bookmarkEnd w:id="43"/>
    </w:p>
    <w:p w14:paraId="7B91D037" w14:textId="77777777" w:rsidR="003E556D" w:rsidRDefault="003E556D">
      <w:pPr>
        <w:pStyle w:val="BodyTextIndent"/>
      </w:pPr>
      <w:r w:rsidRPr="002351A8">
        <w:rPr>
          <w:u w:val="single"/>
        </w:rPr>
        <w:t>New work</w:t>
      </w:r>
      <w:r>
        <w:t>: Near the lower boundary of each lot, which drains towards the road, and clear of existing or planned service pits and meters.</w:t>
      </w:r>
    </w:p>
    <w:p w14:paraId="23EDB948" w14:textId="77777777" w:rsidR="0003085A" w:rsidRDefault="003E556D" w:rsidP="0003085A">
      <w:pPr>
        <w:pStyle w:val="BodyTextIndent"/>
      </w:pPr>
      <w:r w:rsidRPr="002351A8">
        <w:rPr>
          <w:u w:val="single"/>
        </w:rPr>
        <w:t>Reconstruction</w:t>
      </w:r>
      <w:r>
        <w:t>: At each existing roofwater outlet.</w:t>
      </w:r>
    </w:p>
    <w:p w14:paraId="27184551" w14:textId="77777777" w:rsidR="001748AF" w:rsidRDefault="001748AF" w:rsidP="001748AF">
      <w:pPr>
        <w:pStyle w:val="BodyText"/>
      </w:pPr>
      <w:r>
        <w:br w:type="page"/>
      </w:r>
    </w:p>
    <w:p w14:paraId="71E9B6D3" w14:textId="57A9C5DB" w:rsidR="003E556D" w:rsidRDefault="00B11BD9" w:rsidP="00903100">
      <w:pPr>
        <w:pStyle w:val="Heading4"/>
      </w:pPr>
      <w:bookmarkStart w:id="44" w:name="_Toc76027930"/>
      <w:r>
        <w:lastRenderedPageBreak/>
        <w:t xml:space="preserve">Load </w:t>
      </w:r>
      <w:r w:rsidR="003E556D">
        <w:t>Testing</w:t>
      </w:r>
      <w:bookmarkEnd w:id="44"/>
    </w:p>
    <w:p w14:paraId="2E17BB48" w14:textId="77777777" w:rsidR="0082181D" w:rsidRDefault="003E556D" w:rsidP="00667206">
      <w:pPr>
        <w:pStyle w:val="TableIdNum"/>
      </w:pPr>
      <w:r w:rsidRPr="002351A8">
        <w:t>Apparatus</w:t>
      </w:r>
      <w:r>
        <w:t>:</w:t>
      </w:r>
    </w:p>
    <w:p w14:paraId="5F789218" w14:textId="77777777" w:rsidR="0082181D" w:rsidRDefault="003E556D" w:rsidP="00F936A9">
      <w:pPr>
        <w:pStyle w:val="BodyTextIndentDot"/>
      </w:pPr>
      <w:r>
        <w:t xml:space="preserve">A testing jig in accordance with </w:t>
      </w:r>
      <w:r w:rsidRPr="00594B5E">
        <w:rPr>
          <w:i/>
        </w:rPr>
        <w:t xml:space="preserve">Standard Drawing </w:t>
      </w:r>
      <w:r w:rsidR="00584581" w:rsidRPr="00594B5E">
        <w:rPr>
          <w:i/>
        </w:rPr>
        <w:t>BSD-8115</w:t>
      </w:r>
      <w:r w:rsidR="0082181D">
        <w:t>.</w:t>
      </w:r>
    </w:p>
    <w:p w14:paraId="2F8993DD" w14:textId="77777777" w:rsidR="0082181D" w:rsidRDefault="0082181D" w:rsidP="005201BB">
      <w:pPr>
        <w:pStyle w:val="BodyTextIndentDot"/>
      </w:pPr>
      <w:r>
        <w:t xml:space="preserve">A </w:t>
      </w:r>
      <w:r w:rsidR="003E556D">
        <w:t>hydraulic test press capable of applying a load of up to 50 kN</w:t>
      </w:r>
      <w:r>
        <w:t>.</w:t>
      </w:r>
    </w:p>
    <w:p w14:paraId="4BFA4366" w14:textId="77777777" w:rsidR="0082181D" w:rsidRDefault="0082181D">
      <w:pPr>
        <w:pStyle w:val="BodyTextIndentDot"/>
      </w:pPr>
      <w:r>
        <w:t>A</w:t>
      </w:r>
      <w:r w:rsidR="003E556D">
        <w:t xml:space="preserve"> dial gauge (with extendable arm) capable of measuring permanent set and deflection to an accuracy of 0.1 mm.</w:t>
      </w:r>
    </w:p>
    <w:p w14:paraId="5AF89025" w14:textId="77777777" w:rsidR="00667206" w:rsidRDefault="0082181D" w:rsidP="005201BB">
      <w:pPr>
        <w:pStyle w:val="BodyTextIndentDot"/>
      </w:pPr>
      <w:r>
        <w:t>L</w:t>
      </w:r>
      <w:r w:rsidR="003E556D">
        <w:t xml:space="preserve">oad bearing block </w:t>
      </w:r>
      <w:r w:rsidR="001E7C52">
        <w:t xml:space="preserve">to </w:t>
      </w:r>
      <w:r w:rsidR="003E556D">
        <w:t xml:space="preserve">correspond to the shape of the </w:t>
      </w:r>
      <w:r w:rsidR="00590124">
        <w:t xml:space="preserve">top </w:t>
      </w:r>
      <w:r w:rsidR="00485909">
        <w:t>s</w:t>
      </w:r>
      <w:r w:rsidR="00590124">
        <w:t>urfac</w:t>
      </w:r>
      <w:r>
        <w:t xml:space="preserve">e of the </w:t>
      </w:r>
      <w:r w:rsidR="003E556D">
        <w:t xml:space="preserve">kerb adaptor and maintain a 10 mm </w:t>
      </w:r>
      <w:r>
        <w:t xml:space="preserve">minimum </w:t>
      </w:r>
      <w:r w:rsidR="003E556D">
        <w:t xml:space="preserve">clearance from the outer edge of the </w:t>
      </w:r>
      <w:r>
        <w:t>kerb adaptor</w:t>
      </w:r>
      <w:r w:rsidR="003E556D">
        <w:t>.</w:t>
      </w:r>
      <w:r w:rsidR="00CD1F41">
        <w:t xml:space="preserve">  Refer to Figure</w:t>
      </w:r>
      <w:r w:rsidR="005201BB">
        <w:t> </w:t>
      </w:r>
      <w:r w:rsidR="00CD1F41">
        <w:t>5.1.</w:t>
      </w:r>
    </w:p>
    <w:p w14:paraId="0CBED175" w14:textId="77777777" w:rsidR="00824DDA" w:rsidRDefault="00824DDA" w:rsidP="00824DDA">
      <w:pPr>
        <w:pStyle w:val="Figure"/>
      </w:pPr>
      <w:r>
        <w:t>Figure 5.1 – Load bearing block positioning</w:t>
      </w:r>
    </w:p>
    <w:tbl>
      <w:tblPr>
        <w:tblW w:w="0" w:type="auto"/>
        <w:tblInd w:w="709" w:type="dxa"/>
        <w:tblLook w:val="04A0" w:firstRow="1" w:lastRow="0" w:firstColumn="1" w:lastColumn="0" w:noHBand="0" w:noVBand="1"/>
      </w:tblPr>
      <w:tblGrid>
        <w:gridCol w:w="4288"/>
        <w:gridCol w:w="4289"/>
      </w:tblGrid>
      <w:tr w:rsidR="00CD1F41" w14:paraId="35F4D23F" w14:textId="77777777" w:rsidTr="45A634C0">
        <w:trPr>
          <w:trHeight w:val="2466"/>
        </w:trPr>
        <w:tc>
          <w:tcPr>
            <w:tcW w:w="4288" w:type="dxa"/>
          </w:tcPr>
          <w:p w14:paraId="0F762C34" w14:textId="77777777" w:rsidR="00CD1F41" w:rsidRDefault="006E6656" w:rsidP="00CD1F41">
            <w:pPr>
              <w:pStyle w:val="BodyTextIndent"/>
              <w:ind w:left="0"/>
            </w:pPr>
            <w:r>
              <w:rPr>
                <w:noProof/>
              </w:rPr>
              <w:drawing>
                <wp:anchor distT="0" distB="0" distL="114300" distR="114300" simplePos="0" relativeHeight="251667968" behindDoc="0" locked="0" layoutInCell="1" allowOverlap="1" wp14:anchorId="4573C6B3" wp14:editId="215C5027">
                  <wp:simplePos x="0" y="0"/>
                  <wp:positionH relativeFrom="column">
                    <wp:posOffset>142240</wp:posOffset>
                  </wp:positionH>
                  <wp:positionV relativeFrom="paragraph">
                    <wp:posOffset>34290</wp:posOffset>
                  </wp:positionV>
                  <wp:extent cx="2303780" cy="1481455"/>
                  <wp:effectExtent l="0" t="0" r="0" b="0"/>
                  <wp:wrapNone/>
                  <wp:docPr id="172" name="Picture 172" descr="Figure of Kerb Adaptor Test (Elevation)&#10;&#10;The detail contained within this Brisbane City Council Reference specification is of a technical nature and as such is not accessible. For assistance accessing and interpreting this Reference specification please contact Council on 07 3403 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Figure of Kerb Adaptor Test (Elevation)&#10;&#10;The detail contained within this Brisbane City Council Reference specification is of a technical nature and as such is not accessible. For assistance accessing and interpreting this Reference specification please contact Council on 07 3403 88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3780" cy="1481455"/>
                          </a:xfrm>
                          <a:prstGeom prst="rect">
                            <a:avLst/>
                          </a:prstGeom>
                          <a:noFill/>
                        </pic:spPr>
                      </pic:pic>
                    </a:graphicData>
                  </a:graphic>
                  <wp14:sizeRelH relativeFrom="page">
                    <wp14:pctWidth>0</wp14:pctWidth>
                  </wp14:sizeRelH>
                  <wp14:sizeRelV relativeFrom="page">
                    <wp14:pctHeight>0</wp14:pctHeight>
                  </wp14:sizeRelV>
                </wp:anchor>
              </w:drawing>
            </w:r>
          </w:p>
        </w:tc>
        <w:tc>
          <w:tcPr>
            <w:tcW w:w="4289" w:type="dxa"/>
          </w:tcPr>
          <w:p w14:paraId="438A914B" w14:textId="77777777" w:rsidR="00CD1F41" w:rsidRDefault="006E6656" w:rsidP="00CD1F41">
            <w:pPr>
              <w:pStyle w:val="BodyTextIndent"/>
              <w:ind w:left="0"/>
            </w:pPr>
            <w:r>
              <w:rPr>
                <w:noProof/>
              </w:rPr>
              <w:drawing>
                <wp:anchor distT="0" distB="0" distL="114300" distR="114300" simplePos="0" relativeHeight="251670016" behindDoc="0" locked="0" layoutInCell="1" allowOverlap="1" wp14:anchorId="15DB17D8" wp14:editId="43754F99">
                  <wp:simplePos x="0" y="0"/>
                  <wp:positionH relativeFrom="column">
                    <wp:posOffset>55880</wp:posOffset>
                  </wp:positionH>
                  <wp:positionV relativeFrom="paragraph">
                    <wp:posOffset>51435</wp:posOffset>
                  </wp:positionV>
                  <wp:extent cx="2554605" cy="1464310"/>
                  <wp:effectExtent l="0" t="0" r="0" b="0"/>
                  <wp:wrapNone/>
                  <wp:docPr id="173" name="Picture 173" descr="Figure of Kerb Adaptor Test (Plan View)&#10;&#10;The detail contained within this Brisbane City Council Reference specification is of a technical nature and as such is not accessible. For assistance accessing and interpreting this Reference specification please contact Council on 07 3403 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Figure of Kerb Adaptor Test (Plan View)&#10;&#10;The detail contained within this Brisbane City Council Reference specification is of a technical nature and as such is not accessible. For assistance accessing and interpreting this Reference specification please contact Council on 07 3403 88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4605" cy="1464310"/>
                          </a:xfrm>
                          <a:prstGeom prst="rect">
                            <a:avLst/>
                          </a:prstGeom>
                          <a:noFill/>
                        </pic:spPr>
                      </pic:pic>
                    </a:graphicData>
                  </a:graphic>
                  <wp14:sizeRelH relativeFrom="page">
                    <wp14:pctWidth>0</wp14:pctWidth>
                  </wp14:sizeRelH>
                  <wp14:sizeRelV relativeFrom="page">
                    <wp14:pctHeight>0</wp14:pctHeight>
                  </wp14:sizeRelV>
                </wp:anchor>
              </w:drawing>
            </w:r>
          </w:p>
        </w:tc>
      </w:tr>
      <w:tr w:rsidR="00CD1F41" w14:paraId="329F765B" w14:textId="77777777" w:rsidTr="45A634C0">
        <w:tc>
          <w:tcPr>
            <w:tcW w:w="4288" w:type="dxa"/>
          </w:tcPr>
          <w:p w14:paraId="0C32993A" w14:textId="77777777" w:rsidR="00CD1F41" w:rsidRDefault="00CD1F41" w:rsidP="00CD1F41">
            <w:pPr>
              <w:pStyle w:val="BodyTextIndent"/>
              <w:ind w:left="0"/>
              <w:jc w:val="center"/>
              <w:rPr>
                <w:noProof/>
              </w:rPr>
            </w:pPr>
            <w:r>
              <w:rPr>
                <w:noProof/>
              </w:rPr>
              <w:t>Elevation</w:t>
            </w:r>
          </w:p>
        </w:tc>
        <w:tc>
          <w:tcPr>
            <w:tcW w:w="4289" w:type="dxa"/>
          </w:tcPr>
          <w:p w14:paraId="0C2CED7C" w14:textId="77777777" w:rsidR="00CD1F41" w:rsidRDefault="00CD1F41" w:rsidP="00CD1F41">
            <w:pPr>
              <w:pStyle w:val="BodyTextIndent"/>
              <w:ind w:left="0"/>
              <w:jc w:val="center"/>
              <w:rPr>
                <w:noProof/>
              </w:rPr>
            </w:pPr>
            <w:r>
              <w:rPr>
                <w:noProof/>
              </w:rPr>
              <w:t>Plan</w:t>
            </w:r>
          </w:p>
        </w:tc>
      </w:tr>
    </w:tbl>
    <w:p w14:paraId="2A8C3F67" w14:textId="77777777" w:rsidR="00667206" w:rsidRDefault="003E556D" w:rsidP="00667206">
      <w:pPr>
        <w:pStyle w:val="TableIdNum"/>
      </w:pPr>
      <w:r w:rsidRPr="002351A8">
        <w:t>Load classification</w:t>
      </w:r>
      <w:r>
        <w:t>:</w:t>
      </w:r>
    </w:p>
    <w:p w14:paraId="61690AB0" w14:textId="77777777" w:rsidR="00667206" w:rsidRDefault="003E556D" w:rsidP="00F936A9">
      <w:pPr>
        <w:pStyle w:val="BodyTextIndentDot"/>
      </w:pPr>
      <w:r>
        <w:t>In accordance with Table</w:t>
      </w:r>
      <w:r w:rsidR="005201BB">
        <w:t> </w:t>
      </w:r>
      <w:r>
        <w:t>5.1.</w:t>
      </w:r>
    </w:p>
    <w:p w14:paraId="15CBEB97" w14:textId="104371B7" w:rsidR="00824DDA" w:rsidRPr="00824DDA" w:rsidRDefault="00824DDA" w:rsidP="00824DDA">
      <w:pPr>
        <w:pStyle w:val="TableIdNum"/>
      </w:pPr>
      <w:r>
        <w:t>Table</w:t>
      </w:r>
      <w:r w:rsidR="00DD4462" w:rsidRPr="002935C9">
        <w:t> </w:t>
      </w:r>
      <w:r>
        <w:t>5.1 – Load classification</w:t>
      </w:r>
    </w:p>
    <w:tbl>
      <w:tblPr>
        <w:tblW w:w="8647" w:type="dxa"/>
        <w:tblInd w:w="709" w:type="dxa"/>
        <w:tblLayout w:type="fixed"/>
        <w:tblLook w:val="00A0" w:firstRow="1" w:lastRow="0" w:firstColumn="1" w:lastColumn="0" w:noHBand="0" w:noVBand="0"/>
      </w:tblPr>
      <w:tblGrid>
        <w:gridCol w:w="4323"/>
        <w:gridCol w:w="4324"/>
      </w:tblGrid>
      <w:tr w:rsidR="00667206" w14:paraId="37C71945" w14:textId="77777777" w:rsidTr="001B0D3F">
        <w:trPr>
          <w:trHeight w:val="397"/>
        </w:trPr>
        <w:tc>
          <w:tcPr>
            <w:tcW w:w="4323" w:type="dxa"/>
            <w:tcBorders>
              <w:top w:val="single" w:sz="12" w:space="0" w:color="auto"/>
              <w:bottom w:val="single" w:sz="12" w:space="0" w:color="auto"/>
            </w:tcBorders>
            <w:shd w:val="pct10" w:color="auto" w:fill="auto"/>
            <w:vAlign w:val="center"/>
          </w:tcPr>
          <w:p w14:paraId="4B19B7AD" w14:textId="77777777" w:rsidR="00667206" w:rsidRDefault="00667206" w:rsidP="00824DDA">
            <w:pPr>
              <w:pStyle w:val="TableHeadCen"/>
            </w:pPr>
            <w:r>
              <w:t>Loading condition</w:t>
            </w:r>
          </w:p>
        </w:tc>
        <w:tc>
          <w:tcPr>
            <w:tcW w:w="4324" w:type="dxa"/>
            <w:tcBorders>
              <w:top w:val="single" w:sz="12" w:space="0" w:color="auto"/>
              <w:bottom w:val="single" w:sz="12" w:space="0" w:color="auto"/>
            </w:tcBorders>
            <w:shd w:val="pct10" w:color="auto" w:fill="auto"/>
            <w:vAlign w:val="center"/>
          </w:tcPr>
          <w:p w14:paraId="34A84E0D" w14:textId="77777777" w:rsidR="00667206" w:rsidRDefault="00667206" w:rsidP="00824DDA">
            <w:pPr>
              <w:pStyle w:val="TableHeadCen"/>
            </w:pPr>
            <w:r>
              <w:t>Class D (heavy duty)</w:t>
            </w:r>
          </w:p>
        </w:tc>
      </w:tr>
      <w:tr w:rsidR="00667206" w14:paraId="23CA8F59" w14:textId="77777777" w:rsidTr="001B0D3F">
        <w:trPr>
          <w:trHeight w:val="340"/>
        </w:trPr>
        <w:tc>
          <w:tcPr>
            <w:tcW w:w="4323" w:type="dxa"/>
            <w:vAlign w:val="center"/>
          </w:tcPr>
          <w:p w14:paraId="6C215005" w14:textId="77777777" w:rsidR="00667206" w:rsidRDefault="00667206" w:rsidP="00824DDA">
            <w:pPr>
              <w:pStyle w:val="TableCen"/>
            </w:pPr>
            <w:r>
              <w:t>Application</w:t>
            </w:r>
          </w:p>
        </w:tc>
        <w:tc>
          <w:tcPr>
            <w:tcW w:w="4324" w:type="dxa"/>
            <w:vAlign w:val="center"/>
          </w:tcPr>
          <w:p w14:paraId="5507B57E" w14:textId="77777777" w:rsidR="00667206" w:rsidRDefault="00667206" w:rsidP="00824DDA">
            <w:pPr>
              <w:pStyle w:val="TableCen"/>
            </w:pPr>
            <w:r>
              <w:t>All road hierarchy classification</w:t>
            </w:r>
          </w:p>
        </w:tc>
      </w:tr>
      <w:tr w:rsidR="00667206" w14:paraId="0469A55D" w14:textId="77777777" w:rsidTr="001B0D3F">
        <w:trPr>
          <w:trHeight w:val="340"/>
        </w:trPr>
        <w:tc>
          <w:tcPr>
            <w:tcW w:w="4323" w:type="dxa"/>
            <w:vAlign w:val="center"/>
          </w:tcPr>
          <w:p w14:paraId="2CEA0461" w14:textId="77777777" w:rsidR="00667206" w:rsidRDefault="00667206" w:rsidP="00AF5426">
            <w:pPr>
              <w:pStyle w:val="TableCen"/>
            </w:pPr>
            <w:r>
              <w:t>Nominal wheel load (kg)</w:t>
            </w:r>
          </w:p>
        </w:tc>
        <w:tc>
          <w:tcPr>
            <w:tcW w:w="4324" w:type="dxa"/>
            <w:vAlign w:val="center"/>
          </w:tcPr>
          <w:p w14:paraId="28B6B5D0" w14:textId="77777777" w:rsidR="00667206" w:rsidRDefault="00667206" w:rsidP="00AF5426">
            <w:pPr>
              <w:pStyle w:val="TableCen"/>
            </w:pPr>
            <w:r>
              <w:t>8000</w:t>
            </w:r>
          </w:p>
        </w:tc>
      </w:tr>
      <w:tr w:rsidR="00667206" w14:paraId="3BAD6A31" w14:textId="77777777" w:rsidTr="001B0D3F">
        <w:trPr>
          <w:trHeight w:val="340"/>
        </w:trPr>
        <w:tc>
          <w:tcPr>
            <w:tcW w:w="4323" w:type="dxa"/>
            <w:vAlign w:val="center"/>
          </w:tcPr>
          <w:p w14:paraId="63F9881F" w14:textId="77777777" w:rsidR="00667206" w:rsidRDefault="00667206" w:rsidP="00824DDA">
            <w:pPr>
              <w:pStyle w:val="TableCen"/>
            </w:pPr>
            <w:r>
              <w:t>Serviceability design load (kN)</w:t>
            </w:r>
          </w:p>
        </w:tc>
        <w:tc>
          <w:tcPr>
            <w:tcW w:w="4324" w:type="dxa"/>
            <w:vAlign w:val="center"/>
          </w:tcPr>
          <w:p w14:paraId="76E7F4F6" w14:textId="77777777" w:rsidR="00667206" w:rsidRDefault="00667206" w:rsidP="00824DDA">
            <w:pPr>
              <w:pStyle w:val="TableCen"/>
            </w:pPr>
            <w:r>
              <w:t>140</w:t>
            </w:r>
          </w:p>
        </w:tc>
      </w:tr>
      <w:tr w:rsidR="00667206" w14:paraId="1A657E15" w14:textId="77777777" w:rsidTr="001B0D3F">
        <w:trPr>
          <w:trHeight w:val="340"/>
        </w:trPr>
        <w:tc>
          <w:tcPr>
            <w:tcW w:w="4323" w:type="dxa"/>
            <w:tcBorders>
              <w:bottom w:val="single" w:sz="12" w:space="0" w:color="auto"/>
            </w:tcBorders>
            <w:vAlign w:val="center"/>
          </w:tcPr>
          <w:p w14:paraId="06CFB824" w14:textId="77777777" w:rsidR="00667206" w:rsidRDefault="00667206" w:rsidP="00AF5426">
            <w:pPr>
              <w:pStyle w:val="TableCen"/>
            </w:pPr>
            <w:r>
              <w:t>Ultimate limit state design load (kN)</w:t>
            </w:r>
          </w:p>
        </w:tc>
        <w:tc>
          <w:tcPr>
            <w:tcW w:w="4324" w:type="dxa"/>
            <w:tcBorders>
              <w:bottom w:val="single" w:sz="12" w:space="0" w:color="auto"/>
            </w:tcBorders>
            <w:vAlign w:val="center"/>
          </w:tcPr>
          <w:p w14:paraId="69D7E47D" w14:textId="77777777" w:rsidR="00667206" w:rsidRDefault="00667206" w:rsidP="00AF5426">
            <w:pPr>
              <w:pStyle w:val="TableCen"/>
            </w:pPr>
            <w:r>
              <w:t>210</w:t>
            </w:r>
          </w:p>
        </w:tc>
      </w:tr>
    </w:tbl>
    <w:p w14:paraId="42A2A9F8" w14:textId="77777777" w:rsidR="00AF5426" w:rsidRDefault="00AF5426" w:rsidP="00AF5426">
      <w:pPr>
        <w:pStyle w:val="BodyTextIndentMinor"/>
      </w:pPr>
      <w:r>
        <w:t xml:space="preserve">Note:  The load classification table is in accordance with </w:t>
      </w:r>
      <w:r w:rsidRPr="005201BB">
        <w:t>AS 3996</w:t>
      </w:r>
      <w:r>
        <w:t>.</w:t>
      </w:r>
    </w:p>
    <w:p w14:paraId="69016238" w14:textId="77777777" w:rsidR="0082181D" w:rsidRDefault="003E556D" w:rsidP="00AF5426">
      <w:pPr>
        <w:pStyle w:val="BodyTextIndentBold"/>
      </w:pPr>
      <w:r w:rsidRPr="002351A8">
        <w:t>Test loads</w:t>
      </w:r>
      <w:r>
        <w:t>:</w:t>
      </w:r>
    </w:p>
    <w:p w14:paraId="7521DCAD" w14:textId="77777777" w:rsidR="0082181D" w:rsidRDefault="0082181D" w:rsidP="00F936A9">
      <w:pPr>
        <w:pStyle w:val="BodyTextIndentDot"/>
      </w:pPr>
      <w:r>
        <w:t>All kerb adaptors shall be designed to load class D (heavy duty) in accordance with Table</w:t>
      </w:r>
      <w:r w:rsidR="000D1BB7">
        <w:t> </w:t>
      </w:r>
      <w:r>
        <w:t>5.1 or Table</w:t>
      </w:r>
      <w:r w:rsidR="000D1BB7">
        <w:t> </w:t>
      </w:r>
      <w:r>
        <w:t xml:space="preserve">3.1 of </w:t>
      </w:r>
      <w:r w:rsidRPr="002B5FE8">
        <w:rPr>
          <w:i/>
        </w:rPr>
        <w:t>AS</w:t>
      </w:r>
      <w:r w:rsidR="00965505" w:rsidRPr="002B5FE8">
        <w:rPr>
          <w:i/>
        </w:rPr>
        <w:t> </w:t>
      </w:r>
      <w:r w:rsidRPr="002B5FE8">
        <w:rPr>
          <w:i/>
        </w:rPr>
        <w:t>3996</w:t>
      </w:r>
      <w:r>
        <w:t xml:space="preserve">. </w:t>
      </w:r>
    </w:p>
    <w:p w14:paraId="2F1BCCFD" w14:textId="77777777" w:rsidR="00590124" w:rsidRDefault="003E556D" w:rsidP="00F936A9">
      <w:pPr>
        <w:pStyle w:val="BodyTextIndentDot"/>
      </w:pPr>
      <w:r>
        <w:t xml:space="preserve">For </w:t>
      </w:r>
      <w:r w:rsidR="0082181D">
        <w:t xml:space="preserve">circular </w:t>
      </w:r>
      <w:r>
        <w:t>opening</w:t>
      </w:r>
      <w:r w:rsidR="00590124">
        <w:footnoteReference w:id="1"/>
      </w:r>
      <w:r>
        <w:t xml:space="preserve"> (</w:t>
      </w:r>
      <w:r w:rsidR="0082181D">
        <w:t>C</w:t>
      </w:r>
      <w:r>
        <w:t xml:space="preserve">O) </w:t>
      </w:r>
      <w:r>
        <w:rPr>
          <w:rFonts w:ascii="Symbol" w:eastAsia="Symbol" w:hAnsi="Symbol" w:cs="Symbol"/>
        </w:rPr>
        <w:t>&lt;</w:t>
      </w:r>
      <w:r w:rsidR="00590124">
        <w:t>250 </w:t>
      </w:r>
      <w:r>
        <w:t xml:space="preserve">mm, </w:t>
      </w:r>
      <w:r w:rsidR="00590124">
        <w:t xml:space="preserve">the </w:t>
      </w:r>
      <w:r>
        <w:t xml:space="preserve">test loads </w:t>
      </w:r>
      <w:r w:rsidR="00590124">
        <w:t>shall be</w:t>
      </w:r>
      <w:r>
        <w:t xml:space="preserve"> the serviceability and ultimate design loads given in Table</w:t>
      </w:r>
      <w:r w:rsidR="000D1BB7">
        <w:t> </w:t>
      </w:r>
      <w:r>
        <w:t xml:space="preserve">5.1 </w:t>
      </w:r>
      <w:r w:rsidR="00590124">
        <w:t>or Table</w:t>
      </w:r>
      <w:r w:rsidR="000D1BB7">
        <w:t> </w:t>
      </w:r>
      <w:r w:rsidR="00590124">
        <w:t xml:space="preserve">3.1 of </w:t>
      </w:r>
      <w:r w:rsidR="00590124" w:rsidRPr="002B5FE8">
        <w:rPr>
          <w:i/>
        </w:rPr>
        <w:t>AS</w:t>
      </w:r>
      <w:r w:rsidR="00965505" w:rsidRPr="002B5FE8">
        <w:rPr>
          <w:i/>
        </w:rPr>
        <w:t> </w:t>
      </w:r>
      <w:r w:rsidR="00590124" w:rsidRPr="002B5FE8">
        <w:rPr>
          <w:i/>
        </w:rPr>
        <w:t>3996</w:t>
      </w:r>
      <w:r w:rsidR="00590124">
        <w:t xml:space="preserve"> </w:t>
      </w:r>
      <w:r>
        <w:t xml:space="preserve">multiplied by </w:t>
      </w:r>
      <w:r w:rsidR="00590124">
        <w:t>the appropriate factor.</w:t>
      </w:r>
    </w:p>
    <w:p w14:paraId="4E9003FD" w14:textId="7EE671C1" w:rsidR="00590124" w:rsidRDefault="00590124" w:rsidP="005201BB">
      <w:pPr>
        <w:pStyle w:val="BodyTextIndentDot"/>
      </w:pPr>
      <w:r>
        <w:t>The Factor is the clear opening</w:t>
      </w:r>
      <w:r>
        <w:footnoteReference w:id="2"/>
      </w:r>
      <w:r>
        <w:t xml:space="preserve"> area, in mm</w:t>
      </w:r>
      <w:r w:rsidRPr="00A9477A">
        <w:rPr>
          <w:vertAlign w:val="superscript"/>
        </w:rPr>
        <w:t>2</w:t>
      </w:r>
      <w:r>
        <w:t xml:space="preserve">, of the top surface divided by </w:t>
      </w:r>
      <w:r w:rsidRPr="009D3CCE">
        <w:rPr>
          <w:rFonts w:cs="Arial"/>
        </w:rPr>
        <w:t>(</w:t>
      </w:r>
      <w:r w:rsidR="001748AF" w:rsidRPr="009D3CCE">
        <w:rPr>
          <w:rFonts w:cs="Arial"/>
          <w:position w:val="-24"/>
        </w:rPr>
        <w:object w:dxaOrig="920" w:dyaOrig="620" w14:anchorId="59E91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n equation.&#10;&#10;The detail contained within this Brisbane City Council Reference specification is of a technical nature and as such is not accessible. For assistance accessing and interpreting this Reference specification please contact Council on 07 3403 8888." style="width:43.2pt;height:28.8pt" o:ole="">
            <v:imagedata r:id="rId20" o:title=""/>
          </v:shape>
          <o:OLEObject Type="Embed" ProgID="Equation.3" ShapeID="_x0000_i1025" DrawAspect="Content" ObjectID="_1698643121" r:id="rId21"/>
        </w:object>
      </w:r>
      <w:r w:rsidRPr="009D3CCE">
        <w:rPr>
          <w:rFonts w:cs="Arial"/>
        </w:rPr>
        <w:t>)</w:t>
      </w:r>
      <w:r w:rsidR="003E556D">
        <w:t xml:space="preserve">.  </w:t>
      </w:r>
    </w:p>
    <w:p w14:paraId="693B4721" w14:textId="77777777" w:rsidR="00590124" w:rsidRDefault="00590124">
      <w:pPr>
        <w:pStyle w:val="BodyTextIndentDot"/>
      </w:pPr>
      <w:r>
        <w:t>Test loads are calculated to be:</w:t>
      </w:r>
    </w:p>
    <w:p w14:paraId="2224A72A" w14:textId="77777777" w:rsidR="00590124" w:rsidRDefault="001B0D3F" w:rsidP="0031727B">
      <w:pPr>
        <w:pStyle w:val="BodyTextIndent"/>
      </w:pPr>
      <w:r>
        <w:rPr>
          <w:rFonts w:cs="Arial"/>
          <w:noProof/>
        </w:rPr>
        <w:object w:dxaOrig="1440" w:dyaOrig="1440" w14:anchorId="732DB87E">
          <v:shape id="_x0000_s1187" type="#_x0000_t75" alt="This is an equation.&#10;&#10;The detail contained within this Brisbane City Council Reference specification is of a technical nature and as such is not accessible. For assistance accessing and interpreting this Reference specification please contact Council on 07 3403 8888." style="position:absolute;left:0;text-align:left;margin-left:95.6pt;margin-top:5.3pt;width:240.95pt;height:46pt;z-index:251661824">
            <v:imagedata r:id="rId22" o:title=""/>
          </v:shape>
          <o:OLEObject Type="Embed" ProgID="Equation.3" ShapeID="_x0000_s1187" DrawAspect="Content" ObjectID="_1698643122" r:id="rId23"/>
        </w:object>
      </w:r>
    </w:p>
    <w:p w14:paraId="41762868" w14:textId="77777777" w:rsidR="00590124" w:rsidRDefault="00590124" w:rsidP="00A9477A">
      <w:pPr>
        <w:pStyle w:val="BodyTextIndent"/>
        <w:ind w:left="1069"/>
      </w:pPr>
    </w:p>
    <w:p w14:paraId="3D487FF3" w14:textId="77777777" w:rsidR="001748AF" w:rsidRDefault="001748AF" w:rsidP="001748AF">
      <w:pPr>
        <w:pStyle w:val="BodyText"/>
      </w:pPr>
      <w:r>
        <w:br w:type="page"/>
      </w:r>
    </w:p>
    <w:p w14:paraId="6CF8EAE1" w14:textId="6927F756" w:rsidR="00EC58B1" w:rsidRPr="00667206" w:rsidRDefault="00EC58B1" w:rsidP="00AF5426">
      <w:pPr>
        <w:pStyle w:val="BodyTextIndentBold"/>
      </w:pPr>
      <w:r w:rsidRPr="00667206">
        <w:lastRenderedPageBreak/>
        <w:t xml:space="preserve">Setup </w:t>
      </w:r>
      <w:r w:rsidR="003E556D" w:rsidRPr="00667206">
        <w:t>Procedure:</w:t>
      </w:r>
    </w:p>
    <w:p w14:paraId="2457B66C" w14:textId="77777777" w:rsidR="00AF5426" w:rsidRDefault="00AF5426" w:rsidP="00AF5426">
      <w:pPr>
        <w:pStyle w:val="BodyTextIndentNum"/>
      </w:pPr>
      <w:r>
        <w:t>Fit appropriate attachments (side formers and base plate) to testing jig.</w:t>
      </w:r>
    </w:p>
    <w:p w14:paraId="53FE0A4D" w14:textId="77777777" w:rsidR="00EC58B1" w:rsidRDefault="003E556D" w:rsidP="00AF5426">
      <w:pPr>
        <w:pStyle w:val="BodyTextIndentNum"/>
      </w:pPr>
      <w:r>
        <w:t xml:space="preserve">Slide movable plate to firmly secure the kerb adaptor in the </w:t>
      </w:r>
      <w:r w:rsidR="00EC58B1">
        <w:t>jig</w:t>
      </w:r>
      <w:r>
        <w:t xml:space="preserve">, </w:t>
      </w:r>
      <w:r w:rsidR="00EC58B1">
        <w:t>and then</w:t>
      </w:r>
      <w:r>
        <w:t xml:space="preserve"> tighten nuts on movable plate. </w:t>
      </w:r>
    </w:p>
    <w:p w14:paraId="53DE073C" w14:textId="77777777" w:rsidR="003E556D" w:rsidRDefault="003E556D" w:rsidP="00AF5426">
      <w:pPr>
        <w:pStyle w:val="BodyTextIndentNum"/>
      </w:pPr>
      <w:r>
        <w:t>Place the testing jig assembly in the hydraulic press unit, with vertical axis of the load bearing block perpendicular to the test surface.  Position dial gauge and pointer arm to record the maximum deflection at the underside of the test surface.</w:t>
      </w:r>
    </w:p>
    <w:p w14:paraId="07C86BC8" w14:textId="77777777" w:rsidR="00EC58B1" w:rsidRDefault="00EC58B1" w:rsidP="00AF5426">
      <w:pPr>
        <w:pStyle w:val="BodyTextIndentBold"/>
      </w:pPr>
      <w:r>
        <w:t>Testing Procedures:</w:t>
      </w:r>
    </w:p>
    <w:p w14:paraId="2EDB891C" w14:textId="77777777" w:rsidR="00EC58B1" w:rsidRPr="00B21BA8" w:rsidRDefault="00EC58B1" w:rsidP="00AF5426">
      <w:pPr>
        <w:pStyle w:val="BodyTextIndent"/>
      </w:pPr>
      <w:r w:rsidRPr="00B21BA8">
        <w:t>Measurement of deflection due to the serviceability design load:</w:t>
      </w:r>
    </w:p>
    <w:p w14:paraId="3727CC84" w14:textId="77777777" w:rsidR="00EC58B1" w:rsidRPr="008675EE" w:rsidRDefault="00EC58B1" w:rsidP="00F936A9">
      <w:pPr>
        <w:pStyle w:val="BodyTextIndentNum"/>
        <w:numPr>
          <w:ilvl w:val="0"/>
          <w:numId w:val="18"/>
        </w:numPr>
        <w:ind w:left="1134" w:hanging="425"/>
      </w:pPr>
      <w:r w:rsidRPr="008675EE">
        <w:t>Before the load is applied, take an initial deflection reading at the geometric centre of the kerb adaptor.</w:t>
      </w:r>
    </w:p>
    <w:p w14:paraId="0CDDB986" w14:textId="77777777" w:rsidR="00EC58B1" w:rsidRDefault="00EC58B1" w:rsidP="00AF5426">
      <w:pPr>
        <w:pStyle w:val="BodyTextIndentNum"/>
      </w:pPr>
      <w:r>
        <w:t>Apply the load at a rate of between 1</w:t>
      </w:r>
      <w:r w:rsidR="008675EE">
        <w:t> </w:t>
      </w:r>
      <w:r>
        <w:t>kN/s to 5</w:t>
      </w:r>
      <w:r w:rsidR="008675EE">
        <w:t> </w:t>
      </w:r>
      <w:r>
        <w:t>kN/s up to the serviceability test load. With the load applied, take a second deflection reading at the geometric centre.</w:t>
      </w:r>
    </w:p>
    <w:p w14:paraId="31230DCA" w14:textId="77777777" w:rsidR="00EC58B1" w:rsidRDefault="00EC58B1" w:rsidP="00AF5426">
      <w:pPr>
        <w:pStyle w:val="BodyTextIndentNum"/>
      </w:pPr>
      <w:r>
        <w:t>Determine the deflection as the difference between the initial deflection reading and the second deflection reading.</w:t>
      </w:r>
    </w:p>
    <w:p w14:paraId="28D4DC7F" w14:textId="77777777" w:rsidR="00EC58B1" w:rsidRPr="00B21BA8" w:rsidRDefault="00EC58B1" w:rsidP="00AF5426">
      <w:pPr>
        <w:pStyle w:val="BodyTextIndent"/>
      </w:pPr>
      <w:r w:rsidRPr="00B21BA8">
        <w:t>Measurement of permanent set due to the serviceability design load:</w:t>
      </w:r>
    </w:p>
    <w:p w14:paraId="091BAD03" w14:textId="77777777" w:rsidR="00EC58B1" w:rsidRPr="00AF5426" w:rsidRDefault="00EC58B1" w:rsidP="00F936A9">
      <w:pPr>
        <w:pStyle w:val="BodyTextIndentNum"/>
        <w:numPr>
          <w:ilvl w:val="0"/>
          <w:numId w:val="19"/>
        </w:numPr>
        <w:ind w:left="1134" w:hanging="425"/>
      </w:pPr>
      <w:r w:rsidRPr="00AF5426">
        <w:t>Before the load is applied, take an initial deflection reading at the geometric centre of the kerb adaptor.</w:t>
      </w:r>
    </w:p>
    <w:p w14:paraId="05C8FA66" w14:textId="0594670C" w:rsidR="00EC58B1" w:rsidRDefault="00EC58B1" w:rsidP="00AF5426">
      <w:pPr>
        <w:pStyle w:val="BodyTextIndentNum"/>
      </w:pPr>
      <w:r>
        <w:t>Apply the load at a rate of between 1</w:t>
      </w:r>
      <w:r w:rsidR="008675EE">
        <w:t> </w:t>
      </w:r>
      <w:r>
        <w:t>kN/s to 5</w:t>
      </w:r>
      <w:r w:rsidR="008675EE">
        <w:t> </w:t>
      </w:r>
      <w:r>
        <w:t>kN/s up to the serviceability test load. Maintain the load on the kerb adaptor for a minimum of 5</w:t>
      </w:r>
      <w:r w:rsidR="00F936A9">
        <w:t> </w:t>
      </w:r>
      <w:r>
        <w:t xml:space="preserve">seconds and then release. </w:t>
      </w:r>
      <w:r w:rsidR="00F936A9">
        <w:t xml:space="preserve"> </w:t>
      </w:r>
      <w:r>
        <w:t xml:space="preserve">Repeat this step </w:t>
      </w:r>
      <w:r w:rsidR="00F936A9">
        <w:t>five</w:t>
      </w:r>
      <w:r w:rsidR="00523329">
        <w:t> </w:t>
      </w:r>
      <w:r w:rsidR="00F936A9">
        <w:t>(</w:t>
      </w:r>
      <w:r>
        <w:t>5</w:t>
      </w:r>
      <w:r w:rsidR="00F936A9">
        <w:t>)</w:t>
      </w:r>
      <w:r w:rsidR="00523329">
        <w:t> </w:t>
      </w:r>
      <w:r>
        <w:t xml:space="preserve">times. </w:t>
      </w:r>
      <w:r w:rsidR="00F936A9">
        <w:t xml:space="preserve"> </w:t>
      </w:r>
      <w:r>
        <w:t>Take a second deflection reading at the geometric centre.</w:t>
      </w:r>
    </w:p>
    <w:p w14:paraId="0A3AD846" w14:textId="77777777" w:rsidR="00EC58B1" w:rsidRDefault="00EC58B1" w:rsidP="00AF5426">
      <w:pPr>
        <w:pStyle w:val="BodyTextIndentNum"/>
      </w:pPr>
      <w:r>
        <w:t xml:space="preserve">Determine the permanent set as the difference between the initial deflection reading and the second deflection reading. </w:t>
      </w:r>
    </w:p>
    <w:p w14:paraId="0E87B845" w14:textId="77777777" w:rsidR="00EC58B1" w:rsidRPr="00B21BA8" w:rsidRDefault="00EC58B1" w:rsidP="00541D16">
      <w:pPr>
        <w:pStyle w:val="BodyTextIndent"/>
      </w:pPr>
      <w:r w:rsidRPr="00B21BA8">
        <w:t>Sustaining the ultimate limit state design load for a set time:</w:t>
      </w:r>
    </w:p>
    <w:p w14:paraId="07B4E372" w14:textId="77777777" w:rsidR="00EC58B1" w:rsidRDefault="00EC58B1" w:rsidP="00F936A9">
      <w:pPr>
        <w:pStyle w:val="BodyTextIndentNum"/>
        <w:numPr>
          <w:ilvl w:val="0"/>
          <w:numId w:val="20"/>
        </w:numPr>
        <w:ind w:left="1134" w:hanging="425"/>
      </w:pPr>
      <w:r>
        <w:t xml:space="preserve">Immediately following the permanent set measurement procedure, apply the ultimate limit state test load at the same rate. </w:t>
      </w:r>
    </w:p>
    <w:p w14:paraId="41863E9E" w14:textId="77777777" w:rsidR="00485909" w:rsidRDefault="00485909" w:rsidP="00AF5426">
      <w:pPr>
        <w:pStyle w:val="BodyTextIndentNum"/>
      </w:pPr>
      <w:r>
        <w:t>Maintain the load for a minimum of 30</w:t>
      </w:r>
      <w:r w:rsidR="000D1BB7">
        <w:t> </w:t>
      </w:r>
      <w:r>
        <w:t>s</w:t>
      </w:r>
      <w:r w:rsidR="00462060">
        <w:t>econds</w:t>
      </w:r>
      <w:r>
        <w:t>.</w:t>
      </w:r>
    </w:p>
    <w:p w14:paraId="561D01B3" w14:textId="77777777" w:rsidR="003E556D" w:rsidRDefault="003E556D" w:rsidP="00541D16">
      <w:pPr>
        <w:pStyle w:val="BodyTextIndentBold"/>
      </w:pPr>
      <w:r w:rsidRPr="002351A8">
        <w:t>Acceptance criteria</w:t>
      </w:r>
      <w:r>
        <w:t>:</w:t>
      </w:r>
    </w:p>
    <w:p w14:paraId="31D702C0" w14:textId="77777777" w:rsidR="00EC58B1" w:rsidRDefault="00485909" w:rsidP="00F936A9">
      <w:pPr>
        <w:pStyle w:val="BodyTextIndentDot"/>
      </w:pPr>
      <w:r w:rsidRPr="00F936A9">
        <w:t>The</w:t>
      </w:r>
      <w:r>
        <w:t xml:space="preserve"> deflection limit and permanent set must not exceed the limits stated in Table</w:t>
      </w:r>
      <w:r w:rsidR="000D1BB7">
        <w:t> </w:t>
      </w:r>
      <w:r>
        <w:t>5.2.</w:t>
      </w:r>
    </w:p>
    <w:p w14:paraId="2091479C" w14:textId="77777777" w:rsidR="00485909" w:rsidRDefault="00485909" w:rsidP="00F936A9">
      <w:pPr>
        <w:pStyle w:val="BodyTextIndentDot"/>
      </w:pPr>
      <w:r>
        <w:t>Sustaining the ultimate limit state test load without collapse or other similar forms of structural failure.</w:t>
      </w:r>
    </w:p>
    <w:p w14:paraId="0074E692" w14:textId="066E2099" w:rsidR="00541D16" w:rsidRDefault="00541D16" w:rsidP="00541D16">
      <w:pPr>
        <w:pStyle w:val="TableIdNum"/>
      </w:pPr>
      <w:r>
        <w:t>Table</w:t>
      </w:r>
      <w:r w:rsidR="00DD4462" w:rsidRPr="002935C9">
        <w:t> </w:t>
      </w:r>
      <w:r>
        <w:t>5.2 – Serviceability Load Permanent set and Deflection Limits</w:t>
      </w:r>
    </w:p>
    <w:tbl>
      <w:tblPr>
        <w:tblW w:w="8647" w:type="dxa"/>
        <w:tblInd w:w="709" w:type="dxa"/>
        <w:tblBorders>
          <w:top w:val="single" w:sz="12" w:space="0" w:color="auto"/>
          <w:bottom w:val="single" w:sz="12" w:space="0" w:color="auto"/>
          <w:insideH w:val="single" w:sz="12" w:space="0" w:color="auto"/>
        </w:tblBorders>
        <w:tblLook w:val="01E0" w:firstRow="1" w:lastRow="1" w:firstColumn="1" w:lastColumn="1" w:noHBand="0" w:noVBand="0"/>
      </w:tblPr>
      <w:tblGrid>
        <w:gridCol w:w="2882"/>
        <w:gridCol w:w="2882"/>
        <w:gridCol w:w="2883"/>
      </w:tblGrid>
      <w:tr w:rsidR="00485909" w14:paraId="1F334C71" w14:textId="77777777" w:rsidTr="00523329">
        <w:trPr>
          <w:trHeight w:val="397"/>
        </w:trPr>
        <w:tc>
          <w:tcPr>
            <w:tcW w:w="2882" w:type="dxa"/>
            <w:shd w:val="clear" w:color="auto" w:fill="BFBFBF" w:themeFill="background1" w:themeFillShade="BF"/>
            <w:vAlign w:val="center"/>
          </w:tcPr>
          <w:p w14:paraId="1FBE19AD" w14:textId="77777777" w:rsidR="00485909" w:rsidRDefault="00485909" w:rsidP="00541D16">
            <w:pPr>
              <w:pStyle w:val="TableHeadCen"/>
            </w:pPr>
            <w:r>
              <w:t>Class</w:t>
            </w:r>
          </w:p>
        </w:tc>
        <w:tc>
          <w:tcPr>
            <w:tcW w:w="2882" w:type="dxa"/>
            <w:shd w:val="clear" w:color="auto" w:fill="BFBFBF" w:themeFill="background1" w:themeFillShade="BF"/>
            <w:vAlign w:val="center"/>
          </w:tcPr>
          <w:p w14:paraId="5AEBC2E3" w14:textId="77777777" w:rsidR="00485909" w:rsidRDefault="00485909" w:rsidP="00541D16">
            <w:pPr>
              <w:pStyle w:val="TableHeadCen"/>
            </w:pPr>
            <w:r>
              <w:t>Maximum Deflection</w:t>
            </w:r>
          </w:p>
        </w:tc>
        <w:tc>
          <w:tcPr>
            <w:tcW w:w="2883" w:type="dxa"/>
            <w:shd w:val="clear" w:color="auto" w:fill="BFBFBF" w:themeFill="background1" w:themeFillShade="BF"/>
            <w:vAlign w:val="center"/>
          </w:tcPr>
          <w:p w14:paraId="21A056EB" w14:textId="77777777" w:rsidR="00485909" w:rsidRDefault="00485909" w:rsidP="00541D16">
            <w:pPr>
              <w:pStyle w:val="TableHeadCen"/>
            </w:pPr>
            <w:r>
              <w:t>Maximum Permanent Set</w:t>
            </w:r>
          </w:p>
        </w:tc>
      </w:tr>
      <w:tr w:rsidR="00485909" w14:paraId="5A979334" w14:textId="77777777" w:rsidTr="00756009">
        <w:trPr>
          <w:trHeight w:val="340"/>
        </w:trPr>
        <w:tc>
          <w:tcPr>
            <w:tcW w:w="2882" w:type="dxa"/>
            <w:vAlign w:val="center"/>
          </w:tcPr>
          <w:p w14:paraId="0E084114" w14:textId="77777777" w:rsidR="00485909" w:rsidRDefault="00485909" w:rsidP="00541D16">
            <w:pPr>
              <w:pStyle w:val="TableCen"/>
            </w:pPr>
            <w:r>
              <w:t>D</w:t>
            </w:r>
          </w:p>
        </w:tc>
        <w:tc>
          <w:tcPr>
            <w:tcW w:w="2882" w:type="dxa"/>
            <w:vAlign w:val="center"/>
          </w:tcPr>
          <w:p w14:paraId="6DB54E51" w14:textId="77777777" w:rsidR="00485909" w:rsidRPr="00661948" w:rsidRDefault="00462060" w:rsidP="00541D16">
            <w:pPr>
              <w:pStyle w:val="TableCen"/>
            </w:pPr>
            <w:r>
              <w:t>15 mm</w:t>
            </w:r>
          </w:p>
        </w:tc>
        <w:tc>
          <w:tcPr>
            <w:tcW w:w="2883" w:type="dxa"/>
            <w:vAlign w:val="center"/>
          </w:tcPr>
          <w:p w14:paraId="5F8A6027" w14:textId="77777777" w:rsidR="00485909" w:rsidRPr="00661948" w:rsidRDefault="00485909" w:rsidP="00541D16">
            <w:pPr>
              <w:pStyle w:val="TableCen"/>
            </w:pPr>
            <w:r w:rsidRPr="00661948">
              <w:t>1</w:t>
            </w:r>
            <w:r w:rsidR="00462060">
              <w:t> </w:t>
            </w:r>
            <w:r w:rsidRPr="00661948">
              <w:t>mm</w:t>
            </w:r>
          </w:p>
        </w:tc>
      </w:tr>
    </w:tbl>
    <w:p w14:paraId="03F72655" w14:textId="77777777" w:rsidR="003E556D" w:rsidRDefault="0097134E" w:rsidP="00903100">
      <w:pPr>
        <w:pStyle w:val="Heading3"/>
      </w:pPr>
      <w:bookmarkStart w:id="45" w:name="_Toc76027931"/>
      <w:r>
        <w:t>Tolerances</w:t>
      </w:r>
      <w:bookmarkEnd w:id="45"/>
    </w:p>
    <w:p w14:paraId="3B8648B2" w14:textId="77777777" w:rsidR="003E556D" w:rsidRDefault="003E556D">
      <w:pPr>
        <w:pStyle w:val="BodyTextIndent"/>
      </w:pPr>
      <w:r w:rsidRPr="002351A8">
        <w:rPr>
          <w:u w:val="single"/>
        </w:rPr>
        <w:t>General requirement</w:t>
      </w:r>
      <w:r>
        <w:t>: Channels do not pond water and the kerb line has no noticeable kinks in line or level.</w:t>
      </w:r>
    </w:p>
    <w:p w14:paraId="299FA8E3" w14:textId="77777777" w:rsidR="003E556D" w:rsidRDefault="003E556D">
      <w:pPr>
        <w:pStyle w:val="BodyTextIndent"/>
      </w:pPr>
      <w:r w:rsidRPr="002351A8">
        <w:rPr>
          <w:u w:val="single"/>
        </w:rPr>
        <w:t>Vertical alignment</w:t>
      </w:r>
      <w:r>
        <w:t xml:space="preserve">: </w:t>
      </w:r>
      <w:r>
        <w:rPr>
          <w:rFonts w:ascii="Symbol" w:eastAsia="Symbol" w:hAnsi="Symbol" w:cs="Symbol"/>
        </w:rPr>
        <w:t>±</w:t>
      </w:r>
      <w:r>
        <w:t> 10 mm from the design level at any point.</w:t>
      </w:r>
    </w:p>
    <w:p w14:paraId="6D1EC63B" w14:textId="77777777" w:rsidR="003E556D" w:rsidRDefault="003E556D">
      <w:pPr>
        <w:pStyle w:val="BodyTextIndent"/>
      </w:pPr>
      <w:r w:rsidRPr="002351A8">
        <w:rPr>
          <w:u w:val="single"/>
        </w:rPr>
        <w:t>Horizontal alignment</w:t>
      </w:r>
      <w:r>
        <w:t xml:space="preserve">: </w:t>
      </w:r>
      <w:r>
        <w:rPr>
          <w:rFonts w:ascii="Symbol" w:eastAsia="Symbol" w:hAnsi="Symbol" w:cs="Symbol"/>
        </w:rPr>
        <w:t>±</w:t>
      </w:r>
      <w:r>
        <w:t> 25 mm from the design alignment at any point.</w:t>
      </w:r>
    </w:p>
    <w:p w14:paraId="50A7C75C" w14:textId="77777777" w:rsidR="003E556D" w:rsidRDefault="003E556D">
      <w:pPr>
        <w:pStyle w:val="BodyTextIndent"/>
      </w:pPr>
      <w:r w:rsidRPr="002351A8">
        <w:rPr>
          <w:u w:val="single"/>
        </w:rPr>
        <w:t>Deviation from a 3 m straightedge laid in parallel to the centreline</w:t>
      </w:r>
      <w:r>
        <w:t>: Maximum 5 mm at any point.</w:t>
      </w:r>
    </w:p>
    <w:p w14:paraId="4F97ED10" w14:textId="77777777" w:rsidR="003E556D" w:rsidRDefault="003E556D">
      <w:pPr>
        <w:pStyle w:val="BodyTextIndent"/>
      </w:pPr>
      <w:r w:rsidRPr="002351A8">
        <w:rPr>
          <w:u w:val="single"/>
        </w:rPr>
        <w:t>Profile dimensions</w:t>
      </w:r>
      <w:r>
        <w:t>: The overall width does not differ by more than 15 mm and the dimension at any point does not differ by more than 5 mm.</w:t>
      </w:r>
    </w:p>
    <w:p w14:paraId="126E5416" w14:textId="5D7D1494" w:rsidR="003E556D" w:rsidRDefault="001B0D3F" w:rsidP="00903100">
      <w:pPr>
        <w:pStyle w:val="Heading2"/>
      </w:pPr>
      <w:bookmarkStart w:id="46" w:name="_Toc493942093"/>
      <w:bookmarkStart w:id="47" w:name="_Toc493986932"/>
      <w:bookmarkStart w:id="48" w:name="_Toc76027932"/>
      <w:r>
        <w:rPr>
          <w:caps w:val="0"/>
        </w:rPr>
        <w:lastRenderedPageBreak/>
        <w:t>CONCRETE SLABS</w:t>
      </w:r>
      <w:bookmarkEnd w:id="46"/>
      <w:bookmarkEnd w:id="47"/>
      <w:bookmarkEnd w:id="48"/>
    </w:p>
    <w:p w14:paraId="2D9C783B" w14:textId="77777777" w:rsidR="003E556D" w:rsidRDefault="0097134E" w:rsidP="00903100">
      <w:pPr>
        <w:pStyle w:val="Heading3"/>
      </w:pPr>
      <w:bookmarkStart w:id="49" w:name="_Toc76027933"/>
      <w:r>
        <w:t>General</w:t>
      </w:r>
      <w:bookmarkEnd w:id="49"/>
    </w:p>
    <w:p w14:paraId="66BD37AA" w14:textId="77777777" w:rsidR="003E556D" w:rsidRDefault="003E556D">
      <w:pPr>
        <w:pStyle w:val="BodyTextIndent"/>
      </w:pPr>
      <w:r w:rsidRPr="002351A8">
        <w:rPr>
          <w:u w:val="single"/>
        </w:rPr>
        <w:t>Scope</w:t>
      </w:r>
      <w:r>
        <w:t>: Footpaths, bikeways, vehicular crossings, kerb ramps, median infills and other like elements.</w:t>
      </w:r>
    </w:p>
    <w:p w14:paraId="040D527F" w14:textId="77777777" w:rsidR="003E556D" w:rsidRDefault="003E556D">
      <w:pPr>
        <w:pStyle w:val="BodyTextIndent"/>
      </w:pPr>
      <w:r w:rsidRPr="002351A8">
        <w:rPr>
          <w:u w:val="single"/>
        </w:rPr>
        <w:t>Formwork</w:t>
      </w:r>
      <w:r>
        <w:t>: Provide formwork to sides, construction joints and ends.  Class 3 surface finish to AS 3610.</w:t>
      </w:r>
    </w:p>
    <w:p w14:paraId="0E228E88" w14:textId="77777777" w:rsidR="003E556D" w:rsidRDefault="003E556D">
      <w:pPr>
        <w:pStyle w:val="BodyTextIndent"/>
      </w:pPr>
      <w:r w:rsidRPr="0035198C">
        <w:rPr>
          <w:u w:val="single"/>
        </w:rPr>
        <w:t>Concrete</w:t>
      </w:r>
      <w:r w:rsidRPr="0035198C">
        <w:t xml:space="preserve">: All concrete to be N25 </w:t>
      </w:r>
      <w:r w:rsidR="000D1BB7" w:rsidRPr="0035198C">
        <w:t xml:space="preserve">or N32 </w:t>
      </w:r>
      <w:r w:rsidRPr="0035198C">
        <w:t>grade</w:t>
      </w:r>
      <w:r w:rsidR="000D1BB7" w:rsidRPr="0035198C">
        <w:t xml:space="preserve"> (refer to Standard Drawings)</w:t>
      </w:r>
      <w:r w:rsidRPr="0035198C">
        <w:t>.</w:t>
      </w:r>
    </w:p>
    <w:p w14:paraId="5EC2BA51" w14:textId="4DA1365A" w:rsidR="003E556D" w:rsidRDefault="003E556D">
      <w:pPr>
        <w:pStyle w:val="BodyTextIndent"/>
      </w:pPr>
      <w:r w:rsidRPr="002351A8">
        <w:rPr>
          <w:u w:val="single"/>
        </w:rPr>
        <w:t>Placing and curing</w:t>
      </w:r>
      <w:r>
        <w:t xml:space="preserve">: The provisions of </w:t>
      </w:r>
      <w:r w:rsidR="00AF601B" w:rsidRPr="007930B6">
        <w:rPr>
          <w:i/>
          <w:iCs/>
        </w:rPr>
        <w:t>Reference Specif</w:t>
      </w:r>
      <w:r w:rsidR="007930B6" w:rsidRPr="007930B6">
        <w:rPr>
          <w:i/>
          <w:iCs/>
        </w:rPr>
        <w:t>ication</w:t>
      </w:r>
      <w:r w:rsidR="007930B6">
        <w:t xml:space="preserve"> </w:t>
      </w:r>
      <w:r>
        <w:rPr>
          <w:i/>
        </w:rPr>
        <w:t>S200</w:t>
      </w:r>
      <w:r w:rsidR="007930B6">
        <w:rPr>
          <w:i/>
        </w:rPr>
        <w:t xml:space="preserve"> </w:t>
      </w:r>
      <w:r>
        <w:rPr>
          <w:i/>
        </w:rPr>
        <w:t xml:space="preserve">Concrete Work Clause 6.0 </w:t>
      </w:r>
      <w:r>
        <w:t>do not apply.  Provide concrete with no cracks greater than 0.3 mm wide (other than in control joints) and with unimpaired slip resistance and colour uniformity.</w:t>
      </w:r>
    </w:p>
    <w:p w14:paraId="6F729721" w14:textId="77777777" w:rsidR="003E556D" w:rsidRDefault="0097134E" w:rsidP="00903100">
      <w:pPr>
        <w:pStyle w:val="Heading3"/>
      </w:pPr>
      <w:bookmarkStart w:id="50" w:name="_Toc76027934"/>
      <w:r>
        <w:t>Joints</w:t>
      </w:r>
      <w:bookmarkEnd w:id="50"/>
    </w:p>
    <w:p w14:paraId="1A1CC7CC" w14:textId="77777777" w:rsidR="003E556D" w:rsidRDefault="003E556D">
      <w:pPr>
        <w:pStyle w:val="BodyTextIndent"/>
      </w:pPr>
      <w:r w:rsidRPr="002351A8">
        <w:rPr>
          <w:u w:val="single"/>
        </w:rPr>
        <w:t>Spacing</w:t>
      </w:r>
      <w:r>
        <w:t>: Space to match service pits and other discontinuity in cross-section.</w:t>
      </w:r>
    </w:p>
    <w:p w14:paraId="5D29ABDC" w14:textId="77777777" w:rsidR="003E556D" w:rsidRDefault="003E556D">
      <w:pPr>
        <w:pStyle w:val="BodyTextIndent"/>
      </w:pPr>
      <w:r w:rsidRPr="002351A8">
        <w:rPr>
          <w:u w:val="single"/>
        </w:rPr>
        <w:t>Construction joints</w:t>
      </w:r>
      <w:r>
        <w:t>: Locate at contraction or expansion joints.</w:t>
      </w:r>
    </w:p>
    <w:p w14:paraId="22B2ED17" w14:textId="77777777" w:rsidR="003E556D" w:rsidRDefault="003E556D">
      <w:pPr>
        <w:pStyle w:val="BodyTextIndent"/>
      </w:pPr>
      <w:r w:rsidRPr="002351A8">
        <w:rPr>
          <w:u w:val="single"/>
        </w:rPr>
        <w:t>Contraction or shrinkage control joints</w:t>
      </w:r>
      <w:r>
        <w:t>: Unless specified otherwise, maximum spacing in unreinforced or nominally reinforced concrete is 4 m.  Use weakened plane joints to at least one-third depth and 6 mm wide.  Saw cut or use crack inducers with a life of 25</w:t>
      </w:r>
      <w:r w:rsidR="000D1BB7">
        <w:t> </w:t>
      </w:r>
      <w:r>
        <w:t>years.  Bolster cut joints must be to half depth and faired to surface with a radius of 5 - 6 mm.  Where relevant, locate joints to line up with contraction joints in adjacent structures or edge restraints.</w:t>
      </w:r>
    </w:p>
    <w:p w14:paraId="453E60D9" w14:textId="77777777" w:rsidR="003E556D" w:rsidRDefault="003E556D">
      <w:pPr>
        <w:pStyle w:val="BodyTextIndent"/>
      </w:pPr>
      <w:r w:rsidRPr="002351A8">
        <w:rPr>
          <w:u w:val="single"/>
        </w:rPr>
        <w:t>Expansion joints</w:t>
      </w:r>
      <w:r>
        <w:t>: Unless specified otherwise, the maximum spacing in un-reinforced or nominally reinforced concrete is 16 m.  Provide additional expansion joints between the concrete slab and abutting edge restraints.  Form joints with full depth 10 mm closed cell close linked polyethylene foam 85 – 150 kg/m</w:t>
      </w:r>
      <w:r>
        <w:rPr>
          <w:vertAlign w:val="superscript"/>
        </w:rPr>
        <w:t>3</w:t>
      </w:r>
      <w:r>
        <w:t xml:space="preserve"> (with 10 mm removable top section) securely taped to the end form.  </w:t>
      </w:r>
      <w:r w:rsidRPr="00285F88">
        <w:t xml:space="preserve">Seal surface of joint with a </w:t>
      </w:r>
      <w:r w:rsidR="00285F88" w:rsidRPr="0035198C">
        <w:t>polyurethane sealant suitable for sealing continuous and pronounced cyclic movements in concrete joints</w:t>
      </w:r>
      <w:r w:rsidRPr="0035198C">
        <w:t>.</w:t>
      </w:r>
    </w:p>
    <w:p w14:paraId="05164857" w14:textId="77777777" w:rsidR="003E556D" w:rsidRDefault="0097134E" w:rsidP="00903100">
      <w:pPr>
        <w:pStyle w:val="Heading3"/>
      </w:pPr>
      <w:bookmarkStart w:id="51" w:name="_Toc76027935"/>
      <w:r>
        <w:t>Tolerances</w:t>
      </w:r>
      <w:bookmarkEnd w:id="51"/>
    </w:p>
    <w:p w14:paraId="42E1ED79" w14:textId="77777777" w:rsidR="003E556D" w:rsidRDefault="003E556D">
      <w:pPr>
        <w:pStyle w:val="BodyTextIndent"/>
      </w:pPr>
      <w:r w:rsidRPr="002351A8">
        <w:rPr>
          <w:u w:val="single"/>
        </w:rPr>
        <w:t>Pavement edges</w:t>
      </w:r>
      <w:r>
        <w:t>: Shape new pavement surface to match existing features such as pit covers or driveways to within 5 mm.</w:t>
      </w:r>
    </w:p>
    <w:p w14:paraId="706019D0" w14:textId="6E5CA909" w:rsidR="003E556D" w:rsidRDefault="003E556D">
      <w:pPr>
        <w:pStyle w:val="BodyTextIndent"/>
      </w:pPr>
      <w:r w:rsidRPr="002351A8">
        <w:rPr>
          <w:u w:val="single"/>
        </w:rPr>
        <w:t>Absolute level tolerance</w:t>
      </w:r>
      <w:r>
        <w:t xml:space="preserve">: </w:t>
      </w:r>
      <w:r w:rsidR="00161272">
        <w:rPr>
          <w:rFonts w:cs="Arial"/>
        </w:rPr>
        <w:t>±</w:t>
      </w:r>
      <w:r>
        <w:t>25 mm.</w:t>
      </w:r>
    </w:p>
    <w:p w14:paraId="31CB3F1E" w14:textId="77777777" w:rsidR="003E556D" w:rsidRDefault="003E556D">
      <w:pPr>
        <w:pStyle w:val="BodyTextIndent"/>
      </w:pPr>
      <w:r w:rsidRPr="002351A8">
        <w:rPr>
          <w:u w:val="single"/>
        </w:rPr>
        <w:t>Maximum deviation relative to a 3 m straightedge</w:t>
      </w:r>
      <w:r>
        <w:t>: 5 mm.</w:t>
      </w:r>
    </w:p>
    <w:p w14:paraId="5D4133CB" w14:textId="77777777" w:rsidR="003E556D" w:rsidRDefault="003E556D">
      <w:pPr>
        <w:pStyle w:val="BodyTextIndent"/>
      </w:pPr>
      <w:r w:rsidRPr="002351A8">
        <w:rPr>
          <w:u w:val="single"/>
        </w:rPr>
        <w:t>Discontinuity in pavement surface levels</w:t>
      </w:r>
      <w:r>
        <w:t>: For pedestrian areas 1.5 mm, for roadways 2 mm.</w:t>
      </w:r>
    </w:p>
    <w:p w14:paraId="296CE10B" w14:textId="77777777" w:rsidR="003E556D" w:rsidRDefault="003E556D">
      <w:pPr>
        <w:pStyle w:val="BodyTextIndent"/>
      </w:pPr>
      <w:r w:rsidRPr="002351A8">
        <w:rPr>
          <w:u w:val="single"/>
        </w:rPr>
        <w:t>Maximum deviation of edge from design alignment</w:t>
      </w:r>
      <w:r>
        <w:t>: 25 mm.</w:t>
      </w:r>
    </w:p>
    <w:p w14:paraId="510224DB" w14:textId="77777777" w:rsidR="003E556D" w:rsidRDefault="003E556D">
      <w:pPr>
        <w:pStyle w:val="BodyTextIndent"/>
      </w:pPr>
      <w:r w:rsidRPr="002351A8">
        <w:rPr>
          <w:u w:val="single"/>
        </w:rPr>
        <w:t>Width</w:t>
      </w:r>
      <w:r>
        <w:t>: - 0 mm, + 35 mm.</w:t>
      </w:r>
    </w:p>
    <w:p w14:paraId="5A4CD8CC" w14:textId="77777777" w:rsidR="003E556D" w:rsidRDefault="003E556D">
      <w:pPr>
        <w:pStyle w:val="BodyTextIndent"/>
      </w:pPr>
      <w:r w:rsidRPr="002351A8">
        <w:rPr>
          <w:u w:val="single"/>
        </w:rPr>
        <w:t>Thickness</w:t>
      </w:r>
      <w:r>
        <w:t>: - 5 mm, + 30 mm.</w:t>
      </w:r>
    </w:p>
    <w:p w14:paraId="5125F1E2" w14:textId="77777777" w:rsidR="003E556D" w:rsidRDefault="003E556D">
      <w:pPr>
        <w:pStyle w:val="BodyTextIndent"/>
      </w:pPr>
      <w:r w:rsidRPr="002351A8">
        <w:rPr>
          <w:u w:val="single"/>
        </w:rPr>
        <w:t>Maximum deviation from a 3 m straightedge placed on vertical, or sloping surfaces required to be straight</w:t>
      </w:r>
      <w:r>
        <w:t>: 10 mm.</w:t>
      </w:r>
    </w:p>
    <w:p w14:paraId="37BD5AE5" w14:textId="77777777" w:rsidR="003E556D" w:rsidRDefault="003E556D">
      <w:pPr>
        <w:pStyle w:val="BodyTextIndent"/>
      </w:pPr>
      <w:r w:rsidRPr="002351A8">
        <w:rPr>
          <w:u w:val="single"/>
        </w:rPr>
        <w:t>Drainage</w:t>
      </w:r>
      <w:r>
        <w:t>: All surfaces must be free draining.</w:t>
      </w:r>
    </w:p>
    <w:p w14:paraId="7654DD54" w14:textId="10E6FF38" w:rsidR="003E556D" w:rsidRDefault="001B0D3F" w:rsidP="00903100">
      <w:pPr>
        <w:pStyle w:val="Heading2"/>
      </w:pPr>
      <w:bookmarkStart w:id="52" w:name="_Toc76027936"/>
      <w:r>
        <w:rPr>
          <w:caps w:val="0"/>
        </w:rPr>
        <w:t xml:space="preserve">SURFACE </w:t>
      </w:r>
      <w:r w:rsidRPr="00266F79">
        <w:rPr>
          <w:caps w:val="0"/>
        </w:rPr>
        <w:t>TREATMENTS</w:t>
      </w:r>
      <w:bookmarkEnd w:id="52"/>
    </w:p>
    <w:p w14:paraId="30BBCD10" w14:textId="77777777" w:rsidR="003E556D" w:rsidRDefault="003E556D" w:rsidP="00903100">
      <w:pPr>
        <w:pStyle w:val="Heading3"/>
      </w:pPr>
      <w:bookmarkStart w:id="53" w:name="_Toc76027937"/>
      <w:r w:rsidRPr="00266F79">
        <w:t>General</w:t>
      </w:r>
      <w:bookmarkEnd w:id="53"/>
    </w:p>
    <w:p w14:paraId="2FB6A7DE" w14:textId="0F3C156B" w:rsidR="003E556D" w:rsidRDefault="003E556D">
      <w:pPr>
        <w:pStyle w:val="BodyTextIndent"/>
      </w:pPr>
      <w:r>
        <w:t>This clause applies to coloured treatments, texturing, decorative, and high friction surfacing systems on asphalt and concrete surfaces.</w:t>
      </w:r>
      <w:r w:rsidR="00AD21C8">
        <w:t xml:space="preserve">  The </w:t>
      </w:r>
      <w:r w:rsidR="008B32AF">
        <w:t>requirements for Coloured Surface Treatments have</w:t>
      </w:r>
      <w:r w:rsidR="00AD21C8">
        <w:t xml:space="preserve"> been moved to </w:t>
      </w:r>
      <w:r w:rsidR="00AD21C8" w:rsidRPr="00865074">
        <w:rPr>
          <w:i/>
        </w:rPr>
        <w:t xml:space="preserve">Reference Specification </w:t>
      </w:r>
      <w:r w:rsidR="008B32AF" w:rsidRPr="00865074">
        <w:rPr>
          <w:i/>
        </w:rPr>
        <w:t>S155</w:t>
      </w:r>
      <w:r w:rsidR="0092523B">
        <w:rPr>
          <w:i/>
        </w:rPr>
        <w:t xml:space="preserve"> Road Pavement Marking</w:t>
      </w:r>
      <w:r w:rsidR="00AD21C8">
        <w:t>.</w:t>
      </w:r>
    </w:p>
    <w:p w14:paraId="0D52CD50" w14:textId="6DCC7A65" w:rsidR="003E556D" w:rsidRDefault="001B0D3F" w:rsidP="00903100">
      <w:pPr>
        <w:pStyle w:val="Heading2"/>
      </w:pPr>
      <w:bookmarkStart w:id="54" w:name="_Toc76027938"/>
      <w:r>
        <w:rPr>
          <w:caps w:val="0"/>
        </w:rPr>
        <w:lastRenderedPageBreak/>
        <w:t>TRAFFIC SIGNS</w:t>
      </w:r>
      <w:bookmarkEnd w:id="54"/>
    </w:p>
    <w:p w14:paraId="3C9B2B7D" w14:textId="77777777" w:rsidR="003E556D" w:rsidRDefault="003E556D" w:rsidP="00903100">
      <w:pPr>
        <w:pStyle w:val="Heading3"/>
      </w:pPr>
      <w:bookmarkStart w:id="55" w:name="_Toc76027939"/>
      <w:r>
        <w:t>General requirement</w:t>
      </w:r>
      <w:bookmarkEnd w:id="55"/>
    </w:p>
    <w:p w14:paraId="27E02172" w14:textId="1B88D844" w:rsidR="00E316C8" w:rsidRDefault="00E316C8" w:rsidP="00541D16">
      <w:pPr>
        <w:pStyle w:val="BodyTextIndent"/>
      </w:pPr>
      <w:r>
        <w:t xml:space="preserve">This clause applies to supply of traffic signs, poles and fitments.  The </w:t>
      </w:r>
      <w:r w:rsidR="008B32AF">
        <w:t>requirements for Traffic Signs have</w:t>
      </w:r>
      <w:r>
        <w:t xml:space="preserve"> been moved to </w:t>
      </w:r>
      <w:r w:rsidRPr="00865074">
        <w:rPr>
          <w:i/>
        </w:rPr>
        <w:t xml:space="preserve">Reference Specification </w:t>
      </w:r>
      <w:r w:rsidR="008B32AF" w:rsidRPr="00865074">
        <w:rPr>
          <w:i/>
        </w:rPr>
        <w:t>S154</w:t>
      </w:r>
      <w:r w:rsidR="00D74475">
        <w:rPr>
          <w:i/>
        </w:rPr>
        <w:t xml:space="preserve"> Traffic Signs and Roadside Furniture</w:t>
      </w:r>
      <w:r>
        <w:t>.</w:t>
      </w:r>
    </w:p>
    <w:p w14:paraId="5C6FCD62" w14:textId="3FFBF730" w:rsidR="003E556D" w:rsidRDefault="001B0D3F" w:rsidP="00903100">
      <w:pPr>
        <w:pStyle w:val="Heading2"/>
      </w:pPr>
      <w:bookmarkStart w:id="56" w:name="_Toc79207614"/>
      <w:bookmarkStart w:id="57" w:name="_Toc76027940"/>
      <w:r>
        <w:rPr>
          <w:caps w:val="0"/>
        </w:rPr>
        <w:t>PAVEMENT MARKING</w:t>
      </w:r>
      <w:bookmarkEnd w:id="56"/>
      <w:bookmarkEnd w:id="57"/>
    </w:p>
    <w:p w14:paraId="48270091" w14:textId="77777777" w:rsidR="003E556D" w:rsidRDefault="0097134E" w:rsidP="00903100">
      <w:pPr>
        <w:pStyle w:val="Heading3"/>
      </w:pPr>
      <w:bookmarkStart w:id="58" w:name="_Toc79207615"/>
      <w:bookmarkStart w:id="59" w:name="_Toc76027941"/>
      <w:r>
        <w:t>General</w:t>
      </w:r>
      <w:bookmarkEnd w:id="58"/>
      <w:bookmarkEnd w:id="59"/>
    </w:p>
    <w:p w14:paraId="1B4D9DF5" w14:textId="7CAFDF2B" w:rsidR="00E316C8" w:rsidRDefault="00E316C8" w:rsidP="00E316C8">
      <w:pPr>
        <w:pStyle w:val="BodyTextIndent"/>
      </w:pPr>
      <w:r>
        <w:t xml:space="preserve">This clause applies to installation of general longitudinal and transverse pavement marking.  The requirements for Longitudinal and Transverse Pavement Markings been moved to </w:t>
      </w:r>
      <w:r w:rsidRPr="00865074">
        <w:rPr>
          <w:i/>
        </w:rPr>
        <w:t xml:space="preserve">Reference Specification </w:t>
      </w:r>
      <w:r w:rsidR="008B32AF" w:rsidRPr="00865074">
        <w:rPr>
          <w:i/>
        </w:rPr>
        <w:t>S155</w:t>
      </w:r>
      <w:r w:rsidR="00D74475">
        <w:rPr>
          <w:i/>
        </w:rPr>
        <w:t xml:space="preserve"> Road Pavement Marking</w:t>
      </w:r>
      <w:r>
        <w:t>.</w:t>
      </w:r>
    </w:p>
    <w:p w14:paraId="0BB18D55" w14:textId="35BF4620" w:rsidR="003E556D" w:rsidRDefault="001B0D3F" w:rsidP="00903100">
      <w:pPr>
        <w:pStyle w:val="Heading2"/>
      </w:pPr>
      <w:bookmarkStart w:id="60" w:name="_Toc493942094"/>
      <w:bookmarkStart w:id="61" w:name="_Toc493986933"/>
      <w:bookmarkStart w:id="62" w:name="_Toc76027942"/>
      <w:r>
        <w:rPr>
          <w:caps w:val="0"/>
        </w:rPr>
        <w:t>OTHER SURFACE FEATURES</w:t>
      </w:r>
      <w:bookmarkEnd w:id="60"/>
      <w:bookmarkEnd w:id="61"/>
      <w:bookmarkEnd w:id="62"/>
    </w:p>
    <w:p w14:paraId="3587BABD" w14:textId="77777777" w:rsidR="002750A8" w:rsidRDefault="0097134E" w:rsidP="00903100">
      <w:pPr>
        <w:pStyle w:val="Heading3"/>
      </w:pPr>
      <w:bookmarkStart w:id="63" w:name="_Toc76027943"/>
      <w:r>
        <w:t>General</w:t>
      </w:r>
      <w:bookmarkEnd w:id="63"/>
    </w:p>
    <w:p w14:paraId="3313BBBA" w14:textId="425FA732" w:rsidR="00E316C8" w:rsidRDefault="00E316C8" w:rsidP="00E316C8">
      <w:pPr>
        <w:pStyle w:val="BodyTextIndent"/>
      </w:pPr>
      <w:r>
        <w:t xml:space="preserve">This clause applies to the supply and installation of guide posts and steel beam guardrail </w:t>
      </w:r>
      <w:r w:rsidR="008B32AF">
        <w:t>and</w:t>
      </w:r>
      <w:r>
        <w:t xml:space="preserve"> end terminals.  The </w:t>
      </w:r>
      <w:r w:rsidR="008B32AF">
        <w:t>requirements for Road Edge Guide Posts, Steel Beam Guardrail, Guardrail End Terminals and Energy Absorbing Bollards have</w:t>
      </w:r>
      <w:r>
        <w:t xml:space="preserve"> been moved to </w:t>
      </w:r>
      <w:r w:rsidRPr="00865074">
        <w:rPr>
          <w:i/>
        </w:rPr>
        <w:t xml:space="preserve">Reference Specification </w:t>
      </w:r>
      <w:r w:rsidR="008B32AF" w:rsidRPr="00865074">
        <w:rPr>
          <w:i/>
        </w:rPr>
        <w:t>S154</w:t>
      </w:r>
      <w:r w:rsidR="00D74475">
        <w:rPr>
          <w:i/>
        </w:rPr>
        <w:t xml:space="preserve"> Traffic Signs and Roadside Furniture</w:t>
      </w:r>
      <w:r>
        <w:t>.</w:t>
      </w:r>
    </w:p>
    <w:sectPr w:rsidR="00E316C8" w:rsidSect="000C4B51">
      <w:footerReference w:type="default" r:id="rId24"/>
      <w:footnotePr>
        <w:numFmt w:val="lowerRoman"/>
      </w:footnotePr>
      <w:pgSz w:w="11906" w:h="16838" w:code="9"/>
      <w:pgMar w:top="1134"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C35A" w14:textId="77777777" w:rsidR="00BD6C63" w:rsidRDefault="00BD6C63" w:rsidP="002B5FE8">
      <w:pPr>
        <w:pStyle w:val="Amend"/>
      </w:pPr>
      <w:r>
        <w:separator/>
      </w:r>
    </w:p>
  </w:endnote>
  <w:endnote w:type="continuationSeparator" w:id="0">
    <w:p w14:paraId="1186B8A7" w14:textId="77777777" w:rsidR="00BD6C63" w:rsidRDefault="00BD6C63" w:rsidP="002B5FE8">
      <w:pPr>
        <w:pStyle w:val="Ame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4400" w14:textId="7D843BD5" w:rsidR="00903100" w:rsidRDefault="00903100" w:rsidP="00220345">
    <w:pPr>
      <w:pStyle w:val="Footer"/>
    </w:pPr>
    <w:r>
      <w:t>Revision 7.0 –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B4811" w14:textId="77777777" w:rsidR="00903100" w:rsidRPr="00220345" w:rsidRDefault="00903100" w:rsidP="00220345">
    <w:pPr>
      <w:pStyle w:val="Footer"/>
    </w:pPr>
    <w:r w:rsidRPr="00220345">
      <mc:AlternateContent>
        <mc:Choice Requires="wps">
          <w:drawing>
            <wp:anchor distT="0" distB="0" distL="114300" distR="114300" simplePos="0" relativeHeight="251673600" behindDoc="0" locked="0" layoutInCell="1" allowOverlap="1" wp14:anchorId="64D89B33" wp14:editId="64C6EA70">
              <wp:simplePos x="0" y="0"/>
              <wp:positionH relativeFrom="page">
                <wp:posOffset>5760720</wp:posOffset>
              </wp:positionH>
              <wp:positionV relativeFrom="page">
                <wp:posOffset>8281035</wp:posOffset>
              </wp:positionV>
              <wp:extent cx="2879725" cy="269875"/>
              <wp:effectExtent l="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20966">
                        <a:off x="0" y="0"/>
                        <a:ext cx="2879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28D934"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10218E0A" w14:textId="77777777"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89B33" id="_x0000_t202" coordsize="21600,21600" o:spt="202" path="m,l,21600r21600,l21600,xe">
              <v:stroke joinstyle="miter"/>
              <v:path gradientshapeok="t" o:connecttype="rect"/>
            </v:shapetype>
            <v:shape id="Text Box 2" o:spid="_x0000_s1027" type="#_x0000_t202" style="position:absolute;left:0;text-align:left;margin-left:453.6pt;margin-top:652.05pt;width:226.75pt;height:21.25pt;rotation:-5921140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" filled="f" stroked="f">
              <v:stroke joinstyle="round"/>
              <o:lock v:ext="edit" shapetype="t"/>
              <v:textbox style="layout-flow:vertical;mso-layout-flow-alt:bottom-to-top">
                <w:txbxContent>
                  <w:p w14:paraId="4E28D934"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10218E0A" w14:textId="77777777"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rsidRPr="00220345">
      <w:t>Revision 7.0 –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FCC4" w14:textId="401D696D" w:rsidR="00903100" w:rsidRDefault="00903100" w:rsidP="00220345">
    <w:pPr>
      <w:pStyle w:val="Footer"/>
    </w:pPr>
    <w:r>
      <mc:AlternateContent>
        <mc:Choice Requires="wps">
          <w:drawing>
            <wp:anchor distT="0" distB="0" distL="114300" distR="114300" simplePos="0" relativeHeight="251667456" behindDoc="0" locked="0" layoutInCell="1" allowOverlap="1" wp14:anchorId="2796B708" wp14:editId="5BF880DA">
              <wp:simplePos x="0" y="0"/>
              <wp:positionH relativeFrom="page">
                <wp:posOffset>5760720</wp:posOffset>
              </wp:positionH>
              <wp:positionV relativeFrom="page">
                <wp:posOffset>8281035</wp:posOffset>
              </wp:positionV>
              <wp:extent cx="2879725" cy="269875"/>
              <wp:effectExtent l="0"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20966">
                        <a:off x="0" y="0"/>
                        <a:ext cx="2879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3263FD"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04329D02" w14:textId="3503039A"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B708" id="_x0000_t202" coordsize="21600,21600" o:spt="202" path="m,l,21600r21600,l21600,xe">
              <v:stroke joinstyle="miter"/>
              <v:path gradientshapeok="t" o:connecttype="rect"/>
            </v:shapetype>
            <v:shape id="Text Box 8" o:spid="_x0000_s1028" type="#_x0000_t202" style="position:absolute;left:0;text-align:left;margin-left:453.6pt;margin-top:652.05pt;width:226.75pt;height:21.25pt;rotation:-5921140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" filled="f" stroked="f">
              <v:stroke joinstyle="round"/>
              <o:lock v:ext="edit" shapetype="t"/>
              <v:textbox style="layout-flow:vertical;mso-layout-flow-alt:bottom-to-top">
                <w:txbxContent>
                  <w:p w14:paraId="0C3263FD"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04329D02" w14:textId="3503039A"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t xml:space="preserve">Revision 7.0 – </w:t>
    </w:r>
    <w:r w:rsidRPr="006762B1">
      <w:t>March 2021</w:t>
    </w:r>
    <w:r>
      <w:tab/>
    </w:r>
    <w:r>
      <w:tab/>
    </w: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48A6" w14:textId="7154B4B9" w:rsidR="00903100" w:rsidRDefault="00903100" w:rsidP="00220345">
    <w:pPr>
      <w:pStyle w:val="Footer"/>
    </w:pPr>
    <w:r>
      <mc:AlternateContent>
        <mc:Choice Requires="wps">
          <w:drawing>
            <wp:anchor distT="0" distB="0" distL="114300" distR="114300" simplePos="0" relativeHeight="251675648" behindDoc="0" locked="0" layoutInCell="1" allowOverlap="1" wp14:anchorId="210FFC25" wp14:editId="7D48EA62">
              <wp:simplePos x="0" y="0"/>
              <wp:positionH relativeFrom="page">
                <wp:posOffset>5760720</wp:posOffset>
              </wp:positionH>
              <wp:positionV relativeFrom="page">
                <wp:posOffset>8281035</wp:posOffset>
              </wp:positionV>
              <wp:extent cx="2879725" cy="269875"/>
              <wp:effectExtent l="0" t="381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20966">
                        <a:off x="0" y="0"/>
                        <a:ext cx="2879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D15BC1"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27B9AE71" w14:textId="77777777"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FFC25" id="_x0000_t202" coordsize="21600,21600" o:spt="202" path="m,l,21600r21600,l21600,xe">
              <v:stroke joinstyle="miter"/>
              <v:path gradientshapeok="t" o:connecttype="rect"/>
            </v:shapetype>
            <v:shape id="Text Box 3" o:spid="_x0000_s1029" type="#_x0000_t202" style="position:absolute;left:0;text-align:left;margin-left:453.6pt;margin-top:652.05pt;width:226.75pt;height:21.25pt;rotation:-5921140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" filled="f" stroked="f">
              <v:stroke joinstyle="round"/>
              <o:lock v:ext="edit" shapetype="t"/>
              <v:textbox style="layout-flow:vertical;mso-layout-flow-alt:bottom-to-top">
                <w:txbxContent>
                  <w:p w14:paraId="11D15BC1"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27B9AE71" w14:textId="77777777"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t xml:space="preserve">Revision 7.0 – </w:t>
    </w:r>
    <w:r w:rsidRPr="006762B1">
      <w:t>March 2021</w:t>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A2AE" w14:textId="5CEACD89" w:rsidR="00903100" w:rsidRDefault="00903100" w:rsidP="00220345">
    <w:pPr>
      <w:pStyle w:val="Footer"/>
    </w:pPr>
    <w:r>
      <mc:AlternateContent>
        <mc:Choice Requires="wps">
          <w:drawing>
            <wp:anchor distT="0" distB="0" distL="114300" distR="114300" simplePos="0" relativeHeight="251669504" behindDoc="0" locked="0" layoutInCell="1" allowOverlap="1" wp14:anchorId="154E0F09" wp14:editId="6EA37900">
              <wp:simplePos x="0" y="0"/>
              <wp:positionH relativeFrom="page">
                <wp:posOffset>5760720</wp:posOffset>
              </wp:positionH>
              <wp:positionV relativeFrom="page">
                <wp:posOffset>8281035</wp:posOffset>
              </wp:positionV>
              <wp:extent cx="2879725" cy="269875"/>
              <wp:effectExtent l="0" t="381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20966">
                        <a:off x="0" y="0"/>
                        <a:ext cx="2879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401DC2"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05C24FEE" w14:textId="4FADEE15"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E0F09" id="_x0000_t202" coordsize="21600,21600" o:spt="202" path="m,l,21600r21600,l21600,xe">
              <v:stroke joinstyle="miter"/>
              <v:path gradientshapeok="t" o:connecttype="rect"/>
            </v:shapetype>
            <v:shape id="Text Box 9" o:spid="_x0000_s1030" type="#_x0000_t202" style="position:absolute;left:0;text-align:left;margin-left:453.6pt;margin-top:652.05pt;width:226.75pt;height:21.25pt;rotation:-5921140fd;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" filled="f" stroked="f">
              <v:stroke joinstyle="round"/>
              <o:lock v:ext="edit" shapetype="t"/>
              <v:textbox style="layout-flow:vertical;mso-layout-flow-alt:bottom-to-top">
                <w:txbxContent>
                  <w:p w14:paraId="1B401DC2" w14:textId="77777777" w:rsidR="00903100" w:rsidRPr="00443EB6" w:rsidRDefault="00903100" w:rsidP="00443EB6">
                    <w:pPr>
                      <w:pStyle w:val="NormalWeb"/>
                      <w:spacing w:before="0" w:after="0"/>
                      <w:rPr>
                        <w:rFonts w:ascii="Arial Bold" w:hAnsi="Arial Bold" w:cs="Arial"/>
                        <w:b/>
                        <w:bCs/>
                        <w:i/>
                        <w:iCs/>
                        <w:sz w:val="28"/>
                        <w:szCs w:val="28"/>
                        <w14:shadow w14:blurRad="50800" w14:dist="38100" w14:dir="2700000" w14:sx="100000" w14:sy="100000" w14:kx="0" w14:ky="0" w14:algn="tl">
                          <w14:srgbClr w14:val="000000">
                            <w14:alpha w14:val="60000"/>
                          </w14:srgbClr>
                        </w14:shadow>
                      </w:rPr>
                    </w:pP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150</w:t>
                    </w:r>
                    <w:r>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t>
                    </w:r>
                    <w:r w:rsidRPr="00443EB6">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ROADWORKS</w:t>
                    </w:r>
                    <w:proofErr w:type="gramEnd"/>
                  </w:p>
                  <w:p w14:paraId="05C24FEE" w14:textId="4FADEE15" w:rsidR="00903100" w:rsidRPr="0085674B" w:rsidRDefault="00903100" w:rsidP="0085674B">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t xml:space="preserve">Revision 7.0 – </w:t>
    </w:r>
    <w:r w:rsidRPr="006762B1">
      <w:t>March 2021</w:t>
    </w:r>
    <w:r>
      <w:tab/>
    </w:r>
    <w:r>
      <w:tab/>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F8E30" w14:textId="77777777" w:rsidR="00BD6C63" w:rsidRDefault="00BD6C63" w:rsidP="00965505">
      <w:pPr>
        <w:pStyle w:val="Amend"/>
      </w:pPr>
      <w:r>
        <w:separator/>
      </w:r>
    </w:p>
  </w:footnote>
  <w:footnote w:type="continuationSeparator" w:id="0">
    <w:p w14:paraId="15085816" w14:textId="77777777" w:rsidR="00BD6C63" w:rsidRDefault="00BD6C63" w:rsidP="002B5FE8">
      <w:pPr>
        <w:pStyle w:val="Amend"/>
      </w:pPr>
      <w:r>
        <w:continuationSeparator/>
      </w:r>
    </w:p>
  </w:footnote>
  <w:footnote w:id="1">
    <w:p w14:paraId="3899CB96" w14:textId="77777777" w:rsidR="00903100" w:rsidRDefault="00903100" w:rsidP="00AF5426">
      <w:pPr>
        <w:pStyle w:val="Footnotes"/>
      </w:pPr>
      <w:r>
        <w:footnoteRef/>
      </w:r>
      <w:r>
        <w:t xml:space="preserve"> Circular Opening is the diameter of the largest circular that can be inscribed in the unobstructed opening in the frame with any removable supporting beams retained in place. (Section 1.4 of AS 3996)</w:t>
      </w:r>
    </w:p>
  </w:footnote>
  <w:footnote w:id="2">
    <w:p w14:paraId="7F24102E" w14:textId="77777777" w:rsidR="00903100" w:rsidRDefault="00903100" w:rsidP="00AF5426">
      <w:pPr>
        <w:pStyle w:val="Footnotes"/>
      </w:pPr>
      <w:r>
        <w:footnoteRef/>
      </w:r>
      <w:r>
        <w:t xml:space="preserve"> Clear Opening is the dimensions of the unobstructed opening for access, in service, without removable supporting beams in place. (Section 1.4 of AS 3996)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E0E6" w14:textId="77777777" w:rsidR="00903100" w:rsidRDefault="00903100" w:rsidP="00220345">
    <w:pPr>
      <w:pStyle w:val="Header"/>
    </w:pPr>
    <w:r>
      <w:rPr>
        <w:noProof/>
      </w:rPr>
      <mc:AlternateContent>
        <mc:Choice Requires="wps">
          <w:drawing>
            <wp:anchor distT="0" distB="0" distL="114300" distR="114300" simplePos="0" relativeHeight="251655168" behindDoc="0" locked="0" layoutInCell="0" allowOverlap="1" wp14:anchorId="531054D8" wp14:editId="3493C24E">
              <wp:simplePos x="0" y="0"/>
              <wp:positionH relativeFrom="column">
                <wp:posOffset>3848100</wp:posOffset>
              </wp:positionH>
              <wp:positionV relativeFrom="paragraph">
                <wp:posOffset>3780790</wp:posOffset>
              </wp:positionV>
              <wp:extent cx="419100" cy="542925"/>
              <wp:effectExtent l="0" t="0" r="0" b="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19100" cy="542925"/>
                      </a:xfrm>
                      <a:prstGeom prst="rect">
                        <a:avLst/>
                      </a:prstGeom>
                      <a:extLst>
                        <a:ext uri="{AF507438-7753-43E0-B8FC-AC1667EBCBE1}">
                          <a14:hiddenEffects xmlns:a14="http://schemas.microsoft.com/office/drawing/2010/main">
                            <a:effectLst/>
                          </a14:hiddenEffects>
                        </a:ext>
                      </a:extLst>
                    </wps:spPr>
                    <wps:txbx>
                      <w:txbxContent>
                        <w:p w14:paraId="4E887C6D" w14:textId="77777777" w:rsidR="00903100" w:rsidRDefault="00903100" w:rsidP="006E6656">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1054D8" id="_x0000_t202" coordsize="21600,21600" o:spt="202" path="m,l,21600r21600,l21600,xe">
              <v:stroke joinstyle="miter"/>
              <v:path gradientshapeok="t" o:connecttype="rect"/>
            </v:shapetype>
            <v:shape id="WordArt 7" o:spid="_x0000_s1026" type="#_x0000_t202" style="position:absolute;left:0;text-align:left;margin-left:303pt;margin-top:297.7pt;width:33pt;height:42.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" o:allowincell="f" filled="f" stroked="f">
              <o:lock v:ext="edit" shapetype="t"/>
              <v:textbox style="mso-fit-shape-to-text:t">
                <w:txbxContent>
                  <w:p w14:paraId="4E887C6D" w14:textId="77777777" w:rsidR="00903100" w:rsidRDefault="00903100" w:rsidP="006E6656">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48A4" w14:textId="2E9B664F" w:rsidR="00903100" w:rsidRDefault="00903100" w:rsidP="00220345">
    <w:pPr>
      <w:pStyle w:val="Header"/>
    </w:pPr>
    <w:r>
      <w:rPr>
        <w:noProof/>
      </w:rPr>
      <w:drawing>
        <wp:inline distT="0" distB="0" distL="0" distR="0" wp14:anchorId="3C64199B" wp14:editId="78225416">
          <wp:extent cx="1384069" cy="720000"/>
          <wp:effectExtent l="0" t="0" r="6985" b="4445"/>
          <wp:docPr id="50" name="Picture 50" descr="BCC Logo (Colou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CC Logo (Colour)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69" cy="72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140F" w14:textId="47CD14C4" w:rsidR="00903100" w:rsidRDefault="00903100" w:rsidP="00220345">
    <w:pPr>
      <w:pStyle w:val="Header"/>
    </w:pPr>
    <w:r w:rsidRPr="00220345">
      <w:t>Brisbane City Council</w:t>
    </w:r>
    <w:r>
      <w:tab/>
    </w:r>
    <w:r>
      <w:tab/>
    </w:r>
    <w:r w:rsidRPr="0035198C">
      <w:t>Reference Specifications for Engineering Work</w:t>
    </w:r>
    <w:r>
      <w:t xml:space="preserve"> </w:t>
    </w:r>
    <w:r w:rsidRPr="00A56CBF">
      <w:t>S150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8A6"/>
    <w:multiLevelType w:val="hybridMultilevel"/>
    <w:tmpl w:val="6986D60C"/>
    <w:lvl w:ilvl="0" w:tplc="E590627A">
      <w:start w:val="1"/>
      <w:numFmt w:val="decimal"/>
      <w:pStyle w:val="BodyTextIndentNum"/>
      <w:lvlText w:val="%1)"/>
      <w:lvlJc w:val="left"/>
      <w:pPr>
        <w:ind w:left="1069" w:hanging="36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 w15:restartNumberingAfterBreak="0">
    <w:nsid w:val="06C30A42"/>
    <w:multiLevelType w:val="multilevel"/>
    <w:tmpl w:val="3D2C3606"/>
    <w:lvl w:ilvl="0">
      <w:start w:val="1"/>
      <w:numFmt w:val="decimal"/>
      <w:pStyle w:val="Heading2"/>
      <w:lvlText w:val="%1.0"/>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822362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460AFC"/>
    <w:multiLevelType w:val="hybridMultilevel"/>
    <w:tmpl w:val="0C090005"/>
    <w:lvl w:ilvl="0" w:tplc="DD9E7124">
      <w:start w:val="1"/>
      <w:numFmt w:val="bullet"/>
      <w:lvlText w:val=""/>
      <w:lvlJc w:val="left"/>
      <w:pPr>
        <w:tabs>
          <w:tab w:val="num" w:pos="360"/>
        </w:tabs>
        <w:ind w:left="360" w:hanging="360"/>
      </w:pPr>
      <w:rPr>
        <w:rFonts w:ascii="Wingdings" w:hAnsi="Wingdings" w:hint="default"/>
      </w:rPr>
    </w:lvl>
    <w:lvl w:ilvl="1" w:tplc="134C9C38">
      <w:numFmt w:val="decimal"/>
      <w:lvlText w:val=""/>
      <w:lvlJc w:val="left"/>
    </w:lvl>
    <w:lvl w:ilvl="2" w:tplc="9C88A8E6">
      <w:numFmt w:val="decimal"/>
      <w:lvlText w:val=""/>
      <w:lvlJc w:val="left"/>
    </w:lvl>
    <w:lvl w:ilvl="3" w:tplc="2F9A8580">
      <w:numFmt w:val="decimal"/>
      <w:lvlText w:val=""/>
      <w:lvlJc w:val="left"/>
    </w:lvl>
    <w:lvl w:ilvl="4" w:tplc="2062A300">
      <w:numFmt w:val="decimal"/>
      <w:lvlText w:val=""/>
      <w:lvlJc w:val="left"/>
    </w:lvl>
    <w:lvl w:ilvl="5" w:tplc="E3FCE9EE">
      <w:numFmt w:val="decimal"/>
      <w:lvlText w:val=""/>
      <w:lvlJc w:val="left"/>
    </w:lvl>
    <w:lvl w:ilvl="6" w:tplc="0534E654">
      <w:numFmt w:val="decimal"/>
      <w:lvlText w:val=""/>
      <w:lvlJc w:val="left"/>
    </w:lvl>
    <w:lvl w:ilvl="7" w:tplc="E8162370">
      <w:numFmt w:val="decimal"/>
      <w:lvlText w:val=""/>
      <w:lvlJc w:val="left"/>
    </w:lvl>
    <w:lvl w:ilvl="8" w:tplc="DBC22654">
      <w:numFmt w:val="decimal"/>
      <w:lvlText w:val=""/>
      <w:lvlJc w:val="left"/>
    </w:lvl>
  </w:abstractNum>
  <w:abstractNum w:abstractNumId="4" w15:restartNumberingAfterBreak="0">
    <w:nsid w:val="1C841EC8"/>
    <w:multiLevelType w:val="multilevel"/>
    <w:tmpl w:val="9C04E00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FF522EF"/>
    <w:multiLevelType w:val="multilevel"/>
    <w:tmpl w:val="8CC62D9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28877450"/>
    <w:multiLevelType w:val="singleLevel"/>
    <w:tmpl w:val="724A154A"/>
    <w:lvl w:ilvl="0">
      <w:start w:val="1"/>
      <w:numFmt w:val="bullet"/>
      <w:pStyle w:val="BodyTextIndentDot2"/>
      <w:lvlText w:val="-"/>
      <w:lvlJc w:val="left"/>
      <w:pPr>
        <w:tabs>
          <w:tab w:val="num" w:pos="360"/>
        </w:tabs>
        <w:ind w:left="360" w:hanging="360"/>
      </w:pPr>
      <w:rPr>
        <w:rFonts w:ascii="Times New Roman" w:hAnsi="Times New Roman" w:hint="default"/>
      </w:rPr>
    </w:lvl>
  </w:abstractNum>
  <w:abstractNum w:abstractNumId="7" w15:restartNumberingAfterBreak="0">
    <w:nsid w:val="2DFF48FD"/>
    <w:multiLevelType w:val="singleLevel"/>
    <w:tmpl w:val="B53E85BC"/>
    <w:lvl w:ilvl="0">
      <w:start w:val="1"/>
      <w:numFmt w:val="bullet"/>
      <w:pStyle w:val="bullets"/>
      <w:lvlText w:val=""/>
      <w:lvlJc w:val="left"/>
      <w:pPr>
        <w:tabs>
          <w:tab w:val="num" w:pos="360"/>
        </w:tabs>
        <w:ind w:left="360" w:hanging="360"/>
      </w:pPr>
      <w:rPr>
        <w:rFonts w:ascii="Wingdings" w:hAnsi="Wingdings" w:hint="default"/>
      </w:rPr>
    </w:lvl>
  </w:abstractNum>
  <w:abstractNum w:abstractNumId="8" w15:restartNumberingAfterBreak="0">
    <w:nsid w:val="30B37B0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B422515"/>
    <w:multiLevelType w:val="hybridMultilevel"/>
    <w:tmpl w:val="0C090005"/>
    <w:lvl w:ilvl="0" w:tplc="56D23A2C">
      <w:start w:val="1"/>
      <w:numFmt w:val="bullet"/>
      <w:lvlText w:val=""/>
      <w:lvlJc w:val="left"/>
      <w:pPr>
        <w:tabs>
          <w:tab w:val="num" w:pos="360"/>
        </w:tabs>
        <w:ind w:left="360" w:hanging="360"/>
      </w:pPr>
      <w:rPr>
        <w:rFonts w:ascii="Wingdings" w:hAnsi="Wingdings" w:hint="default"/>
      </w:rPr>
    </w:lvl>
    <w:lvl w:ilvl="1" w:tplc="F87A041C">
      <w:numFmt w:val="decimal"/>
      <w:lvlText w:val=""/>
      <w:lvlJc w:val="left"/>
    </w:lvl>
    <w:lvl w:ilvl="2" w:tplc="E304C240">
      <w:numFmt w:val="decimal"/>
      <w:lvlText w:val=""/>
      <w:lvlJc w:val="left"/>
    </w:lvl>
    <w:lvl w:ilvl="3" w:tplc="AACAA970">
      <w:numFmt w:val="decimal"/>
      <w:lvlText w:val=""/>
      <w:lvlJc w:val="left"/>
    </w:lvl>
    <w:lvl w:ilvl="4" w:tplc="ADE487FE">
      <w:numFmt w:val="decimal"/>
      <w:lvlText w:val=""/>
      <w:lvlJc w:val="left"/>
    </w:lvl>
    <w:lvl w:ilvl="5" w:tplc="8E12B66E">
      <w:numFmt w:val="decimal"/>
      <w:lvlText w:val=""/>
      <w:lvlJc w:val="left"/>
    </w:lvl>
    <w:lvl w:ilvl="6" w:tplc="114A8866">
      <w:numFmt w:val="decimal"/>
      <w:lvlText w:val=""/>
      <w:lvlJc w:val="left"/>
    </w:lvl>
    <w:lvl w:ilvl="7" w:tplc="56AC757E">
      <w:numFmt w:val="decimal"/>
      <w:lvlText w:val=""/>
      <w:lvlJc w:val="left"/>
    </w:lvl>
    <w:lvl w:ilvl="8" w:tplc="CD1412C6">
      <w:numFmt w:val="decimal"/>
      <w:lvlText w:val=""/>
      <w:lvlJc w:val="left"/>
    </w:lvl>
  </w:abstractNum>
  <w:abstractNum w:abstractNumId="10" w15:restartNumberingAfterBreak="0">
    <w:nsid w:val="41CB3DA3"/>
    <w:multiLevelType w:val="hybridMultilevel"/>
    <w:tmpl w:val="8E388D74"/>
    <w:lvl w:ilvl="0" w:tplc="279870B6">
      <w:start w:val="1"/>
      <w:numFmt w:val="decimal"/>
      <w:lvlText w:val="%1."/>
      <w:lvlJc w:val="left"/>
      <w:pPr>
        <w:ind w:left="720" w:hanging="360"/>
      </w:pPr>
      <w:rPr>
        <w:rFonts w:ascii="Arial Bold" w:hAnsi="Arial Bold" w:hint="default"/>
        <w:b/>
        <w:i w:val="0"/>
        <w:color w:val="auto"/>
        <w:sz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653143"/>
    <w:multiLevelType w:val="hybridMultilevel"/>
    <w:tmpl w:val="068477C8"/>
    <w:lvl w:ilvl="0" w:tplc="3B9AFD44">
      <w:start w:val="1"/>
      <w:numFmt w:val="bullet"/>
      <w:lvlText w:val=""/>
      <w:lvlJc w:val="left"/>
      <w:pPr>
        <w:tabs>
          <w:tab w:val="num" w:pos="1145"/>
        </w:tabs>
        <w:ind w:left="1145" w:hanging="425"/>
      </w:pPr>
      <w:rPr>
        <w:rFonts w:ascii="Wingdings" w:hAnsi="Wingding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7E90C85"/>
    <w:multiLevelType w:val="hybridMultilevel"/>
    <w:tmpl w:val="0C090005"/>
    <w:lvl w:ilvl="0" w:tplc="360A7A12">
      <w:start w:val="1"/>
      <w:numFmt w:val="bullet"/>
      <w:lvlText w:val=""/>
      <w:lvlJc w:val="left"/>
      <w:pPr>
        <w:tabs>
          <w:tab w:val="num" w:pos="360"/>
        </w:tabs>
        <w:ind w:left="360" w:hanging="360"/>
      </w:pPr>
      <w:rPr>
        <w:rFonts w:ascii="Wingdings" w:hAnsi="Wingdings" w:hint="default"/>
      </w:rPr>
    </w:lvl>
    <w:lvl w:ilvl="1" w:tplc="744C0908">
      <w:numFmt w:val="decimal"/>
      <w:lvlText w:val=""/>
      <w:lvlJc w:val="left"/>
    </w:lvl>
    <w:lvl w:ilvl="2" w:tplc="C6C8983E">
      <w:numFmt w:val="decimal"/>
      <w:lvlText w:val=""/>
      <w:lvlJc w:val="left"/>
    </w:lvl>
    <w:lvl w:ilvl="3" w:tplc="EE9EA1B4">
      <w:numFmt w:val="decimal"/>
      <w:lvlText w:val=""/>
      <w:lvlJc w:val="left"/>
    </w:lvl>
    <w:lvl w:ilvl="4" w:tplc="16BCA936">
      <w:numFmt w:val="decimal"/>
      <w:lvlText w:val=""/>
      <w:lvlJc w:val="left"/>
    </w:lvl>
    <w:lvl w:ilvl="5" w:tplc="E5B278A0">
      <w:numFmt w:val="decimal"/>
      <w:lvlText w:val=""/>
      <w:lvlJc w:val="left"/>
    </w:lvl>
    <w:lvl w:ilvl="6" w:tplc="ECA03E46">
      <w:numFmt w:val="decimal"/>
      <w:lvlText w:val=""/>
      <w:lvlJc w:val="left"/>
    </w:lvl>
    <w:lvl w:ilvl="7" w:tplc="54C22A68">
      <w:numFmt w:val="decimal"/>
      <w:lvlText w:val=""/>
      <w:lvlJc w:val="left"/>
    </w:lvl>
    <w:lvl w:ilvl="8" w:tplc="53928846">
      <w:numFmt w:val="decimal"/>
      <w:lvlText w:val=""/>
      <w:lvlJc w:val="left"/>
    </w:lvl>
  </w:abstractNum>
  <w:abstractNum w:abstractNumId="13" w15:restartNumberingAfterBreak="0">
    <w:nsid w:val="574B1EE8"/>
    <w:multiLevelType w:val="multilevel"/>
    <w:tmpl w:val="068477C8"/>
    <w:lvl w:ilvl="0">
      <w:start w:val="1"/>
      <w:numFmt w:val="bullet"/>
      <w:lvlText w:val=""/>
      <w:lvlJc w:val="left"/>
      <w:pPr>
        <w:tabs>
          <w:tab w:val="num" w:pos="1145"/>
        </w:tabs>
        <w:ind w:left="1145" w:hanging="425"/>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E67955"/>
    <w:multiLevelType w:val="multilevel"/>
    <w:tmpl w:val="34A63012"/>
    <w:lvl w:ilvl="0">
      <w:start w:val="1"/>
      <w:numFmt w:val="bullet"/>
      <w:pStyle w:val="BodyTextIndentDot"/>
      <w:lvlText w:val=""/>
      <w:lvlJc w:val="left"/>
      <w:pPr>
        <w:tabs>
          <w:tab w:val="num" w:pos="992"/>
        </w:tabs>
        <w:ind w:left="992" w:hanging="283"/>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033D1F"/>
    <w:multiLevelType w:val="hybridMultilevel"/>
    <w:tmpl w:val="A022CDD2"/>
    <w:lvl w:ilvl="0" w:tplc="7602C04A">
      <w:start w:val="1"/>
      <w:numFmt w:val="bullet"/>
      <w:pStyle w:val="BodyTextIndentDot1"/>
      <w:lvlText w:val=""/>
      <w:lvlJc w:val="left"/>
      <w:pPr>
        <w:tabs>
          <w:tab w:val="num" w:pos="425"/>
        </w:tabs>
        <w:ind w:left="425" w:hanging="425"/>
      </w:pPr>
      <w:rPr>
        <w:rFonts w:ascii="Wingdings" w:hAnsi="Wingding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652722"/>
    <w:multiLevelType w:val="multilevel"/>
    <w:tmpl w:val="0C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9"/>
  </w:num>
  <w:num w:numId="4">
    <w:abstractNumId w:val="12"/>
  </w:num>
  <w:num w:numId="5">
    <w:abstractNumId w:val="16"/>
  </w:num>
  <w:num w:numId="6">
    <w:abstractNumId w:val="3"/>
  </w:num>
  <w:num w:numId="7">
    <w:abstractNumId w:val="2"/>
  </w:num>
  <w:num w:numId="8">
    <w:abstractNumId w:val="6"/>
  </w:num>
  <w:num w:numId="9">
    <w:abstractNumId w:val="11"/>
  </w:num>
  <w:num w:numId="10">
    <w:abstractNumId w:val="13"/>
  </w:num>
  <w:num w:numId="11">
    <w:abstractNumId w:val="15"/>
  </w:num>
  <w:num w:numId="12">
    <w:abstractNumId w:val="14"/>
  </w:num>
  <w:num w:numId="13">
    <w:abstractNumId w:val="8"/>
  </w:num>
  <w:num w:numId="14">
    <w:abstractNumId w:val="10"/>
  </w:num>
  <w:num w:numId="15">
    <w:abstractNumId w:val="1"/>
  </w:num>
  <w:num w:numId="16">
    <w:abstractNumId w:val="5"/>
  </w:num>
  <w:num w:numId="17">
    <w:abstractNumId w:val="0"/>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09"/>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6A"/>
    <w:rsid w:val="00011927"/>
    <w:rsid w:val="00016343"/>
    <w:rsid w:val="00022808"/>
    <w:rsid w:val="0002659B"/>
    <w:rsid w:val="0003085A"/>
    <w:rsid w:val="000379CB"/>
    <w:rsid w:val="00054F91"/>
    <w:rsid w:val="00055630"/>
    <w:rsid w:val="000633BF"/>
    <w:rsid w:val="000749EE"/>
    <w:rsid w:val="00080F34"/>
    <w:rsid w:val="00093065"/>
    <w:rsid w:val="000A3482"/>
    <w:rsid w:val="000C4B51"/>
    <w:rsid w:val="000C6DA6"/>
    <w:rsid w:val="000C6F94"/>
    <w:rsid w:val="000C720C"/>
    <w:rsid w:val="000D1BB7"/>
    <w:rsid w:val="000D2F64"/>
    <w:rsid w:val="00102297"/>
    <w:rsid w:val="0011714F"/>
    <w:rsid w:val="0012016A"/>
    <w:rsid w:val="00120C15"/>
    <w:rsid w:val="00123007"/>
    <w:rsid w:val="0012390F"/>
    <w:rsid w:val="00133C89"/>
    <w:rsid w:val="00161272"/>
    <w:rsid w:val="001618F6"/>
    <w:rsid w:val="00171082"/>
    <w:rsid w:val="001748AF"/>
    <w:rsid w:val="001911F3"/>
    <w:rsid w:val="00194A8E"/>
    <w:rsid w:val="00195C6A"/>
    <w:rsid w:val="001A147D"/>
    <w:rsid w:val="001A397C"/>
    <w:rsid w:val="001B0D3F"/>
    <w:rsid w:val="001B1E4F"/>
    <w:rsid w:val="001B6486"/>
    <w:rsid w:val="001C3F72"/>
    <w:rsid w:val="001D2809"/>
    <w:rsid w:val="001D7613"/>
    <w:rsid w:val="001D7C48"/>
    <w:rsid w:val="001E7C52"/>
    <w:rsid w:val="002154E4"/>
    <w:rsid w:val="002166F2"/>
    <w:rsid w:val="00220345"/>
    <w:rsid w:val="002351A8"/>
    <w:rsid w:val="00266F79"/>
    <w:rsid w:val="002735A0"/>
    <w:rsid w:val="002750A8"/>
    <w:rsid w:val="00283E39"/>
    <w:rsid w:val="00285F88"/>
    <w:rsid w:val="002868EA"/>
    <w:rsid w:val="002935C9"/>
    <w:rsid w:val="002A19B2"/>
    <w:rsid w:val="002A240B"/>
    <w:rsid w:val="002B5FE8"/>
    <w:rsid w:val="002C55FD"/>
    <w:rsid w:val="002D2716"/>
    <w:rsid w:val="002D27FB"/>
    <w:rsid w:val="002D783B"/>
    <w:rsid w:val="002E123A"/>
    <w:rsid w:val="002E32AA"/>
    <w:rsid w:val="002E59AC"/>
    <w:rsid w:val="002F67BC"/>
    <w:rsid w:val="002F70A8"/>
    <w:rsid w:val="00301A18"/>
    <w:rsid w:val="00307771"/>
    <w:rsid w:val="00314B37"/>
    <w:rsid w:val="0031727B"/>
    <w:rsid w:val="00320039"/>
    <w:rsid w:val="00327729"/>
    <w:rsid w:val="0033316E"/>
    <w:rsid w:val="00334F38"/>
    <w:rsid w:val="0034049E"/>
    <w:rsid w:val="00346E2E"/>
    <w:rsid w:val="00347B15"/>
    <w:rsid w:val="0035198C"/>
    <w:rsid w:val="00367537"/>
    <w:rsid w:val="003814CF"/>
    <w:rsid w:val="00387649"/>
    <w:rsid w:val="003A3965"/>
    <w:rsid w:val="003A5925"/>
    <w:rsid w:val="003C0F64"/>
    <w:rsid w:val="003C627D"/>
    <w:rsid w:val="003E24BE"/>
    <w:rsid w:val="003E556D"/>
    <w:rsid w:val="003F07C8"/>
    <w:rsid w:val="003F36D8"/>
    <w:rsid w:val="00404260"/>
    <w:rsid w:val="00405B5D"/>
    <w:rsid w:val="0041387A"/>
    <w:rsid w:val="00414B0B"/>
    <w:rsid w:val="00420916"/>
    <w:rsid w:val="00422A07"/>
    <w:rsid w:val="0042342F"/>
    <w:rsid w:val="004270CA"/>
    <w:rsid w:val="00427A75"/>
    <w:rsid w:val="0043634C"/>
    <w:rsid w:val="00440B64"/>
    <w:rsid w:val="004435BF"/>
    <w:rsid w:val="00443B76"/>
    <w:rsid w:val="00443EB6"/>
    <w:rsid w:val="00460967"/>
    <w:rsid w:val="00462060"/>
    <w:rsid w:val="004718F1"/>
    <w:rsid w:val="00485909"/>
    <w:rsid w:val="00486DFF"/>
    <w:rsid w:val="0049010D"/>
    <w:rsid w:val="004930F3"/>
    <w:rsid w:val="004A2005"/>
    <w:rsid w:val="004B402C"/>
    <w:rsid w:val="004C0627"/>
    <w:rsid w:val="004D4104"/>
    <w:rsid w:val="004E4ACC"/>
    <w:rsid w:val="004E6D90"/>
    <w:rsid w:val="0050094B"/>
    <w:rsid w:val="00506E8A"/>
    <w:rsid w:val="00510959"/>
    <w:rsid w:val="005201BB"/>
    <w:rsid w:val="00520289"/>
    <w:rsid w:val="005211A2"/>
    <w:rsid w:val="00523329"/>
    <w:rsid w:val="00531621"/>
    <w:rsid w:val="00541D16"/>
    <w:rsid w:val="00580DA6"/>
    <w:rsid w:val="00584581"/>
    <w:rsid w:val="005849A7"/>
    <w:rsid w:val="00590124"/>
    <w:rsid w:val="00594B5E"/>
    <w:rsid w:val="00597FF4"/>
    <w:rsid w:val="005A500A"/>
    <w:rsid w:val="005A7289"/>
    <w:rsid w:val="005A75C0"/>
    <w:rsid w:val="005B0101"/>
    <w:rsid w:val="005B1133"/>
    <w:rsid w:val="005B72D9"/>
    <w:rsid w:val="005D1179"/>
    <w:rsid w:val="005D5841"/>
    <w:rsid w:val="005E06D4"/>
    <w:rsid w:val="005E136C"/>
    <w:rsid w:val="005E710B"/>
    <w:rsid w:val="00621717"/>
    <w:rsid w:val="006315C9"/>
    <w:rsid w:val="006540EC"/>
    <w:rsid w:val="00664F19"/>
    <w:rsid w:val="00667206"/>
    <w:rsid w:val="00671D9E"/>
    <w:rsid w:val="006723DC"/>
    <w:rsid w:val="00674EDE"/>
    <w:rsid w:val="006762B1"/>
    <w:rsid w:val="0067740B"/>
    <w:rsid w:val="006775D5"/>
    <w:rsid w:val="00677E9E"/>
    <w:rsid w:val="00681EBF"/>
    <w:rsid w:val="006A464A"/>
    <w:rsid w:val="006C5B2B"/>
    <w:rsid w:val="006D5E29"/>
    <w:rsid w:val="006E17A8"/>
    <w:rsid w:val="006E5075"/>
    <w:rsid w:val="006E5CE7"/>
    <w:rsid w:val="006E6656"/>
    <w:rsid w:val="006F3F30"/>
    <w:rsid w:val="00706A97"/>
    <w:rsid w:val="00711900"/>
    <w:rsid w:val="00715388"/>
    <w:rsid w:val="007319E3"/>
    <w:rsid w:val="0074752B"/>
    <w:rsid w:val="00753D7E"/>
    <w:rsid w:val="00756009"/>
    <w:rsid w:val="0076272D"/>
    <w:rsid w:val="007930B6"/>
    <w:rsid w:val="007A4398"/>
    <w:rsid w:val="007A5DEA"/>
    <w:rsid w:val="007A6E5E"/>
    <w:rsid w:val="007C36D2"/>
    <w:rsid w:val="007D5690"/>
    <w:rsid w:val="007E0C25"/>
    <w:rsid w:val="007E3010"/>
    <w:rsid w:val="007F07FF"/>
    <w:rsid w:val="008021DC"/>
    <w:rsid w:val="008078C9"/>
    <w:rsid w:val="00810E19"/>
    <w:rsid w:val="0082181D"/>
    <w:rsid w:val="00824DDA"/>
    <w:rsid w:val="00837DF9"/>
    <w:rsid w:val="0085674B"/>
    <w:rsid w:val="008609C6"/>
    <w:rsid w:val="00864D91"/>
    <w:rsid w:val="00865074"/>
    <w:rsid w:val="00866BBE"/>
    <w:rsid w:val="008675EE"/>
    <w:rsid w:val="008A061B"/>
    <w:rsid w:val="008A78DC"/>
    <w:rsid w:val="008B32AF"/>
    <w:rsid w:val="008B4D2C"/>
    <w:rsid w:val="008B72BF"/>
    <w:rsid w:val="008C75EA"/>
    <w:rsid w:val="008D7624"/>
    <w:rsid w:val="008F0636"/>
    <w:rsid w:val="008F1540"/>
    <w:rsid w:val="00903100"/>
    <w:rsid w:val="0092523B"/>
    <w:rsid w:val="00937F7D"/>
    <w:rsid w:val="009600AF"/>
    <w:rsid w:val="009646BD"/>
    <w:rsid w:val="00965505"/>
    <w:rsid w:val="00966B20"/>
    <w:rsid w:val="00970AE6"/>
    <w:rsid w:val="0097134E"/>
    <w:rsid w:val="009836FB"/>
    <w:rsid w:val="00986DC3"/>
    <w:rsid w:val="00995788"/>
    <w:rsid w:val="009A1B22"/>
    <w:rsid w:val="009B0FE9"/>
    <w:rsid w:val="009B17FC"/>
    <w:rsid w:val="009C3336"/>
    <w:rsid w:val="009C70A3"/>
    <w:rsid w:val="009E65D6"/>
    <w:rsid w:val="00A05ADC"/>
    <w:rsid w:val="00A07A1E"/>
    <w:rsid w:val="00A250F0"/>
    <w:rsid w:val="00A56CBF"/>
    <w:rsid w:val="00A56EC9"/>
    <w:rsid w:val="00A61058"/>
    <w:rsid w:val="00A6535B"/>
    <w:rsid w:val="00A70CD3"/>
    <w:rsid w:val="00A9477A"/>
    <w:rsid w:val="00AA7DCE"/>
    <w:rsid w:val="00AD21C8"/>
    <w:rsid w:val="00AD75E3"/>
    <w:rsid w:val="00AF5426"/>
    <w:rsid w:val="00AF601B"/>
    <w:rsid w:val="00B04831"/>
    <w:rsid w:val="00B11BD9"/>
    <w:rsid w:val="00B13EC6"/>
    <w:rsid w:val="00B21BE8"/>
    <w:rsid w:val="00B34E90"/>
    <w:rsid w:val="00B4620D"/>
    <w:rsid w:val="00B46FEF"/>
    <w:rsid w:val="00B52D14"/>
    <w:rsid w:val="00B71BB6"/>
    <w:rsid w:val="00B71E91"/>
    <w:rsid w:val="00B77C4B"/>
    <w:rsid w:val="00BD5349"/>
    <w:rsid w:val="00BD6C63"/>
    <w:rsid w:val="00BE02C0"/>
    <w:rsid w:val="00BE0791"/>
    <w:rsid w:val="00BE22E4"/>
    <w:rsid w:val="00BE6CA9"/>
    <w:rsid w:val="00BF45A9"/>
    <w:rsid w:val="00C31BFE"/>
    <w:rsid w:val="00C347D2"/>
    <w:rsid w:val="00C35F57"/>
    <w:rsid w:val="00C374C7"/>
    <w:rsid w:val="00C3753A"/>
    <w:rsid w:val="00C553D1"/>
    <w:rsid w:val="00C7773F"/>
    <w:rsid w:val="00CA4686"/>
    <w:rsid w:val="00CA5450"/>
    <w:rsid w:val="00CA76AD"/>
    <w:rsid w:val="00CB0FC3"/>
    <w:rsid w:val="00CB13EC"/>
    <w:rsid w:val="00CD08FB"/>
    <w:rsid w:val="00CD1F41"/>
    <w:rsid w:val="00CD5170"/>
    <w:rsid w:val="00CD70C0"/>
    <w:rsid w:val="00CE4CFF"/>
    <w:rsid w:val="00D06676"/>
    <w:rsid w:val="00D07CA1"/>
    <w:rsid w:val="00D21DD8"/>
    <w:rsid w:val="00D228FF"/>
    <w:rsid w:val="00D24AB0"/>
    <w:rsid w:val="00D41009"/>
    <w:rsid w:val="00D45E86"/>
    <w:rsid w:val="00D502E5"/>
    <w:rsid w:val="00D74475"/>
    <w:rsid w:val="00D76CB3"/>
    <w:rsid w:val="00D80AA8"/>
    <w:rsid w:val="00D94740"/>
    <w:rsid w:val="00DA1278"/>
    <w:rsid w:val="00DA1484"/>
    <w:rsid w:val="00DB1576"/>
    <w:rsid w:val="00DB24C9"/>
    <w:rsid w:val="00DD4462"/>
    <w:rsid w:val="00DD5BB4"/>
    <w:rsid w:val="00DD5C22"/>
    <w:rsid w:val="00DF2B02"/>
    <w:rsid w:val="00DF7F68"/>
    <w:rsid w:val="00E23E5F"/>
    <w:rsid w:val="00E2747E"/>
    <w:rsid w:val="00E27AB8"/>
    <w:rsid w:val="00E316C8"/>
    <w:rsid w:val="00E37E6A"/>
    <w:rsid w:val="00E51FBF"/>
    <w:rsid w:val="00E63F5F"/>
    <w:rsid w:val="00E85280"/>
    <w:rsid w:val="00E86940"/>
    <w:rsid w:val="00E8717D"/>
    <w:rsid w:val="00E941DC"/>
    <w:rsid w:val="00EA5C39"/>
    <w:rsid w:val="00EC12B8"/>
    <w:rsid w:val="00EC2B48"/>
    <w:rsid w:val="00EC58B1"/>
    <w:rsid w:val="00ED22CF"/>
    <w:rsid w:val="00ED6B42"/>
    <w:rsid w:val="00F0505B"/>
    <w:rsid w:val="00F05C96"/>
    <w:rsid w:val="00F228AA"/>
    <w:rsid w:val="00F32076"/>
    <w:rsid w:val="00F35FF0"/>
    <w:rsid w:val="00F46C8B"/>
    <w:rsid w:val="00F563D9"/>
    <w:rsid w:val="00F75794"/>
    <w:rsid w:val="00F800AD"/>
    <w:rsid w:val="00F805E1"/>
    <w:rsid w:val="00F84AC7"/>
    <w:rsid w:val="00F8774D"/>
    <w:rsid w:val="00F936A9"/>
    <w:rsid w:val="00FA1E52"/>
    <w:rsid w:val="00FB157E"/>
    <w:rsid w:val="00FB4509"/>
    <w:rsid w:val="00FE00A0"/>
    <w:rsid w:val="00FE7823"/>
    <w:rsid w:val="00FF7610"/>
    <w:rsid w:val="425013C8"/>
    <w:rsid w:val="45A634C0"/>
    <w:rsid w:val="713724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F6131B0"/>
  <w15:docId w15:val="{04062F75-7A8D-4513-89AA-CAABDFFF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897"/>
    <w:pPr>
      <w:spacing w:before="60" w:after="60"/>
      <w:jc w:val="both"/>
    </w:pPr>
    <w:rPr>
      <w:rFonts w:ascii="Arial" w:hAnsi="Arial"/>
    </w:rPr>
  </w:style>
  <w:style w:type="paragraph" w:styleId="Heading1">
    <w:name w:val="heading 1"/>
    <w:basedOn w:val="Normal"/>
    <w:next w:val="Normal"/>
    <w:qFormat/>
    <w:rsid w:val="00B71BB6"/>
    <w:pPr>
      <w:keepNext/>
      <w:spacing w:before="200" w:after="80"/>
      <w:outlineLvl w:val="0"/>
    </w:pPr>
    <w:rPr>
      <w:b/>
      <w:caps/>
      <w:kern w:val="28"/>
      <w:sz w:val="24"/>
    </w:rPr>
  </w:style>
  <w:style w:type="paragraph" w:styleId="Heading2">
    <w:name w:val="heading 2"/>
    <w:basedOn w:val="Normal"/>
    <w:next w:val="Normal"/>
    <w:qFormat/>
    <w:rsid w:val="00B71BB6"/>
    <w:pPr>
      <w:keepNext/>
      <w:numPr>
        <w:numId w:val="15"/>
      </w:numPr>
      <w:spacing w:before="160"/>
      <w:ind w:left="709" w:hanging="709"/>
      <w:outlineLvl w:val="1"/>
    </w:pPr>
    <w:rPr>
      <w:rFonts w:ascii="Arial Bold" w:hAnsi="Arial Bold"/>
      <w:b/>
      <w:caps/>
      <w:sz w:val="28"/>
      <w:szCs w:val="28"/>
    </w:rPr>
  </w:style>
  <w:style w:type="paragraph" w:styleId="Heading3">
    <w:name w:val="heading 3"/>
    <w:basedOn w:val="Normal"/>
    <w:next w:val="Normal"/>
    <w:qFormat/>
    <w:rsid w:val="00B71BB6"/>
    <w:pPr>
      <w:keepNext/>
      <w:numPr>
        <w:ilvl w:val="1"/>
        <w:numId w:val="15"/>
      </w:numPr>
      <w:spacing w:before="240"/>
      <w:ind w:left="709" w:hanging="709"/>
      <w:outlineLvl w:val="2"/>
    </w:pPr>
    <w:rPr>
      <w:rFonts w:ascii="Arial Bold" w:hAnsi="Arial Bold"/>
      <w:b/>
      <w:caps/>
      <w:sz w:val="24"/>
      <w:szCs w:val="22"/>
    </w:rPr>
  </w:style>
  <w:style w:type="paragraph" w:styleId="Heading4">
    <w:name w:val="heading 4"/>
    <w:basedOn w:val="Normal"/>
    <w:next w:val="Normal"/>
    <w:qFormat/>
    <w:rsid w:val="00314B37"/>
    <w:pPr>
      <w:keepNext/>
      <w:numPr>
        <w:ilvl w:val="2"/>
        <w:numId w:val="15"/>
      </w:numPr>
      <w:spacing w:before="240"/>
      <w:outlineLvl w:val="3"/>
    </w:pPr>
    <w:rPr>
      <w:b/>
      <w:u w:val="single"/>
    </w:rPr>
  </w:style>
  <w:style w:type="paragraph" w:styleId="Heading5">
    <w:name w:val="heading 5"/>
    <w:basedOn w:val="Normal"/>
    <w:next w:val="Normal"/>
    <w:qFormat/>
    <w:pPr>
      <w:numPr>
        <w:ilvl w:val="4"/>
        <w:numId w:val="15"/>
      </w:numPr>
      <w:spacing w:before="240"/>
      <w:outlineLvl w:val="4"/>
    </w:pPr>
    <w:rPr>
      <w:sz w:val="22"/>
    </w:rPr>
  </w:style>
  <w:style w:type="paragraph" w:styleId="Heading6">
    <w:name w:val="heading 6"/>
    <w:basedOn w:val="Normal"/>
    <w:next w:val="Normal"/>
    <w:qFormat/>
    <w:pPr>
      <w:numPr>
        <w:ilvl w:val="5"/>
        <w:numId w:val="15"/>
      </w:numPr>
      <w:spacing w:before="240"/>
      <w:outlineLvl w:val="5"/>
    </w:pPr>
    <w:rPr>
      <w:i/>
      <w:sz w:val="22"/>
    </w:rPr>
  </w:style>
  <w:style w:type="paragraph" w:styleId="Heading7">
    <w:name w:val="heading 7"/>
    <w:basedOn w:val="Normal"/>
    <w:next w:val="Normal"/>
    <w:qFormat/>
    <w:pPr>
      <w:numPr>
        <w:ilvl w:val="6"/>
        <w:numId w:val="15"/>
      </w:numPr>
      <w:spacing w:before="240"/>
      <w:outlineLvl w:val="6"/>
    </w:pPr>
  </w:style>
  <w:style w:type="paragraph" w:styleId="Heading8">
    <w:name w:val="heading 8"/>
    <w:basedOn w:val="Normal"/>
    <w:next w:val="Normal"/>
    <w:qFormat/>
    <w:pPr>
      <w:numPr>
        <w:ilvl w:val="7"/>
        <w:numId w:val="15"/>
      </w:numPr>
      <w:spacing w:before="240"/>
      <w:outlineLvl w:val="7"/>
    </w:pPr>
    <w:rPr>
      <w:i/>
    </w:rPr>
  </w:style>
  <w:style w:type="paragraph" w:styleId="Heading9">
    <w:name w:val="heading 9"/>
    <w:basedOn w:val="Normal"/>
    <w:next w:val="Normal"/>
    <w:qFormat/>
    <w:pPr>
      <w:numPr>
        <w:ilvl w:val="8"/>
        <w:numId w:val="15"/>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Header">
    <w:name w:val="header"/>
    <w:basedOn w:val="Normal"/>
    <w:rsid w:val="00220345"/>
    <w:pPr>
      <w:pBdr>
        <w:bottom w:val="single" w:sz="2" w:space="5" w:color="auto"/>
      </w:pBdr>
      <w:tabs>
        <w:tab w:val="center" w:pos="4678"/>
        <w:tab w:val="right" w:pos="9354"/>
      </w:tabs>
      <w:spacing w:before="20" w:after="20"/>
    </w:pPr>
    <w:rPr>
      <w:bCs/>
      <w:i/>
      <w:sz w:val="16"/>
      <w:szCs w:val="16"/>
    </w:rPr>
  </w:style>
  <w:style w:type="paragraph" w:styleId="Footer">
    <w:name w:val="footer"/>
    <w:basedOn w:val="Normal"/>
    <w:rsid w:val="00220345"/>
    <w:pPr>
      <w:pBdr>
        <w:top w:val="single" w:sz="2" w:space="4" w:color="auto"/>
      </w:pBdr>
      <w:tabs>
        <w:tab w:val="center" w:pos="4678"/>
        <w:tab w:val="right" w:pos="9354"/>
      </w:tabs>
      <w:spacing w:before="80" w:after="0"/>
      <w:contextualSpacing/>
    </w:pPr>
    <w:rPr>
      <w:b/>
      <w:i/>
      <w:noProof/>
      <w:sz w:val="16"/>
      <w:szCs w:val="16"/>
    </w:rPr>
  </w:style>
  <w:style w:type="character" w:styleId="PageNumber">
    <w:name w:val="page number"/>
    <w:rPr>
      <w:rFonts w:ascii="Arial" w:hAnsi="Arial"/>
      <w:sz w:val="16"/>
    </w:rPr>
  </w:style>
  <w:style w:type="paragraph" w:styleId="BodyText">
    <w:name w:val="Body Text"/>
    <w:basedOn w:val="Normal"/>
    <w:pPr>
      <w:spacing w:line="302" w:lineRule="exact"/>
      <w:ind w:left="737"/>
    </w:pPr>
  </w:style>
  <w:style w:type="paragraph" w:styleId="Caption">
    <w:name w:val="caption"/>
    <w:basedOn w:val="Normal"/>
    <w:next w:val="Normal"/>
    <w:qFormat/>
    <w:pPr>
      <w:spacing w:before="120" w:after="120"/>
    </w:pPr>
    <w:rPr>
      <w:b/>
    </w:rPr>
  </w:style>
  <w:style w:type="paragraph" w:styleId="BodyText2">
    <w:name w:val="Body Text 2"/>
    <w:basedOn w:val="Normal"/>
    <w:pPr>
      <w:jc w:val="center"/>
    </w:pPr>
    <w:rPr>
      <w:b/>
      <w:sz w:val="24"/>
    </w:rPr>
  </w:style>
  <w:style w:type="paragraph" w:styleId="BodyText3">
    <w:name w:val="Body Text 3"/>
    <w:basedOn w:val="Normal"/>
    <w:pPr>
      <w:spacing w:before="4" w:line="211" w:lineRule="exact"/>
    </w:pPr>
  </w:style>
  <w:style w:type="paragraph" w:styleId="BodyTextIndent">
    <w:name w:val="Body Text Indent"/>
    <w:basedOn w:val="Normal"/>
    <w:link w:val="BodyTextIndentChar"/>
    <w:rsid w:val="00085839"/>
    <w:pPr>
      <w:ind w:left="709"/>
    </w:pPr>
  </w:style>
  <w:style w:type="paragraph" w:styleId="TOC1">
    <w:name w:val="toc 1"/>
    <w:basedOn w:val="Normal"/>
    <w:next w:val="Normal"/>
    <w:autoRedefine/>
    <w:uiPriority w:val="39"/>
    <w:rsid w:val="001A397C"/>
    <w:pPr>
      <w:tabs>
        <w:tab w:val="left" w:pos="567"/>
        <w:tab w:val="right" w:leader="dot" w:pos="9498"/>
      </w:tabs>
      <w:spacing w:before="120"/>
      <w:ind w:left="567" w:hanging="567"/>
    </w:pPr>
    <w:rPr>
      <w:rFonts w:cs="Arial"/>
      <w:b/>
      <w:caps/>
      <w:noProof/>
      <w:sz w:val="24"/>
      <w:szCs w:val="22"/>
    </w:rPr>
  </w:style>
  <w:style w:type="paragraph" w:styleId="TOC2">
    <w:name w:val="toc 2"/>
    <w:basedOn w:val="Normal"/>
    <w:next w:val="Normal"/>
    <w:autoRedefine/>
    <w:uiPriority w:val="39"/>
    <w:rsid w:val="00F05C96"/>
    <w:pPr>
      <w:tabs>
        <w:tab w:val="left" w:pos="1134"/>
        <w:tab w:val="right" w:leader="dot" w:pos="9498"/>
      </w:tabs>
      <w:spacing w:before="40" w:after="40"/>
      <w:ind w:left="1134" w:hanging="567"/>
      <w:contextualSpacing/>
    </w:pPr>
    <w:rPr>
      <w:rFonts w:cs="Arial"/>
      <w:b/>
      <w:smallCaps/>
      <w:noProof/>
      <w:sz w:val="22"/>
      <w:szCs w:val="22"/>
    </w:rPr>
  </w:style>
  <w:style w:type="paragraph" w:styleId="TOC3">
    <w:name w:val="toc 3"/>
    <w:basedOn w:val="Normal"/>
    <w:next w:val="Normal"/>
    <w:autoRedefine/>
    <w:uiPriority w:val="39"/>
    <w:rsid w:val="001A397C"/>
    <w:pPr>
      <w:tabs>
        <w:tab w:val="left" w:pos="1701"/>
        <w:tab w:val="right" w:leader="dot" w:pos="9498"/>
      </w:tabs>
      <w:spacing w:before="20" w:after="20"/>
      <w:ind w:left="1701" w:hanging="567"/>
    </w:pPr>
    <w:rPr>
      <w:b/>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lang w:eastAsia="en-US"/>
    </w:rPr>
  </w:style>
  <w:style w:type="paragraph" w:customStyle="1" w:styleId="hdg3">
    <w:name w:val="hdg 3"/>
    <w:basedOn w:val="Normal"/>
    <w:next w:val="hdg4"/>
    <w:pPr>
      <w:keepNext/>
      <w:keepLines/>
      <w:spacing w:before="120" w:after="120"/>
    </w:pPr>
    <w:rPr>
      <w:rFonts w:ascii="CG Times" w:hAnsi="CG Times"/>
      <w:b/>
      <w:caps/>
      <w:snapToGrid w:val="0"/>
      <w:sz w:val="24"/>
      <w:lang w:eastAsia="en-US"/>
    </w:rPr>
  </w:style>
  <w:style w:type="paragraph" w:customStyle="1" w:styleId="hdg4">
    <w:name w:val="hdg 4"/>
    <w:basedOn w:val="Normal"/>
    <w:next w:val="BodyText"/>
    <w:pPr>
      <w:keepNext/>
      <w:keepLines/>
      <w:ind w:left="709"/>
    </w:pPr>
    <w:rPr>
      <w:b/>
      <w:snapToGrid w:val="0"/>
      <w:u w:val="single"/>
      <w:lang w:eastAsia="en-US"/>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2"/>
      </w:numPr>
      <w:tabs>
        <w:tab w:val="clear" w:pos="360"/>
        <w:tab w:val="num" w:pos="1134"/>
      </w:tabs>
      <w:spacing w:before="120"/>
      <w:ind w:left="1134" w:hanging="425"/>
    </w:pPr>
  </w:style>
  <w:style w:type="paragraph" w:customStyle="1" w:styleId="hdg5">
    <w:name w:val="hdg 5"/>
    <w:basedOn w:val="Normal"/>
    <w:next w:val="BlockText"/>
    <w:pPr>
      <w:widowControl w:val="0"/>
      <w:spacing w:before="120"/>
    </w:pPr>
    <w:rPr>
      <w:rFonts w:ascii="CG Times" w:hAnsi="CG Times"/>
      <w:b/>
      <w:snapToGrid w:val="0"/>
      <w:sz w:val="22"/>
      <w:lang w:val="en-US" w:eastAsia="en-US"/>
    </w:rPr>
  </w:style>
  <w:style w:type="paragraph" w:styleId="BlockText">
    <w:name w:val="Block Text"/>
    <w:basedOn w:val="Normal"/>
    <w:pPr>
      <w:spacing w:after="120"/>
      <w:ind w:left="1440" w:right="1440"/>
    </w:pPr>
  </w:style>
  <w:style w:type="paragraph" w:customStyle="1" w:styleId="a">
    <w:name w:val="_"/>
    <w:basedOn w:val="Normal"/>
    <w:pPr>
      <w:widowControl w:val="0"/>
      <w:spacing w:before="240"/>
      <w:ind w:left="720" w:hanging="720"/>
    </w:pPr>
    <w:rPr>
      <w:rFonts w:ascii="CG Times" w:hAnsi="CG Times"/>
      <w:snapToGrid w:val="0"/>
      <w:sz w:val="24"/>
      <w:lang w:val="en-US" w:eastAsia="en-US"/>
    </w:rPr>
  </w:style>
  <w:style w:type="paragraph" w:styleId="BodyTextIndent2">
    <w:name w:val="Body Text Indent 2"/>
    <w:basedOn w:val="Normal"/>
    <w:pPr>
      <w:spacing w:after="100"/>
      <w:ind w:left="709"/>
    </w:pPr>
  </w:style>
  <w:style w:type="paragraph" w:styleId="BodyTextIndent3">
    <w:name w:val="Body Text Indent 3"/>
    <w:basedOn w:val="Normal"/>
    <w:rsid w:val="003C7FE6"/>
    <w:pPr>
      <w:ind w:left="709"/>
    </w:pPr>
  </w:style>
  <w:style w:type="paragraph" w:customStyle="1" w:styleId="Style1">
    <w:name w:val="Style1"/>
    <w:basedOn w:val="Normal"/>
    <w:rPr>
      <w:lang w:eastAsia="en-US"/>
    </w:rPr>
  </w:style>
  <w:style w:type="paragraph" w:styleId="BalloonText">
    <w:name w:val="Balloon Text"/>
    <w:basedOn w:val="Normal"/>
    <w:semiHidden/>
    <w:rsid w:val="006A0897"/>
    <w:rPr>
      <w:rFonts w:ascii="Tahoma" w:hAnsi="Tahoma" w:cs="Tahoma"/>
      <w:sz w:val="16"/>
      <w:szCs w:val="16"/>
    </w:rPr>
  </w:style>
  <w:style w:type="paragraph" w:customStyle="1" w:styleId="Table">
    <w:name w:val="Table"/>
    <w:basedOn w:val="BodyTextIndent3"/>
    <w:rsid w:val="0024417B"/>
    <w:pPr>
      <w:spacing w:before="50" w:after="50"/>
      <w:ind w:left="0"/>
      <w:jc w:val="left"/>
    </w:pPr>
    <w:rPr>
      <w:snapToGrid w:val="0"/>
      <w:sz w:val="18"/>
      <w:lang w:eastAsia="en-US"/>
    </w:rPr>
  </w:style>
  <w:style w:type="paragraph" w:customStyle="1" w:styleId="TableCen">
    <w:name w:val="Table Cen"/>
    <w:basedOn w:val="Table"/>
    <w:rsid w:val="0024417B"/>
    <w:pPr>
      <w:jc w:val="center"/>
    </w:pPr>
  </w:style>
  <w:style w:type="paragraph" w:customStyle="1" w:styleId="TableHead">
    <w:name w:val="Table Head"/>
    <w:basedOn w:val="BodyTextIndent3"/>
    <w:rsid w:val="00E36628"/>
    <w:pPr>
      <w:ind w:left="0"/>
      <w:jc w:val="left"/>
    </w:pPr>
    <w:rPr>
      <w:b/>
      <w:sz w:val="18"/>
    </w:rPr>
  </w:style>
  <w:style w:type="paragraph" w:customStyle="1" w:styleId="BodyTextIndentDot2">
    <w:name w:val="Body Text Indent Dot2"/>
    <w:basedOn w:val="Normal"/>
    <w:rsid w:val="00DC21CB"/>
    <w:pPr>
      <w:numPr>
        <w:numId w:val="8"/>
      </w:numPr>
      <w:tabs>
        <w:tab w:val="clear" w:pos="360"/>
        <w:tab w:val="num" w:pos="1134"/>
      </w:tabs>
      <w:spacing w:before="40" w:after="40"/>
      <w:ind w:left="1134" w:hanging="425"/>
    </w:pPr>
  </w:style>
  <w:style w:type="paragraph" w:customStyle="1" w:styleId="TableDot1">
    <w:name w:val="Table Dot1"/>
    <w:basedOn w:val="BodyTextIndentDot2"/>
    <w:rsid w:val="00DC21CB"/>
    <w:pPr>
      <w:tabs>
        <w:tab w:val="num" w:pos="459"/>
      </w:tabs>
      <w:spacing w:before="20" w:after="20"/>
      <w:ind w:left="459" w:hanging="283"/>
    </w:pPr>
    <w:rPr>
      <w:sz w:val="18"/>
    </w:rPr>
  </w:style>
  <w:style w:type="character" w:customStyle="1" w:styleId="BodyTextIndentChar">
    <w:name w:val="Body Text Indent Char"/>
    <w:link w:val="BodyTextIndent"/>
    <w:rsid w:val="00085839"/>
    <w:rPr>
      <w:rFonts w:ascii="Arial" w:hAnsi="Arial"/>
    </w:rPr>
  </w:style>
  <w:style w:type="paragraph" w:customStyle="1" w:styleId="TableHeadCen">
    <w:name w:val="Table Head Cen"/>
    <w:basedOn w:val="TableHead"/>
    <w:rsid w:val="00E36628"/>
    <w:pPr>
      <w:jc w:val="center"/>
    </w:pPr>
  </w:style>
  <w:style w:type="paragraph" w:customStyle="1" w:styleId="TableHeadLeft">
    <w:name w:val="Table Head Left"/>
    <w:basedOn w:val="TableHead"/>
    <w:rsid w:val="00E15922"/>
  </w:style>
  <w:style w:type="paragraph" w:customStyle="1" w:styleId="BodyTextIndentBold">
    <w:name w:val="Body Text Indent Bold"/>
    <w:basedOn w:val="BodyTextIndent"/>
    <w:rsid w:val="004F55C9"/>
    <w:pPr>
      <w:spacing w:before="120"/>
    </w:pPr>
    <w:rPr>
      <w:b/>
    </w:rPr>
  </w:style>
  <w:style w:type="paragraph" w:customStyle="1" w:styleId="BodyTextIndentBoldUnderline">
    <w:name w:val="Body Text Indent Bold Underline"/>
    <w:basedOn w:val="BodyTextIndentBold"/>
    <w:qFormat/>
    <w:rsid w:val="00E42D09"/>
    <w:rPr>
      <w:u w:val="single"/>
    </w:rPr>
  </w:style>
  <w:style w:type="paragraph" w:customStyle="1" w:styleId="BodyTextIndentDot1">
    <w:name w:val="Body Text Indent Dot1"/>
    <w:basedOn w:val="BodyTextIndent"/>
    <w:rsid w:val="00E42D09"/>
    <w:pPr>
      <w:numPr>
        <w:numId w:val="11"/>
      </w:numPr>
      <w:tabs>
        <w:tab w:val="clear" w:pos="425"/>
        <w:tab w:val="num" w:pos="1134"/>
      </w:tabs>
      <w:spacing w:before="40" w:after="40"/>
      <w:ind w:left="1134"/>
    </w:pPr>
  </w:style>
  <w:style w:type="paragraph" w:customStyle="1" w:styleId="Amend">
    <w:name w:val="Amend"/>
    <w:basedOn w:val="Normal"/>
    <w:rsid w:val="00851E42"/>
    <w:pPr>
      <w:spacing w:before="0" w:after="0"/>
      <w:jc w:val="right"/>
    </w:pPr>
    <w:rPr>
      <w:sz w:val="16"/>
    </w:rPr>
  </w:style>
  <w:style w:type="paragraph" w:customStyle="1" w:styleId="BodyTextIndentBoldItalicCen">
    <w:name w:val="Body Text Indent Bold Italic Cen"/>
    <w:basedOn w:val="BodyTextIndent"/>
    <w:rsid w:val="00041DA0"/>
    <w:pPr>
      <w:jc w:val="center"/>
    </w:pPr>
    <w:rPr>
      <w:b/>
      <w:i/>
    </w:rPr>
  </w:style>
  <w:style w:type="paragraph" w:customStyle="1" w:styleId="CoverHeading">
    <w:name w:val="Cover Heading"/>
    <w:basedOn w:val="Normal"/>
    <w:rsid w:val="00F05C96"/>
    <w:pPr>
      <w:spacing w:before="160" w:after="120"/>
      <w:jc w:val="center"/>
      <w:outlineLvl w:val="0"/>
    </w:pPr>
    <w:rPr>
      <w:b/>
      <w:caps/>
      <w:sz w:val="24"/>
    </w:rPr>
  </w:style>
  <w:style w:type="paragraph" w:customStyle="1" w:styleId="TableIdNum">
    <w:name w:val="Table Id Num"/>
    <w:basedOn w:val="Normal"/>
    <w:qFormat/>
    <w:rsid w:val="002166F2"/>
    <w:pPr>
      <w:spacing w:before="120"/>
      <w:ind w:left="709"/>
    </w:pPr>
    <w:rPr>
      <w:b/>
      <w:i/>
      <w:sz w:val="18"/>
    </w:rPr>
  </w:style>
  <w:style w:type="paragraph" w:customStyle="1" w:styleId="BodyTextIndentDot">
    <w:name w:val="Body Text Indent Dot"/>
    <w:basedOn w:val="Normal"/>
    <w:qFormat/>
    <w:rsid w:val="00F936A9"/>
    <w:pPr>
      <w:numPr>
        <w:numId w:val="12"/>
      </w:numPr>
      <w:tabs>
        <w:tab w:val="clear" w:pos="992"/>
        <w:tab w:val="num" w:pos="1134"/>
      </w:tabs>
      <w:spacing w:before="40" w:after="20"/>
      <w:ind w:left="1134" w:hanging="425"/>
    </w:pPr>
  </w:style>
  <w:style w:type="paragraph" w:customStyle="1" w:styleId="Figure">
    <w:name w:val="Figure"/>
    <w:basedOn w:val="Normal"/>
    <w:qFormat/>
    <w:rsid w:val="00903100"/>
    <w:pPr>
      <w:spacing w:before="120"/>
      <w:ind w:left="709"/>
      <w:jc w:val="left"/>
    </w:pPr>
    <w:rPr>
      <w:b/>
      <w:i/>
      <w:sz w:val="18"/>
    </w:rPr>
  </w:style>
  <w:style w:type="paragraph" w:customStyle="1" w:styleId="BodyTextIndentMinor">
    <w:name w:val="Body Text Indent Minor"/>
    <w:basedOn w:val="BodyTextIndent3"/>
    <w:rsid w:val="00541D16"/>
    <w:pPr>
      <w:tabs>
        <w:tab w:val="left" w:pos="993"/>
      </w:tabs>
      <w:spacing w:before="40" w:after="40"/>
      <w:ind w:left="993" w:hanging="284"/>
    </w:pPr>
    <w:rPr>
      <w:i/>
      <w:sz w:val="18"/>
    </w:rPr>
  </w:style>
  <w:style w:type="character" w:styleId="FootnoteReference">
    <w:name w:val="footnote reference"/>
    <w:basedOn w:val="DefaultParagraphFont"/>
    <w:rsid w:val="00AF5426"/>
    <w:rPr>
      <w:vertAlign w:val="superscript"/>
    </w:rPr>
  </w:style>
  <w:style w:type="paragraph" w:customStyle="1" w:styleId="Footnotes">
    <w:name w:val="Footnotes"/>
    <w:basedOn w:val="Normal"/>
    <w:qFormat/>
    <w:rsid w:val="00AF5426"/>
    <w:pPr>
      <w:spacing w:before="100" w:after="40"/>
      <w:ind w:left="709"/>
    </w:pPr>
    <w:rPr>
      <w:i/>
      <w:sz w:val="16"/>
    </w:rPr>
  </w:style>
  <w:style w:type="paragraph" w:customStyle="1" w:styleId="BodyTextIndentNum">
    <w:name w:val="Body Text Indent Num"/>
    <w:basedOn w:val="Normal"/>
    <w:qFormat/>
    <w:rsid w:val="00AF5426"/>
    <w:pPr>
      <w:numPr>
        <w:numId w:val="17"/>
      </w:numPr>
      <w:spacing w:before="40" w:after="40"/>
      <w:ind w:left="1134" w:hanging="425"/>
    </w:pPr>
  </w:style>
  <w:style w:type="paragraph" w:styleId="NormalWeb">
    <w:name w:val="Normal (Web)"/>
    <w:basedOn w:val="Normal"/>
    <w:uiPriority w:val="99"/>
    <w:semiHidden/>
    <w:unhideWhenUsed/>
    <w:rsid w:val="006E6656"/>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1554D-7A92-4EAF-A4AC-A44EA6E5B1D3}">
  <ds:schemaRefs>
    <ds:schemaRef ds:uri="http://schemas.microsoft.com/sharepoint/v3/contenttype/forms"/>
  </ds:schemaRefs>
</ds:datastoreItem>
</file>

<file path=customXml/itemProps2.xml><?xml version="1.0" encoding="utf-8"?>
<ds:datastoreItem xmlns:ds="http://schemas.openxmlformats.org/officeDocument/2006/customXml" ds:itemID="{F001BD49-B2E1-4F91-AF05-18808CAFC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7BFD5-8BAD-4DF8-88C0-A61DBA112B68}">
  <ds:schemaRefs>
    <ds:schemaRef ds:uri="http://schemas.openxmlformats.org/officeDocument/2006/bibliography"/>
  </ds:schemaRefs>
</ds:datastoreItem>
</file>

<file path=customXml/itemProps4.xml><?xml version="1.0" encoding="utf-8"?>
<ds:datastoreItem xmlns:ds="http://schemas.openxmlformats.org/officeDocument/2006/customXml" ds:itemID="{710B7A95-0FBC-45BE-85D3-5628B87D27B4}">
  <ds:schemaRefs>
    <ds:schemaRef ds:uri="4f40705d-e7da-4f43-bdce-ad8c70b86017"/>
    <ds:schemaRef ds:uri="http://schemas.microsoft.com/office/2006/documentManagement/types"/>
    <ds:schemaRef ds:uri="http://purl.org/dc/terms/"/>
    <ds:schemaRef ds:uri="http://purl.org/dc/dcmitype/"/>
    <ds:schemaRef ds:uri="http://purl.org/dc/elements/1.1/"/>
    <ds:schemaRef ds:uri="http://www.w3.org/XML/1998/namespace"/>
    <ds:schemaRef ds:uri="1aac26e5-4c41-468c-83b0-97e8e79a919c"/>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4520</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Reference Specifications for Civil Engineering Work 2001</vt:lpstr>
    </vt:vector>
  </TitlesOfParts>
  <Manager>Bruce Hansen</Manager>
  <Company>Brisbane City Council</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S150 Roadworks 2004 Edition</dc:subject>
  <dc:creator>Lucy Ting</dc:creator>
  <cp:keywords/>
  <dc:description/>
  <cp:lastModifiedBy>David Brady</cp:lastModifiedBy>
  <cp:revision>88</cp:revision>
  <cp:lastPrinted>2018-07-06T05:36:00Z</cp:lastPrinted>
  <dcterms:created xsi:type="dcterms:W3CDTF">2018-06-22T01:54:00Z</dcterms:created>
  <dcterms:modified xsi:type="dcterms:W3CDTF">2021-11-16T22:31:00Z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