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A4AE6" w14:textId="77777777" w:rsidR="0061740B" w:rsidRPr="00425C9A" w:rsidRDefault="0061740B" w:rsidP="00425C9A">
      <w:pPr>
        <w:pStyle w:val="Heading1"/>
      </w:pPr>
      <w:bookmarkStart w:id="0" w:name="_Toc197934562"/>
      <w:bookmarkStart w:id="1" w:name="_Toc197935081"/>
      <w:bookmarkStart w:id="2" w:name="_Toc197936723"/>
      <w:bookmarkStart w:id="3" w:name="_Toc198699292"/>
      <w:permStart w:id="82066258" w:edGrp="everyone"/>
      <w:r w:rsidRPr="00425C9A">
        <w:t>Brisbane City Council</w:t>
      </w:r>
    </w:p>
    <w:p w14:paraId="7A985CC0" w14:textId="77777777" w:rsidR="0061740B" w:rsidRDefault="0061740B" w:rsidP="00425C9A">
      <w:pPr>
        <w:pStyle w:val="Heading1"/>
      </w:pPr>
      <w:r>
        <w:t>Reference Specifications for Engineering Work</w:t>
      </w:r>
    </w:p>
    <w:p w14:paraId="0653E5CE" w14:textId="422B340D" w:rsidR="0061740B" w:rsidRDefault="0061740B" w:rsidP="00425C9A">
      <w:pPr>
        <w:pStyle w:val="Heading1"/>
        <w:sectPr w:rsidR="0061740B" w:rsidSect="003833CF">
          <w:headerReference w:type="even" r:id="rId10"/>
          <w:headerReference w:type="default" r:id="rId11"/>
          <w:footerReference w:type="default" r:id="rId12"/>
          <w:pgSz w:w="11906" w:h="16838" w:code="9"/>
          <w:pgMar w:top="1134" w:right="1134" w:bottom="992" w:left="1418" w:header="1134" w:footer="851" w:gutter="0"/>
          <w:pgNumType w:fmt="lowerRoman" w:start="1"/>
          <w:cols w:space="720"/>
        </w:sectPr>
      </w:pPr>
      <w:r>
        <w:t>S156 Solar Road and Bikeway Markers</w:t>
      </w:r>
    </w:p>
    <w:permEnd w:id="82066258"/>
    <w:p w14:paraId="14DDDD23" w14:textId="686BB036" w:rsidR="00435DDF" w:rsidRDefault="00435DDF" w:rsidP="00C66125">
      <w:pPr>
        <w:pStyle w:val="Heading2"/>
        <w:numPr>
          <w:ilvl w:val="0"/>
          <w:numId w:val="0"/>
        </w:numPr>
        <w:ind w:left="709" w:hanging="709"/>
      </w:pPr>
      <w:r>
        <w:lastRenderedPageBreak/>
        <w:t>Amendment Register</w:t>
      </w:r>
      <w:bookmarkEnd w:id="0"/>
      <w:bookmarkEnd w:id="1"/>
      <w:bookmarkEnd w:id="2"/>
      <w:bookmarkEnd w:id="3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10"/>
        <w:gridCol w:w="5245"/>
        <w:gridCol w:w="1559"/>
      </w:tblGrid>
      <w:tr w:rsidR="00435DDF" w14:paraId="14DDDD28" w14:textId="77777777" w:rsidTr="00A36D06">
        <w:trPr>
          <w:trHeight w:val="397"/>
        </w:trPr>
        <w:tc>
          <w:tcPr>
            <w:tcW w:w="124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4DDDD24" w14:textId="77777777" w:rsidR="00435DDF" w:rsidRDefault="00435DDF" w:rsidP="000D5935">
            <w:pPr>
              <w:pStyle w:val="TableHeadCen"/>
            </w:pPr>
            <w:r>
              <w:t>Ed/Rev Number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4DDDD25" w14:textId="77777777" w:rsidR="00435DDF" w:rsidRDefault="00435DDF" w:rsidP="000D5935">
            <w:pPr>
              <w:pStyle w:val="TableHeadCen"/>
            </w:pPr>
            <w:r>
              <w:t>Section Number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4DDDD26" w14:textId="77777777" w:rsidR="00435DDF" w:rsidRDefault="00435DDF" w:rsidP="00DB74EB">
            <w:pPr>
              <w:pStyle w:val="TableHead"/>
            </w:pPr>
            <w:r>
              <w:t>Description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14DDDD27" w14:textId="77777777" w:rsidR="00435DDF" w:rsidRDefault="00435DDF" w:rsidP="000D5935">
            <w:pPr>
              <w:pStyle w:val="TableHeadCen"/>
            </w:pPr>
            <w:r>
              <w:t>Date</w:t>
            </w:r>
          </w:p>
        </w:tc>
      </w:tr>
      <w:tr w:rsidR="007D61EB" w14:paraId="14DDDD2D" w14:textId="77777777" w:rsidTr="00A36D06">
        <w:trPr>
          <w:trHeight w:val="340"/>
        </w:trPr>
        <w:tc>
          <w:tcPr>
            <w:tcW w:w="1242" w:type="dxa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4DDDD29" w14:textId="77777777" w:rsidR="007D61EB" w:rsidRDefault="007D61EB" w:rsidP="00DB74EB">
            <w:pPr>
              <w:pStyle w:val="TableCen"/>
            </w:pPr>
            <w:r>
              <w:t>0.2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DDD2A" w14:textId="77777777" w:rsidR="007D61EB" w:rsidRDefault="007D61EB" w:rsidP="00DB74EB">
            <w:pPr>
              <w:pStyle w:val="TableCen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DDD2B" w14:textId="77777777" w:rsidR="007D61EB" w:rsidRDefault="007D61EB" w:rsidP="00DB74EB">
            <w:pPr>
              <w:pStyle w:val="Table"/>
            </w:pPr>
            <w:r>
              <w:t>Draft Issue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14DDDD2C" w14:textId="77777777" w:rsidR="007D61EB" w:rsidRDefault="007D61EB" w:rsidP="000D5935">
            <w:pPr>
              <w:pStyle w:val="TableCen"/>
            </w:pPr>
            <w:r>
              <w:t>Dec 2009</w:t>
            </w:r>
          </w:p>
        </w:tc>
      </w:tr>
      <w:tr w:rsidR="000443E8" w14:paraId="14DDDD32" w14:textId="77777777" w:rsidTr="00A36D06">
        <w:trPr>
          <w:trHeight w:val="340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4DDDD2E" w14:textId="77777777" w:rsidR="000443E8" w:rsidRDefault="000443E8" w:rsidP="00DB74EB">
            <w:pPr>
              <w:pStyle w:val="TableCen"/>
            </w:pPr>
            <w:r>
              <w:t>0.3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DDD2F" w14:textId="77777777" w:rsidR="000443E8" w:rsidRDefault="000443E8" w:rsidP="00DB74EB">
            <w:pPr>
              <w:pStyle w:val="TableCen"/>
            </w:pP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DDD30" w14:textId="77777777" w:rsidR="000443E8" w:rsidRDefault="000443E8" w:rsidP="00DB74EB">
            <w:pPr>
              <w:pStyle w:val="Table"/>
            </w:pPr>
            <w:r>
              <w:t>Draft Issue for distribution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14DDDD31" w14:textId="77777777" w:rsidR="000443E8" w:rsidRDefault="000443E8" w:rsidP="000D5935">
            <w:pPr>
              <w:pStyle w:val="TableCen"/>
            </w:pPr>
            <w:r>
              <w:t>Mar 2010</w:t>
            </w:r>
          </w:p>
        </w:tc>
      </w:tr>
      <w:tr w:rsidR="000D5935" w14:paraId="14DDDD37" w14:textId="77777777" w:rsidTr="00A36D06">
        <w:trPr>
          <w:trHeight w:val="340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4DDDD33" w14:textId="77777777" w:rsidR="000D5935" w:rsidRDefault="000D5935" w:rsidP="00DB74EB">
            <w:pPr>
              <w:pStyle w:val="TableCen"/>
            </w:pPr>
            <w:r>
              <w:t>0.4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DDD34" w14:textId="77777777" w:rsidR="000D5935" w:rsidRDefault="000D5935" w:rsidP="00DB74EB">
            <w:pPr>
              <w:pStyle w:val="TableCen"/>
            </w:pP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DDD35" w14:textId="77777777" w:rsidR="000D5935" w:rsidRDefault="000D5935" w:rsidP="00DB74EB">
            <w:pPr>
              <w:pStyle w:val="Table"/>
            </w:pPr>
            <w:r>
              <w:t>Revised Draft Issue for distribution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14DDDD36" w14:textId="77777777" w:rsidR="000D5935" w:rsidRDefault="000D5935" w:rsidP="00DB74EB">
            <w:pPr>
              <w:pStyle w:val="TableCen"/>
            </w:pPr>
            <w:r>
              <w:t>Mar 2010</w:t>
            </w:r>
          </w:p>
        </w:tc>
      </w:tr>
      <w:tr w:rsidR="000D5935" w14:paraId="14DDDD3D" w14:textId="77777777" w:rsidTr="00A36D06">
        <w:trPr>
          <w:trHeight w:val="340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4DDDD38" w14:textId="77777777" w:rsidR="000D5935" w:rsidRDefault="000D5935" w:rsidP="00DB74EB">
            <w:pPr>
              <w:pStyle w:val="TableCen"/>
            </w:pPr>
            <w:r>
              <w:t>1.0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DDD39" w14:textId="77777777" w:rsidR="000D5935" w:rsidRDefault="000D5935" w:rsidP="00DB74EB">
            <w:pPr>
              <w:pStyle w:val="TableCen"/>
            </w:pP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DDD3A" w14:textId="77777777" w:rsidR="000D5935" w:rsidRDefault="000D5935" w:rsidP="005C6328">
            <w:pPr>
              <w:pStyle w:val="Table"/>
            </w:pPr>
            <w:r>
              <w:t>Issued for Internal Publication</w:t>
            </w:r>
          </w:p>
          <w:p w14:paraId="14DDDD3B" w14:textId="77777777" w:rsidR="000D5935" w:rsidRDefault="000D5935" w:rsidP="00DB74EB">
            <w:pPr>
              <w:pStyle w:val="Table"/>
            </w:pPr>
            <w:r>
              <w:rPr>
                <w:i/>
              </w:rPr>
              <w:t>(</w:t>
            </w:r>
            <w:r w:rsidRPr="001734BE">
              <w:rPr>
                <w:i/>
              </w:rPr>
              <w:t>Supersedes Draft Specification S146 Solar Road and Bikeway Markers</w:t>
            </w:r>
            <w:r>
              <w:rPr>
                <w:i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14DDDD3C" w14:textId="77777777" w:rsidR="000D5935" w:rsidRDefault="000D5935" w:rsidP="000D5935">
            <w:pPr>
              <w:pStyle w:val="TableCen"/>
            </w:pPr>
            <w:r>
              <w:t>Jun 2010</w:t>
            </w:r>
          </w:p>
        </w:tc>
      </w:tr>
      <w:tr w:rsidR="000D5935" w14:paraId="14DDDD42" w14:textId="77777777" w:rsidTr="00A36D06">
        <w:trPr>
          <w:trHeight w:val="340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4DDDD3E" w14:textId="77777777" w:rsidR="000D5935" w:rsidRDefault="000D5935" w:rsidP="00DB74EB">
            <w:pPr>
              <w:pStyle w:val="TableCen"/>
            </w:pPr>
            <w:r>
              <w:t>2.0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DDD3F" w14:textId="77777777" w:rsidR="000D5935" w:rsidRDefault="000D5935" w:rsidP="00DB74EB">
            <w:pPr>
              <w:pStyle w:val="TableCen"/>
            </w:pP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DDD40" w14:textId="77777777" w:rsidR="000D5935" w:rsidRPr="001734BE" w:rsidRDefault="000D5935" w:rsidP="009C7848">
            <w:pPr>
              <w:pStyle w:val="Table"/>
            </w:pPr>
            <w:r>
              <w:t>Issue for External Publication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14DDDD41" w14:textId="77777777" w:rsidR="000D5935" w:rsidRDefault="000D5935" w:rsidP="00DB74EB">
            <w:pPr>
              <w:pStyle w:val="TableCen"/>
            </w:pPr>
            <w:r w:rsidRPr="001C1FBB">
              <w:t>April 2014</w:t>
            </w:r>
          </w:p>
        </w:tc>
      </w:tr>
      <w:tr w:rsidR="003833CF" w14:paraId="14DDDD47" w14:textId="77777777" w:rsidTr="00A36D06">
        <w:trPr>
          <w:trHeight w:val="340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4DDDD43" w14:textId="77777777" w:rsidR="003833CF" w:rsidRDefault="003833CF" w:rsidP="00DB74EB">
            <w:pPr>
              <w:pStyle w:val="TableCen"/>
            </w:pPr>
            <w:r>
              <w:t>3.0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DDDD44" w14:textId="77777777" w:rsidR="003833CF" w:rsidRDefault="003833CF" w:rsidP="00DB74EB">
            <w:pPr>
              <w:pStyle w:val="TableCen"/>
            </w:pP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DDDD45" w14:textId="77777777" w:rsidR="003833CF" w:rsidRDefault="003833CF" w:rsidP="009C7848">
            <w:pPr>
              <w:pStyle w:val="Table"/>
            </w:pPr>
            <w:r w:rsidRPr="005271D4">
              <w:t>External References Updated and Corrected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14DDDD46" w14:textId="77777777" w:rsidR="003833CF" w:rsidRPr="001C1FBB" w:rsidRDefault="003833CF" w:rsidP="00DB74EB">
            <w:pPr>
              <w:pStyle w:val="TableCen"/>
            </w:pPr>
            <w:r>
              <w:t>May 2016</w:t>
            </w:r>
          </w:p>
        </w:tc>
      </w:tr>
      <w:tr w:rsidR="000F7B2D" w14:paraId="61155E92" w14:textId="77777777" w:rsidTr="00A36D06">
        <w:trPr>
          <w:trHeight w:val="340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B00F4FD" w14:textId="178102CE" w:rsidR="000F7B2D" w:rsidRDefault="000F7B2D" w:rsidP="000F7B2D">
            <w:pPr>
              <w:pStyle w:val="TableCen"/>
            </w:pPr>
            <w:r>
              <w:t>4.0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33CF7" w14:textId="43DE1C24" w:rsidR="000F7B2D" w:rsidRDefault="000F7B2D" w:rsidP="000F7B2D">
            <w:pPr>
              <w:pStyle w:val="TableCen"/>
            </w:pPr>
            <w:r>
              <w:t>General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06AC44" w14:textId="3AEA746F" w:rsidR="000F7B2D" w:rsidRPr="005271D4" w:rsidRDefault="000F7B2D" w:rsidP="000F7B2D">
            <w:pPr>
              <w:pStyle w:val="Table"/>
            </w:pPr>
            <w:r>
              <w:t>Document name changed from ‘</w:t>
            </w:r>
            <w:r w:rsidRPr="00491846">
              <w:rPr>
                <w:i/>
              </w:rPr>
              <w:t>Reference Specifications for Civil Engineering Work</w:t>
            </w:r>
            <w:r>
              <w:t>’ to ‘</w:t>
            </w:r>
            <w:r w:rsidRPr="00491846">
              <w:rPr>
                <w:i/>
              </w:rPr>
              <w:t>Reference Specifications for Engineering Work</w:t>
            </w:r>
            <w:r>
              <w:t>’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120B930F" w14:textId="015211C1" w:rsidR="000F7B2D" w:rsidRDefault="000F7B2D" w:rsidP="000F7B2D">
            <w:pPr>
              <w:pStyle w:val="TableCen"/>
            </w:pPr>
            <w:r>
              <w:t>M</w:t>
            </w:r>
            <w:r w:rsidR="00AE14E6">
              <w:t>ar</w:t>
            </w:r>
            <w:r>
              <w:t xml:space="preserve"> 202</w:t>
            </w:r>
            <w:r w:rsidR="003E120D">
              <w:t>1</w:t>
            </w:r>
          </w:p>
        </w:tc>
      </w:tr>
    </w:tbl>
    <w:p w14:paraId="14DDDD48" w14:textId="77777777" w:rsidR="00435DDF" w:rsidRDefault="00435DDF">
      <w:pPr>
        <w:jc w:val="center"/>
      </w:pPr>
    </w:p>
    <w:p w14:paraId="14DDDD49" w14:textId="77777777" w:rsidR="009A6FF3" w:rsidRDefault="009A6FF3">
      <w:pPr>
        <w:jc w:val="center"/>
        <w:sectPr w:rsidR="009A6FF3" w:rsidSect="003833CF">
          <w:headerReference w:type="default" r:id="rId13"/>
          <w:footerReference w:type="default" r:id="rId14"/>
          <w:pgSz w:w="11906" w:h="16838" w:code="9"/>
          <w:pgMar w:top="1134" w:right="1134" w:bottom="992" w:left="1418" w:header="1134" w:footer="851" w:gutter="0"/>
          <w:pgNumType w:fmt="lowerRoman" w:start="1"/>
          <w:cols w:space="720"/>
        </w:sectPr>
      </w:pPr>
    </w:p>
    <w:p w14:paraId="14DDDD4A" w14:textId="4B9E326F" w:rsidR="00DC5908" w:rsidRDefault="00DC5908" w:rsidP="00DC5908">
      <w:pPr>
        <w:pStyle w:val="BodyTextIndentBoldItalicCen"/>
      </w:pPr>
      <w:r>
        <w:lastRenderedPageBreak/>
        <w:t xml:space="preserve">(This </w:t>
      </w:r>
      <w:r w:rsidR="00111BA7">
        <w:t>Page Left Intentionally Blank</w:t>
      </w:r>
      <w:r>
        <w:t>)</w:t>
      </w:r>
    </w:p>
    <w:p w14:paraId="14DDDD4B" w14:textId="77777777" w:rsidR="00435DDF" w:rsidRDefault="00435DDF">
      <w:pPr>
        <w:jc w:val="center"/>
        <w:sectPr w:rsidR="00435DDF" w:rsidSect="003833CF">
          <w:pgSz w:w="11906" w:h="16838" w:code="9"/>
          <w:pgMar w:top="1134" w:right="1134" w:bottom="992" w:left="1418" w:header="1134" w:footer="851" w:gutter="0"/>
          <w:pgNumType w:fmt="lowerRoman" w:start="1"/>
          <w:cols w:space="720"/>
          <w:vAlign w:val="center"/>
        </w:sectPr>
      </w:pPr>
    </w:p>
    <w:p w14:paraId="14DDDD4C" w14:textId="77777777" w:rsidR="00D41F0C" w:rsidRDefault="00D41F0C" w:rsidP="00C66125">
      <w:pPr>
        <w:pStyle w:val="Heading2"/>
        <w:numPr>
          <w:ilvl w:val="0"/>
          <w:numId w:val="0"/>
        </w:numPr>
        <w:ind w:left="709" w:hanging="709"/>
      </w:pPr>
      <w:r>
        <w:lastRenderedPageBreak/>
        <w:t>TABLE OF CONTENTS</w:t>
      </w:r>
    </w:p>
    <w:p w14:paraId="5DD7A880" w14:textId="42352B12" w:rsidR="00CA5995" w:rsidRDefault="00CA599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\t "Heading 2,1,Heading 3,2,Heading 4,3" </w:instrText>
      </w:r>
      <w:r>
        <w:rPr>
          <w:b w:val="0"/>
          <w:bCs w:val="0"/>
          <w:caps w:val="0"/>
        </w:rPr>
        <w:fldChar w:fldCharType="separate"/>
      </w:r>
      <w:r>
        <w:rPr>
          <w:noProof/>
        </w:rPr>
        <w:t>1.0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_Toc76031496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682D56" w14:textId="772AAD75" w:rsidR="00CA5995" w:rsidRDefault="00CA5995">
      <w:pPr>
        <w:pStyle w:val="TOC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  <w:tab/>
      </w:r>
      <w:r>
        <w:rPr>
          <w:noProof/>
        </w:rPr>
        <w:t>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_Toc76031497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A0193A" w14:textId="5A0B6621" w:rsidR="00CA5995" w:rsidRDefault="00CA5995">
      <w:pPr>
        <w:pStyle w:val="TOC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  <w:tab/>
      </w:r>
      <w:r>
        <w:rPr>
          <w:noProof/>
        </w:rPr>
        <w:t>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_Toc76031498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F4AFDF" w14:textId="5E2180FE" w:rsidR="00CA5995" w:rsidRDefault="00CA5995">
      <w:pPr>
        <w:pStyle w:val="TOC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r>
        <w:rPr>
          <w:noProof/>
        </w:rPr>
        <w:t>1.3</w:t>
      </w:r>
      <w:r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_Toc76031499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0BC3C5" w14:textId="5AE8A150" w:rsidR="00CA5995" w:rsidRDefault="00CA599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2.0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QUALITY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_Toc76031500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623A86" w14:textId="3C66487D" w:rsidR="00CA5995" w:rsidRDefault="00CA5995">
      <w:pPr>
        <w:pStyle w:val="TOC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_Toc76031501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6C1E57" w14:textId="3934483E" w:rsidR="00CA5995" w:rsidRDefault="00CA599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3.0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TEHCNICAL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_Toc76031502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D4CC97" w14:textId="3BB11278" w:rsidR="00CA5995" w:rsidRDefault="00CA5995">
      <w:pPr>
        <w:pStyle w:val="TOC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_Toc76031503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B9A6A7" w14:textId="708E72A7" w:rsidR="00CA5995" w:rsidRDefault="00CA5995">
      <w:pPr>
        <w:pStyle w:val="TOC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  <w:tab/>
      </w:r>
      <w:r>
        <w:rPr>
          <w:noProof/>
        </w:rPr>
        <w:t>Compliance Testing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_Toc76031504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3B40CA" w14:textId="548D0109" w:rsidR="00CA5995" w:rsidRDefault="00CA5995">
      <w:pPr>
        <w:pStyle w:val="TOC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  <w:tab/>
      </w:r>
      <w:r>
        <w:rPr>
          <w:noProof/>
        </w:rPr>
        <w:t>Technical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_Toc76031505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DDDD56" w14:textId="1831636C" w:rsidR="00D41F0C" w:rsidRDefault="00CA5995">
      <w:r>
        <w:rPr>
          <w:b/>
          <w:bCs/>
          <w:caps/>
          <w:sz w:val="22"/>
        </w:rPr>
        <w:fldChar w:fldCharType="end"/>
      </w:r>
    </w:p>
    <w:p w14:paraId="14DDDD57" w14:textId="77777777" w:rsidR="00D41F0C" w:rsidRDefault="00D41F0C"/>
    <w:p w14:paraId="14DDDD58" w14:textId="77777777" w:rsidR="009A6FF3" w:rsidRDefault="009A6FF3">
      <w:pPr>
        <w:sectPr w:rsidR="009A6FF3" w:rsidSect="003833CF">
          <w:footerReference w:type="default" r:id="rId15"/>
          <w:pgSz w:w="11906" w:h="16838" w:code="9"/>
          <w:pgMar w:top="1134" w:right="1134" w:bottom="992" w:left="1418" w:header="1134" w:footer="851" w:gutter="0"/>
          <w:pgNumType w:fmt="lowerRoman" w:start="1"/>
          <w:cols w:space="720"/>
        </w:sectPr>
      </w:pPr>
    </w:p>
    <w:p w14:paraId="14DDDD59" w14:textId="5C2642A0" w:rsidR="00DC5908" w:rsidRDefault="00DC5908" w:rsidP="00DC5908">
      <w:pPr>
        <w:pStyle w:val="BodyTextIndentBoldItalicCen"/>
      </w:pPr>
      <w:r>
        <w:lastRenderedPageBreak/>
        <w:t xml:space="preserve">(This </w:t>
      </w:r>
      <w:r w:rsidR="00111BA7">
        <w:t>Page Left Intentionally Blank</w:t>
      </w:r>
      <w:r>
        <w:t>)</w:t>
      </w:r>
    </w:p>
    <w:p w14:paraId="14DDDD5A" w14:textId="77777777" w:rsidR="00D41F0C" w:rsidRDefault="00D41F0C">
      <w:pPr>
        <w:jc w:val="both"/>
        <w:sectPr w:rsidR="00D41F0C" w:rsidSect="003833CF">
          <w:footerReference w:type="default" r:id="rId16"/>
          <w:pgSz w:w="11906" w:h="16838" w:code="9"/>
          <w:pgMar w:top="1134" w:right="1134" w:bottom="992" w:left="1418" w:header="1134" w:footer="851" w:gutter="0"/>
          <w:pgNumType w:fmt="lowerRoman" w:start="1"/>
          <w:cols w:space="720"/>
          <w:vAlign w:val="center"/>
        </w:sectPr>
      </w:pPr>
      <w:bookmarkStart w:id="4" w:name="_Toc493942064"/>
      <w:bookmarkStart w:id="5" w:name="_Toc493986903"/>
    </w:p>
    <w:p w14:paraId="14DDDD5B" w14:textId="77777777" w:rsidR="00D41F0C" w:rsidRDefault="00D41F0C" w:rsidP="00425C9A">
      <w:pPr>
        <w:pStyle w:val="Heading2"/>
      </w:pPr>
      <w:bookmarkStart w:id="6" w:name="_Toc493942065"/>
      <w:bookmarkStart w:id="7" w:name="_Toc493986904"/>
      <w:bookmarkStart w:id="8" w:name="_Toc76031496"/>
      <w:bookmarkEnd w:id="4"/>
      <w:bookmarkEnd w:id="5"/>
      <w:r w:rsidRPr="00425C9A">
        <w:lastRenderedPageBreak/>
        <w:t>GENERAL</w:t>
      </w:r>
      <w:bookmarkEnd w:id="6"/>
      <w:bookmarkEnd w:id="7"/>
      <w:bookmarkEnd w:id="8"/>
    </w:p>
    <w:p w14:paraId="14DDDD5C" w14:textId="77777777" w:rsidR="003155BF" w:rsidRDefault="00DC5908" w:rsidP="00425C9A">
      <w:pPr>
        <w:pStyle w:val="Heading3"/>
      </w:pPr>
      <w:bookmarkStart w:id="9" w:name="_Toc76031497"/>
      <w:r w:rsidRPr="00425C9A">
        <w:t>Scope</w:t>
      </w:r>
      <w:bookmarkEnd w:id="9"/>
    </w:p>
    <w:p w14:paraId="14DDDD5D" w14:textId="77777777" w:rsidR="003155BF" w:rsidRPr="003155BF" w:rsidRDefault="00A94029" w:rsidP="003155BF">
      <w:pPr>
        <w:pStyle w:val="BodyTextIndent"/>
      </w:pPr>
      <w:r w:rsidRPr="00A94029">
        <w:t xml:space="preserve">This specification outlines the technical acceptance criteria for </w:t>
      </w:r>
      <w:r w:rsidR="0087640A">
        <w:t>Solar Powered LED Markers for use on off-road shared and bicycle paths</w:t>
      </w:r>
      <w:r w:rsidRPr="00A94029">
        <w:t>.</w:t>
      </w:r>
    </w:p>
    <w:p w14:paraId="14DDDD5E" w14:textId="77777777" w:rsidR="00C36CB3" w:rsidRDefault="00C36CB3" w:rsidP="00425C9A">
      <w:pPr>
        <w:pStyle w:val="Heading3"/>
      </w:pPr>
      <w:bookmarkStart w:id="10" w:name="_Toc76031498"/>
      <w:r>
        <w:t>Standards</w:t>
      </w:r>
      <w:bookmarkEnd w:id="10"/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305"/>
        <w:gridCol w:w="1818"/>
        <w:gridCol w:w="4630"/>
      </w:tblGrid>
      <w:tr w:rsidR="00D902F0" w:rsidRPr="00D902F0" w14:paraId="14DDDD62" w14:textId="77777777" w:rsidTr="00517356">
        <w:trPr>
          <w:trHeight w:val="340"/>
        </w:trPr>
        <w:tc>
          <w:tcPr>
            <w:tcW w:w="2305" w:type="dxa"/>
            <w:vAlign w:val="center"/>
          </w:tcPr>
          <w:p w14:paraId="14DDDD5F" w14:textId="77777777" w:rsidR="00D902F0" w:rsidRPr="00D902F0" w:rsidRDefault="00D902F0" w:rsidP="00D902F0">
            <w:pPr>
              <w:spacing w:before="40" w:after="40"/>
              <w:rPr>
                <w:snapToGrid w:val="0"/>
                <w:sz w:val="18"/>
                <w:szCs w:val="16"/>
                <w:lang w:eastAsia="en-US"/>
              </w:rPr>
            </w:pPr>
            <w:r w:rsidRPr="00D902F0">
              <w:rPr>
                <w:snapToGrid w:val="0"/>
                <w:sz w:val="18"/>
                <w:szCs w:val="16"/>
                <w:lang w:eastAsia="en-US"/>
              </w:rPr>
              <w:t>Australian/New Zealand Standard</w:t>
            </w:r>
          </w:p>
        </w:tc>
        <w:tc>
          <w:tcPr>
            <w:tcW w:w="1818" w:type="dxa"/>
            <w:vAlign w:val="center"/>
          </w:tcPr>
          <w:p w14:paraId="14DDDD60" w14:textId="77777777" w:rsidR="00D902F0" w:rsidRPr="00D902F0" w:rsidRDefault="00D902F0" w:rsidP="00D902F0">
            <w:pPr>
              <w:pStyle w:val="TableCen"/>
              <w:rPr>
                <w:szCs w:val="16"/>
              </w:rPr>
            </w:pPr>
            <w:r>
              <w:t>AS/NZS°1906.1</w:t>
            </w:r>
          </w:p>
        </w:tc>
        <w:tc>
          <w:tcPr>
            <w:tcW w:w="4630" w:type="dxa"/>
            <w:vAlign w:val="center"/>
          </w:tcPr>
          <w:p w14:paraId="14DDDD61" w14:textId="77777777" w:rsidR="00D902F0" w:rsidRPr="00D902F0" w:rsidRDefault="00D902F0" w:rsidP="00D902F0">
            <w:pPr>
              <w:pStyle w:val="Table"/>
              <w:rPr>
                <w:szCs w:val="16"/>
              </w:rPr>
            </w:pPr>
            <w:r>
              <w:t>Retroreflective materials and devices for road traffic control purposes – Retroreflective sheeting</w:t>
            </w:r>
          </w:p>
        </w:tc>
      </w:tr>
      <w:tr w:rsidR="00D902F0" w:rsidRPr="00D902F0" w14:paraId="14DDDD66" w14:textId="77777777" w:rsidTr="00517356">
        <w:trPr>
          <w:trHeight w:val="340"/>
        </w:trPr>
        <w:tc>
          <w:tcPr>
            <w:tcW w:w="2305" w:type="dxa"/>
            <w:vAlign w:val="center"/>
          </w:tcPr>
          <w:p w14:paraId="14DDDD63" w14:textId="77777777" w:rsidR="00D902F0" w:rsidRPr="00D902F0" w:rsidRDefault="00D902F0" w:rsidP="00D902F0">
            <w:pPr>
              <w:spacing w:before="40" w:after="40"/>
              <w:rPr>
                <w:snapToGrid w:val="0"/>
                <w:sz w:val="18"/>
                <w:szCs w:val="16"/>
                <w:lang w:eastAsia="en-US"/>
              </w:rPr>
            </w:pPr>
            <w:r w:rsidRPr="00D902F0">
              <w:rPr>
                <w:snapToGrid w:val="0"/>
                <w:sz w:val="18"/>
                <w:szCs w:val="16"/>
                <w:lang w:eastAsia="en-US"/>
              </w:rPr>
              <w:t>Australian Standard</w:t>
            </w:r>
          </w:p>
        </w:tc>
        <w:tc>
          <w:tcPr>
            <w:tcW w:w="1818" w:type="dxa"/>
            <w:vAlign w:val="center"/>
          </w:tcPr>
          <w:p w14:paraId="14DDDD64" w14:textId="77777777" w:rsidR="00D902F0" w:rsidRPr="00D902F0" w:rsidRDefault="00D902F0" w:rsidP="00D902F0">
            <w:pPr>
              <w:pStyle w:val="TableCen"/>
              <w:rPr>
                <w:szCs w:val="16"/>
              </w:rPr>
            </w:pPr>
            <w:r>
              <w:t>AS°1906.3</w:t>
            </w:r>
          </w:p>
        </w:tc>
        <w:tc>
          <w:tcPr>
            <w:tcW w:w="4630" w:type="dxa"/>
            <w:vAlign w:val="center"/>
          </w:tcPr>
          <w:p w14:paraId="14DDDD65" w14:textId="77777777" w:rsidR="00D902F0" w:rsidRPr="00D902F0" w:rsidRDefault="00D902F0" w:rsidP="00D902F0">
            <w:pPr>
              <w:pStyle w:val="Table"/>
              <w:rPr>
                <w:szCs w:val="16"/>
              </w:rPr>
            </w:pPr>
            <w:r>
              <w:t>Retroreflective materials and devices for road traffic control purposes – Raised pavement markers (retroreflective and non-retroreflective)</w:t>
            </w:r>
          </w:p>
        </w:tc>
      </w:tr>
      <w:tr w:rsidR="00D902F0" w:rsidRPr="00D902F0" w14:paraId="14DDDD6A" w14:textId="77777777" w:rsidTr="00517356">
        <w:trPr>
          <w:trHeight w:val="340"/>
        </w:trPr>
        <w:tc>
          <w:tcPr>
            <w:tcW w:w="2305" w:type="dxa"/>
            <w:vAlign w:val="center"/>
          </w:tcPr>
          <w:p w14:paraId="14DDDD67" w14:textId="77777777" w:rsidR="00D902F0" w:rsidRPr="00D902F0" w:rsidRDefault="00D902F0" w:rsidP="00D902F0">
            <w:pPr>
              <w:spacing w:before="40" w:after="40"/>
              <w:rPr>
                <w:snapToGrid w:val="0"/>
                <w:sz w:val="18"/>
                <w:szCs w:val="16"/>
                <w:lang w:eastAsia="en-US"/>
              </w:rPr>
            </w:pPr>
            <w:r w:rsidRPr="00D902F0">
              <w:rPr>
                <w:snapToGrid w:val="0"/>
                <w:sz w:val="18"/>
                <w:szCs w:val="16"/>
                <w:lang w:eastAsia="en-US"/>
              </w:rPr>
              <w:t>Australian Standard</w:t>
            </w:r>
          </w:p>
        </w:tc>
        <w:tc>
          <w:tcPr>
            <w:tcW w:w="1818" w:type="dxa"/>
            <w:vAlign w:val="center"/>
          </w:tcPr>
          <w:p w14:paraId="14DDDD68" w14:textId="77777777" w:rsidR="00D902F0" w:rsidRPr="00D902F0" w:rsidRDefault="00D902F0" w:rsidP="00D902F0">
            <w:pPr>
              <w:pStyle w:val="TableCen"/>
              <w:rPr>
                <w:szCs w:val="16"/>
              </w:rPr>
            </w:pPr>
            <w:r>
              <w:t>AS°60529</w:t>
            </w:r>
          </w:p>
        </w:tc>
        <w:tc>
          <w:tcPr>
            <w:tcW w:w="4630" w:type="dxa"/>
            <w:vAlign w:val="center"/>
          </w:tcPr>
          <w:p w14:paraId="14DDDD69" w14:textId="77777777" w:rsidR="00D902F0" w:rsidRPr="00D902F0" w:rsidRDefault="00D902F0" w:rsidP="00D902F0">
            <w:pPr>
              <w:pStyle w:val="Table"/>
              <w:rPr>
                <w:szCs w:val="16"/>
              </w:rPr>
            </w:pPr>
            <w:r>
              <w:t>Degrees of protection provided by enclosures for electrical equipment</w:t>
            </w:r>
          </w:p>
        </w:tc>
      </w:tr>
      <w:tr w:rsidR="00D902F0" w:rsidRPr="00D902F0" w14:paraId="14DDDD6E" w14:textId="77777777" w:rsidTr="00517356">
        <w:trPr>
          <w:trHeight w:val="340"/>
        </w:trPr>
        <w:tc>
          <w:tcPr>
            <w:tcW w:w="2305" w:type="dxa"/>
            <w:vAlign w:val="center"/>
          </w:tcPr>
          <w:p w14:paraId="14DDDD6B" w14:textId="77777777" w:rsidR="00D902F0" w:rsidRPr="00D902F0" w:rsidRDefault="00D902F0" w:rsidP="00D902F0">
            <w:pPr>
              <w:spacing w:before="40" w:after="40"/>
              <w:rPr>
                <w:snapToGrid w:val="0"/>
                <w:sz w:val="18"/>
                <w:szCs w:val="16"/>
                <w:lang w:eastAsia="en-US"/>
              </w:rPr>
            </w:pPr>
            <w:r w:rsidRPr="00D902F0">
              <w:rPr>
                <w:snapToGrid w:val="0"/>
                <w:sz w:val="18"/>
                <w:szCs w:val="16"/>
                <w:lang w:eastAsia="en-US"/>
              </w:rPr>
              <w:t>Australian Standard</w:t>
            </w:r>
          </w:p>
        </w:tc>
        <w:tc>
          <w:tcPr>
            <w:tcW w:w="1818" w:type="dxa"/>
            <w:vAlign w:val="center"/>
          </w:tcPr>
          <w:p w14:paraId="14DDDD6C" w14:textId="77777777" w:rsidR="00D902F0" w:rsidRPr="00D902F0" w:rsidRDefault="00D902F0" w:rsidP="00D902F0">
            <w:pPr>
              <w:pStyle w:val="TableCen"/>
              <w:rPr>
                <w:szCs w:val="16"/>
              </w:rPr>
            </w:pPr>
            <w:r>
              <w:t>AS°3554</w:t>
            </w:r>
          </w:p>
        </w:tc>
        <w:tc>
          <w:tcPr>
            <w:tcW w:w="4630" w:type="dxa"/>
            <w:vAlign w:val="center"/>
          </w:tcPr>
          <w:p w14:paraId="14DDDD6D" w14:textId="77777777" w:rsidR="00D902F0" w:rsidRPr="00D902F0" w:rsidRDefault="00D902F0" w:rsidP="00D902F0">
            <w:pPr>
              <w:pStyle w:val="Table"/>
              <w:rPr>
                <w:szCs w:val="16"/>
              </w:rPr>
            </w:pPr>
            <w:r>
              <w:t>Adhesives – Epoxy – For raised pavement marker Installation (IP Code)</w:t>
            </w:r>
          </w:p>
        </w:tc>
      </w:tr>
    </w:tbl>
    <w:p w14:paraId="14DDDD6F" w14:textId="77777777" w:rsidR="00C36CB3" w:rsidRDefault="00C36CB3" w:rsidP="00425C9A">
      <w:pPr>
        <w:pStyle w:val="Heading3"/>
      </w:pPr>
      <w:bookmarkStart w:id="11" w:name="_Toc76031499"/>
      <w:r>
        <w:t>References</w:t>
      </w:r>
      <w:bookmarkEnd w:id="11"/>
    </w:p>
    <w:p w14:paraId="14DDDD70" w14:textId="77777777" w:rsidR="00492D03" w:rsidRDefault="00492D03" w:rsidP="00C36CB3">
      <w:pPr>
        <w:pStyle w:val="BodyTextIndent"/>
      </w:pPr>
      <w:r w:rsidRPr="00336583">
        <w:t>Brisbane City Council Reference Specifications for Civil Engineering Works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973"/>
        <w:gridCol w:w="7816"/>
      </w:tblGrid>
      <w:tr w:rsidR="00336583" w:rsidRPr="00336583" w14:paraId="14DDDD73" w14:textId="77777777" w:rsidTr="00517356">
        <w:trPr>
          <w:trHeight w:val="340"/>
        </w:trPr>
        <w:tc>
          <w:tcPr>
            <w:tcW w:w="973" w:type="dxa"/>
            <w:vAlign w:val="center"/>
          </w:tcPr>
          <w:p w14:paraId="14DDDD71" w14:textId="77777777" w:rsidR="00336583" w:rsidRPr="00336583" w:rsidRDefault="00336583" w:rsidP="00336583">
            <w:pPr>
              <w:spacing w:before="40" w:after="40"/>
              <w:jc w:val="center"/>
              <w:rPr>
                <w:snapToGrid w:val="0"/>
                <w:sz w:val="18"/>
                <w:lang w:eastAsia="en-US"/>
              </w:rPr>
            </w:pPr>
            <w:r w:rsidRPr="00336583">
              <w:rPr>
                <w:snapToGrid w:val="0"/>
                <w:sz w:val="18"/>
                <w:lang w:eastAsia="en-US"/>
              </w:rPr>
              <w:t>S120</w:t>
            </w:r>
          </w:p>
        </w:tc>
        <w:tc>
          <w:tcPr>
            <w:tcW w:w="7816" w:type="dxa"/>
            <w:vAlign w:val="center"/>
          </w:tcPr>
          <w:p w14:paraId="14DDDD72" w14:textId="77777777" w:rsidR="00336583" w:rsidRPr="00336583" w:rsidRDefault="00336583" w:rsidP="00336583">
            <w:pPr>
              <w:spacing w:before="40" w:after="40"/>
              <w:rPr>
                <w:snapToGrid w:val="0"/>
                <w:sz w:val="18"/>
                <w:lang w:eastAsia="en-US"/>
              </w:rPr>
            </w:pPr>
            <w:r w:rsidRPr="00336583">
              <w:rPr>
                <w:snapToGrid w:val="0"/>
                <w:sz w:val="18"/>
                <w:lang w:eastAsia="en-US"/>
              </w:rPr>
              <w:t>Quality</w:t>
            </w:r>
          </w:p>
        </w:tc>
      </w:tr>
    </w:tbl>
    <w:p w14:paraId="14DDDD74" w14:textId="77777777" w:rsidR="003155BF" w:rsidRDefault="003155BF" w:rsidP="00C36CB3">
      <w:pPr>
        <w:pStyle w:val="BodyTextIndent"/>
      </w:pPr>
      <w:r w:rsidRPr="00336583">
        <w:t>Brisbane City Council Standard</w:t>
      </w:r>
      <w:r w:rsidR="00F71F3A" w:rsidRPr="00336583">
        <w:t xml:space="preserve"> Drawing</w:t>
      </w:r>
      <w:r w:rsidRPr="00336583">
        <w:t>s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336583" w:rsidRPr="00336583" w14:paraId="14DDDD77" w14:textId="77777777" w:rsidTr="00517356">
        <w:trPr>
          <w:trHeight w:val="340"/>
        </w:trPr>
        <w:tc>
          <w:tcPr>
            <w:tcW w:w="1276" w:type="dxa"/>
            <w:vAlign w:val="center"/>
          </w:tcPr>
          <w:p w14:paraId="14DDDD75" w14:textId="77777777" w:rsidR="00336583" w:rsidRPr="00336583" w:rsidRDefault="00336583" w:rsidP="00336583">
            <w:pPr>
              <w:pStyle w:val="TableCen"/>
            </w:pPr>
            <w:r w:rsidRPr="00BC6DB5">
              <w:t>BSD-11032</w:t>
            </w:r>
          </w:p>
        </w:tc>
        <w:tc>
          <w:tcPr>
            <w:tcW w:w="7513" w:type="dxa"/>
            <w:vAlign w:val="center"/>
          </w:tcPr>
          <w:p w14:paraId="14DDDD76" w14:textId="77777777" w:rsidR="00336583" w:rsidRPr="00336583" w:rsidRDefault="00336583" w:rsidP="00336583">
            <w:pPr>
              <w:pStyle w:val="Table"/>
            </w:pPr>
            <w:r>
              <w:t>Typical Requirements for Solar LED Markers: Off-Road/Shared/Bicycle Paths</w:t>
            </w:r>
          </w:p>
        </w:tc>
      </w:tr>
    </w:tbl>
    <w:p w14:paraId="14DDDD78" w14:textId="77777777" w:rsidR="00EE551F" w:rsidRDefault="005C6295" w:rsidP="00425C9A">
      <w:pPr>
        <w:pStyle w:val="Heading2"/>
      </w:pPr>
      <w:bookmarkStart w:id="12" w:name="_Toc248644380"/>
      <w:bookmarkStart w:id="13" w:name="_Toc76031500"/>
      <w:r>
        <w:t>QUALITY SYSTEMS</w:t>
      </w:r>
      <w:bookmarkEnd w:id="12"/>
      <w:bookmarkEnd w:id="13"/>
    </w:p>
    <w:p w14:paraId="14DDDD79" w14:textId="77777777" w:rsidR="00D41F0C" w:rsidRDefault="00DC5908" w:rsidP="00425C9A">
      <w:pPr>
        <w:pStyle w:val="Heading3"/>
      </w:pPr>
      <w:bookmarkStart w:id="14" w:name="_Toc76031501"/>
      <w:r w:rsidRPr="005C6295">
        <w:t>General</w:t>
      </w:r>
      <w:bookmarkEnd w:id="14"/>
    </w:p>
    <w:p w14:paraId="14DDDD7A" w14:textId="77777777" w:rsidR="00BD4177" w:rsidRPr="00BD4177" w:rsidRDefault="00BD4177" w:rsidP="00BF1EA3">
      <w:pPr>
        <w:pStyle w:val="BodyTextIndent"/>
      </w:pPr>
      <w:r w:rsidRPr="00BD4177">
        <w:t xml:space="preserve">The responsibility of preparing testing plans shall be with the Contractor. </w:t>
      </w:r>
      <w:r>
        <w:t xml:space="preserve"> </w:t>
      </w:r>
      <w:r w:rsidRPr="00BD4177">
        <w:t xml:space="preserve">These plans shall be </w:t>
      </w:r>
      <w:r>
        <w:t>submitted to the Superintendent for</w:t>
      </w:r>
      <w:r w:rsidRPr="00BD4177">
        <w:t xml:space="preserve"> approval.</w:t>
      </w:r>
    </w:p>
    <w:p w14:paraId="14DDDD7B" w14:textId="77777777" w:rsidR="00D41F0C" w:rsidRDefault="003155BF" w:rsidP="00425C9A">
      <w:pPr>
        <w:pStyle w:val="Heading2"/>
      </w:pPr>
      <w:bookmarkStart w:id="15" w:name="_Toc76031502"/>
      <w:r>
        <w:t>TEHCNICAL REQUIREMENTS</w:t>
      </w:r>
      <w:bookmarkEnd w:id="15"/>
    </w:p>
    <w:p w14:paraId="14DDDD7C" w14:textId="77777777" w:rsidR="00D41F0C" w:rsidRDefault="00DC5908" w:rsidP="00425C9A">
      <w:pPr>
        <w:pStyle w:val="Heading3"/>
      </w:pPr>
      <w:bookmarkStart w:id="16" w:name="_Toc76031503"/>
      <w:r>
        <w:t>General</w:t>
      </w:r>
      <w:bookmarkEnd w:id="16"/>
    </w:p>
    <w:p w14:paraId="14DDDD7D" w14:textId="25BF5D04" w:rsidR="002D7D13" w:rsidRDefault="00003EF7" w:rsidP="002D7D13">
      <w:pPr>
        <w:pStyle w:val="BodyTextIndent"/>
      </w:pPr>
      <w:r w:rsidRPr="00003EF7">
        <w:t xml:space="preserve">This specification covers </w:t>
      </w:r>
      <w:r w:rsidR="008C5CE4">
        <w:t xml:space="preserve">the supply and installation of </w:t>
      </w:r>
      <w:r w:rsidR="0087640A">
        <w:t xml:space="preserve">solar powered </w:t>
      </w:r>
      <w:r w:rsidR="00060B37">
        <w:t>light emitting diode (</w:t>
      </w:r>
      <w:r w:rsidR="0087640A">
        <w:t>LED</w:t>
      </w:r>
      <w:r w:rsidR="00060B37">
        <w:t>)</w:t>
      </w:r>
      <w:r w:rsidR="0087640A">
        <w:t xml:space="preserve"> </w:t>
      </w:r>
      <w:r w:rsidR="00F14D4E">
        <w:t xml:space="preserve">delineator </w:t>
      </w:r>
      <w:r w:rsidR="0087640A">
        <w:t>markers</w:t>
      </w:r>
      <w:r w:rsidRPr="00003EF7">
        <w:t>.</w:t>
      </w:r>
    </w:p>
    <w:p w14:paraId="14DDDD7E" w14:textId="77777777" w:rsidR="002D7D13" w:rsidRDefault="00DC5908" w:rsidP="00425C9A">
      <w:pPr>
        <w:pStyle w:val="Heading3"/>
      </w:pPr>
      <w:bookmarkStart w:id="17" w:name="_Toc76031504"/>
      <w:r>
        <w:t>Compliance Testing</w:t>
      </w:r>
      <w:bookmarkEnd w:id="17"/>
    </w:p>
    <w:p w14:paraId="14DDDD7F" w14:textId="77777777" w:rsidR="002A0F6B" w:rsidRDefault="00C5044A" w:rsidP="004E4203">
      <w:pPr>
        <w:pStyle w:val="BodyTextIndent"/>
      </w:pPr>
      <w:r>
        <w:t xml:space="preserve">All materials and manufacturing of </w:t>
      </w:r>
      <w:r w:rsidR="0087640A">
        <w:t xml:space="preserve">the solar powered LED markers </w:t>
      </w:r>
      <w:r w:rsidR="00310B1F">
        <w:t>and their components are to comply with all standards and specifications referenced in this document</w:t>
      </w:r>
      <w:r w:rsidR="004E4203">
        <w:t xml:space="preserve">. </w:t>
      </w:r>
      <w:r w:rsidR="00310B1F">
        <w:t xml:space="preserve"> </w:t>
      </w:r>
      <w:r w:rsidR="004E4203">
        <w:t>Conformance shall be demonstrated by submitting current certificates of all specified test results issued by a registered NATA laboratory.</w:t>
      </w:r>
    </w:p>
    <w:p w14:paraId="14DDDD81" w14:textId="77777777" w:rsidR="00003EF7" w:rsidRDefault="00C03AAC" w:rsidP="00425C9A">
      <w:pPr>
        <w:pStyle w:val="Heading3"/>
      </w:pPr>
      <w:r>
        <w:br w:type="page"/>
      </w:r>
      <w:bookmarkStart w:id="18" w:name="_Toc76031505"/>
      <w:r w:rsidR="0087640A">
        <w:lastRenderedPageBreak/>
        <w:t>Technical Requirements</w:t>
      </w:r>
      <w:bookmarkEnd w:id="18"/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2835"/>
        <w:gridCol w:w="1134"/>
      </w:tblGrid>
      <w:tr w:rsidR="0087640A" w14:paraId="14DDDD84" w14:textId="77777777" w:rsidTr="00A36D06">
        <w:trPr>
          <w:trHeight w:val="397"/>
          <w:tblHeader/>
        </w:trPr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auto"/>
            <w:vAlign w:val="center"/>
          </w:tcPr>
          <w:p w14:paraId="14DDDD82" w14:textId="77777777" w:rsidR="0087640A" w:rsidRDefault="0087640A" w:rsidP="0087640A">
            <w:pPr>
              <w:pStyle w:val="TableHead"/>
            </w:pPr>
            <w:r>
              <w:t>Function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14DDDD83" w14:textId="77777777" w:rsidR="0087640A" w:rsidRDefault="0087640A" w:rsidP="0087640A">
            <w:pPr>
              <w:pStyle w:val="TableHead"/>
            </w:pPr>
            <w:r>
              <w:t>Requirement</w:t>
            </w:r>
          </w:p>
        </w:tc>
      </w:tr>
      <w:tr w:rsidR="0065659C" w14:paraId="14DDDD88" w14:textId="77777777" w:rsidTr="00A36D06">
        <w:trPr>
          <w:trHeight w:val="340"/>
        </w:trPr>
        <w:tc>
          <w:tcPr>
            <w:tcW w:w="3686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85" w14:textId="77777777" w:rsidR="0065659C" w:rsidRPr="0087640A" w:rsidRDefault="0065659C" w:rsidP="0087640A">
            <w:pPr>
              <w:pStyle w:val="TableCen"/>
            </w:pPr>
            <w:r>
              <w:t xml:space="preserve">Dimensions </w:t>
            </w:r>
            <w:r w:rsidR="00F163B0">
              <w:t>(Nominal)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86" w14:textId="77777777" w:rsidR="0065659C" w:rsidRDefault="004B293C" w:rsidP="0087640A">
            <w:pPr>
              <w:pStyle w:val="TableCen"/>
            </w:pPr>
            <w:r w:rsidRPr="00A36D06">
              <w:rPr>
                <w:rFonts w:cs="Arial"/>
              </w:rPr>
              <w:t>Ø</w:t>
            </w:r>
            <w:r w:rsidR="0065659C">
              <w:t>110</w:t>
            </w:r>
            <w:r w:rsidR="000D5935">
              <w:t>°</w:t>
            </w:r>
            <w:r w:rsidR="0065659C">
              <w:t>mm</w:t>
            </w:r>
            <w:r w:rsidR="000D5935">
              <w:t>°</w:t>
            </w:r>
            <w:r w:rsidR="0065659C">
              <w:t>x</w:t>
            </w:r>
            <w:r w:rsidR="000D5935">
              <w:t>°</w:t>
            </w:r>
            <w:r w:rsidR="0065659C">
              <w:t>50</w:t>
            </w:r>
            <w:r w:rsidR="000D5935">
              <w:t>°</w:t>
            </w:r>
            <w:r w:rsidR="0065659C">
              <w:t>mm Deep</w:t>
            </w:r>
          </w:p>
          <w:p w14:paraId="14DDDD87" w14:textId="60A19441" w:rsidR="00437947" w:rsidRDefault="00437947" w:rsidP="004B293C">
            <w:pPr>
              <w:pStyle w:val="TableCen"/>
            </w:pPr>
            <w:r>
              <w:t>(</w:t>
            </w:r>
            <w:r w:rsidR="000D5935">
              <w:t>Nominal°</w:t>
            </w:r>
            <w:r w:rsidR="004B293C" w:rsidRPr="00A36D06">
              <w:rPr>
                <w:rFonts w:cs="Arial"/>
              </w:rPr>
              <w:t>Ø</w:t>
            </w:r>
            <w:r w:rsidR="004D2FB5">
              <w:t>:</w:t>
            </w:r>
            <w:r w:rsidR="007D61EB">
              <w:t xml:space="preserve"> 105-140</w:t>
            </w:r>
            <w:r w:rsidR="002366BE">
              <w:t>°</w:t>
            </w:r>
            <w:r w:rsidR="007D61EB">
              <w:t>mm</w:t>
            </w:r>
            <w:r w:rsidR="00EC109C">
              <w:t xml:space="preserve">; </w:t>
            </w:r>
            <w:r>
              <w:t>Max. Depth</w:t>
            </w:r>
            <w:r w:rsidR="00EC109C">
              <w:t>:</w:t>
            </w:r>
            <w:r>
              <w:t xml:space="preserve"> 60</w:t>
            </w:r>
            <w:r w:rsidR="000D5935">
              <w:t>°</w:t>
            </w:r>
            <w:r>
              <w:t>mm)</w:t>
            </w:r>
          </w:p>
        </w:tc>
      </w:tr>
      <w:tr w:rsidR="0065659C" w14:paraId="14DDDD8C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89" w14:textId="77777777" w:rsidR="0065659C" w:rsidRDefault="00BE2460" w:rsidP="0087640A">
            <w:pPr>
              <w:pStyle w:val="TableCen"/>
            </w:pPr>
            <w:r>
              <w:t xml:space="preserve">Raised </w:t>
            </w:r>
            <w:r w:rsidR="00F163B0">
              <w:t>Height</w:t>
            </w:r>
          </w:p>
          <w:p w14:paraId="14DDDD8A" w14:textId="77777777" w:rsidR="00BE2460" w:rsidRPr="0087640A" w:rsidRDefault="00F163B0" w:rsidP="0087640A">
            <w:pPr>
              <w:pStyle w:val="TableCen"/>
            </w:pPr>
            <w:r>
              <w:t>(</w:t>
            </w:r>
            <w:r w:rsidR="00BE2460">
              <w:t xml:space="preserve">Height </w:t>
            </w:r>
            <w:r>
              <w:t>Of Marker Above The Path Surface)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8B" w14:textId="61447994" w:rsidR="0065659C" w:rsidRDefault="00BE2460" w:rsidP="0087640A">
            <w:pPr>
              <w:pStyle w:val="TableCen"/>
            </w:pPr>
            <w:r>
              <w:t>Max. 5</w:t>
            </w:r>
            <w:r w:rsidR="002366BE">
              <w:t>°</w:t>
            </w:r>
            <w:r>
              <w:t>mm</w:t>
            </w:r>
          </w:p>
        </w:tc>
      </w:tr>
      <w:tr w:rsidR="00980D29" w14:paraId="14DDDD90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8D" w14:textId="77777777" w:rsidR="00980D29" w:rsidRDefault="00980D29" w:rsidP="0087640A">
            <w:pPr>
              <w:pStyle w:val="TableCen"/>
            </w:pPr>
            <w:r>
              <w:t>Impact Resistance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8E" w14:textId="3A6D46E7" w:rsidR="00980D29" w:rsidRPr="004D2FB5" w:rsidRDefault="00980D29" w:rsidP="006A113C">
            <w:pPr>
              <w:pStyle w:val="TableCen"/>
            </w:pPr>
            <w:r>
              <w:t xml:space="preserve">To </w:t>
            </w:r>
            <w:r w:rsidRPr="00A36D06">
              <w:rPr>
                <w:i/>
              </w:rPr>
              <w:t>AS</w:t>
            </w:r>
            <w:r w:rsidR="000D5935" w:rsidRPr="00A36D06">
              <w:rPr>
                <w:i/>
              </w:rPr>
              <w:t>°</w:t>
            </w:r>
            <w:r w:rsidRPr="00A36D06">
              <w:rPr>
                <w:i/>
              </w:rPr>
              <w:t>1906.3</w:t>
            </w:r>
            <w:r w:rsidR="004D2FB5">
              <w:t xml:space="preserve"> </w:t>
            </w:r>
            <w:r w:rsidR="004D2FB5" w:rsidRPr="004D2FB5">
              <w:t>or international equivalent</w:t>
            </w:r>
            <w:r w:rsidR="002111C9" w:rsidRPr="00A36D06">
              <w:rPr>
                <w:i/>
                <w:iCs/>
                <w:vertAlign w:val="superscript"/>
              </w:rPr>
              <w:t>(1)</w:t>
            </w:r>
          </w:p>
          <w:p w14:paraId="14DDDD8F" w14:textId="77777777" w:rsidR="00980D29" w:rsidRDefault="00980D29" w:rsidP="006A113C">
            <w:pPr>
              <w:pStyle w:val="TableCen"/>
            </w:pPr>
            <w:r>
              <w:t>(As per requirements for Type A &amp; Type A/B markers)</w:t>
            </w:r>
          </w:p>
        </w:tc>
      </w:tr>
      <w:tr w:rsidR="00980D29" w14:paraId="14DDDD94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91" w14:textId="77777777" w:rsidR="00980D29" w:rsidRDefault="00980D29" w:rsidP="0087640A">
            <w:pPr>
              <w:pStyle w:val="TableCen"/>
            </w:pPr>
            <w:r>
              <w:t>Compressive Strength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92" w14:textId="0D45E1B7" w:rsidR="00980D29" w:rsidRPr="004D2FB5" w:rsidRDefault="00980D29" w:rsidP="00E61510">
            <w:pPr>
              <w:pStyle w:val="TableCen"/>
            </w:pPr>
            <w:r>
              <w:t xml:space="preserve">To </w:t>
            </w:r>
            <w:r w:rsidRPr="00A36D06">
              <w:rPr>
                <w:i/>
              </w:rPr>
              <w:t>AS</w:t>
            </w:r>
            <w:r w:rsidR="000D5935" w:rsidRPr="00A36D06">
              <w:rPr>
                <w:i/>
              </w:rPr>
              <w:t>°</w:t>
            </w:r>
            <w:r w:rsidRPr="00A36D06">
              <w:rPr>
                <w:i/>
              </w:rPr>
              <w:t>1906.3</w:t>
            </w:r>
            <w:r w:rsidR="004D2FB5">
              <w:t xml:space="preserve"> </w:t>
            </w:r>
            <w:r w:rsidR="004D2FB5" w:rsidRPr="004D2FB5">
              <w:t>or international equivalent</w:t>
            </w:r>
            <w:r w:rsidR="002111C9" w:rsidRPr="00A36D06">
              <w:rPr>
                <w:i/>
                <w:iCs/>
                <w:vertAlign w:val="superscript"/>
              </w:rPr>
              <w:t>(1)</w:t>
            </w:r>
          </w:p>
          <w:p w14:paraId="14DDDD93" w14:textId="77777777" w:rsidR="00980D29" w:rsidRDefault="00980D29" w:rsidP="006A113C">
            <w:pPr>
              <w:pStyle w:val="TableCen"/>
            </w:pPr>
            <w:r>
              <w:t>(As per requirements for Type A &amp; Type A/B markers)</w:t>
            </w:r>
          </w:p>
        </w:tc>
      </w:tr>
      <w:tr w:rsidR="00980D29" w14:paraId="14DDDD98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95" w14:textId="77777777" w:rsidR="00980D29" w:rsidRDefault="00980D29" w:rsidP="0087640A">
            <w:pPr>
              <w:pStyle w:val="TableCen"/>
            </w:pPr>
            <w:r>
              <w:t>Ultraviolet (UV) Exposure/Stability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96" w14:textId="4CF0DC22" w:rsidR="00980D29" w:rsidRPr="004D2FB5" w:rsidRDefault="00980D29" w:rsidP="00E61510">
            <w:pPr>
              <w:pStyle w:val="TableCen"/>
            </w:pPr>
            <w:r>
              <w:t xml:space="preserve">To </w:t>
            </w:r>
            <w:r w:rsidRPr="00A36D06">
              <w:rPr>
                <w:i/>
              </w:rPr>
              <w:t>AS</w:t>
            </w:r>
            <w:r w:rsidR="000D5935" w:rsidRPr="00A36D06">
              <w:rPr>
                <w:i/>
              </w:rPr>
              <w:t>°</w:t>
            </w:r>
            <w:r w:rsidRPr="00A36D06">
              <w:rPr>
                <w:i/>
              </w:rPr>
              <w:t>1906.3</w:t>
            </w:r>
            <w:r w:rsidR="004D2FB5">
              <w:t xml:space="preserve"> </w:t>
            </w:r>
            <w:r w:rsidR="004D2FB5" w:rsidRPr="004D2FB5">
              <w:t>or international equivalent</w:t>
            </w:r>
            <w:r w:rsidR="002111C9" w:rsidRPr="00A36D06">
              <w:rPr>
                <w:i/>
                <w:iCs/>
                <w:vertAlign w:val="superscript"/>
              </w:rPr>
              <w:t>(1)</w:t>
            </w:r>
          </w:p>
          <w:p w14:paraId="14DDDD97" w14:textId="77777777" w:rsidR="00980D29" w:rsidRDefault="00980D29" w:rsidP="006A113C">
            <w:pPr>
              <w:pStyle w:val="TableCen"/>
            </w:pPr>
            <w:r>
              <w:t>(As per requirements for Type A &amp; Type A/B markers)</w:t>
            </w:r>
          </w:p>
        </w:tc>
      </w:tr>
      <w:tr w:rsidR="00A36D06" w14:paraId="14DDDD9D" w14:textId="77777777" w:rsidTr="00A36D06">
        <w:trPr>
          <w:trHeight w:val="340"/>
        </w:trPr>
        <w:tc>
          <w:tcPr>
            <w:tcW w:w="3686" w:type="dxa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14:paraId="14DDDD99" w14:textId="77777777" w:rsidR="00AE00DC" w:rsidRDefault="00AE00DC" w:rsidP="0087640A">
            <w:pPr>
              <w:pStyle w:val="TableCen"/>
            </w:pPr>
            <w:r>
              <w:t>Water and Dust Proofing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14:paraId="14DDDD9A" w14:textId="27E5E5F6" w:rsidR="00AE00DC" w:rsidRDefault="00AE00DC" w:rsidP="003C627E">
            <w:pPr>
              <w:pStyle w:val="TableCen"/>
            </w:pPr>
            <w:r>
              <w:t xml:space="preserve">Rated to </w:t>
            </w:r>
            <w:r w:rsidRPr="00A36D06">
              <w:rPr>
                <w:i/>
              </w:rPr>
              <w:t>AS</w:t>
            </w:r>
            <w:r w:rsidR="000D5935" w:rsidRPr="00A36D06">
              <w:rPr>
                <w:i/>
              </w:rPr>
              <w:t>°</w:t>
            </w:r>
            <w:r w:rsidR="003C627E" w:rsidRPr="00A36D06">
              <w:rPr>
                <w:i/>
              </w:rPr>
              <w:t>60529</w:t>
            </w:r>
            <w:r w:rsidR="003C627E">
              <w:t xml:space="preserve"> </w:t>
            </w:r>
            <w:r>
              <w:t xml:space="preserve">and </w:t>
            </w:r>
            <w:r w:rsidRPr="00A36D06">
              <w:rPr>
                <w:i/>
              </w:rPr>
              <w:t>EN60529</w:t>
            </w:r>
            <w:bookmarkStart w:id="19" w:name="_Hlk40966113"/>
            <w:r w:rsidR="00164643" w:rsidRPr="00A36D06">
              <w:rPr>
                <w:i/>
                <w:iCs/>
                <w:vertAlign w:val="superscript"/>
              </w:rPr>
              <w:t>(2)</w:t>
            </w:r>
            <w:bookmarkEnd w:id="19"/>
          </w:p>
        </w:tc>
        <w:tc>
          <w:tcPr>
            <w:tcW w:w="2835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14:paraId="14DDDD9B" w14:textId="035ADF77" w:rsidR="00AE00DC" w:rsidRDefault="00AE00DC" w:rsidP="006A113C">
            <w:pPr>
              <w:pStyle w:val="TableCen"/>
            </w:pPr>
            <w:r>
              <w:t>Water inundation&lt;24</w:t>
            </w:r>
            <w:r w:rsidR="00F34B2F">
              <w:t>°</w:t>
            </w:r>
            <w:r>
              <w:t>hrs and &lt;1.0</w:t>
            </w:r>
            <w:r w:rsidR="00F34B2F">
              <w:t>°</w:t>
            </w:r>
            <w:r>
              <w:t>m depth</w:t>
            </w:r>
          </w:p>
        </w:tc>
        <w:tc>
          <w:tcPr>
            <w:tcW w:w="1134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14:paraId="14DDDD9C" w14:textId="77777777" w:rsidR="00AE00DC" w:rsidRDefault="00AE00DC" w:rsidP="006A113C">
            <w:pPr>
              <w:pStyle w:val="TableCen"/>
            </w:pPr>
            <w:r>
              <w:t>IP67</w:t>
            </w:r>
          </w:p>
        </w:tc>
      </w:tr>
      <w:tr w:rsidR="00A36D06" w14:paraId="14DDDDA2" w14:textId="77777777" w:rsidTr="00A36D06">
        <w:trPr>
          <w:trHeight w:val="340"/>
        </w:trPr>
        <w:tc>
          <w:tcPr>
            <w:tcW w:w="368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4DDDD9E" w14:textId="77777777" w:rsidR="00AE00DC" w:rsidRDefault="00AE00DC" w:rsidP="0087640A">
            <w:pPr>
              <w:pStyle w:val="TableCen"/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DDDD9F" w14:textId="77777777" w:rsidR="00AE00DC" w:rsidRDefault="00AE00DC" w:rsidP="006A113C">
            <w:pPr>
              <w:pStyle w:val="TableCen"/>
            </w:pPr>
          </w:p>
        </w:tc>
        <w:tc>
          <w:tcPr>
            <w:tcW w:w="2835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14:paraId="14DDDDA0" w14:textId="4CB6294A" w:rsidR="00AE00DC" w:rsidRDefault="00AE00DC" w:rsidP="006A113C">
            <w:pPr>
              <w:pStyle w:val="TableCen"/>
            </w:pPr>
            <w:r>
              <w:t>Water inundation &gt;24</w:t>
            </w:r>
            <w:r w:rsidR="00F34B2F">
              <w:t>°</w:t>
            </w:r>
            <w:r>
              <w:t>hrs and/or &gt;1.0</w:t>
            </w:r>
            <w:r w:rsidR="00F34B2F">
              <w:t>°</w:t>
            </w:r>
            <w:r>
              <w:t>m depth</w:t>
            </w:r>
          </w:p>
        </w:tc>
        <w:tc>
          <w:tcPr>
            <w:tcW w:w="1134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14:paraId="14DDDDA1" w14:textId="77777777" w:rsidR="00AE00DC" w:rsidRDefault="00AE00DC" w:rsidP="006A113C">
            <w:pPr>
              <w:pStyle w:val="TableCen"/>
            </w:pPr>
            <w:r>
              <w:t>IP68</w:t>
            </w:r>
          </w:p>
        </w:tc>
      </w:tr>
      <w:tr w:rsidR="00AE00DC" w14:paraId="14DDDDA6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A3" w14:textId="77777777" w:rsidR="00AE00DC" w:rsidRDefault="00AE00DC" w:rsidP="0087640A">
            <w:pPr>
              <w:pStyle w:val="TableCen"/>
            </w:pPr>
            <w:r>
              <w:t>Marker Adhesive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A4" w14:textId="24E171A1" w:rsidR="00AE00DC" w:rsidRPr="004D2FB5" w:rsidRDefault="00AE00DC" w:rsidP="006A113C">
            <w:pPr>
              <w:pStyle w:val="TableCen"/>
            </w:pPr>
            <w:r>
              <w:t xml:space="preserve">To </w:t>
            </w:r>
            <w:r w:rsidRPr="00A36D06">
              <w:rPr>
                <w:i/>
              </w:rPr>
              <w:t>AS</w:t>
            </w:r>
            <w:r w:rsidR="000D5935" w:rsidRPr="00A36D06">
              <w:rPr>
                <w:i/>
              </w:rPr>
              <w:t>°</w:t>
            </w:r>
            <w:r w:rsidRPr="00A36D06">
              <w:rPr>
                <w:i/>
              </w:rPr>
              <w:t>3554</w:t>
            </w:r>
            <w:r>
              <w:t xml:space="preserve"> </w:t>
            </w:r>
            <w:r w:rsidRPr="004D2FB5">
              <w:t>or international equivalent</w:t>
            </w:r>
            <w:r w:rsidR="00A65AD8" w:rsidRPr="00A36D06">
              <w:rPr>
                <w:i/>
                <w:iCs/>
                <w:vertAlign w:val="superscript"/>
              </w:rPr>
              <w:t>(1)</w:t>
            </w:r>
          </w:p>
          <w:p w14:paraId="14DDDDA5" w14:textId="77777777" w:rsidR="00AE00DC" w:rsidRPr="002709A5" w:rsidRDefault="00AE00DC" w:rsidP="006A113C">
            <w:pPr>
              <w:pStyle w:val="TableCen"/>
            </w:pPr>
            <w:r w:rsidRPr="002709A5">
              <w:t xml:space="preserve">Epoxy adhesive </w:t>
            </w:r>
            <w:r>
              <w:t>–</w:t>
            </w:r>
            <w:r w:rsidRPr="002709A5">
              <w:t xml:space="preserve"> Standard Set or Rapid Set</w:t>
            </w:r>
          </w:p>
        </w:tc>
      </w:tr>
      <w:tr w:rsidR="00AE00DC" w14:paraId="14DDDDAA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A7" w14:textId="77777777" w:rsidR="00AE00DC" w:rsidRPr="0087640A" w:rsidRDefault="00AE00DC" w:rsidP="0087640A">
            <w:pPr>
              <w:pStyle w:val="TableCen"/>
            </w:pPr>
            <w:r>
              <w:t>Light Type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A8" w14:textId="77777777" w:rsidR="00AE00DC" w:rsidRDefault="00AE00DC" w:rsidP="006A113C">
            <w:pPr>
              <w:pStyle w:val="TableCen"/>
            </w:pPr>
            <w:r>
              <w:t>Steady shine</w:t>
            </w:r>
          </w:p>
          <w:p w14:paraId="14DDDDA9" w14:textId="77777777" w:rsidR="00AE00DC" w:rsidRDefault="00AE00DC" w:rsidP="006A113C">
            <w:pPr>
              <w:pStyle w:val="TableCen"/>
            </w:pPr>
            <w:r>
              <w:t xml:space="preserve">(Flash units </w:t>
            </w:r>
            <w:r w:rsidR="000D5935">
              <w:t>may be</w:t>
            </w:r>
            <w:r>
              <w:t xml:space="preserve"> used if required)</w:t>
            </w:r>
          </w:p>
        </w:tc>
      </w:tr>
      <w:tr w:rsidR="00AE00DC" w14:paraId="14DDDDAE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AB" w14:textId="77777777" w:rsidR="00AE00DC" w:rsidRDefault="00AE00DC" w:rsidP="0087640A">
            <w:pPr>
              <w:pStyle w:val="TableCen"/>
            </w:pPr>
            <w:r w:rsidRPr="0087640A">
              <w:t>Reflector</w:t>
            </w:r>
            <w:r>
              <w:t>/Light</w:t>
            </w:r>
            <w:r w:rsidRPr="0087640A">
              <w:t xml:space="preserve"> Colours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AC" w14:textId="77777777" w:rsidR="00AE00DC" w:rsidRDefault="00AE00DC" w:rsidP="0087640A">
            <w:pPr>
              <w:pStyle w:val="TableCen"/>
            </w:pPr>
            <w:r>
              <w:t xml:space="preserve">Standard colours: </w:t>
            </w:r>
            <w:r w:rsidRPr="0087640A">
              <w:t>Amber</w:t>
            </w:r>
            <w:r>
              <w:t>/Yellow</w:t>
            </w:r>
            <w:r w:rsidRPr="0087640A">
              <w:t>, Red, White</w:t>
            </w:r>
          </w:p>
          <w:p w14:paraId="14DDDDAD" w14:textId="77777777" w:rsidR="00AE00DC" w:rsidRDefault="00AE00DC" w:rsidP="0087640A">
            <w:pPr>
              <w:pStyle w:val="TableCen"/>
            </w:pPr>
            <w:r>
              <w:t xml:space="preserve">Additional colours (e.g. </w:t>
            </w:r>
            <w:r w:rsidRPr="0087640A">
              <w:t>Green, Blue</w:t>
            </w:r>
            <w:r>
              <w:t>) as required</w:t>
            </w:r>
          </w:p>
        </w:tc>
      </w:tr>
      <w:tr w:rsidR="00AE00DC" w14:paraId="14DDDDB1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AF" w14:textId="77777777" w:rsidR="00AE00DC" w:rsidRDefault="00AE00DC" w:rsidP="0065659C">
            <w:pPr>
              <w:pStyle w:val="TableCen"/>
            </w:pPr>
            <w:r w:rsidRPr="007D61EB">
              <w:t>Luminance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B0" w14:textId="77777777" w:rsidR="00AE00DC" w:rsidRDefault="00AE00DC" w:rsidP="0087640A">
            <w:pPr>
              <w:pStyle w:val="TableCen"/>
            </w:pPr>
            <w:r>
              <w:t>&gt;4</w:t>
            </w:r>
            <w:r w:rsidR="000D5935">
              <w:t>°</w:t>
            </w:r>
            <w:r>
              <w:t>cd/m</w:t>
            </w:r>
            <w:r w:rsidRPr="00A36D06">
              <w:rPr>
                <w:vertAlign w:val="superscript"/>
              </w:rPr>
              <w:t>2</w:t>
            </w:r>
          </w:p>
        </w:tc>
      </w:tr>
      <w:tr w:rsidR="00AE00DC" w14:paraId="14DDDDB4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B2" w14:textId="77777777" w:rsidR="00AE00DC" w:rsidRDefault="00AE00DC" w:rsidP="0065659C">
            <w:pPr>
              <w:pStyle w:val="TableCen"/>
            </w:pPr>
            <w:r>
              <w:t xml:space="preserve">Normal Operating </w:t>
            </w:r>
            <w:smartTag w:uri="urn:schemas-microsoft-com:office:smarttags" w:element="place">
              <w:smartTag w:uri="urn:schemas-microsoft-com:office:smarttags" w:element="PlaceName">
                <w:r>
                  <w:t>Temperature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B3" w14:textId="4D371291" w:rsidR="00AE00DC" w:rsidRDefault="00AE00DC" w:rsidP="004B293C">
            <w:pPr>
              <w:pStyle w:val="TableCen"/>
            </w:pPr>
            <w:r>
              <w:t>-20</w:t>
            </w:r>
            <w:r w:rsidR="004B293C" w:rsidRPr="00A36D06">
              <w:rPr>
                <w:rFonts w:cs="Arial"/>
              </w:rPr>
              <w:t>º</w:t>
            </w:r>
            <w:r>
              <w:t>C</w:t>
            </w:r>
            <w:r w:rsidR="00A928D5" w:rsidRPr="00A36D06">
              <w:rPr>
                <w:rFonts w:cs="Arial"/>
              </w:rPr>
              <w:t>º</w:t>
            </w:r>
            <w:r>
              <w:t>to</w:t>
            </w:r>
            <w:r w:rsidR="00A928D5" w:rsidRPr="00A36D06">
              <w:rPr>
                <w:rFonts w:cs="Arial"/>
              </w:rPr>
              <w:t>º</w:t>
            </w:r>
            <w:r>
              <w:t>60</w:t>
            </w:r>
            <w:r w:rsidR="004B293C" w:rsidRPr="00A36D06">
              <w:rPr>
                <w:rFonts w:cs="Arial"/>
              </w:rPr>
              <w:t>º</w:t>
            </w:r>
            <w:r>
              <w:t>C</w:t>
            </w:r>
          </w:p>
        </w:tc>
      </w:tr>
      <w:tr w:rsidR="00AE00DC" w14:paraId="14DDDDB7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B5" w14:textId="5A61D9A9" w:rsidR="00AE00DC" w:rsidRDefault="00AE00DC" w:rsidP="0087640A">
            <w:pPr>
              <w:pStyle w:val="TableCen"/>
            </w:pPr>
            <w:r>
              <w:t>LED Configuration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B6" w14:textId="77777777" w:rsidR="00AE00DC" w:rsidRDefault="00AE00DC" w:rsidP="0087640A">
            <w:pPr>
              <w:pStyle w:val="TableCen"/>
            </w:pPr>
            <w:r>
              <w:t>Uni and/or Bi directional</w:t>
            </w:r>
          </w:p>
        </w:tc>
      </w:tr>
      <w:tr w:rsidR="00AE00DC" w14:paraId="14DDDDBA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B8" w14:textId="77777777" w:rsidR="00AE00DC" w:rsidRDefault="00AE00DC" w:rsidP="0087640A">
            <w:pPr>
              <w:pStyle w:val="TableCen"/>
            </w:pPr>
            <w:r>
              <w:t>Minimum Viewing Distance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B9" w14:textId="77777777" w:rsidR="00AE00DC" w:rsidRDefault="00AE00DC" w:rsidP="0087640A">
            <w:pPr>
              <w:pStyle w:val="TableCen"/>
            </w:pPr>
            <w:r>
              <w:t>300</w:t>
            </w:r>
            <w:r w:rsidR="004B293C">
              <w:t>°</w:t>
            </w:r>
            <w:r>
              <w:t>m</w:t>
            </w:r>
          </w:p>
        </w:tc>
      </w:tr>
      <w:tr w:rsidR="00AE00DC" w14:paraId="14DDDDBD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BB" w14:textId="77777777" w:rsidR="00AE00DC" w:rsidRDefault="00AE00DC" w:rsidP="0087640A">
            <w:pPr>
              <w:pStyle w:val="TableCen"/>
            </w:pPr>
            <w:r>
              <w:t>Operating Time (Single Charge)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BC" w14:textId="3DC35BC7" w:rsidR="00AE00DC" w:rsidRDefault="00AE00DC" w:rsidP="0087640A">
            <w:pPr>
              <w:pStyle w:val="TableCen"/>
            </w:pPr>
            <w:r>
              <w:t>30</w:t>
            </w:r>
            <w:r w:rsidR="00164643">
              <w:t>°</w:t>
            </w:r>
            <w:r>
              <w:t>hours</w:t>
            </w:r>
            <w:r w:rsidR="00FD0D7F">
              <w:t xml:space="preserve"> </w:t>
            </w:r>
            <w:r>
              <w:t>(i.e. 2 night periods)</w:t>
            </w:r>
          </w:p>
        </w:tc>
      </w:tr>
      <w:tr w:rsidR="00AE00DC" w14:paraId="14DDDDC1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BE" w14:textId="77777777" w:rsidR="00AE00DC" w:rsidRDefault="000443E8" w:rsidP="0087640A">
            <w:pPr>
              <w:pStyle w:val="TableCen"/>
            </w:pPr>
            <w:r>
              <w:t xml:space="preserve">Typical </w:t>
            </w:r>
            <w:r w:rsidR="00AE00DC">
              <w:t xml:space="preserve">Charge </w:t>
            </w:r>
            <w:r w:rsidR="00F14D4E">
              <w:t xml:space="preserve">Lighting Level and </w:t>
            </w:r>
            <w:r w:rsidR="00AE00DC">
              <w:t>Time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BF" w14:textId="31641242" w:rsidR="00FD0D7F" w:rsidRDefault="00AE00DC" w:rsidP="0087640A">
            <w:pPr>
              <w:pStyle w:val="TableCen"/>
            </w:pPr>
            <w:r>
              <w:t>3</w:t>
            </w:r>
            <w:r w:rsidR="00164643">
              <w:t>°</w:t>
            </w:r>
            <w:r>
              <w:t>h</w:t>
            </w:r>
            <w:r w:rsidR="00FD0D7F">
              <w:t>ou</w:t>
            </w:r>
            <w:r>
              <w:t>rs</w:t>
            </w:r>
            <w:r w:rsidR="00605473">
              <w:t xml:space="preserve"> @ 100,000°lux</w:t>
            </w:r>
          </w:p>
          <w:p w14:paraId="14DDDDC0" w14:textId="77777777" w:rsidR="00AE00DC" w:rsidRDefault="00AE00DC" w:rsidP="0087640A">
            <w:pPr>
              <w:pStyle w:val="TableCen"/>
            </w:pPr>
            <w:r>
              <w:t>(</w:t>
            </w:r>
            <w:r w:rsidR="00F14D4E">
              <w:t xml:space="preserve">Full </w:t>
            </w:r>
            <w:r>
              <w:t>Sun)</w:t>
            </w:r>
          </w:p>
        </w:tc>
      </w:tr>
      <w:tr w:rsidR="00605473" w14:paraId="14DDDDC5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C2" w14:textId="77777777" w:rsidR="00605473" w:rsidRPr="00BE2460" w:rsidRDefault="00605473" w:rsidP="0087640A">
            <w:pPr>
              <w:pStyle w:val="TableCen"/>
            </w:pPr>
            <w:r>
              <w:t>Minimum Charg</w:t>
            </w:r>
            <w:r w:rsidR="00F14D4E">
              <w:t>e</w:t>
            </w:r>
            <w:r>
              <w:t xml:space="preserve"> Lighting Level</w:t>
            </w:r>
            <w:r w:rsidR="00F14D4E">
              <w:t xml:space="preserve"> and Time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C3" w14:textId="3DE6FE3D" w:rsidR="00FD0D7F" w:rsidRDefault="00FD0D7F" w:rsidP="0087640A">
            <w:pPr>
              <w:pStyle w:val="TableCen"/>
            </w:pPr>
            <w:r>
              <w:t>8</w:t>
            </w:r>
            <w:r w:rsidR="00164643">
              <w:t>°</w:t>
            </w:r>
            <w:r>
              <w:t xml:space="preserve">hours @ </w:t>
            </w:r>
            <w:r w:rsidR="007E43CE">
              <w:t>1,</w:t>
            </w:r>
            <w:r w:rsidR="00E36001">
              <w:t>0</w:t>
            </w:r>
            <w:r w:rsidR="00605473">
              <w:t>00°lux</w:t>
            </w:r>
          </w:p>
          <w:p w14:paraId="14DDDDC4" w14:textId="77777777" w:rsidR="00605473" w:rsidRDefault="000443E8" w:rsidP="0087640A">
            <w:pPr>
              <w:pStyle w:val="TableCen"/>
            </w:pPr>
            <w:r>
              <w:t xml:space="preserve">(Overcast </w:t>
            </w:r>
            <w:r w:rsidR="00F14D4E">
              <w:t>Conditions</w:t>
            </w:r>
            <w:r>
              <w:t>/Full Shade)</w:t>
            </w:r>
          </w:p>
        </w:tc>
      </w:tr>
      <w:tr w:rsidR="00AE00DC" w14:paraId="14DDDDC9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C6" w14:textId="1A9D4C4C" w:rsidR="00AE00DC" w:rsidRDefault="00AE00DC" w:rsidP="0087640A">
            <w:pPr>
              <w:pStyle w:val="TableCen"/>
            </w:pPr>
            <w:r w:rsidRPr="00BE2460">
              <w:t>Reflector</w:t>
            </w:r>
            <w:r w:rsidR="00291DF6" w:rsidRPr="00A36D06">
              <w:rPr>
                <w:i/>
                <w:iCs/>
                <w:vertAlign w:val="superscript"/>
              </w:rPr>
              <w:t>(3)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C7" w14:textId="27275FA5" w:rsidR="00AE00DC" w:rsidRDefault="00AE00DC" w:rsidP="0087640A">
            <w:pPr>
              <w:pStyle w:val="TableCen"/>
            </w:pPr>
            <w:r>
              <w:t>Class</w:t>
            </w:r>
            <w:r w:rsidR="00291DF6">
              <w:t>°</w:t>
            </w:r>
            <w:r>
              <w:t>1 or Class</w:t>
            </w:r>
            <w:r w:rsidR="00291DF6">
              <w:t>°</w:t>
            </w:r>
            <w:r>
              <w:t xml:space="preserve">1W White to </w:t>
            </w:r>
            <w:r w:rsidRPr="00A36D06">
              <w:rPr>
                <w:i/>
              </w:rPr>
              <w:t>AS</w:t>
            </w:r>
            <w:r w:rsidR="000D5935" w:rsidRPr="00A36D06">
              <w:rPr>
                <w:i/>
              </w:rPr>
              <w:t>°</w:t>
            </w:r>
            <w:r w:rsidRPr="00A36D06">
              <w:rPr>
                <w:i/>
              </w:rPr>
              <w:t>1906.1</w:t>
            </w:r>
            <w:r>
              <w:t xml:space="preserve"> </w:t>
            </w:r>
            <w:r w:rsidRPr="004D2FB5">
              <w:t>or international equivalent</w:t>
            </w:r>
            <w:r w:rsidR="00291DF6" w:rsidRPr="00A36D06">
              <w:rPr>
                <w:i/>
                <w:iCs/>
                <w:vertAlign w:val="superscript"/>
              </w:rPr>
              <w:t>(1)</w:t>
            </w:r>
            <w:r w:rsidR="002111C9" w:rsidRPr="00A36D06">
              <w:rPr>
                <w:i/>
                <w:iCs/>
                <w:vertAlign w:val="superscript"/>
              </w:rPr>
              <w:t>(</w:t>
            </w:r>
            <w:r w:rsidR="00164643" w:rsidRPr="00A36D06">
              <w:rPr>
                <w:i/>
                <w:iCs/>
                <w:vertAlign w:val="superscript"/>
              </w:rPr>
              <w:t>3</w:t>
            </w:r>
            <w:r w:rsidR="002111C9" w:rsidRPr="00A36D06">
              <w:rPr>
                <w:i/>
                <w:iCs/>
                <w:vertAlign w:val="superscript"/>
              </w:rPr>
              <w:t>)</w:t>
            </w:r>
          </w:p>
          <w:p w14:paraId="14DDDDC8" w14:textId="77777777" w:rsidR="00AE00DC" w:rsidRPr="00C03AAC" w:rsidRDefault="00AE00DC" w:rsidP="0087640A">
            <w:pPr>
              <w:pStyle w:val="TableCen"/>
            </w:pPr>
            <w:r>
              <w:t>(</w:t>
            </w:r>
            <w:r w:rsidRPr="00C03AAC">
              <w:t>Diamond grade or Prismatic corner cube.</w:t>
            </w:r>
            <w:r>
              <w:t>)</w:t>
            </w:r>
          </w:p>
        </w:tc>
      </w:tr>
      <w:tr w:rsidR="00AE00DC" w14:paraId="14DDDDCC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4DDDDCA" w14:textId="77777777" w:rsidR="00AE00DC" w:rsidRPr="00BE2460" w:rsidRDefault="00AE00DC" w:rsidP="0087640A">
            <w:pPr>
              <w:pStyle w:val="TableCen"/>
            </w:pPr>
            <w:r>
              <w:t>In Ground Life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DDDDCB" w14:textId="77777777" w:rsidR="00AE00DC" w:rsidRPr="00BE2460" w:rsidRDefault="00AE00DC" w:rsidP="0087640A">
            <w:pPr>
              <w:pStyle w:val="TableCen"/>
            </w:pPr>
            <w:r>
              <w:t>10 years</w:t>
            </w:r>
          </w:p>
        </w:tc>
      </w:tr>
      <w:tr w:rsidR="00AE00DC" w14:paraId="14DDDDCF" w14:textId="77777777" w:rsidTr="00A36D06">
        <w:trPr>
          <w:trHeight w:val="340"/>
        </w:trPr>
        <w:tc>
          <w:tcPr>
            <w:tcW w:w="3686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DDDDCD" w14:textId="77777777" w:rsidR="00AE00DC" w:rsidRDefault="00AE00DC" w:rsidP="0087640A">
            <w:pPr>
              <w:pStyle w:val="TableCen"/>
            </w:pPr>
            <w:r>
              <w:t>Warranty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DDDDCE" w14:textId="77777777" w:rsidR="00AE00DC" w:rsidRDefault="00AE00DC" w:rsidP="007A0281">
            <w:pPr>
              <w:pStyle w:val="TableCen"/>
            </w:pPr>
            <w:r>
              <w:t>3 years (Min.)</w:t>
            </w:r>
          </w:p>
        </w:tc>
      </w:tr>
    </w:tbl>
    <w:p w14:paraId="14DDDDD0" w14:textId="606D459B" w:rsidR="00980D29" w:rsidRPr="000D5935" w:rsidRDefault="002218CD" w:rsidP="00F537E6">
      <w:pPr>
        <w:pStyle w:val="BodyTextIndentNote"/>
        <w:rPr>
          <w:i/>
        </w:rPr>
      </w:pPr>
      <w:r w:rsidRPr="002218CD">
        <w:rPr>
          <w:i/>
          <w:iCs/>
          <w:vertAlign w:val="superscript"/>
        </w:rPr>
        <w:t>(1)</w:t>
      </w:r>
      <w:r w:rsidR="004D2FB5">
        <w:tab/>
      </w:r>
      <w:r w:rsidR="004D2FB5" w:rsidRPr="000D5935">
        <w:rPr>
          <w:i/>
        </w:rPr>
        <w:t>Certified compliance</w:t>
      </w:r>
      <w:r w:rsidR="00E735EA" w:rsidRPr="000D5935">
        <w:rPr>
          <w:i/>
        </w:rPr>
        <w:t xml:space="preserve"> </w:t>
      </w:r>
      <w:r w:rsidR="00410CB9" w:rsidRPr="000D5935">
        <w:rPr>
          <w:i/>
        </w:rPr>
        <w:t>or independent testing</w:t>
      </w:r>
      <w:r w:rsidR="004D2FB5" w:rsidRPr="000D5935">
        <w:rPr>
          <w:i/>
        </w:rPr>
        <w:t xml:space="preserve"> documentation to </w:t>
      </w:r>
      <w:r w:rsidR="00E735EA" w:rsidRPr="000D5935">
        <w:rPr>
          <w:i/>
        </w:rPr>
        <w:t xml:space="preserve">be provided </w:t>
      </w:r>
      <w:r w:rsidR="004D2FB5" w:rsidRPr="000D5935">
        <w:rPr>
          <w:i/>
        </w:rPr>
        <w:t>if</w:t>
      </w:r>
      <w:r w:rsidR="00E735EA" w:rsidRPr="000D5935">
        <w:rPr>
          <w:i/>
        </w:rPr>
        <w:t xml:space="preserve"> different to relevant Australian Standard.</w:t>
      </w:r>
    </w:p>
    <w:p w14:paraId="14DDDDD1" w14:textId="2CFC3682" w:rsidR="00480939" w:rsidRPr="000D5935" w:rsidRDefault="00164643" w:rsidP="00F537E6">
      <w:pPr>
        <w:pStyle w:val="BodyTextIndentNote"/>
        <w:rPr>
          <w:i/>
        </w:rPr>
      </w:pPr>
      <w:r w:rsidRPr="002218CD">
        <w:rPr>
          <w:i/>
          <w:iCs/>
          <w:vertAlign w:val="superscript"/>
        </w:rPr>
        <w:t>(</w:t>
      </w:r>
      <w:r>
        <w:rPr>
          <w:i/>
          <w:iCs/>
          <w:vertAlign w:val="superscript"/>
        </w:rPr>
        <w:t>2</w:t>
      </w:r>
      <w:r w:rsidRPr="002218CD">
        <w:rPr>
          <w:i/>
          <w:iCs/>
          <w:vertAlign w:val="superscript"/>
        </w:rPr>
        <w:t>)</w:t>
      </w:r>
      <w:r w:rsidR="00480939" w:rsidRPr="000D5935">
        <w:rPr>
          <w:i/>
        </w:rPr>
        <w:tab/>
        <w:t xml:space="preserve">Where installation is expected to be submerged </w:t>
      </w:r>
      <w:r w:rsidR="00AE00DC" w:rsidRPr="000D5935">
        <w:rPr>
          <w:i/>
        </w:rPr>
        <w:t>by</w:t>
      </w:r>
      <w:r w:rsidR="00480939" w:rsidRPr="000D5935">
        <w:rPr>
          <w:i/>
        </w:rPr>
        <w:t xml:space="preserve"> water for a 24</w:t>
      </w:r>
      <w:r w:rsidR="00520E21">
        <w:t>°</w:t>
      </w:r>
      <w:r w:rsidR="00480939" w:rsidRPr="000D5935">
        <w:rPr>
          <w:i/>
        </w:rPr>
        <w:t>hour</w:t>
      </w:r>
      <w:r w:rsidR="00520E21">
        <w:t>°</w:t>
      </w:r>
      <w:r w:rsidR="00480939" w:rsidRPr="000D5935">
        <w:rPr>
          <w:i/>
        </w:rPr>
        <w:t xml:space="preserve">period or longer </w:t>
      </w:r>
      <w:r w:rsidR="00480939" w:rsidRPr="000D5935">
        <w:rPr>
          <w:b/>
          <w:i/>
        </w:rPr>
        <w:t>and</w:t>
      </w:r>
      <w:r w:rsidR="00DC413B" w:rsidRPr="000D5935">
        <w:rPr>
          <w:b/>
          <w:i/>
        </w:rPr>
        <w:t>/</w:t>
      </w:r>
      <w:r w:rsidR="00480939" w:rsidRPr="000D5935">
        <w:rPr>
          <w:b/>
          <w:i/>
        </w:rPr>
        <w:t>or</w:t>
      </w:r>
      <w:r w:rsidR="00480939" w:rsidRPr="000D5935">
        <w:rPr>
          <w:i/>
        </w:rPr>
        <w:t xml:space="preserve"> subjected to </w:t>
      </w:r>
      <w:r w:rsidR="00AE00DC" w:rsidRPr="000D5935">
        <w:rPr>
          <w:i/>
        </w:rPr>
        <w:t>water inundation to depth of 1.0m or greater, the water proofing rating will be to IP68 to AS1939 and EN60529.</w:t>
      </w:r>
    </w:p>
    <w:p w14:paraId="14DDDDD2" w14:textId="5570B1DC" w:rsidR="00B47DD3" w:rsidRPr="000D5935" w:rsidRDefault="00164643" w:rsidP="00F537E6">
      <w:pPr>
        <w:pStyle w:val="BodyTextIndentNote"/>
        <w:rPr>
          <w:i/>
        </w:rPr>
      </w:pPr>
      <w:r w:rsidRPr="002218CD">
        <w:rPr>
          <w:i/>
          <w:iCs/>
          <w:vertAlign w:val="superscript"/>
        </w:rPr>
        <w:t>(</w:t>
      </w:r>
      <w:r>
        <w:rPr>
          <w:i/>
          <w:iCs/>
          <w:vertAlign w:val="superscript"/>
        </w:rPr>
        <w:t>3</w:t>
      </w:r>
      <w:r w:rsidRPr="002218CD">
        <w:rPr>
          <w:i/>
          <w:iCs/>
          <w:vertAlign w:val="superscript"/>
        </w:rPr>
        <w:t>)</w:t>
      </w:r>
      <w:r w:rsidR="00B47DD3" w:rsidRPr="000D5935">
        <w:rPr>
          <w:i/>
        </w:rPr>
        <w:tab/>
        <w:t>If present in marker.  Some markers do not contain a retroreflective element.</w:t>
      </w:r>
    </w:p>
    <w:p w14:paraId="14DDDDD3" w14:textId="77777777" w:rsidR="006A113C" w:rsidRPr="000D5935" w:rsidRDefault="006A113C" w:rsidP="00C95B37">
      <w:pPr>
        <w:pStyle w:val="BodyTextIndentBold"/>
        <w:tabs>
          <w:tab w:val="left" w:pos="2552"/>
        </w:tabs>
        <w:ind w:left="2552" w:hanging="1832"/>
        <w:rPr>
          <w:i/>
        </w:rPr>
      </w:pPr>
      <w:r w:rsidRPr="000D5935">
        <w:rPr>
          <w:i/>
        </w:rPr>
        <w:t>Additional Requirements</w:t>
      </w:r>
      <w:permStart w:id="1087125642" w:edGrp="everyone"/>
      <w:permEnd w:id="1087125642"/>
    </w:p>
    <w:p w14:paraId="14DDDDD4" w14:textId="77777777" w:rsidR="00C5044A" w:rsidRDefault="0065659C" w:rsidP="00C95B37">
      <w:pPr>
        <w:pStyle w:val="BodyTextIndent"/>
        <w:ind w:left="2552" w:hanging="1832"/>
      </w:pPr>
      <w:r>
        <w:t>Tamper resistant</w:t>
      </w:r>
      <w:r w:rsidR="008972FC">
        <w:t>:</w:t>
      </w:r>
      <w:r w:rsidR="00C95B37">
        <w:tab/>
      </w:r>
      <w:r w:rsidR="008972FC">
        <w:t>B</w:t>
      </w:r>
      <w:r>
        <w:t xml:space="preserve">oth </w:t>
      </w:r>
      <w:r w:rsidR="00BE2460">
        <w:t xml:space="preserve">marker </w:t>
      </w:r>
      <w:r w:rsidR="00BD4177">
        <w:t xml:space="preserve">unit </w:t>
      </w:r>
      <w:r w:rsidR="00BE2460">
        <w:t xml:space="preserve">and installation method </w:t>
      </w:r>
      <w:r w:rsidR="00BD4177">
        <w:t xml:space="preserve">shall be vandal and tamper resistant, </w:t>
      </w:r>
      <w:r w:rsidR="00BE2460">
        <w:t xml:space="preserve">i.e. </w:t>
      </w:r>
      <w:r w:rsidR="00BD4177">
        <w:t>unit cannot be disassembled or be dug up/removed from installation position.</w:t>
      </w:r>
    </w:p>
    <w:sectPr w:rsidR="00C5044A" w:rsidSect="003833CF">
      <w:footerReference w:type="default" r:id="rId17"/>
      <w:pgSz w:w="11906" w:h="16838" w:code="9"/>
      <w:pgMar w:top="1134" w:right="1134" w:bottom="992" w:left="1418" w:header="113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2BEB2" w14:textId="77777777" w:rsidR="00F94CEA" w:rsidRDefault="00F94CEA">
      <w:r>
        <w:separator/>
      </w:r>
    </w:p>
  </w:endnote>
  <w:endnote w:type="continuationSeparator" w:id="0">
    <w:p w14:paraId="5EE6F1EC" w14:textId="77777777" w:rsidR="00F94CEA" w:rsidRDefault="00F9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arkingPenHeavy"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DDDDD" w14:textId="4BB02153" w:rsidR="009D5968" w:rsidRPr="00FA4946" w:rsidRDefault="00111BA7" w:rsidP="00FA4946">
    <w:pPr>
      <w:pStyle w:val="Footer"/>
      <w:rPr>
        <w:rStyle w:val="PageNumber"/>
      </w:rPr>
    </w:pPr>
    <w:r w:rsidRPr="00FA4946">
      <w:t xml:space="preserve">Revision 4.0 – </w:t>
    </w:r>
    <w:r w:rsidR="00D8006A" w:rsidRPr="00FA4946">
      <w:t>March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A24F9" w14:textId="77777777" w:rsidR="0061740B" w:rsidRDefault="00C66125" w:rsidP="00FA4946">
    <w:pPr>
      <w:pStyle w:val="Footer"/>
      <w:rPr>
        <w:rStyle w:val="PageNumber"/>
        <w:b w:val="0"/>
        <w:i w:val="0"/>
        <w:sz w:val="20"/>
      </w:rPr>
    </w:pPr>
    <w:r>
      <w:rPr>
        <w:noProof/>
        <w:sz w:val="18"/>
      </w:rPr>
      <w:pict w14:anchorId="57FC509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119" type="#_x0000_t202" style="position:absolute;left:0;text-align:left;margin-left:340.2pt;margin-top:538.65pt;width:460.65pt;height:21.25pt;rotation:-5921140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stroke joinstyle="round"/>
          <o:lock v:ext="edit" shapetype="t"/>
          <v:textbox style="layout-flow:vertical;mso-layout-flow-alt:bottom-to-top">
            <w:txbxContent>
              <w:p w14:paraId="05ADADCB" w14:textId="77777777" w:rsidR="0061740B" w:rsidRPr="00111BA7" w:rsidRDefault="0061740B" w:rsidP="00111BA7">
                <w:pPr>
                  <w:pStyle w:val="NormalWeb"/>
                  <w:spacing w:before="0" w:after="0"/>
                  <w:rPr>
                    <w:rFonts w:ascii="Arial Bold" w:hAnsi="Arial Bold" w:cs="Arial"/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111BA7">
                  <w:rPr>
                    <w:rFonts w:ascii="Arial Bold" w:hAnsi="Arial Bold" w:cs="Arial"/>
                    <w:b/>
                    <w:bCs/>
                    <w:i/>
                    <w:iCs/>
                    <w:sz w:val="28"/>
                    <w:szCs w:val="28"/>
                  </w:rPr>
                  <w:t>S156 SOLAR ROAD AND BIKEWAY MARKERS</w:t>
                </w:r>
              </w:p>
              <w:p w14:paraId="72F109E7" w14:textId="77777777" w:rsidR="0061740B" w:rsidRPr="00111BA7" w:rsidRDefault="0061740B" w:rsidP="00111BA7">
                <w:pPr>
                  <w:pStyle w:val="NormalWeb"/>
                  <w:spacing w:before="0" w:beforeAutospacing="0" w:after="0" w:afterAutospacing="0"/>
                  <w:rPr>
                    <w:rFonts w:ascii="Arial Bold" w:hAnsi="Arial Bold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  <w:r w:rsidR="0061740B">
      <w:t>Revision 4.0 – March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AECB1" w14:textId="45C8093B" w:rsidR="00111BA7" w:rsidRDefault="00C66125" w:rsidP="00FA4946">
    <w:pPr>
      <w:pStyle w:val="Footer"/>
      <w:rPr>
        <w:rStyle w:val="PageNumber"/>
        <w:b w:val="0"/>
        <w:i w:val="0"/>
        <w:sz w:val="20"/>
      </w:rPr>
    </w:pPr>
    <w:r>
      <w:rPr>
        <w:noProof/>
      </w:rPr>
      <w:pict w14:anchorId="060216B1"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left:0;text-align:left;margin-left:340.2pt;margin-top:538.65pt;width:460.65pt;height:21.25pt;rotation:-5921140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stroke joinstyle="round"/>
          <o:lock v:ext="edit" shapetype="t"/>
          <v:textbox style="layout-flow:vertical;mso-layout-flow-alt:bottom-to-top">
            <w:txbxContent>
              <w:p w14:paraId="192D3FF2" w14:textId="77777777" w:rsidR="00111BA7" w:rsidRPr="00111BA7" w:rsidRDefault="00111BA7" w:rsidP="00111BA7">
                <w:pPr>
                  <w:pStyle w:val="NormalWeb"/>
                  <w:spacing w:before="0" w:after="0"/>
                  <w:rPr>
                    <w:rFonts w:ascii="Arial Bold" w:hAnsi="Arial Bold" w:cs="Arial"/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111BA7">
                  <w:rPr>
                    <w:rFonts w:ascii="Arial Bold" w:hAnsi="Arial Bold" w:cs="Arial"/>
                    <w:b/>
                    <w:bCs/>
                    <w:i/>
                    <w:iCs/>
                    <w:sz w:val="28"/>
                    <w:szCs w:val="28"/>
                  </w:rPr>
                  <w:t>S156 SOLAR ROAD AND BIKEWAY MARKERS</w:t>
                </w:r>
              </w:p>
              <w:p w14:paraId="77FAF0DD" w14:textId="0F8F8CE0" w:rsidR="00111BA7" w:rsidRPr="00111BA7" w:rsidRDefault="00111BA7" w:rsidP="00111BA7">
                <w:pPr>
                  <w:pStyle w:val="NormalWeb"/>
                  <w:spacing w:before="0" w:beforeAutospacing="0" w:after="0" w:afterAutospacing="0"/>
                  <w:rPr>
                    <w:rFonts w:ascii="Arial Bold" w:hAnsi="Arial Bold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  <w:r w:rsidR="00111BA7">
      <w:t xml:space="preserve">Revision 4.0 – </w:t>
    </w:r>
    <w:r w:rsidR="00D8006A" w:rsidRPr="00D8006A">
      <w:t>March 2021</w:t>
    </w:r>
    <w:r w:rsidR="0040459C">
      <w:tab/>
    </w:r>
    <w:r w:rsidR="0040459C">
      <w:tab/>
    </w:r>
    <w:r w:rsidR="00111BA7">
      <w:fldChar w:fldCharType="begin"/>
    </w:r>
    <w:r w:rsidR="00111BA7">
      <w:instrText xml:space="preserve"> PAGE   \* MERGEFORMAT </w:instrText>
    </w:r>
    <w:r w:rsidR="00111BA7">
      <w:fldChar w:fldCharType="separate"/>
    </w:r>
    <w:r w:rsidR="00111BA7">
      <w:rPr>
        <w:noProof/>
      </w:rPr>
      <w:t>1</w:t>
    </w:r>
    <w:r w:rsidR="00111BA7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EA45" w14:textId="50288892" w:rsidR="00111BA7" w:rsidRDefault="00C66125" w:rsidP="00FA4946">
    <w:pPr>
      <w:pStyle w:val="Footer"/>
      <w:rPr>
        <w:rStyle w:val="PageNumber"/>
        <w:b w:val="0"/>
        <w:i w:val="0"/>
        <w:sz w:val="20"/>
      </w:rPr>
    </w:pPr>
    <w:r>
      <w:rPr>
        <w:noProof/>
        <w:sz w:val="18"/>
      </w:rPr>
      <w:pict w14:anchorId="3560F8FF"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left:0;text-align:left;margin-left:340.2pt;margin-top:538.65pt;width:460.65pt;height:21.25pt;rotation:-5921140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stroke joinstyle="round"/>
          <o:lock v:ext="edit" shapetype="t"/>
          <v:textbox style="layout-flow:vertical;mso-layout-flow-alt:bottom-to-top">
            <w:txbxContent>
              <w:p w14:paraId="643D2840" w14:textId="77777777" w:rsidR="00111BA7" w:rsidRPr="00111BA7" w:rsidRDefault="00111BA7" w:rsidP="00111BA7">
                <w:pPr>
                  <w:pStyle w:val="NormalWeb"/>
                  <w:spacing w:before="0" w:after="0"/>
                  <w:rPr>
                    <w:rFonts w:ascii="Arial Bold" w:hAnsi="Arial Bold" w:cs="Arial"/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111BA7">
                  <w:rPr>
                    <w:rFonts w:ascii="Arial Bold" w:hAnsi="Arial Bold" w:cs="Arial"/>
                    <w:b/>
                    <w:bCs/>
                    <w:i/>
                    <w:iCs/>
                    <w:sz w:val="28"/>
                    <w:szCs w:val="28"/>
                  </w:rPr>
                  <w:t>S156 SOLAR ROAD AND BIKEWAY MARKERS</w:t>
                </w:r>
              </w:p>
              <w:p w14:paraId="193E0262" w14:textId="0041B011" w:rsidR="00111BA7" w:rsidRPr="00111BA7" w:rsidRDefault="00111BA7" w:rsidP="00111BA7">
                <w:pPr>
                  <w:pStyle w:val="NormalWeb"/>
                  <w:spacing w:before="0" w:beforeAutospacing="0" w:after="0" w:afterAutospacing="0"/>
                  <w:rPr>
                    <w:rFonts w:ascii="Arial Bold" w:hAnsi="Arial Bold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  <w:r w:rsidR="00111BA7">
      <w:t xml:space="preserve">Revision 4.0 – </w:t>
    </w:r>
    <w:r w:rsidR="00D8006A" w:rsidRPr="00D8006A">
      <w:t>March 2021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52585" w14:textId="4732E0EA" w:rsidR="00D8006A" w:rsidRPr="00F445D2" w:rsidRDefault="00C66125" w:rsidP="00FA4946">
    <w:pPr>
      <w:pStyle w:val="Footer"/>
      <w:rPr>
        <w:rStyle w:val="PageNumber"/>
        <w:sz w:val="18"/>
      </w:rPr>
    </w:pPr>
    <w:r>
      <w:rPr>
        <w:noProof/>
      </w:rPr>
      <w:pict w14:anchorId="0CE28419"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left:0;text-align:left;margin-left:340.2pt;margin-top:538.65pt;width:460.65pt;height:21.25pt;rotation:-5921140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stroke joinstyle="round"/>
          <o:lock v:ext="edit" shapetype="t"/>
          <v:textbox style="layout-flow:vertical;mso-layout-flow-alt:bottom-to-top;mso-next-textbox:#_x0000_s2114">
            <w:txbxContent>
              <w:p w14:paraId="68F2680E" w14:textId="77777777" w:rsidR="00D8006A" w:rsidRPr="00111BA7" w:rsidRDefault="00D8006A" w:rsidP="00111BA7">
                <w:pPr>
                  <w:pStyle w:val="NormalWeb"/>
                  <w:spacing w:before="0" w:after="0"/>
                  <w:rPr>
                    <w:rFonts w:ascii="Arial Bold" w:hAnsi="Arial Bold" w:cs="Arial"/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9A67F1">
                  <w:rPr>
                    <w:rFonts w:ascii="Arial Bold" w:hAnsi="Arial Bold" w:cs="Arial"/>
                    <w:b/>
                    <w:bCs/>
                    <w:i/>
                    <w:iCs/>
                    <w:sz w:val="28"/>
                    <w:szCs w:val="28"/>
                  </w:rPr>
                  <w:t>S156 SOLAR RO</w:t>
                </w:r>
                <w:r w:rsidRPr="00111BA7">
                  <w:rPr>
                    <w:rFonts w:ascii="Arial Bold" w:hAnsi="Arial Bold" w:cs="Arial"/>
                    <w:b/>
                    <w:bCs/>
                    <w:i/>
                    <w:iCs/>
                    <w:sz w:val="28"/>
                    <w:szCs w:val="28"/>
                  </w:rPr>
                  <w:t>AD AND BIKEWAY MARKERS</w:t>
                </w:r>
              </w:p>
              <w:p w14:paraId="368ECB09" w14:textId="379533EF" w:rsidR="00D8006A" w:rsidRPr="00111BA7" w:rsidRDefault="00D8006A" w:rsidP="00111BA7">
                <w:pPr>
                  <w:pStyle w:val="NormalWeb"/>
                  <w:spacing w:before="0" w:beforeAutospacing="0" w:after="0" w:afterAutospacing="0"/>
                  <w:rPr>
                    <w:rFonts w:ascii="Arial Bold" w:hAnsi="Arial Bold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  <w:r w:rsidR="00D8006A">
      <w:t xml:space="preserve">Revision 4.0 – </w:t>
    </w:r>
    <w:r w:rsidR="00D8006A" w:rsidRPr="00D8006A">
      <w:t>March 2021</w:t>
    </w:r>
    <w:r w:rsidR="0040459C">
      <w:tab/>
    </w:r>
    <w:r w:rsidR="0040459C">
      <w:tab/>
    </w:r>
    <w:r w:rsidR="00F445D2" w:rsidRPr="00F445D2">
      <w:rPr>
        <w:rStyle w:val="PageNumber"/>
        <w:sz w:val="18"/>
      </w:rPr>
      <w:fldChar w:fldCharType="begin"/>
    </w:r>
    <w:r w:rsidR="00F445D2" w:rsidRPr="00F445D2">
      <w:rPr>
        <w:rStyle w:val="PageNumber"/>
        <w:sz w:val="18"/>
      </w:rPr>
      <w:instrText xml:space="preserve"> PAGE   \* MERGEFORMAT </w:instrText>
    </w:r>
    <w:r w:rsidR="00F445D2" w:rsidRPr="00F445D2">
      <w:rPr>
        <w:rStyle w:val="PageNumber"/>
        <w:sz w:val="18"/>
      </w:rPr>
      <w:fldChar w:fldCharType="separate"/>
    </w:r>
    <w:r w:rsidR="00F445D2" w:rsidRPr="00F445D2">
      <w:rPr>
        <w:rStyle w:val="PageNumber"/>
        <w:sz w:val="18"/>
      </w:rPr>
      <w:t>1</w:t>
    </w:r>
    <w:r w:rsidR="00F445D2" w:rsidRPr="00F445D2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DAA68" w14:textId="77777777" w:rsidR="00F94CEA" w:rsidRDefault="00F94CEA">
      <w:r>
        <w:separator/>
      </w:r>
    </w:p>
  </w:footnote>
  <w:footnote w:type="continuationSeparator" w:id="0">
    <w:p w14:paraId="558708E2" w14:textId="77777777" w:rsidR="00F94CEA" w:rsidRDefault="00F9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DDDD9" w14:textId="77777777" w:rsidR="009D5968" w:rsidRDefault="00C66125" w:rsidP="001379F4">
    <w:pPr>
      <w:pStyle w:val="Header"/>
    </w:pPr>
    <w:r>
      <w:rPr>
        <w:noProof/>
      </w:rPr>
      <w:pict w14:anchorId="14DDDD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303pt;margin-top:297.7pt;width:33pt;height:42.75pt;rotation:90;z-index:251655168" o:allowincell="f" fillcolor="black">
          <v:shadow color="#868686"/>
          <v:textpath style="font-family:&quot;Arial Narrow&quot;;v-rotate-letters:t;v-text-kern:t" trim="t" fitpath="t" string="1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73D2" w14:textId="181FD9DA" w:rsidR="004C5883" w:rsidRPr="004C5883" w:rsidRDefault="00C66125" w:rsidP="00201CD6">
    <w:pPr>
      <w:pStyle w:val="Header"/>
    </w:pPr>
    <w:r>
      <w:pict w14:anchorId="26144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57pt">
          <v:imagedata r:id="rId1" o:title="BCC Logo (Colour) Le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24843" w14:textId="52F6FF49" w:rsidR="0061740B" w:rsidRPr="00A94029" w:rsidRDefault="0061740B" w:rsidP="001379F4">
    <w:pPr>
      <w:pStyle w:val="Header"/>
    </w:pPr>
    <w:r w:rsidRPr="001379F4">
      <w:t>Brisbane City Council</w:t>
    </w:r>
    <w:r w:rsidR="001379F4" w:rsidRPr="001379F4">
      <w:tab/>
    </w:r>
    <w:r w:rsidR="001379F4" w:rsidRPr="001379F4">
      <w:tab/>
    </w:r>
    <w:r w:rsidRPr="001379F4">
      <w:t>Reference Specifications for Engineering Work</w:t>
    </w:r>
    <w:r w:rsidR="00096AE1">
      <w:t xml:space="preserve"> </w:t>
    </w:r>
    <w:r>
      <w:t>S156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2DE"/>
    <w:multiLevelType w:val="multilevel"/>
    <w:tmpl w:val="B576EB9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1426C46"/>
    <w:multiLevelType w:val="singleLevel"/>
    <w:tmpl w:val="85D4A3D0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 w15:restartNumberingAfterBreak="0">
    <w:nsid w:val="08763FD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82229C"/>
    <w:multiLevelType w:val="singleLevel"/>
    <w:tmpl w:val="6F1864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A437BD"/>
    <w:multiLevelType w:val="singleLevel"/>
    <w:tmpl w:val="8CB0E5B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940FDD"/>
    <w:multiLevelType w:val="multilevel"/>
    <w:tmpl w:val="53F44AD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1C841EC8"/>
    <w:multiLevelType w:val="multilevel"/>
    <w:tmpl w:val="03FC3454"/>
    <w:lvl w:ilvl="0">
      <w:start w:val="1"/>
      <w:numFmt w:val="decimal"/>
      <w:pStyle w:val="Heading2"/>
      <w:lvlText w:val="%1.0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28877450"/>
    <w:multiLevelType w:val="singleLevel"/>
    <w:tmpl w:val="724A15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EA66DD"/>
    <w:multiLevelType w:val="hybridMultilevel"/>
    <w:tmpl w:val="C0367498"/>
    <w:lvl w:ilvl="0" w:tplc="8CE6B7EE">
      <w:start w:val="3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4938D3"/>
    <w:multiLevelType w:val="singleLevel"/>
    <w:tmpl w:val="9B407800"/>
    <w:lvl w:ilvl="0">
      <w:start w:val="1"/>
      <w:numFmt w:val="lowerLetter"/>
      <w:pStyle w:val="TableLet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8148B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067B3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6C093D"/>
    <w:multiLevelType w:val="singleLevel"/>
    <w:tmpl w:val="71CAE4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831391"/>
    <w:multiLevelType w:val="hybridMultilevel"/>
    <w:tmpl w:val="A446B482"/>
    <w:lvl w:ilvl="0" w:tplc="4A226AE8">
      <w:start w:val="1"/>
      <w:numFmt w:val="bullet"/>
      <w:pStyle w:val="BodyTextIndentDot"/>
      <w:lvlText w:val=""/>
      <w:lvlJc w:val="left"/>
      <w:pPr>
        <w:tabs>
          <w:tab w:val="num" w:pos="1134"/>
        </w:tabs>
        <w:ind w:left="1134" w:hanging="425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4236C"/>
    <w:multiLevelType w:val="singleLevel"/>
    <w:tmpl w:val="A634C920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007939"/>
    <w:multiLevelType w:val="singleLevel"/>
    <w:tmpl w:val="19DEB05C"/>
    <w:lvl w:ilvl="0">
      <w:start w:val="1"/>
      <w:numFmt w:val="bullet"/>
      <w:pStyle w:val="TableDo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6" w15:restartNumberingAfterBreak="0">
    <w:nsid w:val="7E8B5F90"/>
    <w:multiLevelType w:val="singleLevel"/>
    <w:tmpl w:val="71CAE4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14"/>
  </w:num>
  <w:num w:numId="4">
    <w:abstractNumId w:val="9"/>
  </w:num>
  <w:num w:numId="5">
    <w:abstractNumId w:val="16"/>
  </w:num>
  <w:num w:numId="6">
    <w:abstractNumId w:val="12"/>
  </w:num>
  <w:num w:numId="7">
    <w:abstractNumId w:val="15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0"/>
  </w:num>
  <w:num w:numId="19">
    <w:abstractNumId w:val="5"/>
  </w:num>
  <w:num w:numId="20">
    <w:abstractNumId w:val="8"/>
  </w:num>
  <w:num w:numId="2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formatting="1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2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7DB"/>
    <w:rsid w:val="00003EF7"/>
    <w:rsid w:val="000443E8"/>
    <w:rsid w:val="0004700C"/>
    <w:rsid w:val="00060B37"/>
    <w:rsid w:val="00064343"/>
    <w:rsid w:val="000735C5"/>
    <w:rsid w:val="00075A6E"/>
    <w:rsid w:val="000940F7"/>
    <w:rsid w:val="00096AE1"/>
    <w:rsid w:val="000D5935"/>
    <w:rsid w:val="000F7B2D"/>
    <w:rsid w:val="00111BA7"/>
    <w:rsid w:val="00134355"/>
    <w:rsid w:val="001379F4"/>
    <w:rsid w:val="001505F3"/>
    <w:rsid w:val="0015288F"/>
    <w:rsid w:val="0015625C"/>
    <w:rsid w:val="00164643"/>
    <w:rsid w:val="001734BE"/>
    <w:rsid w:val="001951FD"/>
    <w:rsid w:val="001C1FBB"/>
    <w:rsid w:val="001D09C4"/>
    <w:rsid w:val="001E009D"/>
    <w:rsid w:val="001F5AD2"/>
    <w:rsid w:val="00201CD6"/>
    <w:rsid w:val="002111C9"/>
    <w:rsid w:val="002218CD"/>
    <w:rsid w:val="00226986"/>
    <w:rsid w:val="002366BE"/>
    <w:rsid w:val="002709A5"/>
    <w:rsid w:val="00283E2F"/>
    <w:rsid w:val="00285D6C"/>
    <w:rsid w:val="00291DF6"/>
    <w:rsid w:val="002A0F6B"/>
    <w:rsid w:val="002D355A"/>
    <w:rsid w:val="002D7D13"/>
    <w:rsid w:val="0030664B"/>
    <w:rsid w:val="00310B1F"/>
    <w:rsid w:val="003155BF"/>
    <w:rsid w:val="00327A4E"/>
    <w:rsid w:val="00336583"/>
    <w:rsid w:val="003762A3"/>
    <w:rsid w:val="00382C69"/>
    <w:rsid w:val="003833CF"/>
    <w:rsid w:val="003C627E"/>
    <w:rsid w:val="003D5B4F"/>
    <w:rsid w:val="003D652D"/>
    <w:rsid w:val="003E120D"/>
    <w:rsid w:val="003E3C0C"/>
    <w:rsid w:val="0040459C"/>
    <w:rsid w:val="00407CAB"/>
    <w:rsid w:val="00410CB9"/>
    <w:rsid w:val="004137FB"/>
    <w:rsid w:val="00425C9A"/>
    <w:rsid w:val="00435DDF"/>
    <w:rsid w:val="00437947"/>
    <w:rsid w:val="00443D61"/>
    <w:rsid w:val="00451DD0"/>
    <w:rsid w:val="0048087B"/>
    <w:rsid w:val="00480939"/>
    <w:rsid w:val="004904D1"/>
    <w:rsid w:val="004929F0"/>
    <w:rsid w:val="00492D03"/>
    <w:rsid w:val="004B293C"/>
    <w:rsid w:val="004C5883"/>
    <w:rsid w:val="004D2FB5"/>
    <w:rsid w:val="004E0D0B"/>
    <w:rsid w:val="004E4203"/>
    <w:rsid w:val="004E6ADA"/>
    <w:rsid w:val="0050097C"/>
    <w:rsid w:val="005076EB"/>
    <w:rsid w:val="005103A0"/>
    <w:rsid w:val="00517356"/>
    <w:rsid w:val="00520E21"/>
    <w:rsid w:val="005271D4"/>
    <w:rsid w:val="005663DF"/>
    <w:rsid w:val="00591533"/>
    <w:rsid w:val="005A377F"/>
    <w:rsid w:val="005B3869"/>
    <w:rsid w:val="005C6295"/>
    <w:rsid w:val="005C6328"/>
    <w:rsid w:val="005F3C04"/>
    <w:rsid w:val="005F7B1E"/>
    <w:rsid w:val="00605473"/>
    <w:rsid w:val="00606A5C"/>
    <w:rsid w:val="0061740B"/>
    <w:rsid w:val="006339D4"/>
    <w:rsid w:val="0065659C"/>
    <w:rsid w:val="006A113C"/>
    <w:rsid w:val="006D47FC"/>
    <w:rsid w:val="00712831"/>
    <w:rsid w:val="007409FA"/>
    <w:rsid w:val="00745D07"/>
    <w:rsid w:val="00754A11"/>
    <w:rsid w:val="0075622D"/>
    <w:rsid w:val="0076198E"/>
    <w:rsid w:val="00771A48"/>
    <w:rsid w:val="00781A89"/>
    <w:rsid w:val="007A0281"/>
    <w:rsid w:val="007C570E"/>
    <w:rsid w:val="007C69C4"/>
    <w:rsid w:val="007D2D1F"/>
    <w:rsid w:val="007D3AFC"/>
    <w:rsid w:val="007D61EB"/>
    <w:rsid w:val="007E43CE"/>
    <w:rsid w:val="007E639E"/>
    <w:rsid w:val="00822149"/>
    <w:rsid w:val="00847C9A"/>
    <w:rsid w:val="008542BB"/>
    <w:rsid w:val="008573DD"/>
    <w:rsid w:val="0087640A"/>
    <w:rsid w:val="008811F8"/>
    <w:rsid w:val="008972FC"/>
    <w:rsid w:val="008C5CE4"/>
    <w:rsid w:val="0091053D"/>
    <w:rsid w:val="009134F6"/>
    <w:rsid w:val="00922CAC"/>
    <w:rsid w:val="009341D9"/>
    <w:rsid w:val="00937304"/>
    <w:rsid w:val="00950DFC"/>
    <w:rsid w:val="00952B93"/>
    <w:rsid w:val="00980D29"/>
    <w:rsid w:val="009A67F1"/>
    <w:rsid w:val="009A6FF3"/>
    <w:rsid w:val="009C7848"/>
    <w:rsid w:val="009D5968"/>
    <w:rsid w:val="009E2E4D"/>
    <w:rsid w:val="009E73CB"/>
    <w:rsid w:val="00A05A5A"/>
    <w:rsid w:val="00A10515"/>
    <w:rsid w:val="00A36D06"/>
    <w:rsid w:val="00A4099B"/>
    <w:rsid w:val="00A65AD8"/>
    <w:rsid w:val="00A72861"/>
    <w:rsid w:val="00A75F84"/>
    <w:rsid w:val="00A928D5"/>
    <w:rsid w:val="00A94029"/>
    <w:rsid w:val="00AC3980"/>
    <w:rsid w:val="00AE00DC"/>
    <w:rsid w:val="00AE14E6"/>
    <w:rsid w:val="00B13E71"/>
    <w:rsid w:val="00B24514"/>
    <w:rsid w:val="00B320EB"/>
    <w:rsid w:val="00B47DD3"/>
    <w:rsid w:val="00B72C29"/>
    <w:rsid w:val="00B85738"/>
    <w:rsid w:val="00BA53BC"/>
    <w:rsid w:val="00BA6BB8"/>
    <w:rsid w:val="00BB6404"/>
    <w:rsid w:val="00BC09CF"/>
    <w:rsid w:val="00BC6DB5"/>
    <w:rsid w:val="00BD4177"/>
    <w:rsid w:val="00BD75C0"/>
    <w:rsid w:val="00BE2460"/>
    <w:rsid w:val="00BF1EA3"/>
    <w:rsid w:val="00BF23C8"/>
    <w:rsid w:val="00C0207D"/>
    <w:rsid w:val="00C03AAC"/>
    <w:rsid w:val="00C21D05"/>
    <w:rsid w:val="00C23B38"/>
    <w:rsid w:val="00C32466"/>
    <w:rsid w:val="00C36CB3"/>
    <w:rsid w:val="00C46827"/>
    <w:rsid w:val="00C5044A"/>
    <w:rsid w:val="00C66125"/>
    <w:rsid w:val="00C77434"/>
    <w:rsid w:val="00C80148"/>
    <w:rsid w:val="00C926FA"/>
    <w:rsid w:val="00C95B37"/>
    <w:rsid w:val="00CA5995"/>
    <w:rsid w:val="00CC0362"/>
    <w:rsid w:val="00D04ADE"/>
    <w:rsid w:val="00D208F3"/>
    <w:rsid w:val="00D3248E"/>
    <w:rsid w:val="00D41F0C"/>
    <w:rsid w:val="00D50DC0"/>
    <w:rsid w:val="00D53704"/>
    <w:rsid w:val="00D8006A"/>
    <w:rsid w:val="00D812DF"/>
    <w:rsid w:val="00D902F0"/>
    <w:rsid w:val="00D907DB"/>
    <w:rsid w:val="00DB544C"/>
    <w:rsid w:val="00DB74EB"/>
    <w:rsid w:val="00DC413B"/>
    <w:rsid w:val="00DC5908"/>
    <w:rsid w:val="00DD093C"/>
    <w:rsid w:val="00DD5D0A"/>
    <w:rsid w:val="00E00DE0"/>
    <w:rsid w:val="00E04EE6"/>
    <w:rsid w:val="00E266DD"/>
    <w:rsid w:val="00E30806"/>
    <w:rsid w:val="00E36001"/>
    <w:rsid w:val="00E61510"/>
    <w:rsid w:val="00E70555"/>
    <w:rsid w:val="00E735EA"/>
    <w:rsid w:val="00EC109C"/>
    <w:rsid w:val="00EE551F"/>
    <w:rsid w:val="00F015E9"/>
    <w:rsid w:val="00F01A8F"/>
    <w:rsid w:val="00F028FB"/>
    <w:rsid w:val="00F14D4E"/>
    <w:rsid w:val="00F163B0"/>
    <w:rsid w:val="00F329F3"/>
    <w:rsid w:val="00F34B2F"/>
    <w:rsid w:val="00F3788D"/>
    <w:rsid w:val="00F445D2"/>
    <w:rsid w:val="00F537E6"/>
    <w:rsid w:val="00F633F1"/>
    <w:rsid w:val="00F65E53"/>
    <w:rsid w:val="00F71F3A"/>
    <w:rsid w:val="00F94CEA"/>
    <w:rsid w:val="00FA1048"/>
    <w:rsid w:val="00FA4946"/>
    <w:rsid w:val="00FD0D7F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25"/>
    <o:shapelayout v:ext="edit">
      <o:idmap v:ext="edit" data="1"/>
    </o:shapelayout>
  </w:shapeDefaults>
  <w:decimalSymbol w:val="."/>
  <w:listSeparator w:val=","/>
  <w14:docId w14:val="14DDDD23"/>
  <w15:docId w15:val="{3352C6DC-D3ED-4D82-86DC-D2B0A31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425C9A"/>
    <w:pPr>
      <w:keepNext/>
      <w:spacing w:before="200" w:after="80"/>
      <w:outlineLvl w:val="0"/>
    </w:pPr>
    <w:rPr>
      <w:b/>
      <w:caps/>
      <w:kern w:val="28"/>
      <w:sz w:val="24"/>
      <w:szCs w:val="24"/>
    </w:rPr>
  </w:style>
  <w:style w:type="paragraph" w:styleId="Heading2">
    <w:name w:val="heading 2"/>
    <w:basedOn w:val="Normal"/>
    <w:next w:val="Normal"/>
    <w:qFormat/>
    <w:rsid w:val="00425C9A"/>
    <w:pPr>
      <w:keepNext/>
      <w:numPr>
        <w:numId w:val="1"/>
      </w:numPr>
      <w:spacing w:before="160" w:after="60"/>
      <w:outlineLvl w:val="1"/>
    </w:pPr>
    <w:rPr>
      <w:rFonts w:ascii="Arial Bold" w:hAnsi="Arial Bold"/>
      <w:b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5C9A"/>
    <w:pPr>
      <w:keepNext/>
      <w:numPr>
        <w:ilvl w:val="1"/>
        <w:numId w:val="1"/>
      </w:numPr>
      <w:spacing w:before="120" w:after="60"/>
      <w:outlineLvl w:val="2"/>
    </w:pPr>
    <w:rPr>
      <w:rFonts w:ascii="Arial Bold" w:hAnsi="Arial Bold"/>
      <w:b/>
      <w:caps/>
      <w:sz w:val="24"/>
      <w:szCs w:val="24"/>
    </w:rPr>
  </w:style>
  <w:style w:type="paragraph" w:styleId="Heading4">
    <w:name w:val="heading 4"/>
    <w:basedOn w:val="Normal"/>
    <w:next w:val="Normal"/>
    <w:rsid w:val="002D7D13"/>
    <w:pPr>
      <w:keepNext/>
      <w:numPr>
        <w:ilvl w:val="3"/>
        <w:numId w:val="1"/>
      </w:numPr>
      <w:spacing w:before="60" w:after="6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</w:style>
  <w:style w:type="paragraph" w:styleId="Header">
    <w:name w:val="header"/>
    <w:basedOn w:val="Normal"/>
    <w:next w:val="BodyTextIndent"/>
    <w:rsid w:val="001379F4"/>
    <w:pPr>
      <w:pBdr>
        <w:bottom w:val="single" w:sz="2" w:space="5" w:color="auto"/>
      </w:pBdr>
      <w:tabs>
        <w:tab w:val="center" w:pos="4678"/>
        <w:tab w:val="right" w:pos="9354"/>
      </w:tabs>
      <w:spacing w:before="30" w:after="20"/>
      <w:jc w:val="both"/>
    </w:pPr>
    <w:rPr>
      <w:bCs/>
      <w:i/>
      <w:sz w:val="16"/>
      <w:szCs w:val="16"/>
    </w:rPr>
  </w:style>
  <w:style w:type="paragraph" w:styleId="Footer">
    <w:name w:val="footer"/>
    <w:basedOn w:val="Normal"/>
    <w:link w:val="FooterChar"/>
    <w:uiPriority w:val="99"/>
    <w:rsid w:val="00FA4946"/>
    <w:pPr>
      <w:pBdr>
        <w:top w:val="single" w:sz="2" w:space="4" w:color="auto"/>
      </w:pBdr>
      <w:tabs>
        <w:tab w:val="center" w:pos="4678"/>
        <w:tab w:val="right" w:pos="9354"/>
      </w:tabs>
      <w:spacing w:before="80"/>
      <w:contextualSpacing/>
      <w:jc w:val="both"/>
    </w:pPr>
    <w:rPr>
      <w:b/>
      <w:i/>
      <w:sz w:val="16"/>
      <w:szCs w:val="16"/>
    </w:rPr>
  </w:style>
  <w:style w:type="character" w:styleId="PageNumber">
    <w:name w:val="page number"/>
    <w:rPr>
      <w:rFonts w:ascii="Arial" w:hAnsi="Arial"/>
      <w:sz w:val="16"/>
    </w:rPr>
  </w:style>
  <w:style w:type="paragraph" w:styleId="BodyText">
    <w:name w:val="Body Text"/>
    <w:basedOn w:val="Normal"/>
    <w:qFormat/>
    <w:pPr>
      <w:spacing w:line="302" w:lineRule="exact"/>
      <w:ind w:left="737"/>
      <w:jc w:val="both"/>
    </w:p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BodyText3">
    <w:name w:val="Body Text 3"/>
    <w:basedOn w:val="Normal"/>
    <w:pPr>
      <w:spacing w:before="4" w:line="211" w:lineRule="exact"/>
      <w:jc w:val="both"/>
    </w:pPr>
  </w:style>
  <w:style w:type="paragraph" w:styleId="BodyTextIndent">
    <w:name w:val="Body Text Indent"/>
    <w:basedOn w:val="Normal"/>
    <w:rsid w:val="009D5968"/>
    <w:pPr>
      <w:spacing w:before="60" w:after="60"/>
      <w:ind w:left="720"/>
      <w:jc w:val="both"/>
    </w:pPr>
  </w:style>
  <w:style w:type="paragraph" w:styleId="TOC1">
    <w:name w:val="toc 1"/>
    <w:basedOn w:val="Normal"/>
    <w:next w:val="Normal"/>
    <w:autoRedefine/>
    <w:uiPriority w:val="39"/>
    <w:rsid w:val="003833CF"/>
    <w:pPr>
      <w:tabs>
        <w:tab w:val="left" w:pos="426"/>
        <w:tab w:val="right" w:leader="dot" w:pos="9356"/>
      </w:tabs>
      <w:spacing w:before="120" w:after="60"/>
      <w:ind w:left="425" w:hanging="425"/>
    </w:pPr>
    <w:rPr>
      <w:b/>
      <w:bCs/>
      <w:caps/>
      <w:sz w:val="22"/>
    </w:rPr>
  </w:style>
  <w:style w:type="paragraph" w:styleId="TOC2">
    <w:name w:val="toc 2"/>
    <w:basedOn w:val="Normal"/>
    <w:next w:val="Normal"/>
    <w:autoRedefine/>
    <w:uiPriority w:val="39"/>
    <w:rsid w:val="003833CF"/>
    <w:pPr>
      <w:tabs>
        <w:tab w:val="left" w:pos="851"/>
        <w:tab w:val="right" w:leader="dot" w:pos="9356"/>
      </w:tabs>
      <w:spacing w:before="20" w:after="20"/>
      <w:ind w:left="850" w:hanging="425"/>
      <w:contextualSpacing/>
    </w:pPr>
    <w:rPr>
      <w:b/>
      <w:smallCaps/>
    </w:rPr>
  </w:style>
  <w:style w:type="paragraph" w:styleId="TOC3">
    <w:name w:val="toc 3"/>
    <w:basedOn w:val="Normal"/>
    <w:next w:val="Normal"/>
    <w:autoRedefine/>
    <w:semiHidden/>
    <w:rsid w:val="00950DFC"/>
    <w:pPr>
      <w:tabs>
        <w:tab w:val="left" w:pos="1418"/>
        <w:tab w:val="right" w:leader="dot" w:pos="8494"/>
      </w:tabs>
      <w:ind w:left="1418" w:hanging="567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950DFC"/>
    <w:pPr>
      <w:tabs>
        <w:tab w:val="left" w:pos="2127"/>
        <w:tab w:val="right" w:leader="dot" w:pos="8494"/>
      </w:tabs>
      <w:ind w:left="2127" w:hanging="709"/>
    </w:pPr>
    <w:rPr>
      <w:szCs w:val="18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 w:val="18"/>
      <w:szCs w:val="18"/>
    </w:rPr>
  </w:style>
  <w:style w:type="paragraph" w:customStyle="1" w:styleId="hdg1">
    <w:name w:val="hdg 1"/>
    <w:basedOn w:val="Normal"/>
    <w:next w:val="hdg2"/>
    <w:pPr>
      <w:keepNext/>
      <w:keepLines/>
      <w:pageBreakBefore/>
      <w:spacing w:before="360" w:after="360"/>
    </w:pPr>
    <w:rPr>
      <w:rFonts w:ascii="MarkingPenHeavy" w:hAnsi="MarkingPenHeavy"/>
      <w:i/>
      <w:caps/>
      <w:snapToGrid w:val="0"/>
      <w:color w:val="808080"/>
      <w:kern w:val="64"/>
      <w:sz w:val="64"/>
      <w:lang w:eastAsia="en-US"/>
    </w:rPr>
  </w:style>
  <w:style w:type="paragraph" w:customStyle="1" w:styleId="hdg2">
    <w:name w:val="hdg 2"/>
    <w:basedOn w:val="Normal"/>
    <w:next w:val="hdg3"/>
    <w:pPr>
      <w:keepNext/>
      <w:keepLines/>
      <w:spacing w:before="240" w:after="240"/>
    </w:pPr>
    <w:rPr>
      <w:rFonts w:ascii="MarkingPenHeavy" w:hAnsi="MarkingPenHeavy"/>
      <w:i/>
      <w:caps/>
      <w:snapToGrid w:val="0"/>
      <w:color w:val="808080"/>
      <w:kern w:val="32"/>
      <w:sz w:val="32"/>
      <w:lang w:eastAsia="en-US"/>
    </w:rPr>
  </w:style>
  <w:style w:type="paragraph" w:customStyle="1" w:styleId="hdg3">
    <w:name w:val="hdg 3"/>
    <w:basedOn w:val="Normal"/>
    <w:next w:val="hdg4"/>
    <w:pPr>
      <w:keepNext/>
      <w:keepLines/>
      <w:spacing w:before="120" w:after="120"/>
    </w:pPr>
    <w:rPr>
      <w:rFonts w:ascii="CG Times" w:hAnsi="CG Times"/>
      <w:b/>
      <w:caps/>
      <w:snapToGrid w:val="0"/>
      <w:sz w:val="24"/>
      <w:lang w:eastAsia="en-US"/>
    </w:rPr>
  </w:style>
  <w:style w:type="paragraph" w:customStyle="1" w:styleId="hdg4">
    <w:name w:val="hdg 4"/>
    <w:basedOn w:val="Normal"/>
    <w:next w:val="BodyText"/>
    <w:pPr>
      <w:keepNext/>
      <w:keepLines/>
      <w:spacing w:before="60" w:after="60"/>
      <w:ind w:left="709"/>
    </w:pPr>
    <w:rPr>
      <w:b/>
      <w:snapToGrid w:val="0"/>
      <w:u w:val="single"/>
      <w:lang w:eastAsia="en-US"/>
    </w:rPr>
  </w:style>
  <w:style w:type="paragraph" w:customStyle="1" w:styleId="Notes">
    <w:name w:val="Notes"/>
    <w:basedOn w:val="Normal"/>
    <w:next w:val="Normal"/>
    <w:rPr>
      <w:rFonts w:ascii="CG Times" w:hAnsi="CG Times"/>
      <w:sz w:val="18"/>
    </w:rPr>
  </w:style>
  <w:style w:type="paragraph" w:customStyle="1" w:styleId="bullets">
    <w:name w:val="bullets"/>
    <w:basedOn w:val="Normal"/>
    <w:next w:val="Normal"/>
    <w:pPr>
      <w:keepLines/>
      <w:numPr>
        <w:numId w:val="3"/>
      </w:numPr>
      <w:spacing w:before="120"/>
    </w:pPr>
    <w:rPr>
      <w:rFonts w:ascii="CG Times" w:hAnsi="CG Times"/>
      <w:sz w:val="22"/>
    </w:rPr>
  </w:style>
  <w:style w:type="paragraph" w:styleId="BodyTextIndent2">
    <w:name w:val="Body Text Indent 2"/>
    <w:basedOn w:val="Normal"/>
    <w:pPr>
      <w:ind w:left="709"/>
    </w:pPr>
  </w:style>
  <w:style w:type="paragraph" w:styleId="BodyTextIndent3">
    <w:name w:val="Body Text Indent 3"/>
    <w:basedOn w:val="Normal"/>
    <w:pPr>
      <w:spacing w:after="120" w:line="249" w:lineRule="exact"/>
      <w:ind w:left="709"/>
      <w:jc w:val="both"/>
    </w:pPr>
  </w:style>
  <w:style w:type="paragraph" w:styleId="BalloonText">
    <w:name w:val="Balloon Text"/>
    <w:basedOn w:val="Normal"/>
    <w:semiHidden/>
    <w:rsid w:val="0004700C"/>
    <w:rPr>
      <w:rFonts w:ascii="Tahoma" w:hAnsi="Tahoma" w:cs="Tahoma"/>
      <w:sz w:val="16"/>
      <w:szCs w:val="16"/>
    </w:rPr>
  </w:style>
  <w:style w:type="paragraph" w:customStyle="1" w:styleId="Table">
    <w:name w:val="Table"/>
    <w:basedOn w:val="BodyTextIndent3"/>
    <w:qFormat/>
    <w:rsid w:val="00435DDF"/>
    <w:pPr>
      <w:spacing w:before="20" w:after="20" w:line="240" w:lineRule="auto"/>
      <w:ind w:left="0"/>
      <w:jc w:val="left"/>
    </w:pPr>
    <w:rPr>
      <w:snapToGrid w:val="0"/>
      <w:sz w:val="18"/>
      <w:lang w:eastAsia="en-US"/>
    </w:rPr>
  </w:style>
  <w:style w:type="paragraph" w:customStyle="1" w:styleId="TableCen">
    <w:name w:val="Table Cen"/>
    <w:basedOn w:val="Table"/>
    <w:qFormat/>
    <w:rsid w:val="00435DDF"/>
    <w:pPr>
      <w:jc w:val="center"/>
    </w:pPr>
  </w:style>
  <w:style w:type="paragraph" w:customStyle="1" w:styleId="TableHead">
    <w:name w:val="Table Head"/>
    <w:basedOn w:val="BodyTextIndent3"/>
    <w:rsid w:val="000D5935"/>
    <w:pPr>
      <w:spacing w:before="40" w:after="40" w:line="240" w:lineRule="auto"/>
      <w:ind w:left="0"/>
      <w:jc w:val="left"/>
    </w:pPr>
    <w:rPr>
      <w:b/>
      <w:sz w:val="18"/>
    </w:rPr>
  </w:style>
  <w:style w:type="paragraph" w:customStyle="1" w:styleId="CoverHeading">
    <w:name w:val="Cover Heading"/>
    <w:basedOn w:val="Normal"/>
    <w:rsid w:val="00435DDF"/>
    <w:pPr>
      <w:spacing w:before="240" w:after="120"/>
      <w:jc w:val="center"/>
      <w:outlineLvl w:val="0"/>
    </w:pPr>
    <w:rPr>
      <w:b/>
      <w:caps/>
      <w:sz w:val="24"/>
    </w:rPr>
  </w:style>
  <w:style w:type="paragraph" w:customStyle="1" w:styleId="BodyTextIndentDot">
    <w:name w:val="Body Text Indent Dot"/>
    <w:basedOn w:val="Normal"/>
    <w:qFormat/>
    <w:rsid w:val="00F537E6"/>
    <w:pPr>
      <w:numPr>
        <w:numId w:val="21"/>
      </w:numPr>
      <w:spacing w:before="40" w:after="40"/>
      <w:jc w:val="both"/>
    </w:pPr>
  </w:style>
  <w:style w:type="paragraph" w:customStyle="1" w:styleId="TableDot1">
    <w:name w:val="Table Dot1"/>
    <w:basedOn w:val="BodyTextIndentDot"/>
    <w:rsid w:val="00435DDF"/>
    <w:pPr>
      <w:tabs>
        <w:tab w:val="num" w:pos="459"/>
      </w:tabs>
      <w:spacing w:before="20" w:after="20"/>
      <w:ind w:left="459" w:hanging="283"/>
    </w:pPr>
    <w:rPr>
      <w:sz w:val="18"/>
    </w:rPr>
  </w:style>
  <w:style w:type="paragraph" w:customStyle="1" w:styleId="Amend">
    <w:name w:val="Amend"/>
    <w:basedOn w:val="Normal"/>
    <w:rsid w:val="00435DDF"/>
    <w:pPr>
      <w:jc w:val="right"/>
    </w:pPr>
    <w:rPr>
      <w:sz w:val="16"/>
    </w:rPr>
  </w:style>
  <w:style w:type="paragraph" w:customStyle="1" w:styleId="TableLet">
    <w:name w:val="Table Let"/>
    <w:basedOn w:val="Table"/>
    <w:rsid w:val="00F65E53"/>
    <w:pPr>
      <w:numPr>
        <w:numId w:val="4"/>
      </w:numPr>
    </w:pPr>
  </w:style>
  <w:style w:type="paragraph" w:customStyle="1" w:styleId="BodyTextIndentBold">
    <w:name w:val="Body Text Indent Bold"/>
    <w:aliases w:val="Underline"/>
    <w:basedOn w:val="BodyTextIndent"/>
    <w:rsid w:val="009D5968"/>
    <w:pPr>
      <w:spacing w:after="120"/>
    </w:pPr>
    <w:rPr>
      <w:b/>
      <w:szCs w:val="22"/>
      <w:u w:val="single"/>
    </w:rPr>
  </w:style>
  <w:style w:type="paragraph" w:customStyle="1" w:styleId="BodyTextIndentTable">
    <w:name w:val="Body Text Indent Table"/>
    <w:basedOn w:val="BodyTextIndent"/>
    <w:rsid w:val="00F015E9"/>
    <w:pPr>
      <w:spacing w:before="20" w:after="40"/>
    </w:pPr>
    <w:rPr>
      <w:b/>
    </w:rPr>
  </w:style>
  <w:style w:type="table" w:styleId="TableGrid">
    <w:name w:val="Table Grid"/>
    <w:basedOn w:val="TableNormal"/>
    <w:rsid w:val="0015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ot">
    <w:name w:val="Table Dot"/>
    <w:basedOn w:val="Normal"/>
    <w:rsid w:val="00F537E6"/>
    <w:pPr>
      <w:numPr>
        <w:numId w:val="7"/>
      </w:numPr>
      <w:spacing w:before="40" w:after="40"/>
    </w:pPr>
  </w:style>
  <w:style w:type="paragraph" w:customStyle="1" w:styleId="Table10">
    <w:name w:val="Table 10"/>
    <w:basedOn w:val="Table"/>
    <w:rsid w:val="001505F3"/>
    <w:pPr>
      <w:spacing w:before="40" w:after="40"/>
    </w:pPr>
    <w:rPr>
      <w:sz w:val="20"/>
    </w:rPr>
  </w:style>
  <w:style w:type="paragraph" w:customStyle="1" w:styleId="BodyTextIndentBoldItalicCen">
    <w:name w:val="Body Text Indent Bold Italic Cen"/>
    <w:basedOn w:val="BodyTextIndent"/>
    <w:rsid w:val="00DC5908"/>
    <w:pPr>
      <w:jc w:val="center"/>
    </w:pPr>
    <w:rPr>
      <w:b/>
      <w:i/>
    </w:rPr>
  </w:style>
  <w:style w:type="paragraph" w:customStyle="1" w:styleId="BodyTextIndent9">
    <w:name w:val="Body Text Indent 9"/>
    <w:basedOn w:val="BodyTextIndent"/>
    <w:rsid w:val="00980D29"/>
    <w:rPr>
      <w:sz w:val="18"/>
      <w:szCs w:val="18"/>
    </w:rPr>
  </w:style>
  <w:style w:type="paragraph" w:customStyle="1" w:styleId="BodyTextIndentNote">
    <w:name w:val="Body Text Indent Note"/>
    <w:basedOn w:val="Normal"/>
    <w:rsid w:val="00F537E6"/>
    <w:pPr>
      <w:tabs>
        <w:tab w:val="left" w:pos="1134"/>
      </w:tabs>
      <w:spacing w:before="40" w:after="40"/>
      <w:ind w:left="1123" w:hanging="414"/>
      <w:jc w:val="both"/>
    </w:pPr>
    <w:rPr>
      <w:sz w:val="16"/>
    </w:rPr>
  </w:style>
  <w:style w:type="paragraph" w:customStyle="1" w:styleId="TableHeadCen">
    <w:name w:val="Table Head Cen"/>
    <w:basedOn w:val="TableHead"/>
    <w:qFormat/>
    <w:rsid w:val="000D5935"/>
    <w:pPr>
      <w:jc w:val="center"/>
    </w:pPr>
  </w:style>
  <w:style w:type="paragraph" w:customStyle="1" w:styleId="Table8">
    <w:name w:val="Table 8"/>
    <w:basedOn w:val="Table"/>
    <w:rsid w:val="00D902F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1B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FA4946"/>
    <w:rPr>
      <w:rFonts w:ascii="Arial" w:hAnsi="Arial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759DF36F0AA4389DA09C5F5563F7A" ma:contentTypeVersion="13" ma:contentTypeDescription="Create a new document." ma:contentTypeScope="" ma:versionID="2a343a1d58e6b6c69583b5a9a4e9bd9c">
  <xsd:schema xmlns:xsd="http://www.w3.org/2001/XMLSchema" xmlns:xs="http://www.w3.org/2001/XMLSchema" xmlns:p="http://schemas.microsoft.com/office/2006/metadata/properties" xmlns:ns2="4f40705d-e7da-4f43-bdce-ad8c70b86017" xmlns:ns3="1aac26e5-4c41-468c-83b0-97e8e79a919c" targetNamespace="http://schemas.microsoft.com/office/2006/metadata/properties" ma:root="true" ma:fieldsID="d09cfc405056459efc46a7c79e238e2a" ns2:_="" ns3:_="">
    <xsd:import namespace="4f40705d-e7da-4f43-bdce-ad8c70b86017"/>
    <xsd:import namespace="1aac26e5-4c41-468c-83b0-97e8e79a9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0705d-e7da-4f43-bdce-ad8c70b86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c26e5-4c41-468c-83b0-97e8e79a9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AA972-A0E5-4E30-B873-D9184EEDDC15}">
  <ds:schemaRefs>
    <ds:schemaRef ds:uri="http://purl.org/dc/elements/1.1/"/>
    <ds:schemaRef ds:uri="http://schemas.openxmlformats.org/package/2006/metadata/core-properties"/>
    <ds:schemaRef ds:uri="http://purl.org/dc/terms/"/>
    <ds:schemaRef ds:uri="4f40705d-e7da-4f43-bdce-ad8c70b8601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aac26e5-4c41-468c-83b0-97e8e79a91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781AEF-CC6C-425A-861D-09D8B6220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0705d-e7da-4f43-bdce-ad8c70b86017"/>
    <ds:schemaRef ds:uri="1aac26e5-4c41-468c-83b0-97e8e79a9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6020D-1EF2-4480-A1BA-7C6F2FF8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7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Specifications for Civil Engineering Work 2001</vt:lpstr>
    </vt:vector>
  </TitlesOfParts>
  <Manager>Bruce Hansen</Manager>
  <Company>Brisbane City Council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Specifications for Civil Engineering Work 2001</dc:title>
  <dc:subject>S120 Quality</dc:subject>
  <dc:creator>Lucy Ting</dc:creator>
  <cp:keywords/>
  <dc:description/>
  <cp:lastModifiedBy>David Brady</cp:lastModifiedBy>
  <cp:revision>48</cp:revision>
  <cp:lastPrinted>2011-02-18T04:45:00Z</cp:lastPrinted>
  <dcterms:created xsi:type="dcterms:W3CDTF">2014-04-22T01:31:00Z</dcterms:created>
  <dcterms:modified xsi:type="dcterms:W3CDTF">2021-11-17T20:44:00Z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0x010100F74759DF36F0AA4389DA09C5F5563F7A</vt:lpwstr>
  </property>
</Properties>
</file>