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C63A" w14:textId="77777777" w:rsidR="00B447F1" w:rsidRPr="003C280E" w:rsidRDefault="00B447F1" w:rsidP="003C280E">
      <w:pPr>
        <w:pStyle w:val="Heading1"/>
      </w:pPr>
      <w:bookmarkStart w:id="0" w:name="_Toc188776243"/>
      <w:r w:rsidRPr="003C280E">
        <w:t>Brisbane City Council</w:t>
      </w:r>
    </w:p>
    <w:p w14:paraId="3E407D7B" w14:textId="77777777" w:rsidR="00B447F1" w:rsidRDefault="00B447F1" w:rsidP="003C280E">
      <w:pPr>
        <w:pStyle w:val="Heading1"/>
      </w:pPr>
      <w:r>
        <w:t>Reference Specifications for Engineering Work</w:t>
      </w:r>
    </w:p>
    <w:p w14:paraId="4F7FBD1E" w14:textId="77777777" w:rsidR="006820DF" w:rsidRDefault="00B447F1" w:rsidP="003C280E">
      <w:pPr>
        <w:pStyle w:val="Heading1"/>
      </w:pPr>
      <w:r>
        <w:t>S170 Stonework</w:t>
      </w:r>
    </w:p>
    <w:p w14:paraId="55EFCA45" w14:textId="1B4209D4" w:rsidR="003C280E" w:rsidRPr="003C280E" w:rsidRDefault="003C280E" w:rsidP="003C280E">
      <w:pPr>
        <w:sectPr w:rsidR="003C280E" w:rsidRPr="003C280E" w:rsidSect="00DB56FD">
          <w:headerReference w:type="even" r:id="rId11"/>
          <w:headerReference w:type="default" r:id="rId12"/>
          <w:footerReference w:type="default" r:id="rId13"/>
          <w:pgSz w:w="11906" w:h="16838" w:code="9"/>
          <w:pgMar w:top="1134" w:right="1134" w:bottom="992" w:left="1418" w:header="1134" w:footer="851" w:gutter="0"/>
          <w:pgNumType w:fmt="lowerRoman" w:start="1"/>
          <w:cols w:space="720"/>
        </w:sectPr>
      </w:pPr>
    </w:p>
    <w:p w14:paraId="25FF310D" w14:textId="2BB83C58" w:rsidR="00EB1D95" w:rsidRDefault="00EB1D95" w:rsidP="00377813">
      <w:pPr>
        <w:pStyle w:val="Heading2"/>
        <w:numPr>
          <w:ilvl w:val="0"/>
          <w:numId w:val="0"/>
        </w:numPr>
        <w:ind w:left="720" w:hanging="720"/>
      </w:pPr>
      <w:r>
        <w:lastRenderedPageBreak/>
        <w:t>Amendment Register</w:t>
      </w:r>
      <w:bookmarkEnd w:id="0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10"/>
        <w:gridCol w:w="5528"/>
        <w:gridCol w:w="1417"/>
      </w:tblGrid>
      <w:tr w:rsidR="00EB1D95" w14:paraId="001A544A" w14:textId="77777777" w:rsidTr="00377813"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A098E3F" w14:textId="77777777" w:rsidR="00EB1D95" w:rsidRDefault="00EB1D95" w:rsidP="00933ACE">
            <w:pPr>
              <w:pStyle w:val="TableHeadCen"/>
            </w:pPr>
            <w:r>
              <w:t>Ed/Rev Number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BA2EE83" w14:textId="77777777" w:rsidR="00EB1D95" w:rsidRDefault="00EB1D95" w:rsidP="00933ACE">
            <w:pPr>
              <w:pStyle w:val="TableHeadCen"/>
            </w:pPr>
            <w:r>
              <w:t>Section Number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A4F972" w14:textId="77777777" w:rsidR="00EB1D95" w:rsidRDefault="00EB1D95" w:rsidP="00933ACE">
            <w:pPr>
              <w:pStyle w:val="TableHead"/>
            </w:pPr>
            <w:r>
              <w:t>Description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14:paraId="28026CF2" w14:textId="77777777" w:rsidR="00EB1D95" w:rsidRDefault="00EB1D95" w:rsidP="00933ACE">
            <w:pPr>
              <w:pStyle w:val="TableHeadCen"/>
            </w:pPr>
            <w:r>
              <w:t>Date</w:t>
            </w:r>
          </w:p>
        </w:tc>
      </w:tr>
      <w:tr w:rsidR="00EB1D95" w14:paraId="53B6AE44" w14:textId="77777777" w:rsidTr="00377813">
        <w:trPr>
          <w:trHeight w:val="340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D203C3B" w14:textId="77777777" w:rsidR="00EB1D95" w:rsidRDefault="00EB1D95" w:rsidP="00933ACE">
            <w:pPr>
              <w:pStyle w:val="TableCen"/>
            </w:pPr>
            <w:r>
              <w:t>1.0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8B35065" w14:textId="77777777" w:rsidR="00EB1D95" w:rsidRDefault="00EB1D95" w:rsidP="00933ACE">
            <w:pPr>
              <w:pStyle w:val="TableCen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21FF3F3" w14:textId="77777777" w:rsidR="00EB1D95" w:rsidRDefault="00EB1D95" w:rsidP="00933ACE">
            <w:pPr>
              <w:pStyle w:val="Table"/>
            </w:pPr>
            <w:r>
              <w:t>Original issue.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1EDE5D86" w14:textId="77777777" w:rsidR="00EB1D95" w:rsidRDefault="003F48EC" w:rsidP="00933ACE">
            <w:pPr>
              <w:pStyle w:val="TableCen"/>
            </w:pPr>
            <w:r>
              <w:t>Dec 2001</w:t>
            </w:r>
          </w:p>
        </w:tc>
      </w:tr>
      <w:tr w:rsidR="00EB1D95" w14:paraId="51965E5E" w14:textId="77777777" w:rsidTr="00377813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224851F7" w14:textId="77777777" w:rsidR="00EB1D95" w:rsidRDefault="003F48EC" w:rsidP="00933ACE">
            <w:pPr>
              <w:pStyle w:val="TableCen"/>
            </w:pPr>
            <w:r>
              <w:t>2.0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7D3810" w14:textId="77777777" w:rsidR="00EB1D95" w:rsidRDefault="00061830" w:rsidP="00933ACE">
            <w:pPr>
              <w:pStyle w:val="TableCen"/>
            </w:pPr>
            <w:r>
              <w:t>1.2 and 1.3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DDC94A8" w14:textId="77777777" w:rsidR="00EB1D95" w:rsidRDefault="00061830" w:rsidP="00933ACE">
            <w:pPr>
              <w:pStyle w:val="Table"/>
            </w:pPr>
            <w:r w:rsidRPr="00061830">
              <w:t>Referenced documents list updated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323FB884" w14:textId="77777777" w:rsidR="00EB1D95" w:rsidRDefault="003F48EC" w:rsidP="00933ACE">
            <w:pPr>
              <w:pStyle w:val="TableCen"/>
              <w:rPr>
                <w:noProof/>
              </w:rPr>
            </w:pPr>
            <w:r>
              <w:rPr>
                <w:noProof/>
              </w:rPr>
              <w:t>May 2016</w:t>
            </w:r>
          </w:p>
        </w:tc>
      </w:tr>
      <w:tr w:rsidR="004C7426" w14:paraId="37E2222F" w14:textId="77777777" w:rsidTr="00377813">
        <w:trPr>
          <w:trHeight w:val="340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10AF21C1" w14:textId="77777777" w:rsidR="004C7426" w:rsidRDefault="002A5709" w:rsidP="004C7426">
            <w:pPr>
              <w:pStyle w:val="TableCen"/>
            </w:pPr>
            <w:r>
              <w:t>3.0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AEA848" w14:textId="77777777" w:rsidR="004C7426" w:rsidRDefault="004C7426" w:rsidP="004C7426">
            <w:pPr>
              <w:pStyle w:val="TableCen"/>
            </w:pPr>
            <w:r w:rsidRPr="004C7426">
              <w:t>General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7A8A5B" w14:textId="77777777" w:rsidR="004C7426" w:rsidRPr="00061830" w:rsidRDefault="004C7426" w:rsidP="004C7426">
            <w:pPr>
              <w:pStyle w:val="Table"/>
            </w:pPr>
            <w:r w:rsidRPr="00407750">
              <w:t>Document name changed from ‘Reference Specifications for Civil Engineering Work’ to ‘Reference Specifications for Engineering Work’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41A815F" w14:textId="71E87950" w:rsidR="004C7426" w:rsidRDefault="004C7426" w:rsidP="004C7426">
            <w:pPr>
              <w:pStyle w:val="TableCen"/>
              <w:rPr>
                <w:noProof/>
              </w:rPr>
            </w:pPr>
            <w:r>
              <w:rPr>
                <w:noProof/>
              </w:rPr>
              <w:t>Ma</w:t>
            </w:r>
            <w:r w:rsidR="00AB3CA0">
              <w:rPr>
                <w:noProof/>
              </w:rPr>
              <w:t xml:space="preserve">r </w:t>
            </w:r>
            <w:r>
              <w:rPr>
                <w:noProof/>
              </w:rPr>
              <w:t>202</w:t>
            </w:r>
            <w:r w:rsidR="00AB3CA0">
              <w:rPr>
                <w:noProof/>
              </w:rPr>
              <w:t>1</w:t>
            </w:r>
            <w:permStart w:id="227947443" w:edGrp="everyone"/>
            <w:permEnd w:id="227947443"/>
          </w:p>
        </w:tc>
      </w:tr>
    </w:tbl>
    <w:p w14:paraId="67A283A1" w14:textId="33F28B18" w:rsidR="0038066D" w:rsidRDefault="00377813" w:rsidP="00377813">
      <w:pPr>
        <w:pStyle w:val="Heading2"/>
        <w:numPr>
          <w:ilvl w:val="0"/>
          <w:numId w:val="0"/>
        </w:numPr>
        <w:ind w:left="720" w:hanging="720"/>
      </w:pPr>
      <w:r>
        <w:br w:type="page"/>
      </w:r>
      <w:r w:rsidR="0038066D">
        <w:lastRenderedPageBreak/>
        <w:t>TABLE OF CONTENTS</w:t>
      </w:r>
    </w:p>
    <w:p w14:paraId="6EF7A6E9" w14:textId="5A349ED5" w:rsidR="00120109" w:rsidRDefault="001201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\t "Heading 2,1,Heading 3,2" </w:instrText>
      </w:r>
      <w:r>
        <w:rPr>
          <w:sz w:val="22"/>
        </w:rPr>
        <w:fldChar w:fldCharType="separate"/>
      </w:r>
      <w:r>
        <w:rPr>
          <w:noProof/>
        </w:rPr>
        <w:t>1.0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DCB1961" w14:textId="67176B11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Section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9964E5" w14:textId="0C1CC013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Standards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EC08A0C" w14:textId="4C85C03B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B7CB492" w14:textId="69DA94B9" w:rsidR="00120109" w:rsidRDefault="001201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QUALITY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280015" w14:textId="4FAA7DB7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Inspection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B98048F" w14:textId="67594084" w:rsidR="00120109" w:rsidRDefault="001201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MATERIALS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F3E779" w14:textId="5DE29278" w:rsidR="00120109" w:rsidRDefault="0012010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4.0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EXECUTION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03DACE" w14:textId="00616002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Stone Pitching and Concrete Jointed Walls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EE067A" w14:textId="372FFEC7" w:rsidR="00120109" w:rsidRDefault="00120109">
      <w:pPr>
        <w:pStyle w:val="TOC2"/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  <w:tab/>
      </w:r>
      <w:r>
        <w:rPr>
          <w:noProof/>
        </w:rPr>
        <w:t>Dry Rock Walls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_Toc76033710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D9B5773" w14:textId="397B308A" w:rsidR="00933ACE" w:rsidRDefault="00120109" w:rsidP="0015684C">
      <w:pPr>
        <w:pStyle w:val="TOC1"/>
      </w:pPr>
      <w:r>
        <w:rPr>
          <w:sz w:val="22"/>
        </w:rPr>
        <w:fldChar w:fldCharType="end"/>
      </w:r>
    </w:p>
    <w:p w14:paraId="3B7696C4" w14:textId="77777777" w:rsidR="00933ACE" w:rsidRDefault="00933ACE">
      <w:pPr>
        <w:sectPr w:rsidR="00933ACE" w:rsidSect="00DB56FD">
          <w:footerReference w:type="default" r:id="rId14"/>
          <w:pgSz w:w="11906" w:h="16838" w:code="9"/>
          <w:pgMar w:top="1134" w:right="1134" w:bottom="992" w:left="1418" w:header="1134" w:footer="851" w:gutter="0"/>
          <w:pgNumType w:fmt="lowerRoman" w:start="1"/>
          <w:cols w:space="720"/>
        </w:sectPr>
      </w:pPr>
    </w:p>
    <w:p w14:paraId="4F82BBB0" w14:textId="77777777" w:rsidR="00933ACE" w:rsidRDefault="003761E4" w:rsidP="003F48EC">
      <w:pPr>
        <w:pStyle w:val="BodyTextIndentBoldItalicCen"/>
      </w:pPr>
      <w:bookmarkStart w:id="1" w:name="_Toc493942064"/>
      <w:bookmarkStart w:id="2" w:name="_Toc493986903"/>
      <w:r>
        <w:lastRenderedPageBreak/>
        <w:t>(</w:t>
      </w:r>
      <w:r w:rsidR="003F48EC" w:rsidRPr="0035457F">
        <w:t xml:space="preserve">Page </w:t>
      </w:r>
      <w:r w:rsidRPr="0035457F">
        <w:t>Left Intentionally Blank</w:t>
      </w:r>
      <w:r>
        <w:t>)</w:t>
      </w:r>
    </w:p>
    <w:p w14:paraId="65672AA6" w14:textId="77777777" w:rsidR="00933ACE" w:rsidRDefault="00933ACE">
      <w:pPr>
        <w:sectPr w:rsidR="00933ACE" w:rsidSect="00DB56FD">
          <w:footerReference w:type="default" r:id="rId15"/>
          <w:pgSz w:w="11906" w:h="16838" w:code="9"/>
          <w:pgMar w:top="1134" w:right="1134" w:bottom="992" w:left="1418" w:header="1134" w:footer="851" w:gutter="0"/>
          <w:pgNumType w:fmt="lowerRoman" w:start="1"/>
          <w:cols w:space="720"/>
          <w:vAlign w:val="center"/>
        </w:sectPr>
      </w:pPr>
    </w:p>
    <w:p w14:paraId="41DC08BB" w14:textId="77777777" w:rsidR="00933ACE" w:rsidRPr="003C280E" w:rsidRDefault="00933ACE" w:rsidP="003C280E">
      <w:pPr>
        <w:pStyle w:val="Heading2"/>
      </w:pPr>
      <w:bookmarkStart w:id="3" w:name="_Toc493942100"/>
      <w:bookmarkStart w:id="4" w:name="_Toc493986939"/>
      <w:bookmarkStart w:id="5" w:name="_Toc76033701"/>
      <w:bookmarkEnd w:id="1"/>
      <w:bookmarkEnd w:id="2"/>
      <w:r w:rsidRPr="003C280E">
        <w:lastRenderedPageBreak/>
        <w:t>GENERAL</w:t>
      </w:r>
      <w:bookmarkEnd w:id="3"/>
      <w:bookmarkEnd w:id="4"/>
      <w:bookmarkEnd w:id="5"/>
    </w:p>
    <w:p w14:paraId="3147D363" w14:textId="77777777" w:rsidR="00933ACE" w:rsidRPr="003C280E" w:rsidRDefault="0015684C" w:rsidP="003C280E">
      <w:pPr>
        <w:pStyle w:val="Heading3"/>
      </w:pPr>
      <w:bookmarkStart w:id="6" w:name="_Toc76033702"/>
      <w:r w:rsidRPr="003C280E">
        <w:t>Section Content</w:t>
      </w:r>
      <w:bookmarkEnd w:id="6"/>
    </w:p>
    <w:p w14:paraId="2B85548F" w14:textId="77777777" w:rsidR="00933ACE" w:rsidRDefault="00933ACE">
      <w:pPr>
        <w:ind w:left="709"/>
        <w:jc w:val="both"/>
      </w:pPr>
      <w:r>
        <w:t>Specified in this section: Stone pitching and rock walling.</w:t>
      </w:r>
    </w:p>
    <w:p w14:paraId="3509B263" w14:textId="77777777" w:rsidR="003F48EC" w:rsidRDefault="003F48EC" w:rsidP="003C280E">
      <w:pPr>
        <w:pStyle w:val="Heading3"/>
      </w:pPr>
      <w:bookmarkStart w:id="7" w:name="_Toc76033703"/>
      <w:r>
        <w:t>Standards</w:t>
      </w:r>
      <w:bookmarkEnd w:id="7"/>
    </w:p>
    <w:tbl>
      <w:tblPr>
        <w:tblW w:w="0" w:type="auto"/>
        <w:tblInd w:w="817" w:type="dxa"/>
        <w:tblLook w:val="0400" w:firstRow="0" w:lastRow="0" w:firstColumn="0" w:lastColumn="0" w:noHBand="0" w:noVBand="1"/>
      </w:tblPr>
      <w:tblGrid>
        <w:gridCol w:w="2126"/>
        <w:gridCol w:w="1816"/>
        <w:gridCol w:w="4811"/>
      </w:tblGrid>
      <w:tr w:rsidR="003F48EC" w:rsidRPr="003F48EC" w14:paraId="6594C285" w14:textId="77777777" w:rsidTr="00D22CD4">
        <w:trPr>
          <w:trHeight w:val="340"/>
        </w:trPr>
        <w:tc>
          <w:tcPr>
            <w:tcW w:w="2126" w:type="dxa"/>
            <w:vAlign w:val="center"/>
          </w:tcPr>
          <w:p w14:paraId="500D61E5" w14:textId="77777777" w:rsidR="003F48EC" w:rsidRPr="003F48EC" w:rsidRDefault="003F48EC" w:rsidP="003F48EC">
            <w:pPr>
              <w:spacing w:before="20" w:after="20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Australian Standard</w:t>
            </w:r>
          </w:p>
        </w:tc>
        <w:tc>
          <w:tcPr>
            <w:tcW w:w="1816" w:type="dxa"/>
            <w:vAlign w:val="center"/>
          </w:tcPr>
          <w:p w14:paraId="2C71778B" w14:textId="77777777" w:rsidR="003F48EC" w:rsidRPr="003F48EC" w:rsidRDefault="003F48EC" w:rsidP="003F48EC">
            <w:pPr>
              <w:spacing w:before="20" w:after="20"/>
              <w:jc w:val="center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AS 3700</w:t>
            </w:r>
          </w:p>
        </w:tc>
        <w:tc>
          <w:tcPr>
            <w:tcW w:w="4811" w:type="dxa"/>
            <w:vAlign w:val="center"/>
          </w:tcPr>
          <w:p w14:paraId="1803D1CF" w14:textId="77777777" w:rsidR="003F48EC" w:rsidRPr="003F48EC" w:rsidRDefault="003F48EC" w:rsidP="003F48EC">
            <w:pPr>
              <w:spacing w:before="20" w:after="20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Masonry structures</w:t>
            </w:r>
          </w:p>
        </w:tc>
      </w:tr>
    </w:tbl>
    <w:p w14:paraId="16F75DBB" w14:textId="77777777" w:rsidR="00933ACE" w:rsidRDefault="0015684C" w:rsidP="003C280E">
      <w:pPr>
        <w:pStyle w:val="Heading3"/>
      </w:pPr>
      <w:bookmarkStart w:id="8" w:name="_Toc76033704"/>
      <w:r>
        <w:t>References</w:t>
      </w:r>
      <w:bookmarkEnd w:id="8"/>
    </w:p>
    <w:p w14:paraId="2AD39A9D" w14:textId="77777777" w:rsidR="00933ACE" w:rsidRDefault="00933ACE" w:rsidP="003F48EC">
      <w:pPr>
        <w:pStyle w:val="BodyTextIndent"/>
      </w:pPr>
      <w:r>
        <w:t>Refer to the following other Reference Specifications:</w:t>
      </w:r>
      <w:r w:rsidR="003F48EC">
        <w:t xml:space="preserve"> for Civil Engineering Works</w:t>
      </w:r>
    </w:p>
    <w:tbl>
      <w:tblPr>
        <w:tblW w:w="8789" w:type="dxa"/>
        <w:tblInd w:w="817" w:type="dxa"/>
        <w:tblLook w:val="0400" w:firstRow="0" w:lastRow="0" w:firstColumn="0" w:lastColumn="0" w:noHBand="0" w:noVBand="1"/>
      </w:tblPr>
      <w:tblGrid>
        <w:gridCol w:w="973"/>
        <w:gridCol w:w="7816"/>
      </w:tblGrid>
      <w:tr w:rsidR="003F48EC" w:rsidRPr="003F48EC" w14:paraId="7C050124" w14:textId="77777777" w:rsidTr="00D22CD4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14:paraId="12DF3E0C" w14:textId="77777777" w:rsidR="003F48EC" w:rsidRPr="003F48EC" w:rsidRDefault="003F48EC" w:rsidP="00933ACE">
            <w:pPr>
              <w:spacing w:before="20" w:after="20"/>
              <w:jc w:val="center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S110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195C1101" w14:textId="77777777" w:rsidR="003F48EC" w:rsidRPr="003F48EC" w:rsidRDefault="003F48EC" w:rsidP="00933ACE">
            <w:pPr>
              <w:spacing w:before="20" w:after="20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General Requirements</w:t>
            </w:r>
          </w:p>
        </w:tc>
      </w:tr>
      <w:tr w:rsidR="003F48EC" w:rsidRPr="003F48EC" w14:paraId="6C314621" w14:textId="77777777" w:rsidTr="00D22CD4">
        <w:trPr>
          <w:trHeight w:val="340"/>
        </w:trPr>
        <w:tc>
          <w:tcPr>
            <w:tcW w:w="973" w:type="dxa"/>
            <w:shd w:val="clear" w:color="auto" w:fill="auto"/>
            <w:vAlign w:val="center"/>
          </w:tcPr>
          <w:p w14:paraId="6709C19B" w14:textId="77777777" w:rsidR="003F48EC" w:rsidRPr="003F48EC" w:rsidRDefault="003F48EC" w:rsidP="00933ACE">
            <w:pPr>
              <w:spacing w:before="20" w:after="20"/>
              <w:jc w:val="center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S140</w:t>
            </w:r>
          </w:p>
        </w:tc>
        <w:tc>
          <w:tcPr>
            <w:tcW w:w="7816" w:type="dxa"/>
            <w:shd w:val="clear" w:color="auto" w:fill="auto"/>
            <w:vAlign w:val="center"/>
          </w:tcPr>
          <w:p w14:paraId="7C553723" w14:textId="77777777" w:rsidR="003F48EC" w:rsidRPr="003F48EC" w:rsidRDefault="003F48EC" w:rsidP="00933ACE">
            <w:pPr>
              <w:spacing w:before="20" w:after="20"/>
              <w:rPr>
                <w:snapToGrid w:val="0"/>
                <w:sz w:val="18"/>
                <w:lang w:eastAsia="en-US"/>
              </w:rPr>
            </w:pPr>
            <w:r w:rsidRPr="003F48EC">
              <w:rPr>
                <w:snapToGrid w:val="0"/>
                <w:sz w:val="18"/>
                <w:lang w:eastAsia="en-US"/>
              </w:rPr>
              <w:t>Earthworks</w:t>
            </w:r>
          </w:p>
        </w:tc>
      </w:tr>
    </w:tbl>
    <w:p w14:paraId="395C491D" w14:textId="77777777" w:rsidR="00933ACE" w:rsidRDefault="00933ACE" w:rsidP="003C280E">
      <w:pPr>
        <w:pStyle w:val="Heading2"/>
      </w:pPr>
      <w:bookmarkStart w:id="9" w:name="_Toc493942101"/>
      <w:bookmarkStart w:id="10" w:name="_Toc493986940"/>
      <w:bookmarkStart w:id="11" w:name="_Toc76033705"/>
      <w:r>
        <w:t>QUALITY</w:t>
      </w:r>
      <w:bookmarkEnd w:id="9"/>
      <w:bookmarkEnd w:id="10"/>
      <w:bookmarkEnd w:id="11"/>
    </w:p>
    <w:p w14:paraId="246DB162" w14:textId="77777777" w:rsidR="00933ACE" w:rsidRDefault="0015684C" w:rsidP="003C280E">
      <w:pPr>
        <w:pStyle w:val="Heading3"/>
      </w:pPr>
      <w:bookmarkStart w:id="12" w:name="_Toc76033706"/>
      <w:r>
        <w:t>Inspection</w:t>
      </w:r>
      <w:bookmarkEnd w:id="12"/>
    </w:p>
    <w:p w14:paraId="1F3AB9E5" w14:textId="77777777" w:rsidR="003F48EC" w:rsidRDefault="003F48EC" w:rsidP="003F48EC">
      <w:pPr>
        <w:pStyle w:val="BodyTextIndentBoldUnderline"/>
      </w:pPr>
      <w:r>
        <w:t>Witness points</w:t>
      </w:r>
    </w:p>
    <w:p w14:paraId="2AFA4FFF" w14:textId="77777777" w:rsidR="003F48EC" w:rsidRDefault="00933ACE" w:rsidP="003F48EC">
      <w:pPr>
        <w:pStyle w:val="BodyTextIndent"/>
      </w:pPr>
      <w:r>
        <w:rPr>
          <w:i/>
        </w:rPr>
        <w:t>Refer annexure</w:t>
      </w:r>
      <w:r>
        <w:t>.  Give sufficient notice so that inspection may be made at the following stages:</w:t>
      </w:r>
    </w:p>
    <w:p w14:paraId="5FDBC041" w14:textId="77777777" w:rsidR="00933ACE" w:rsidRDefault="00933ACE" w:rsidP="003F48EC">
      <w:pPr>
        <w:pStyle w:val="BodyTextIndentDot"/>
      </w:pPr>
      <w:r>
        <w:t>Geotextile in place prior to backfilling.</w:t>
      </w:r>
    </w:p>
    <w:p w14:paraId="0C6B568E" w14:textId="77777777" w:rsidR="00933ACE" w:rsidRDefault="00933ACE" w:rsidP="003F48EC">
      <w:pPr>
        <w:pStyle w:val="BodyTextIndentDot"/>
      </w:pPr>
      <w:r>
        <w:t>Gravel filter layer prior to backfilling.</w:t>
      </w:r>
    </w:p>
    <w:p w14:paraId="0CE4505E" w14:textId="77777777" w:rsidR="00933ACE" w:rsidRDefault="00933ACE" w:rsidP="003F48EC">
      <w:pPr>
        <w:pStyle w:val="BodyTextIndentDot"/>
      </w:pPr>
      <w:r>
        <w:t>Alignment control devices in place.</w:t>
      </w:r>
    </w:p>
    <w:p w14:paraId="2DEBE444" w14:textId="77777777" w:rsidR="00933ACE" w:rsidRDefault="0015684C" w:rsidP="003C280E">
      <w:pPr>
        <w:pStyle w:val="Heading2"/>
      </w:pPr>
      <w:bookmarkStart w:id="13" w:name="_Toc493942102"/>
      <w:bookmarkStart w:id="14" w:name="_Toc493986941"/>
      <w:bookmarkStart w:id="15" w:name="_Toc76033707"/>
      <w:r>
        <w:t>MATERIALS</w:t>
      </w:r>
      <w:bookmarkEnd w:id="13"/>
      <w:bookmarkEnd w:id="14"/>
      <w:bookmarkEnd w:id="15"/>
    </w:p>
    <w:p w14:paraId="4DA0CE6F" w14:textId="77777777" w:rsidR="00933ACE" w:rsidRDefault="00933ACE" w:rsidP="003F48EC">
      <w:pPr>
        <w:pStyle w:val="BodyTextIndentBoldUnderline"/>
      </w:pPr>
      <w:r>
        <w:t>Rock</w:t>
      </w:r>
    </w:p>
    <w:p w14:paraId="2D1C47F9" w14:textId="77777777" w:rsidR="00933ACE" w:rsidRDefault="00933ACE" w:rsidP="003F48EC">
      <w:pPr>
        <w:pStyle w:val="BodyTextIndent"/>
      </w:pPr>
      <w:r>
        <w:t>Provide rock that is clean, hard, durable and free from seams and imperfections.</w:t>
      </w:r>
    </w:p>
    <w:p w14:paraId="3101F885" w14:textId="77777777" w:rsidR="00933ACE" w:rsidRDefault="00933ACE" w:rsidP="003F48EC">
      <w:pPr>
        <w:pStyle w:val="BodyTextIndentBoldUnderline"/>
      </w:pPr>
      <w:r>
        <w:t>Mortar</w:t>
      </w:r>
    </w:p>
    <w:p w14:paraId="33A7D0B9" w14:textId="77777777" w:rsidR="00933ACE" w:rsidRDefault="00933ACE" w:rsidP="003F48EC">
      <w:pPr>
        <w:pStyle w:val="BodyTextIndent"/>
      </w:pPr>
      <w:r w:rsidRPr="003761E4">
        <w:rPr>
          <w:u w:val="single"/>
        </w:rPr>
        <w:t>Standard</w:t>
      </w:r>
      <w:r>
        <w:t xml:space="preserve">: </w:t>
      </w:r>
      <w:r w:rsidRPr="003F48EC">
        <w:rPr>
          <w:i/>
        </w:rPr>
        <w:t>To AS 3700</w:t>
      </w:r>
      <w:r>
        <w:t>.</w:t>
      </w:r>
    </w:p>
    <w:p w14:paraId="47FF0AD8" w14:textId="77777777" w:rsidR="00933ACE" w:rsidRDefault="00933ACE" w:rsidP="003F48EC">
      <w:pPr>
        <w:pStyle w:val="BodyTextIndent"/>
      </w:pPr>
      <w:r w:rsidRPr="003761E4">
        <w:rPr>
          <w:u w:val="single"/>
        </w:rPr>
        <w:t>Mix</w:t>
      </w:r>
      <w:r>
        <w:t>: Provide mortar with proportions of 1:3 (cement:sand) by volume.  Do not use mortar in which initial set has occurred.  Mortar may be re-tempered for up to 90 minutes by mixing in extra water as required.</w:t>
      </w:r>
    </w:p>
    <w:p w14:paraId="1E4FDECE" w14:textId="77777777" w:rsidR="00933ACE" w:rsidRDefault="00933ACE" w:rsidP="003C280E">
      <w:pPr>
        <w:pStyle w:val="Heading2"/>
      </w:pPr>
      <w:bookmarkStart w:id="16" w:name="_Toc493942103"/>
      <w:bookmarkStart w:id="17" w:name="_Toc493986942"/>
      <w:bookmarkStart w:id="18" w:name="_Toc76033708"/>
      <w:r>
        <w:t>EXECUTION</w:t>
      </w:r>
      <w:bookmarkEnd w:id="16"/>
      <w:bookmarkEnd w:id="17"/>
      <w:bookmarkEnd w:id="18"/>
    </w:p>
    <w:p w14:paraId="7923529C" w14:textId="77777777" w:rsidR="00933ACE" w:rsidRDefault="0015684C" w:rsidP="003C280E">
      <w:pPr>
        <w:pStyle w:val="Heading3"/>
      </w:pPr>
      <w:bookmarkStart w:id="19" w:name="_Toc76033709"/>
      <w:r>
        <w:t>Stone Pitching and Concrete Jointed Walls</w:t>
      </w:r>
      <w:bookmarkEnd w:id="19"/>
    </w:p>
    <w:p w14:paraId="5B251957" w14:textId="77777777" w:rsidR="00933ACE" w:rsidRDefault="00933ACE" w:rsidP="003F48EC">
      <w:pPr>
        <w:pStyle w:val="BodyTextIndentBoldUnderline"/>
      </w:pPr>
      <w:r>
        <w:t>General</w:t>
      </w:r>
    </w:p>
    <w:p w14:paraId="394A0362" w14:textId="77777777" w:rsidR="00933ACE" w:rsidRDefault="00933ACE" w:rsidP="003F48EC">
      <w:pPr>
        <w:pStyle w:val="BodyTextIndent"/>
      </w:pPr>
      <w:r w:rsidRPr="003761E4">
        <w:rPr>
          <w:u w:val="single"/>
        </w:rPr>
        <w:t>Placing</w:t>
      </w:r>
      <w:r>
        <w:t>: Clean and thoroughly wet all rocks before placing.  Place rocks with the greatest area towards the face and the longest side horizontal.  Break joints as much as possible.</w:t>
      </w:r>
    </w:p>
    <w:p w14:paraId="6770AC34" w14:textId="77777777" w:rsidR="00933ACE" w:rsidRDefault="00933ACE" w:rsidP="003F48EC">
      <w:pPr>
        <w:pStyle w:val="BodyTextIndent"/>
      </w:pPr>
      <w:r w:rsidRPr="003761E4">
        <w:rPr>
          <w:u w:val="single"/>
        </w:rPr>
        <w:t>Rock size</w:t>
      </w:r>
      <w:r>
        <w:t>: Use spalls with sizes ranging from 75 mm to 300 mm.</w:t>
      </w:r>
    </w:p>
    <w:p w14:paraId="688B2C6B" w14:textId="77777777" w:rsidR="00933ACE" w:rsidRDefault="00933ACE" w:rsidP="003F48EC">
      <w:pPr>
        <w:pStyle w:val="BodyTextIndent"/>
      </w:pPr>
      <w:r w:rsidRPr="003761E4">
        <w:rPr>
          <w:u w:val="single"/>
        </w:rPr>
        <w:t>Mortar</w:t>
      </w:r>
      <w:r>
        <w:t>: Place rocks in cement mortar beds in horizontal layers.  Construct face joints with a nominal width of 25 mm.</w:t>
      </w:r>
    </w:p>
    <w:p w14:paraId="3E33E36E" w14:textId="77777777" w:rsidR="00933ACE" w:rsidRDefault="00933ACE" w:rsidP="003F48EC">
      <w:pPr>
        <w:pStyle w:val="BodyTextIndent"/>
      </w:pPr>
      <w:r w:rsidRPr="003761E4">
        <w:rPr>
          <w:u w:val="single"/>
        </w:rPr>
        <w:t>Open face</w:t>
      </w:r>
      <w:r>
        <w:t xml:space="preserve">: Set the mortar back 50 mm behind the exposed face of the stone. </w:t>
      </w:r>
      <w:r>
        <w:rPr>
          <w:i/>
        </w:rPr>
        <w:t xml:space="preserve"> Refer annexure</w:t>
      </w:r>
      <w:r>
        <w:t>.</w:t>
      </w:r>
    </w:p>
    <w:p w14:paraId="67A8D5A4" w14:textId="77777777" w:rsidR="00933ACE" w:rsidRDefault="00933ACE" w:rsidP="0015684C">
      <w:pPr>
        <w:pStyle w:val="BodyTextIndent"/>
      </w:pPr>
      <w:r w:rsidRPr="003761E4">
        <w:rPr>
          <w:u w:val="single"/>
        </w:rPr>
        <w:t>Closed face</w:t>
      </w:r>
      <w:r>
        <w:t xml:space="preserve">: Trowel the mortar flush with the face of the stone.  Use where stone pitching is part of a drainage structure or where specified.  </w:t>
      </w:r>
      <w:r>
        <w:rPr>
          <w:i/>
        </w:rPr>
        <w:t>Refer annexure</w:t>
      </w:r>
      <w:r>
        <w:t>.</w:t>
      </w:r>
    </w:p>
    <w:p w14:paraId="5318D6E2" w14:textId="77777777" w:rsidR="00933ACE" w:rsidRDefault="00933ACE" w:rsidP="0015684C">
      <w:pPr>
        <w:pStyle w:val="BodyTextIndent"/>
      </w:pPr>
      <w:r w:rsidRPr="003761E4">
        <w:rPr>
          <w:u w:val="single"/>
        </w:rPr>
        <w:t>Finishing</w:t>
      </w:r>
      <w:r>
        <w:t>: Clean down the exposed rock faces to remove any coating of cement mortar.</w:t>
      </w:r>
    </w:p>
    <w:p w14:paraId="7AF881ED" w14:textId="77777777" w:rsidR="00933ACE" w:rsidRDefault="00933ACE" w:rsidP="0015684C">
      <w:pPr>
        <w:pStyle w:val="BodyTextIndent"/>
      </w:pPr>
      <w:r w:rsidRPr="003761E4">
        <w:rPr>
          <w:u w:val="single"/>
        </w:rPr>
        <w:lastRenderedPageBreak/>
        <w:t>Capping</w:t>
      </w:r>
      <w:r>
        <w:t>: Construct capping along the top of all stone pitched walls.  Capping width must be the specified wall thickness.  Cut control joints at 2 m centres.  Construct capping using 50 mm thick mortar bed or 100 mm thick (approximately) precast concrete blocks or 100 mm thick concrete grade 15 MPa.</w:t>
      </w:r>
    </w:p>
    <w:p w14:paraId="2A9D5B88" w14:textId="77777777" w:rsidR="00933ACE" w:rsidRDefault="00933ACE" w:rsidP="0015684C">
      <w:pPr>
        <w:pStyle w:val="BodyTextIndent"/>
      </w:pPr>
      <w:r w:rsidRPr="003761E4">
        <w:rPr>
          <w:u w:val="single"/>
        </w:rPr>
        <w:t>Curing</w:t>
      </w:r>
      <w:r>
        <w:t xml:space="preserve">: The provisions of </w:t>
      </w:r>
      <w:r w:rsidR="003761E4" w:rsidRPr="003761E4">
        <w:rPr>
          <w:i/>
          <w:iCs/>
        </w:rPr>
        <w:t>Reference Specification</w:t>
      </w:r>
      <w:r w:rsidR="003761E4">
        <w:t xml:space="preserve"> </w:t>
      </w:r>
      <w:r>
        <w:rPr>
          <w:i/>
        </w:rPr>
        <w:t>S200 Concrete Work</w:t>
      </w:r>
      <w:r w:rsidR="003761E4">
        <w:rPr>
          <w:i/>
        </w:rPr>
        <w:t xml:space="preserve"> –</w:t>
      </w:r>
      <w:r>
        <w:rPr>
          <w:i/>
        </w:rPr>
        <w:t xml:space="preserve"> Clause 6.0 </w:t>
      </w:r>
      <w:r>
        <w:t>do not apply.  Provide mortar and capping with no cracks greater than 0.3 mm wide other than at control joints.</w:t>
      </w:r>
    </w:p>
    <w:p w14:paraId="71CD42C0" w14:textId="77777777" w:rsidR="00933ACE" w:rsidRDefault="00933ACE" w:rsidP="0015684C">
      <w:pPr>
        <w:pStyle w:val="BodyTextIndentBoldUnderline"/>
      </w:pPr>
      <w:r>
        <w:t>Tolerances exposed stone surface</w:t>
      </w:r>
    </w:p>
    <w:p w14:paraId="6A86B17D" w14:textId="77777777" w:rsidR="00933ACE" w:rsidRDefault="00933ACE" w:rsidP="0015684C">
      <w:pPr>
        <w:pStyle w:val="BodyTextIndent"/>
      </w:pPr>
      <w:r w:rsidRPr="003761E4">
        <w:rPr>
          <w:u w:val="single"/>
        </w:rPr>
        <w:t>Relative (in 1</w:t>
      </w:r>
      <w:r w:rsidR="003761E4">
        <w:t> </w:t>
      </w:r>
      <w:r w:rsidRPr="003761E4">
        <w:rPr>
          <w:u w:val="single"/>
        </w:rPr>
        <w:t>metre) tolerance</w:t>
      </w:r>
      <w:r>
        <w:t xml:space="preserve">: </w:t>
      </w:r>
      <w:r w:rsidR="003761E4">
        <w:rPr>
          <w:rFonts w:cs="Arial"/>
        </w:rPr>
        <w:t>±</w:t>
      </w:r>
      <w:r>
        <w:t>20 mm.</w:t>
      </w:r>
    </w:p>
    <w:p w14:paraId="4C53FE6C" w14:textId="77777777" w:rsidR="00933ACE" w:rsidRDefault="00933ACE" w:rsidP="0015684C">
      <w:pPr>
        <w:pStyle w:val="BodyTextIndent"/>
      </w:pPr>
      <w:r w:rsidRPr="003761E4">
        <w:rPr>
          <w:u w:val="single"/>
        </w:rPr>
        <w:t>Relative (in 3</w:t>
      </w:r>
      <w:r w:rsidR="003761E4">
        <w:t> </w:t>
      </w:r>
      <w:r w:rsidRPr="003761E4">
        <w:rPr>
          <w:u w:val="single"/>
        </w:rPr>
        <w:t>metre) tolerance</w:t>
      </w:r>
      <w:r>
        <w:t xml:space="preserve">: </w:t>
      </w:r>
      <w:r w:rsidR="003761E4">
        <w:rPr>
          <w:rFonts w:cs="Arial"/>
        </w:rPr>
        <w:t>±</w:t>
      </w:r>
      <w:r>
        <w:t>30 mm.</w:t>
      </w:r>
    </w:p>
    <w:p w14:paraId="4D54524B" w14:textId="77777777" w:rsidR="00933ACE" w:rsidRDefault="00933ACE" w:rsidP="0015684C">
      <w:pPr>
        <w:pStyle w:val="BodyTextIndent"/>
      </w:pPr>
      <w:r w:rsidRPr="003761E4">
        <w:rPr>
          <w:u w:val="single"/>
        </w:rPr>
        <w:t>Absolute tolerance</w:t>
      </w:r>
      <w:r>
        <w:t xml:space="preserve">: </w:t>
      </w:r>
      <w:r w:rsidR="003761E4">
        <w:rPr>
          <w:rFonts w:cs="Arial"/>
        </w:rPr>
        <w:t>±</w:t>
      </w:r>
      <w:r>
        <w:t>20 mm.</w:t>
      </w:r>
    </w:p>
    <w:p w14:paraId="36E5F804" w14:textId="77777777" w:rsidR="00933ACE" w:rsidRDefault="00933ACE" w:rsidP="0015684C">
      <w:pPr>
        <w:pStyle w:val="BodyTextIndentBoldUnderline"/>
      </w:pPr>
      <w:r>
        <w:t>Tolerances concrete capping</w:t>
      </w:r>
    </w:p>
    <w:p w14:paraId="2F687317" w14:textId="77777777" w:rsidR="00933ACE" w:rsidRDefault="00933ACE" w:rsidP="0015684C">
      <w:pPr>
        <w:pStyle w:val="BodyTextIndent"/>
      </w:pPr>
      <w:r w:rsidRPr="003761E4">
        <w:rPr>
          <w:u w:val="single"/>
        </w:rPr>
        <w:t>Vertical alignment</w:t>
      </w:r>
      <w:r>
        <w:t xml:space="preserve">: </w:t>
      </w:r>
      <w:r w:rsidR="003761E4">
        <w:rPr>
          <w:rFonts w:cs="Arial"/>
        </w:rPr>
        <w:t>±</w:t>
      </w:r>
      <w:r>
        <w:t>20 mm absolute.</w:t>
      </w:r>
    </w:p>
    <w:p w14:paraId="551417B0" w14:textId="77777777" w:rsidR="00933ACE" w:rsidRDefault="00933ACE" w:rsidP="0015684C">
      <w:pPr>
        <w:pStyle w:val="BodyTextIndent"/>
      </w:pPr>
      <w:r w:rsidRPr="003761E4">
        <w:rPr>
          <w:u w:val="single"/>
        </w:rPr>
        <w:t>Horizontal alignment</w:t>
      </w:r>
      <w:r>
        <w:t xml:space="preserve">: </w:t>
      </w:r>
      <w:r w:rsidR="003761E4">
        <w:rPr>
          <w:rFonts w:cs="Arial"/>
        </w:rPr>
        <w:t>±</w:t>
      </w:r>
      <w:r>
        <w:t xml:space="preserve">30 mm absolute, </w:t>
      </w:r>
      <w:r w:rsidR="003761E4">
        <w:rPr>
          <w:rFonts w:cs="Arial"/>
        </w:rPr>
        <w:t>±</w:t>
      </w:r>
      <w:r>
        <w:t>10 mm relative to a 3 m straightedge.</w:t>
      </w:r>
    </w:p>
    <w:p w14:paraId="7EDDAF13" w14:textId="77777777" w:rsidR="00933ACE" w:rsidRDefault="00933ACE">
      <w:pPr>
        <w:spacing w:after="60"/>
        <w:ind w:left="709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Drainage</w:t>
      </w:r>
    </w:p>
    <w:p w14:paraId="19925A93" w14:textId="77777777" w:rsidR="00933ACE" w:rsidRDefault="00933ACE">
      <w:pPr>
        <w:spacing w:after="120"/>
        <w:ind w:left="709"/>
        <w:jc w:val="both"/>
      </w:pPr>
      <w:r w:rsidRPr="003761E4">
        <w:rPr>
          <w:u w:val="single"/>
        </w:rPr>
        <w:t>Position</w:t>
      </w:r>
      <w:r>
        <w:t>: Provide 100 mm diameter weepholes at 1 m spacings along the toe of the wall or stone pitching.  Provide 100 mm diameter weepholes every 2 m</w:t>
      </w:r>
      <w:r>
        <w:rPr>
          <w:vertAlign w:val="superscript"/>
        </w:rPr>
        <w:t>2</w:t>
      </w:r>
      <w:r>
        <w:t xml:space="preserve"> elsewhere.</w:t>
      </w:r>
    </w:p>
    <w:p w14:paraId="1EA977D2" w14:textId="77777777" w:rsidR="00933ACE" w:rsidRDefault="00933ACE">
      <w:pPr>
        <w:spacing w:after="120"/>
        <w:ind w:left="709"/>
        <w:jc w:val="both"/>
      </w:pPr>
      <w:r w:rsidRPr="003761E4">
        <w:rPr>
          <w:u w:val="single"/>
        </w:rPr>
        <w:t>Earth face</w:t>
      </w:r>
      <w:r>
        <w:t xml:space="preserve">: Cover rear of weepholes with </w:t>
      </w:r>
      <w:r w:rsidR="003761E4">
        <w:t>Type </w:t>
      </w:r>
      <w:r>
        <w:t>2 geotextile securely taped in place.</w:t>
      </w:r>
    </w:p>
    <w:p w14:paraId="66667287" w14:textId="77777777" w:rsidR="00933ACE" w:rsidRDefault="00933ACE">
      <w:pPr>
        <w:spacing w:after="120"/>
        <w:ind w:left="709"/>
        <w:jc w:val="both"/>
      </w:pPr>
      <w:r w:rsidRPr="003761E4">
        <w:rPr>
          <w:u w:val="single"/>
        </w:rPr>
        <w:t>Backfilling</w:t>
      </w:r>
      <w:r>
        <w:t>: Backfill rock walling progressively with a layer at least 300 mm thick of porous material such as coarse aggregate or crushed rock.  In stone pitching, surround weep hole inlets with at least 0.03 m</w:t>
      </w:r>
      <w:r w:rsidR="003761E4" w:rsidRPr="00AB3CA0">
        <w:rPr>
          <w:vertAlign w:val="superscript"/>
        </w:rPr>
        <w:t>3</w:t>
      </w:r>
      <w:r>
        <w:t xml:space="preserve"> of 10 mm granular drainage material.</w:t>
      </w:r>
    </w:p>
    <w:p w14:paraId="03448A93" w14:textId="77777777" w:rsidR="00933ACE" w:rsidRDefault="00933ACE">
      <w:pPr>
        <w:ind w:left="709"/>
        <w:jc w:val="both"/>
      </w:pPr>
      <w:r w:rsidRPr="003761E4">
        <w:rPr>
          <w:u w:val="single"/>
        </w:rPr>
        <w:t>Grated outlets</w:t>
      </w:r>
      <w:r>
        <w:t>: Provide securely fixed grated outlets to all weepholes.</w:t>
      </w:r>
    </w:p>
    <w:p w14:paraId="7784E198" w14:textId="77777777" w:rsidR="00933ACE" w:rsidRDefault="00933ACE" w:rsidP="0015684C">
      <w:pPr>
        <w:pStyle w:val="BodyTextIndentBoldUnderline"/>
      </w:pPr>
      <w:r>
        <w:t>Scour protection</w:t>
      </w:r>
    </w:p>
    <w:p w14:paraId="3FCF8D44" w14:textId="77777777" w:rsidR="00933ACE" w:rsidRDefault="00933ACE" w:rsidP="0015684C">
      <w:pPr>
        <w:pStyle w:val="BodyTextIndent"/>
      </w:pPr>
      <w:r w:rsidRPr="003761E4">
        <w:rPr>
          <w:u w:val="single"/>
        </w:rPr>
        <w:t>Cut-off walls</w:t>
      </w:r>
      <w:r>
        <w:t>: Construct stone pitched cut-off walls at the toe and sides of all stone pitching in waterways (except at the toe where it is protected by a slab or footing).  The cut-off walls must be a minimum 0.45 m deep from finished surface and at least 0.3 m wide.</w:t>
      </w:r>
    </w:p>
    <w:p w14:paraId="186B3CA7" w14:textId="77777777" w:rsidR="00933ACE" w:rsidRDefault="0015684C" w:rsidP="00120109">
      <w:pPr>
        <w:pStyle w:val="Heading3"/>
      </w:pPr>
      <w:bookmarkStart w:id="20" w:name="_Toc76033710"/>
      <w:r>
        <w:t>Dry Rock Walls</w:t>
      </w:r>
      <w:bookmarkEnd w:id="20"/>
    </w:p>
    <w:p w14:paraId="65028910" w14:textId="77777777" w:rsidR="00933ACE" w:rsidRDefault="00933ACE" w:rsidP="0015684C">
      <w:pPr>
        <w:pStyle w:val="BodyTextIndentBoldUnderline"/>
      </w:pPr>
      <w:r>
        <w:t>General</w:t>
      </w:r>
    </w:p>
    <w:p w14:paraId="2D512612" w14:textId="77777777" w:rsidR="00933ACE" w:rsidRDefault="00933ACE" w:rsidP="0015684C">
      <w:pPr>
        <w:pStyle w:val="BodyTextIndent"/>
      </w:pPr>
      <w:r>
        <w:rPr>
          <w:i/>
        </w:rPr>
        <w:t>Refer annexure</w:t>
      </w:r>
      <w:r>
        <w:t>.  Select the stones for their locations and lay them in the wall with a minimum of stone cutting so that:</w:t>
      </w:r>
    </w:p>
    <w:p w14:paraId="1D2E52AA" w14:textId="77777777" w:rsidR="00933ACE" w:rsidRDefault="00933ACE" w:rsidP="0015684C">
      <w:pPr>
        <w:pStyle w:val="BodyTextIndentDot"/>
      </w:pPr>
      <w:r>
        <w:t>Each stone is stable, non-rocking and firmly locked to its neighbours without the use of mortar.</w:t>
      </w:r>
    </w:p>
    <w:p w14:paraId="1525FA3C" w14:textId="77777777" w:rsidR="00933ACE" w:rsidRDefault="00933ACE" w:rsidP="0015684C">
      <w:pPr>
        <w:pStyle w:val="BodyTextIndentDot"/>
      </w:pPr>
      <w:r>
        <w:t>The wall face shows reasonably regular, flat and vertical stone faces.</w:t>
      </w:r>
    </w:p>
    <w:p w14:paraId="6CFD854B" w14:textId="77777777" w:rsidR="00933ACE" w:rsidRDefault="00933ACE" w:rsidP="0015684C">
      <w:pPr>
        <w:pStyle w:val="BodyTextIndentDot"/>
      </w:pPr>
      <w:r>
        <w:t>Vertical joints (perpends) between stones are spanned by the next stone above.</w:t>
      </w:r>
    </w:p>
    <w:p w14:paraId="54EF829C" w14:textId="77777777" w:rsidR="00933ACE" w:rsidRDefault="00933ACE" w:rsidP="0015684C">
      <w:pPr>
        <w:pStyle w:val="BodyTextIndentDot"/>
      </w:pPr>
      <w:r>
        <w:t>Stones are laid generally as through stones wherever possible.</w:t>
      </w:r>
    </w:p>
    <w:p w14:paraId="037277F6" w14:textId="77777777" w:rsidR="00933ACE" w:rsidRDefault="00933ACE" w:rsidP="0015684C">
      <w:pPr>
        <w:pStyle w:val="BodyTextIndentDot"/>
      </w:pPr>
      <w:r>
        <w:t>At least 50% of footings, 30% of wall stones and all coping stones are laid as through stones.</w:t>
      </w:r>
    </w:p>
    <w:p w14:paraId="5970D150" w14:textId="77777777" w:rsidR="00933ACE" w:rsidRDefault="00933ACE" w:rsidP="0015684C">
      <w:pPr>
        <w:pStyle w:val="BodyTextIndentBoldUnderline"/>
      </w:pPr>
      <w:r>
        <w:t>Footings</w:t>
      </w:r>
    </w:p>
    <w:p w14:paraId="581AC5B3" w14:textId="77777777" w:rsidR="00933ACE" w:rsidRDefault="00933ACE">
      <w:pPr>
        <w:pStyle w:val="BodyTextIndent2"/>
      </w:pPr>
      <w:r>
        <w:t>Select the largest, flattest and most regular stones for footings.  Set them one-third of their depth into the ground.</w:t>
      </w:r>
    </w:p>
    <w:p w14:paraId="161F437D" w14:textId="5AD4E0F9" w:rsidR="00933ACE" w:rsidRDefault="00933ACE" w:rsidP="0015684C">
      <w:pPr>
        <w:pStyle w:val="BodyTextIndentBoldUnderline"/>
      </w:pPr>
      <w:r>
        <w:t>Copings</w:t>
      </w:r>
    </w:p>
    <w:p w14:paraId="486CD59F" w14:textId="77777777" w:rsidR="00933ACE" w:rsidRDefault="00933ACE" w:rsidP="0015684C">
      <w:pPr>
        <w:pStyle w:val="BodyTextIndent"/>
      </w:pPr>
      <w:r>
        <w:t>Select stones of reasonably uniform size and finish the top of the wall to level.</w:t>
      </w:r>
    </w:p>
    <w:p w14:paraId="124C0BFB" w14:textId="77777777" w:rsidR="00933ACE" w:rsidRDefault="00933ACE" w:rsidP="0015684C">
      <w:pPr>
        <w:pStyle w:val="BodyTextIndentBoldUnderline"/>
      </w:pPr>
      <w:r>
        <w:t>Retaining walls</w:t>
      </w:r>
    </w:p>
    <w:p w14:paraId="0A746026" w14:textId="77777777" w:rsidR="00933ACE" w:rsidRDefault="00933ACE" w:rsidP="0015684C">
      <w:pPr>
        <w:pStyle w:val="BodyTextIndent"/>
      </w:pPr>
      <w:r w:rsidRPr="003761E4">
        <w:rPr>
          <w:u w:val="single"/>
        </w:rPr>
        <w:lastRenderedPageBreak/>
        <w:t>Construction</w:t>
      </w:r>
      <w:r>
        <w:t xml:space="preserve">: Where dry stone walls act as retaining walls, construct the stonework to be free draining through the wall.  Place </w:t>
      </w:r>
      <w:r w:rsidR="003761E4">
        <w:t>Type </w:t>
      </w:r>
      <w:r>
        <w:t>3 geotextile between the stonework and the backfill.  Batter the face of the wall back 50 - 70 mm for every 300 mm in height.  Cap the top of the wall.  Backfill progressively with a layer of porous material such as coarse aggregate or crushed rock with a minimum thickness of 300 mm</w:t>
      </w:r>
    </w:p>
    <w:p w14:paraId="6A90DD82" w14:textId="77777777" w:rsidR="00933ACE" w:rsidRPr="0015684C" w:rsidRDefault="00933ACE" w:rsidP="0015684C">
      <w:pPr>
        <w:pStyle w:val="BodyTextIndent"/>
      </w:pPr>
      <w:permStart w:id="1850244877" w:edGrp="everyone"/>
      <w:permEnd w:id="1850244877"/>
    </w:p>
    <w:sectPr w:rsidR="00933ACE" w:rsidRPr="0015684C" w:rsidSect="00EA753F">
      <w:footerReference w:type="default" r:id="rId16"/>
      <w:pgSz w:w="11906" w:h="16838" w:code="9"/>
      <w:pgMar w:top="1134" w:right="1134" w:bottom="992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785B" w14:textId="77777777" w:rsidR="00E6360D" w:rsidRDefault="00E6360D">
      <w:r>
        <w:separator/>
      </w:r>
    </w:p>
  </w:endnote>
  <w:endnote w:type="continuationSeparator" w:id="0">
    <w:p w14:paraId="751C4AC9" w14:textId="77777777" w:rsidR="00E6360D" w:rsidRDefault="00E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ingPenHeavy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1C93" w14:textId="17F5C9EC" w:rsidR="006820DF" w:rsidRDefault="00A8351E" w:rsidP="006820DF">
    <w:pPr>
      <w:pStyle w:val="Footer"/>
    </w:pPr>
    <w:r w:rsidRPr="006820DF">
      <w:t>Revision 3.0 – Ma</w:t>
    </w:r>
    <w:r w:rsidR="00AB3CA0" w:rsidRPr="006820DF">
      <w:t>rch</w:t>
    </w:r>
    <w:r w:rsidRPr="006820DF">
      <w:t xml:space="preserve"> 202</w:t>
    </w:r>
    <w:r w:rsidR="00AB3CA0" w:rsidRPr="006820DF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57E8" w14:textId="67B7CEB9" w:rsidR="00A00837" w:rsidRPr="00703CD7" w:rsidRDefault="00377813" w:rsidP="006820DF">
    <w:pPr>
      <w:pStyle w:val="Footer"/>
    </w:pPr>
    <w:r>
      <w:rPr>
        <w:noProof/>
      </w:rPr>
      <w:pict w14:anchorId="0B7BDA7A"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87" type="#_x0000_t202" style="position:absolute;left:0;text-align:left;margin-left:453.6pt;margin-top:652.05pt;width:226.75pt;height:21.25pt;rotation:-5921140fd;z-index:251657216;visibility:visible;mso-position-horizontal-relative:page;mso-position-vertical-relative:page" filled="f" stroked="f">
          <v:stroke joinstyle="round"/>
          <o:lock v:ext="edit" shapetype="t"/>
          <v:textbox style="layout-flow:vertical;mso-layout-flow-alt:bottom-to-top;mso-next-textbox:#WordArt 1">
            <w:txbxContent>
              <w:p w14:paraId="7C01590E" w14:textId="77777777" w:rsidR="00A00837" w:rsidRPr="00A67C0E" w:rsidRDefault="00A00837" w:rsidP="00A0083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hadow/>
                    <w:sz w:val="28"/>
                    <w:szCs w:val="28"/>
                  </w:rPr>
                </w:pPr>
                <w:r w:rsidRPr="00A67C0E">
                  <w:rPr>
                    <w:rFonts w:ascii="Arial Bold" w:hAnsi="Arial Bold" w:cs="Arial"/>
                    <w:b/>
                    <w:bCs/>
                    <w:i/>
                    <w:iCs/>
                    <w:shadow/>
                    <w:sz w:val="28"/>
                    <w:szCs w:val="28"/>
                  </w:rPr>
                  <w:t xml:space="preserve">S170  </w:t>
                </w:r>
                <w:r w:rsidR="00A67C0E" w:rsidRPr="00A67C0E">
                  <w:rPr>
                    <w:rFonts w:ascii="Arial Bold" w:hAnsi="Arial Bold" w:cs="Arial"/>
                    <w:b/>
                    <w:bCs/>
                    <w:i/>
                    <w:iCs/>
                    <w:shadow/>
                    <w:sz w:val="28"/>
                    <w:szCs w:val="28"/>
                  </w:rPr>
                  <w:t>STONEWORK</w:t>
                </w:r>
              </w:p>
            </w:txbxContent>
          </v:textbox>
          <w10:wrap anchorx="page" anchory="margin"/>
        </v:shape>
      </w:pict>
    </w:r>
    <w:r w:rsidR="00A00837">
      <w:t xml:space="preserve">Revision 3.0 – </w:t>
    </w:r>
    <w:r w:rsidR="00AB3CA0" w:rsidRPr="00AB3CA0">
      <w:t>March 2021</w:t>
    </w:r>
  </w:p>
  <w:p w14:paraId="3BE83C58" w14:textId="77777777" w:rsidR="004C7426" w:rsidRPr="00703CD7" w:rsidRDefault="004C7426" w:rsidP="006820DF">
    <w:pPr>
      <w:pStyle w:val="Footer"/>
    </w:pPr>
    <w:r w:rsidRPr="00703CD7">
      <w:rPr>
        <w:rStyle w:val="PageNumber"/>
        <w:sz w:val="18"/>
      </w:rPr>
      <w:fldChar w:fldCharType="begin"/>
    </w:r>
    <w:r w:rsidRPr="00703CD7">
      <w:rPr>
        <w:rStyle w:val="PageNumber"/>
        <w:sz w:val="18"/>
      </w:rPr>
      <w:instrText xml:space="preserve"> PAGE </w:instrText>
    </w:r>
    <w:r w:rsidRPr="00703CD7">
      <w:rPr>
        <w:rStyle w:val="PageNumber"/>
        <w:sz w:val="18"/>
      </w:rPr>
      <w:fldChar w:fldCharType="separate"/>
    </w:r>
    <w:r w:rsidR="002300C4">
      <w:rPr>
        <w:rStyle w:val="PageNumber"/>
        <w:noProof/>
        <w:sz w:val="18"/>
      </w:rPr>
      <w:t>i</w:t>
    </w:r>
    <w:r w:rsidRPr="00703CD7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1284" w14:textId="65BE8267" w:rsidR="00A67C0E" w:rsidRPr="00703CD7" w:rsidRDefault="00377813" w:rsidP="006820DF">
    <w:pPr>
      <w:pStyle w:val="Footer"/>
    </w:pPr>
    <w:r>
      <w:rPr>
        <w:noProof/>
      </w:rPr>
      <w:pict w14:anchorId="297937EA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left:0;text-align:left;margin-left:453.6pt;margin-top:652.05pt;width:226.75pt;height:21.25pt;rotation:-5921140fd;z-index:251660288;visibility:visible;mso-position-horizontal-relative:page;mso-position-vertical-relative:page" filled="f" stroked="f">
          <v:stroke joinstyle="round"/>
          <o:lock v:ext="edit" shapetype="t"/>
          <v:textbox style="layout-flow:vertical;mso-layout-flow-alt:bottom-to-top;mso-next-textbox:#_x0000_s2091">
            <w:txbxContent>
              <w:p w14:paraId="70CB9617" w14:textId="77777777" w:rsidR="00A67C0E" w:rsidRPr="00A67C0E" w:rsidRDefault="00A67C0E" w:rsidP="00A0083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hadow/>
                    <w:sz w:val="28"/>
                    <w:szCs w:val="28"/>
                  </w:rPr>
                </w:pPr>
                <w:r w:rsidRPr="00A67C0E">
                  <w:rPr>
                    <w:rFonts w:ascii="Arial Bold" w:hAnsi="Arial Bold" w:cs="Arial"/>
                    <w:b/>
                    <w:bCs/>
                    <w:i/>
                    <w:iCs/>
                    <w:shadow/>
                    <w:sz w:val="28"/>
                    <w:szCs w:val="28"/>
                  </w:rPr>
                  <w:t>S170  STONEWORK</w:t>
                </w:r>
              </w:p>
            </w:txbxContent>
          </v:textbox>
          <w10:wrap anchorx="page" anchory="margin"/>
        </v:shape>
      </w:pict>
    </w:r>
    <w:r w:rsidR="00A67C0E">
      <w:t xml:space="preserve">Revision 3.0 – </w:t>
    </w:r>
    <w:r w:rsidR="00AB3CA0" w:rsidRPr="00AB3CA0">
      <w:t>March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D7AE" w14:textId="35A37539" w:rsidR="00933ACE" w:rsidRPr="00120109" w:rsidRDefault="00377813" w:rsidP="00120109">
    <w:pPr>
      <w:pStyle w:val="Footer"/>
    </w:pPr>
    <w:r>
      <w:pict w14:anchorId="2A62CB53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left:0;text-align:left;margin-left:453.6pt;margin-top:652.05pt;width:226.75pt;height:21.25pt;rotation:-5921140fd;z-index:251658240;visibility:visible;mso-position-horizontal-relative:page;mso-position-vertical-relative:page" filled="f" stroked="f">
          <v:stroke joinstyle="round"/>
          <o:lock v:ext="edit" shapetype="t"/>
          <v:textbox style="layout-flow:vertical;mso-layout-flow-alt:bottom-to-top;mso-next-textbox:#_x0000_s2088">
            <w:txbxContent>
              <w:p w14:paraId="29144A52" w14:textId="77777777" w:rsidR="00A00837" w:rsidRPr="003A2444" w:rsidRDefault="00A67C0E" w:rsidP="00A00837">
                <w:pPr>
                  <w:pStyle w:val="NormalWeb"/>
                  <w:spacing w:before="0" w:beforeAutospacing="0" w:after="0" w:afterAutospacing="0"/>
                  <w:rPr>
                    <w:rFonts w:ascii="Arial Bold" w:hAnsi="Arial Bold"/>
                    <w:shadow/>
                    <w:sz w:val="28"/>
                    <w:szCs w:val="28"/>
                  </w:rPr>
                </w:pPr>
                <w:r w:rsidRPr="003A2444">
                  <w:rPr>
                    <w:rFonts w:ascii="Arial Bold" w:hAnsi="Arial Bold" w:cs="Arial"/>
                    <w:b/>
                    <w:bCs/>
                    <w:i/>
                    <w:iCs/>
                    <w:shadow/>
                    <w:sz w:val="28"/>
                    <w:szCs w:val="28"/>
                  </w:rPr>
                  <w:t>S170  STONEWORK</w:t>
                </w:r>
              </w:p>
            </w:txbxContent>
          </v:textbox>
          <w10:wrap anchorx="page" anchory="margin"/>
        </v:shape>
      </w:pict>
    </w:r>
    <w:r w:rsidR="00A00837" w:rsidRPr="00120109">
      <w:t xml:space="preserve">Revision 3.0 – </w:t>
    </w:r>
    <w:r w:rsidR="00AB3CA0" w:rsidRPr="00120109">
      <w:t>March 2021</w:t>
    </w:r>
    <w:r w:rsidR="00120109" w:rsidRPr="00120109">
      <w:tab/>
    </w:r>
    <w:r w:rsidR="00120109" w:rsidRPr="00120109">
      <w:tab/>
    </w:r>
    <w:r w:rsidR="00933ACE" w:rsidRPr="00120109">
      <w:rPr>
        <w:rStyle w:val="PageNumber"/>
      </w:rPr>
      <w:fldChar w:fldCharType="begin"/>
    </w:r>
    <w:r w:rsidR="00933ACE" w:rsidRPr="00120109">
      <w:rPr>
        <w:rStyle w:val="PageNumber"/>
      </w:rPr>
      <w:instrText xml:space="preserve"> PAGE </w:instrText>
    </w:r>
    <w:r w:rsidR="00933ACE" w:rsidRPr="00120109">
      <w:rPr>
        <w:rStyle w:val="PageNumber"/>
      </w:rPr>
      <w:fldChar w:fldCharType="separate"/>
    </w:r>
    <w:r w:rsidR="002300C4" w:rsidRPr="00120109">
      <w:rPr>
        <w:rStyle w:val="PageNumber"/>
      </w:rPr>
      <w:t>1</w:t>
    </w:r>
    <w:r w:rsidR="00933ACE" w:rsidRPr="001201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BE82" w14:textId="77777777" w:rsidR="00E6360D" w:rsidRDefault="00E6360D">
      <w:r>
        <w:separator/>
      </w:r>
    </w:p>
  </w:footnote>
  <w:footnote w:type="continuationSeparator" w:id="0">
    <w:p w14:paraId="3B494FE1" w14:textId="77777777" w:rsidR="00E6360D" w:rsidRDefault="00E6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FFF0" w14:textId="77777777" w:rsidR="00933ACE" w:rsidRDefault="00377813" w:rsidP="006820DF">
    <w:pPr>
      <w:pStyle w:val="Header"/>
    </w:pPr>
    <w:r>
      <w:rPr>
        <w:noProof/>
      </w:rPr>
      <w:pict w14:anchorId="3FAA72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303pt;margin-top:297.7pt;width:33pt;height:42.75pt;rotation:90;z-index:251655168" o:allowincell="f" fillcolor="black">
          <v:shadow color="#868686"/>
          <v:textpath style="font-family:&quot;Arial Narrow&quot;;v-rotate-letters:t;v-text-kern:t" trim="t" fitpath="t" string="1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024C" w14:textId="619667B9" w:rsidR="00933ACE" w:rsidRDefault="00377813" w:rsidP="006820DF">
    <w:pPr>
      <w:pStyle w:val="Header"/>
    </w:pPr>
    <w:r>
      <w:pict w14:anchorId="18DA9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7pt">
          <v:imagedata r:id="rId1" o:title="BCC Logo (Colour) 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5EA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08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64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8F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80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87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6A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83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2A0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27E9"/>
    <w:multiLevelType w:val="singleLevel"/>
    <w:tmpl w:val="0BE247EE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C841EC8"/>
    <w:multiLevelType w:val="multilevel"/>
    <w:tmpl w:val="9BBAA7F2"/>
    <w:lvl w:ilvl="0">
      <w:start w:val="1"/>
      <w:numFmt w:val="decimal"/>
      <w:pStyle w:val="Heading2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798713E8"/>
    <w:multiLevelType w:val="hybridMultilevel"/>
    <w:tmpl w:val="9A96DBEA"/>
    <w:lvl w:ilvl="0" w:tplc="CF4C3558">
      <w:start w:val="1"/>
      <w:numFmt w:val="bullet"/>
      <w:pStyle w:val="BodyTextIndentDot"/>
      <w:lvlText w:val="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formatting="1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CD7"/>
    <w:rsid w:val="00061830"/>
    <w:rsid w:val="000B5928"/>
    <w:rsid w:val="000E6000"/>
    <w:rsid w:val="00120109"/>
    <w:rsid w:val="00144461"/>
    <w:rsid w:val="0015684C"/>
    <w:rsid w:val="002300C4"/>
    <w:rsid w:val="00232EA6"/>
    <w:rsid w:val="002A5709"/>
    <w:rsid w:val="003761E4"/>
    <w:rsid w:val="00377813"/>
    <w:rsid w:val="0038066D"/>
    <w:rsid w:val="003A2444"/>
    <w:rsid w:val="003C280E"/>
    <w:rsid w:val="003F48EC"/>
    <w:rsid w:val="004328B4"/>
    <w:rsid w:val="004C7426"/>
    <w:rsid w:val="00613E60"/>
    <w:rsid w:val="006820DF"/>
    <w:rsid w:val="006A6818"/>
    <w:rsid w:val="00703CD7"/>
    <w:rsid w:val="007D00BC"/>
    <w:rsid w:val="008571DD"/>
    <w:rsid w:val="00921022"/>
    <w:rsid w:val="00933ACE"/>
    <w:rsid w:val="0097134E"/>
    <w:rsid w:val="00983F28"/>
    <w:rsid w:val="009E5338"/>
    <w:rsid w:val="00A00837"/>
    <w:rsid w:val="00A606E2"/>
    <w:rsid w:val="00A67C0E"/>
    <w:rsid w:val="00A8351E"/>
    <w:rsid w:val="00AB3CA0"/>
    <w:rsid w:val="00B447F1"/>
    <w:rsid w:val="00B4578D"/>
    <w:rsid w:val="00CB5B86"/>
    <w:rsid w:val="00CF44BB"/>
    <w:rsid w:val="00D22CD4"/>
    <w:rsid w:val="00DB56FD"/>
    <w:rsid w:val="00E6360D"/>
    <w:rsid w:val="00EA35AA"/>
    <w:rsid w:val="00EA753F"/>
    <w:rsid w:val="00EB1D95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."/>
  <w:listSeparator w:val=","/>
  <w14:docId w14:val="200B648F"/>
  <w15:chartTrackingRefBased/>
  <w15:docId w15:val="{123AD6F9-231C-4ED0-B1C7-EDA22C7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DF"/>
    <w:rPr>
      <w:rFonts w:ascii="Arial" w:hAnsi="Arial"/>
    </w:rPr>
  </w:style>
  <w:style w:type="paragraph" w:styleId="Heading1">
    <w:name w:val="heading 1"/>
    <w:basedOn w:val="Normal"/>
    <w:next w:val="Normal"/>
    <w:qFormat/>
    <w:rsid w:val="003C280E"/>
    <w:pPr>
      <w:keepNext/>
      <w:spacing w:before="160" w:after="80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3C280E"/>
    <w:pPr>
      <w:keepNext/>
      <w:numPr>
        <w:numId w:val="1"/>
      </w:numPr>
      <w:spacing w:before="120" w:after="60"/>
      <w:outlineLvl w:val="1"/>
    </w:pPr>
    <w:rPr>
      <w:b/>
      <w:caps/>
      <w:sz w:val="28"/>
      <w:szCs w:val="28"/>
    </w:rPr>
  </w:style>
  <w:style w:type="paragraph" w:styleId="Heading3">
    <w:name w:val="heading 3"/>
    <w:basedOn w:val="Heading2"/>
    <w:next w:val="Normal"/>
    <w:qFormat/>
    <w:rsid w:val="003C280E"/>
    <w:pPr>
      <w:numPr>
        <w:ilvl w:val="1"/>
      </w:numPr>
      <w:tabs>
        <w:tab w:val="clear" w:pos="1440"/>
        <w:tab w:val="num" w:pos="709"/>
      </w:tabs>
      <w:ind w:left="709" w:hanging="7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</w:style>
  <w:style w:type="paragraph" w:styleId="Header">
    <w:name w:val="header"/>
    <w:basedOn w:val="Normal"/>
    <w:rsid w:val="006820DF"/>
    <w:pPr>
      <w:pBdr>
        <w:bottom w:val="single" w:sz="2" w:space="5" w:color="auto"/>
      </w:pBdr>
      <w:tabs>
        <w:tab w:val="right" w:pos="9354"/>
      </w:tabs>
      <w:spacing w:before="30" w:after="20"/>
      <w:jc w:val="both"/>
    </w:pPr>
    <w:rPr>
      <w:bCs/>
      <w:i/>
      <w:sz w:val="16"/>
      <w:szCs w:val="16"/>
    </w:rPr>
  </w:style>
  <w:style w:type="paragraph" w:styleId="Footer">
    <w:name w:val="footer"/>
    <w:basedOn w:val="Normal"/>
    <w:semiHidden/>
    <w:rsid w:val="006820DF"/>
    <w:pPr>
      <w:pBdr>
        <w:top w:val="single" w:sz="4" w:space="6" w:color="auto"/>
      </w:pBdr>
      <w:tabs>
        <w:tab w:val="center" w:pos="4678"/>
        <w:tab w:val="right" w:pos="9354"/>
      </w:tabs>
      <w:spacing w:before="60" w:after="40"/>
      <w:jc w:val="both"/>
    </w:pPr>
    <w:rPr>
      <w:b/>
      <w:i/>
      <w:sz w:val="16"/>
      <w:szCs w:val="16"/>
    </w:rPr>
  </w:style>
  <w:style w:type="character" w:styleId="PageNumber">
    <w:name w:val="page number"/>
    <w:semiHidden/>
    <w:rPr>
      <w:rFonts w:ascii="Arial" w:hAnsi="Arial"/>
      <w:sz w:val="16"/>
    </w:rPr>
  </w:style>
  <w:style w:type="paragraph" w:styleId="BodyText">
    <w:name w:val="Body Text"/>
    <w:basedOn w:val="Normal"/>
    <w:link w:val="BodyTextChar"/>
    <w:semiHidden/>
    <w:pPr>
      <w:spacing w:line="302" w:lineRule="exact"/>
      <w:ind w:left="737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2">
    <w:name w:val="Body Text 2"/>
    <w:basedOn w:val="Normal"/>
    <w:semiHidden/>
    <w:pPr>
      <w:jc w:val="center"/>
    </w:pPr>
    <w:rPr>
      <w:b/>
      <w:sz w:val="24"/>
    </w:rPr>
  </w:style>
  <w:style w:type="paragraph" w:styleId="BodyText3">
    <w:name w:val="Body Text 3"/>
    <w:basedOn w:val="Normal"/>
    <w:semiHidden/>
    <w:pPr>
      <w:spacing w:before="4" w:line="211" w:lineRule="exact"/>
      <w:jc w:val="both"/>
    </w:pPr>
  </w:style>
  <w:style w:type="paragraph" w:styleId="BodyTextIndent">
    <w:name w:val="Body Text Indent"/>
    <w:basedOn w:val="Normal"/>
    <w:link w:val="BodyTextIndentChar"/>
    <w:qFormat/>
    <w:rsid w:val="003F48EC"/>
    <w:pPr>
      <w:spacing w:before="60" w:after="60"/>
      <w:ind w:left="709"/>
      <w:jc w:val="both"/>
    </w:pPr>
  </w:style>
  <w:style w:type="paragraph" w:styleId="TOC1">
    <w:name w:val="toc 1"/>
    <w:basedOn w:val="Normal"/>
    <w:next w:val="Normal"/>
    <w:autoRedefine/>
    <w:uiPriority w:val="39"/>
    <w:rsid w:val="0015684C"/>
    <w:pPr>
      <w:tabs>
        <w:tab w:val="left" w:pos="567"/>
        <w:tab w:val="right" w:leader="dot" w:pos="9498"/>
      </w:tabs>
      <w:spacing w:before="120" w:after="120"/>
      <w:ind w:left="567" w:hanging="567"/>
    </w:pPr>
    <w:rPr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15684C"/>
    <w:pPr>
      <w:tabs>
        <w:tab w:val="left" w:pos="993"/>
        <w:tab w:val="right" w:leader="dot" w:pos="9498"/>
      </w:tabs>
      <w:ind w:left="993" w:hanging="426"/>
    </w:pPr>
    <w:rPr>
      <w:b/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</w:rPr>
  </w:style>
  <w:style w:type="paragraph" w:customStyle="1" w:styleId="hdg1">
    <w:name w:val="hdg 1"/>
    <w:basedOn w:val="Normal"/>
    <w:next w:val="hdg2"/>
    <w:pPr>
      <w:keepNext/>
      <w:keepLines/>
      <w:pageBreakBefore/>
      <w:spacing w:before="360" w:after="360"/>
    </w:pPr>
    <w:rPr>
      <w:rFonts w:ascii="MarkingPenHeavy" w:hAnsi="MarkingPenHeavy"/>
      <w:i/>
      <w:caps/>
      <w:snapToGrid w:val="0"/>
      <w:color w:val="808080"/>
      <w:kern w:val="64"/>
      <w:sz w:val="64"/>
      <w:lang w:eastAsia="en-US"/>
    </w:rPr>
  </w:style>
  <w:style w:type="paragraph" w:customStyle="1" w:styleId="hdg2">
    <w:name w:val="hdg 2"/>
    <w:basedOn w:val="Normal"/>
    <w:next w:val="hdg3"/>
    <w:pPr>
      <w:keepNext/>
      <w:keepLines/>
      <w:spacing w:before="240" w:after="240"/>
    </w:pPr>
    <w:rPr>
      <w:rFonts w:ascii="MarkingPenHeavy" w:hAnsi="MarkingPenHeavy"/>
      <w:i/>
      <w:caps/>
      <w:snapToGrid w:val="0"/>
      <w:color w:val="808080"/>
      <w:kern w:val="32"/>
      <w:sz w:val="32"/>
      <w:lang w:eastAsia="en-US"/>
    </w:rPr>
  </w:style>
  <w:style w:type="paragraph" w:customStyle="1" w:styleId="hdg3">
    <w:name w:val="hdg 3"/>
    <w:basedOn w:val="Normal"/>
    <w:next w:val="hdg4"/>
    <w:pPr>
      <w:keepNext/>
      <w:keepLines/>
      <w:spacing w:before="120" w:after="120"/>
    </w:pPr>
    <w:rPr>
      <w:rFonts w:ascii="CG Times" w:hAnsi="CG Times"/>
      <w:b/>
      <w:caps/>
      <w:snapToGrid w:val="0"/>
      <w:sz w:val="24"/>
      <w:lang w:eastAsia="en-US"/>
    </w:rPr>
  </w:style>
  <w:style w:type="paragraph" w:customStyle="1" w:styleId="hdg4">
    <w:name w:val="hdg 4"/>
    <w:basedOn w:val="Normal"/>
    <w:next w:val="BodyText"/>
    <w:pPr>
      <w:keepNext/>
      <w:keepLines/>
      <w:spacing w:before="60" w:after="110"/>
      <w:ind w:left="709"/>
    </w:pPr>
    <w:rPr>
      <w:b/>
      <w:snapToGrid w:val="0"/>
      <w:u w:val="single"/>
      <w:lang w:eastAsia="en-US"/>
    </w:rPr>
  </w:style>
  <w:style w:type="paragraph" w:customStyle="1" w:styleId="Notes">
    <w:name w:val="Notes"/>
    <w:basedOn w:val="Normal"/>
    <w:next w:val="Normal"/>
    <w:rPr>
      <w:rFonts w:ascii="CG Times" w:hAnsi="CG Times"/>
      <w:sz w:val="18"/>
    </w:rPr>
  </w:style>
  <w:style w:type="paragraph" w:customStyle="1" w:styleId="bullets">
    <w:name w:val="bullets"/>
    <w:basedOn w:val="Normal"/>
    <w:next w:val="Normal"/>
    <w:pPr>
      <w:keepLines/>
      <w:numPr>
        <w:numId w:val="2"/>
      </w:numPr>
      <w:tabs>
        <w:tab w:val="clear" w:pos="360"/>
        <w:tab w:val="num" w:pos="1134"/>
      </w:tabs>
      <w:spacing w:before="120"/>
      <w:ind w:left="1134" w:hanging="425"/>
    </w:pPr>
    <w:rPr>
      <w:sz w:val="22"/>
    </w:rPr>
  </w:style>
  <w:style w:type="paragraph" w:customStyle="1" w:styleId="hdg5">
    <w:name w:val="hdg 5"/>
    <w:basedOn w:val="Normal"/>
    <w:next w:val="BlockText"/>
    <w:pPr>
      <w:widowControl w:val="0"/>
      <w:spacing w:before="120"/>
    </w:pPr>
    <w:rPr>
      <w:rFonts w:ascii="CG Times" w:hAnsi="CG Times"/>
      <w:b/>
      <w:snapToGrid w:val="0"/>
      <w:sz w:val="22"/>
      <w:lang w:val="en-US"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customStyle="1" w:styleId="a">
    <w:name w:val="_"/>
    <w:basedOn w:val="Normal"/>
    <w:pPr>
      <w:widowControl w:val="0"/>
      <w:spacing w:before="240" w:after="60"/>
      <w:ind w:left="720" w:hanging="720"/>
    </w:pPr>
    <w:rPr>
      <w:rFonts w:ascii="CG Times" w:hAnsi="CG Times"/>
      <w:snapToGrid w:val="0"/>
      <w:sz w:val="24"/>
      <w:lang w:val="en-US" w:eastAsia="en-US"/>
    </w:rPr>
  </w:style>
  <w:style w:type="paragraph" w:styleId="BodyTextIndent2">
    <w:name w:val="Body Text Indent 2"/>
    <w:basedOn w:val="Normal"/>
    <w:semiHidden/>
    <w:pPr>
      <w:ind w:left="70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CD7"/>
    <w:rPr>
      <w:rFonts w:ascii="Tahoma" w:hAnsi="Tahoma" w:cs="Tahoma"/>
      <w:sz w:val="16"/>
      <w:szCs w:val="16"/>
    </w:rPr>
  </w:style>
  <w:style w:type="paragraph" w:customStyle="1" w:styleId="CoverHeading">
    <w:name w:val="Cover Heading"/>
    <w:basedOn w:val="Normal"/>
    <w:rsid w:val="0038066D"/>
    <w:pPr>
      <w:spacing w:before="240" w:after="120"/>
      <w:jc w:val="center"/>
      <w:outlineLvl w:val="0"/>
    </w:pPr>
    <w:rPr>
      <w:b/>
      <w:caps/>
      <w:sz w:val="24"/>
    </w:rPr>
  </w:style>
  <w:style w:type="paragraph" w:customStyle="1" w:styleId="Table">
    <w:name w:val="Table"/>
    <w:basedOn w:val="BodyTextIndent3"/>
    <w:qFormat/>
    <w:rsid w:val="00EB1D95"/>
    <w:pPr>
      <w:spacing w:before="40" w:after="40"/>
      <w:ind w:left="0"/>
    </w:pPr>
    <w:rPr>
      <w:snapToGrid w:val="0"/>
      <w:sz w:val="18"/>
      <w:szCs w:val="20"/>
      <w:lang w:eastAsia="en-US"/>
    </w:rPr>
  </w:style>
  <w:style w:type="paragraph" w:customStyle="1" w:styleId="TableCen">
    <w:name w:val="Table Cen"/>
    <w:basedOn w:val="Table"/>
    <w:qFormat/>
    <w:rsid w:val="00EB1D95"/>
    <w:pPr>
      <w:jc w:val="center"/>
    </w:pPr>
  </w:style>
  <w:style w:type="paragraph" w:customStyle="1" w:styleId="TableHead">
    <w:name w:val="Table Head"/>
    <w:basedOn w:val="Normal"/>
    <w:rsid w:val="00EB1D95"/>
    <w:pPr>
      <w:spacing w:before="60" w:after="60"/>
    </w:pPr>
    <w:rPr>
      <w:b/>
      <w:sz w:val="18"/>
    </w:rPr>
  </w:style>
  <w:style w:type="paragraph" w:customStyle="1" w:styleId="TableHeadCen">
    <w:name w:val="Table Head Cen"/>
    <w:basedOn w:val="Normal"/>
    <w:rsid w:val="00EB1D95"/>
    <w:pPr>
      <w:spacing w:before="60" w:after="60"/>
      <w:jc w:val="center"/>
    </w:pPr>
    <w:rPr>
      <w:rFonts w:ascii="Arial Bold" w:hAnsi="Arial Bold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1D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B1D95"/>
    <w:rPr>
      <w:rFonts w:ascii="Arial" w:hAnsi="Arial"/>
      <w:sz w:val="16"/>
      <w:szCs w:val="16"/>
    </w:rPr>
  </w:style>
  <w:style w:type="paragraph" w:customStyle="1" w:styleId="BodyTextIndentBoldItalicCen">
    <w:name w:val="Body Text Indent Bold Italic Cen"/>
    <w:basedOn w:val="BodyTextIndent"/>
    <w:rsid w:val="00EB1D95"/>
    <w:pPr>
      <w:jc w:val="center"/>
    </w:pPr>
    <w:rPr>
      <w:b/>
      <w:i/>
    </w:rPr>
  </w:style>
  <w:style w:type="paragraph" w:customStyle="1" w:styleId="BodyTextIndentDot">
    <w:name w:val="Body Text Indent Dot"/>
    <w:basedOn w:val="BodyTextIndent2"/>
    <w:qFormat/>
    <w:rsid w:val="003F48EC"/>
    <w:pPr>
      <w:numPr>
        <w:numId w:val="3"/>
      </w:numPr>
      <w:spacing w:before="30" w:after="30"/>
    </w:pPr>
  </w:style>
  <w:style w:type="paragraph" w:customStyle="1" w:styleId="BodyTextIndentBoldUnderline">
    <w:name w:val="Body Text Indent Bold Underline"/>
    <w:basedOn w:val="Normal"/>
    <w:rsid w:val="003F48EC"/>
    <w:pPr>
      <w:spacing w:before="60" w:after="60"/>
      <w:ind w:left="709"/>
    </w:pPr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A008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820DF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820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59DF36F0AA4389DA09C5F5563F7A" ma:contentTypeVersion="13" ma:contentTypeDescription="Create a new document." ma:contentTypeScope="" ma:versionID="2a343a1d58e6b6c69583b5a9a4e9bd9c">
  <xsd:schema xmlns:xsd="http://www.w3.org/2001/XMLSchema" xmlns:xs="http://www.w3.org/2001/XMLSchema" xmlns:p="http://schemas.microsoft.com/office/2006/metadata/properties" xmlns:ns2="4f40705d-e7da-4f43-bdce-ad8c70b86017" xmlns:ns3="1aac26e5-4c41-468c-83b0-97e8e79a919c" targetNamespace="http://schemas.microsoft.com/office/2006/metadata/properties" ma:root="true" ma:fieldsID="d09cfc405056459efc46a7c79e238e2a" ns2:_="" ns3:_="">
    <xsd:import namespace="4f40705d-e7da-4f43-bdce-ad8c70b86017"/>
    <xsd:import namespace="1aac26e5-4c41-468c-83b0-97e8e79a9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0705d-e7da-4f43-bdce-ad8c70b86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26e5-4c41-468c-83b0-97e8e79a9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5531-88F5-4384-A43F-B230B57F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0A3A-E235-429B-8233-2A7D55E3E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0705d-e7da-4f43-bdce-ad8c70b86017"/>
    <ds:schemaRef ds:uri="1aac26e5-4c41-468c-83b0-97e8e79a9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10909-6191-4B7A-A296-95FE4E6B7F0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1aac26e5-4c41-468c-83b0-97e8e79a919c"/>
    <ds:schemaRef ds:uri="4f40705d-e7da-4f43-bdce-ad8c70b860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DF493B-EAA4-4AD0-8639-0F43DFB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Specifications for Civil Engineering Work 2001</vt:lpstr>
    </vt:vector>
  </TitlesOfParts>
  <Manager>Bruce Hansen</Manager>
  <Company>Brisbane City Council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Specifications for Civil Engineering Work 2001</dc:title>
  <dc:subject>S170 Stonework</dc:subject>
  <dc:creator>Lucy Ting</dc:creator>
  <cp:keywords/>
  <dc:description/>
  <cp:lastModifiedBy>David Brady</cp:lastModifiedBy>
  <cp:revision>12</cp:revision>
  <cp:lastPrinted>2001-06-07T00:15:00Z</cp:lastPrinted>
  <dcterms:created xsi:type="dcterms:W3CDTF">2021-04-07T00:48:00Z</dcterms:created>
  <dcterms:modified xsi:type="dcterms:W3CDTF">2021-11-17T20:48:00Z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0x010100F74759DF36F0AA4389DA09C5F5563F7A</vt:lpwstr>
  </property>
</Properties>
</file>