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F6E2" w14:textId="32D855AD" w:rsidR="00E610B3" w:rsidRDefault="00D75AE3" w:rsidP="0094572B">
      <w:pPr>
        <w:pStyle w:val="Heading1"/>
      </w:pPr>
      <w:bookmarkStart w:id="0" w:name="_Toc197936723"/>
      <w:bookmarkStart w:id="1" w:name="_Toc197935081"/>
      <w:bookmarkStart w:id="2" w:name="_Toc197934562"/>
      <w:r w:rsidRPr="0094572B">
        <w:rPr>
          <w:caps w:val="0"/>
        </w:rPr>
        <w:t xml:space="preserve">BRISBANE </w:t>
      </w:r>
      <w:r>
        <w:rPr>
          <w:caps w:val="0"/>
        </w:rPr>
        <w:t>CITY COUNCIL</w:t>
      </w:r>
    </w:p>
    <w:p w14:paraId="008E30D8" w14:textId="46626670" w:rsidR="00E610B3" w:rsidRDefault="00D75AE3" w:rsidP="0094572B">
      <w:pPr>
        <w:pStyle w:val="Heading1"/>
      </w:pPr>
      <w:r>
        <w:rPr>
          <w:caps w:val="0"/>
        </w:rPr>
        <w:t>REFERENCE SPECIFICATIONS FOR ENGINEERING WORK</w:t>
      </w:r>
    </w:p>
    <w:p w14:paraId="3902027A" w14:textId="5E6132A0" w:rsidR="001F61EC" w:rsidRDefault="00D75AE3" w:rsidP="0094572B">
      <w:pPr>
        <w:pStyle w:val="Heading1"/>
        <w:sectPr w:rsidR="001F61EC" w:rsidSect="00CB56FC">
          <w:headerReference w:type="default" r:id="rId11"/>
          <w:footerReference w:type="default" r:id="rId12"/>
          <w:type w:val="continuous"/>
          <w:pgSz w:w="11906" w:h="16838" w:code="9"/>
          <w:pgMar w:top="1134" w:right="1134" w:bottom="992" w:left="1418" w:header="1134" w:footer="851" w:gutter="0"/>
          <w:pgNumType w:fmt="lowerRoman" w:start="1"/>
          <w:cols w:space="720"/>
          <w:noEndnote/>
        </w:sectPr>
      </w:pPr>
      <w:r>
        <w:rPr>
          <w:caps w:val="0"/>
        </w:rPr>
        <w:t>S240 COATINGS</w:t>
      </w:r>
    </w:p>
    <w:p w14:paraId="1A3A5636" w14:textId="4F48F5B0" w:rsidR="00CB56FC" w:rsidRDefault="00D75AE3" w:rsidP="00D75AE3">
      <w:pPr>
        <w:pStyle w:val="Heading2"/>
        <w:numPr>
          <w:ilvl w:val="0"/>
          <w:numId w:val="0"/>
        </w:numPr>
        <w:ind w:left="720" w:hanging="720"/>
      </w:pPr>
      <w:r>
        <w:lastRenderedPageBreak/>
        <w:t>AMENDMENT REGISTER</w:t>
      </w:r>
      <w:bookmarkEnd w:id="0"/>
      <w:bookmarkEnd w:id="1"/>
      <w:bookmarkEnd w:id="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387"/>
        <w:gridCol w:w="1559"/>
      </w:tblGrid>
      <w:tr w:rsidR="00CB56FC" w14:paraId="43BB09CF" w14:textId="77777777" w:rsidTr="00D75AE3">
        <w:tc>
          <w:tcPr>
            <w:tcW w:w="1134" w:type="dxa"/>
            <w:tcBorders>
              <w:top w:val="single" w:sz="12" w:space="0" w:color="auto"/>
              <w:left w:val="nil"/>
              <w:bottom w:val="single" w:sz="12" w:space="0" w:color="auto"/>
              <w:right w:val="single" w:sz="6" w:space="0" w:color="auto"/>
            </w:tcBorders>
            <w:shd w:val="pct10" w:color="auto" w:fill="auto"/>
            <w:vAlign w:val="center"/>
          </w:tcPr>
          <w:p w14:paraId="4B0A075F" w14:textId="77777777" w:rsidR="00CB56FC" w:rsidRDefault="00CB56FC" w:rsidP="00F65F41">
            <w:pPr>
              <w:pStyle w:val="TableHeadCen"/>
            </w:pPr>
            <w:r>
              <w:t>Ed/Rev Number</w:t>
            </w:r>
          </w:p>
        </w:tc>
        <w:tc>
          <w:tcPr>
            <w:tcW w:w="1276" w:type="dxa"/>
            <w:tcBorders>
              <w:top w:val="single" w:sz="12" w:space="0" w:color="auto"/>
              <w:left w:val="single" w:sz="6" w:space="0" w:color="auto"/>
              <w:bottom w:val="single" w:sz="12" w:space="0" w:color="auto"/>
              <w:right w:val="single" w:sz="6" w:space="0" w:color="auto"/>
            </w:tcBorders>
            <w:shd w:val="pct10" w:color="auto" w:fill="auto"/>
            <w:vAlign w:val="center"/>
          </w:tcPr>
          <w:p w14:paraId="5AC9925D" w14:textId="77777777" w:rsidR="00CB56FC" w:rsidRDefault="00CB56FC" w:rsidP="00F65F41">
            <w:pPr>
              <w:pStyle w:val="TableHeadCen"/>
            </w:pPr>
            <w:r>
              <w:t>Section Number</w:t>
            </w:r>
          </w:p>
        </w:tc>
        <w:tc>
          <w:tcPr>
            <w:tcW w:w="5387" w:type="dxa"/>
            <w:tcBorders>
              <w:top w:val="single" w:sz="12" w:space="0" w:color="auto"/>
              <w:left w:val="single" w:sz="6" w:space="0" w:color="auto"/>
              <w:bottom w:val="single" w:sz="12" w:space="0" w:color="auto"/>
              <w:right w:val="single" w:sz="6" w:space="0" w:color="auto"/>
            </w:tcBorders>
            <w:shd w:val="pct10" w:color="auto" w:fill="auto"/>
            <w:vAlign w:val="center"/>
          </w:tcPr>
          <w:p w14:paraId="0200E53D" w14:textId="77777777" w:rsidR="00CB56FC" w:rsidRDefault="00CB56FC" w:rsidP="00F65F41">
            <w:pPr>
              <w:pStyle w:val="TableHeadCen"/>
            </w:pPr>
            <w:r>
              <w:t>Description</w:t>
            </w:r>
          </w:p>
        </w:tc>
        <w:tc>
          <w:tcPr>
            <w:tcW w:w="1559" w:type="dxa"/>
            <w:tcBorders>
              <w:top w:val="single" w:sz="12" w:space="0" w:color="auto"/>
              <w:left w:val="single" w:sz="6" w:space="0" w:color="auto"/>
              <w:bottom w:val="single" w:sz="12" w:space="0" w:color="auto"/>
              <w:right w:val="nil"/>
            </w:tcBorders>
            <w:shd w:val="pct10" w:color="auto" w:fill="auto"/>
            <w:vAlign w:val="center"/>
          </w:tcPr>
          <w:p w14:paraId="7766F467" w14:textId="77777777" w:rsidR="00CB56FC" w:rsidRDefault="00CB56FC" w:rsidP="00F65F41">
            <w:pPr>
              <w:pStyle w:val="TableHeadCen"/>
            </w:pPr>
            <w:r>
              <w:t>Date</w:t>
            </w:r>
          </w:p>
        </w:tc>
      </w:tr>
      <w:tr w:rsidR="00CB56FC" w14:paraId="72C677D6" w14:textId="77777777" w:rsidTr="00D75AE3">
        <w:trPr>
          <w:trHeight w:val="340"/>
        </w:trPr>
        <w:tc>
          <w:tcPr>
            <w:tcW w:w="1134" w:type="dxa"/>
            <w:tcBorders>
              <w:top w:val="single" w:sz="12" w:space="0" w:color="auto"/>
              <w:left w:val="nil"/>
              <w:bottom w:val="single" w:sz="8" w:space="0" w:color="auto"/>
              <w:right w:val="single" w:sz="2" w:space="0" w:color="auto"/>
            </w:tcBorders>
            <w:vAlign w:val="center"/>
          </w:tcPr>
          <w:p w14:paraId="79741473" w14:textId="77777777" w:rsidR="00CB56FC" w:rsidRDefault="00CB56FC" w:rsidP="00F65F41">
            <w:pPr>
              <w:pStyle w:val="TableCen"/>
            </w:pPr>
            <w:r>
              <w:t>1.0</w:t>
            </w:r>
          </w:p>
        </w:tc>
        <w:tc>
          <w:tcPr>
            <w:tcW w:w="1276" w:type="dxa"/>
            <w:tcBorders>
              <w:top w:val="single" w:sz="12" w:space="0" w:color="auto"/>
              <w:left w:val="single" w:sz="2" w:space="0" w:color="auto"/>
              <w:bottom w:val="single" w:sz="8" w:space="0" w:color="auto"/>
              <w:right w:val="single" w:sz="2" w:space="0" w:color="auto"/>
            </w:tcBorders>
            <w:vAlign w:val="center"/>
          </w:tcPr>
          <w:p w14:paraId="75418034" w14:textId="77777777" w:rsidR="00CB56FC" w:rsidRDefault="00CB56FC" w:rsidP="00F65F41">
            <w:pPr>
              <w:pStyle w:val="TableCen"/>
            </w:pPr>
          </w:p>
        </w:tc>
        <w:tc>
          <w:tcPr>
            <w:tcW w:w="5387" w:type="dxa"/>
            <w:tcBorders>
              <w:top w:val="single" w:sz="12" w:space="0" w:color="auto"/>
              <w:left w:val="single" w:sz="2" w:space="0" w:color="auto"/>
              <w:bottom w:val="single" w:sz="8" w:space="0" w:color="auto"/>
              <w:right w:val="single" w:sz="2" w:space="0" w:color="auto"/>
            </w:tcBorders>
            <w:vAlign w:val="center"/>
          </w:tcPr>
          <w:p w14:paraId="6CE0319D" w14:textId="77777777" w:rsidR="00CB56FC" w:rsidRDefault="00CB56FC" w:rsidP="00F65F41">
            <w:pPr>
              <w:pStyle w:val="Table"/>
            </w:pPr>
            <w:r>
              <w:t>Original issue</w:t>
            </w:r>
          </w:p>
        </w:tc>
        <w:tc>
          <w:tcPr>
            <w:tcW w:w="1559" w:type="dxa"/>
            <w:tcBorders>
              <w:top w:val="single" w:sz="12" w:space="0" w:color="auto"/>
              <w:left w:val="single" w:sz="2" w:space="0" w:color="auto"/>
              <w:bottom w:val="single" w:sz="8" w:space="0" w:color="auto"/>
              <w:right w:val="nil"/>
            </w:tcBorders>
            <w:vAlign w:val="center"/>
          </w:tcPr>
          <w:p w14:paraId="6FDC556F" w14:textId="77777777" w:rsidR="00CB56FC" w:rsidRDefault="00CB56FC" w:rsidP="00F65F41">
            <w:pPr>
              <w:pStyle w:val="TableCen"/>
            </w:pPr>
            <w:r>
              <w:t>Oct 2001</w:t>
            </w:r>
          </w:p>
        </w:tc>
      </w:tr>
      <w:tr w:rsidR="00FC2C12" w14:paraId="00193F28" w14:textId="77777777" w:rsidTr="00D75AE3">
        <w:trPr>
          <w:trHeight w:val="340"/>
        </w:trPr>
        <w:tc>
          <w:tcPr>
            <w:tcW w:w="1134" w:type="dxa"/>
            <w:tcBorders>
              <w:top w:val="single" w:sz="8" w:space="0" w:color="auto"/>
              <w:left w:val="nil"/>
              <w:bottom w:val="single" w:sz="8" w:space="0" w:color="auto"/>
              <w:right w:val="single" w:sz="2" w:space="0" w:color="auto"/>
            </w:tcBorders>
            <w:vAlign w:val="center"/>
          </w:tcPr>
          <w:p w14:paraId="42F037F7" w14:textId="77777777" w:rsidR="00FC2C12" w:rsidRDefault="00FC2C12" w:rsidP="00F65F41">
            <w:pPr>
              <w:pStyle w:val="TableCen"/>
            </w:pPr>
            <w:r>
              <w:t>2.0</w:t>
            </w:r>
          </w:p>
        </w:tc>
        <w:tc>
          <w:tcPr>
            <w:tcW w:w="1276" w:type="dxa"/>
            <w:tcBorders>
              <w:top w:val="single" w:sz="8" w:space="0" w:color="auto"/>
              <w:left w:val="single" w:sz="2" w:space="0" w:color="auto"/>
              <w:bottom w:val="single" w:sz="8" w:space="0" w:color="auto"/>
              <w:right w:val="single" w:sz="2" w:space="0" w:color="auto"/>
            </w:tcBorders>
            <w:vAlign w:val="center"/>
          </w:tcPr>
          <w:p w14:paraId="149FD5E0" w14:textId="77777777" w:rsidR="00FC2C12" w:rsidRDefault="00FC2C12" w:rsidP="00F65F41">
            <w:pPr>
              <w:pStyle w:val="TableCen"/>
            </w:pPr>
            <w:r w:rsidRPr="00B135C6">
              <w:t>1.3</w:t>
            </w:r>
          </w:p>
        </w:tc>
        <w:tc>
          <w:tcPr>
            <w:tcW w:w="5387" w:type="dxa"/>
            <w:tcBorders>
              <w:top w:val="single" w:sz="8" w:space="0" w:color="auto"/>
              <w:left w:val="single" w:sz="2" w:space="0" w:color="auto"/>
              <w:bottom w:val="single" w:sz="8" w:space="0" w:color="auto"/>
              <w:right w:val="single" w:sz="2" w:space="0" w:color="auto"/>
            </w:tcBorders>
            <w:vAlign w:val="center"/>
          </w:tcPr>
          <w:p w14:paraId="52DCAF5E" w14:textId="77777777" w:rsidR="00FC2C12" w:rsidRDefault="00FC2C12" w:rsidP="00F65F41">
            <w:pPr>
              <w:pStyle w:val="Table"/>
            </w:pPr>
            <w:r w:rsidRPr="00B135C6">
              <w:t>Reference list expanded to show all referenced documents</w:t>
            </w:r>
          </w:p>
        </w:tc>
        <w:tc>
          <w:tcPr>
            <w:tcW w:w="1559" w:type="dxa"/>
            <w:tcBorders>
              <w:top w:val="single" w:sz="8" w:space="0" w:color="auto"/>
              <w:left w:val="single" w:sz="2" w:space="0" w:color="auto"/>
              <w:bottom w:val="single" w:sz="8" w:space="0" w:color="auto"/>
              <w:right w:val="nil"/>
            </w:tcBorders>
            <w:vAlign w:val="center"/>
          </w:tcPr>
          <w:p w14:paraId="77407D71" w14:textId="77777777" w:rsidR="00FC2C12" w:rsidRDefault="00FC2C12" w:rsidP="00F65F41">
            <w:pPr>
              <w:pStyle w:val="TableCen"/>
            </w:pPr>
            <w:r>
              <w:t>May 2016</w:t>
            </w:r>
          </w:p>
        </w:tc>
      </w:tr>
      <w:tr w:rsidR="009922AD" w14:paraId="3710FF7F" w14:textId="77777777" w:rsidTr="00D75AE3">
        <w:trPr>
          <w:trHeight w:val="340"/>
        </w:trPr>
        <w:tc>
          <w:tcPr>
            <w:tcW w:w="1134" w:type="dxa"/>
            <w:tcBorders>
              <w:top w:val="single" w:sz="8" w:space="0" w:color="auto"/>
              <w:left w:val="nil"/>
              <w:bottom w:val="single" w:sz="12" w:space="0" w:color="auto"/>
              <w:right w:val="nil"/>
            </w:tcBorders>
            <w:vAlign w:val="center"/>
          </w:tcPr>
          <w:p w14:paraId="6398929C" w14:textId="77777777" w:rsidR="009922AD" w:rsidRDefault="009922AD" w:rsidP="009922AD">
            <w:pPr>
              <w:pStyle w:val="TableCen"/>
            </w:pPr>
            <w:r>
              <w:t>3.0</w:t>
            </w:r>
          </w:p>
        </w:tc>
        <w:tc>
          <w:tcPr>
            <w:tcW w:w="1276" w:type="dxa"/>
            <w:tcBorders>
              <w:top w:val="single" w:sz="8" w:space="0" w:color="auto"/>
              <w:left w:val="single" w:sz="2" w:space="0" w:color="auto"/>
              <w:bottom w:val="single" w:sz="12" w:space="0" w:color="auto"/>
              <w:right w:val="single" w:sz="2" w:space="0" w:color="auto"/>
            </w:tcBorders>
            <w:vAlign w:val="center"/>
          </w:tcPr>
          <w:p w14:paraId="6F3D4389" w14:textId="77777777" w:rsidR="009922AD" w:rsidRPr="00B135C6" w:rsidRDefault="009922AD" w:rsidP="009922AD">
            <w:pPr>
              <w:pStyle w:val="TableCen"/>
            </w:pPr>
            <w:r>
              <w:t>General</w:t>
            </w:r>
          </w:p>
        </w:tc>
        <w:tc>
          <w:tcPr>
            <w:tcW w:w="5387" w:type="dxa"/>
            <w:tcBorders>
              <w:top w:val="single" w:sz="8" w:space="0" w:color="auto"/>
              <w:left w:val="single" w:sz="2" w:space="0" w:color="auto"/>
              <w:bottom w:val="single" w:sz="12" w:space="0" w:color="auto"/>
              <w:right w:val="single" w:sz="2" w:space="0" w:color="auto"/>
            </w:tcBorders>
            <w:vAlign w:val="center"/>
          </w:tcPr>
          <w:p w14:paraId="1C54D695" w14:textId="77777777" w:rsidR="009922AD" w:rsidRPr="00B135C6" w:rsidRDefault="009922AD" w:rsidP="009922AD">
            <w:pPr>
              <w:pStyle w:val="Table"/>
            </w:pPr>
            <w:r w:rsidRPr="00AB07DE">
              <w:t>Document name changed from ‘Reference Specifications for Civil Engineering Work’ to ‘Reference Specifications for Engineering Work’</w:t>
            </w:r>
          </w:p>
        </w:tc>
        <w:tc>
          <w:tcPr>
            <w:tcW w:w="1559" w:type="dxa"/>
            <w:tcBorders>
              <w:top w:val="single" w:sz="8" w:space="0" w:color="auto"/>
              <w:left w:val="nil"/>
              <w:bottom w:val="single" w:sz="12" w:space="0" w:color="auto"/>
              <w:right w:val="nil"/>
            </w:tcBorders>
            <w:vAlign w:val="center"/>
          </w:tcPr>
          <w:p w14:paraId="7DB8D6AF" w14:textId="5A11F29A" w:rsidR="009922AD" w:rsidRDefault="009922AD" w:rsidP="009922AD">
            <w:pPr>
              <w:pStyle w:val="TableCen"/>
            </w:pPr>
            <w:r>
              <w:t>Mar 2021</w:t>
            </w:r>
          </w:p>
        </w:tc>
      </w:tr>
    </w:tbl>
    <w:p w14:paraId="222671CC" w14:textId="77777777" w:rsidR="00CB56FC" w:rsidRDefault="00CB56FC" w:rsidP="00DE4D9F">
      <w:pPr>
        <w:pStyle w:val="BodyTextIndent"/>
      </w:pPr>
    </w:p>
    <w:p w14:paraId="37E85D9A" w14:textId="77777777" w:rsidR="00CB56FC" w:rsidRDefault="00CB56FC" w:rsidP="00DE4D9F">
      <w:pPr>
        <w:pStyle w:val="BodyTextIndent"/>
      </w:pPr>
    </w:p>
    <w:p w14:paraId="685BA327" w14:textId="77777777" w:rsidR="00DE4D9F" w:rsidRDefault="00DE4D9F" w:rsidP="00DE4D9F">
      <w:pPr>
        <w:pStyle w:val="BodyTextIndent"/>
        <w:sectPr w:rsidR="00DE4D9F" w:rsidSect="001F61EC">
          <w:headerReference w:type="default" r:id="rId13"/>
          <w:footerReference w:type="default" r:id="rId14"/>
          <w:pgSz w:w="11906" w:h="16838" w:code="9"/>
          <w:pgMar w:top="1134" w:right="1134" w:bottom="992" w:left="1418" w:header="1134" w:footer="851" w:gutter="0"/>
          <w:pgNumType w:fmt="lowerRoman" w:start="1"/>
          <w:cols w:space="720"/>
          <w:noEndnote/>
        </w:sectPr>
      </w:pPr>
    </w:p>
    <w:p w14:paraId="1E8EF094" w14:textId="77777777" w:rsidR="00CB56FC" w:rsidRDefault="00F51C59" w:rsidP="00DE4D9F">
      <w:pPr>
        <w:pStyle w:val="BodyTextIndentBoldItalicCen"/>
      </w:pPr>
      <w:r>
        <w:lastRenderedPageBreak/>
        <w:t>(</w:t>
      </w:r>
      <w:r w:rsidR="00DE4D9F" w:rsidRPr="0035457F">
        <w:t xml:space="preserve">Page </w:t>
      </w:r>
      <w:r w:rsidRPr="0035457F">
        <w:t>Left Intentionally Blank</w:t>
      </w:r>
      <w:r>
        <w:t>)</w:t>
      </w:r>
    </w:p>
    <w:p w14:paraId="6CB01656" w14:textId="77777777" w:rsidR="00CB56FC" w:rsidRDefault="00CB56FC" w:rsidP="00DE4D9F">
      <w:pPr>
        <w:pStyle w:val="BodyTextIndent"/>
        <w:sectPr w:rsidR="00CB56FC" w:rsidSect="00DE4D9F">
          <w:pgSz w:w="11906" w:h="16838" w:code="9"/>
          <w:pgMar w:top="1134" w:right="1134" w:bottom="992" w:left="1418" w:header="1134" w:footer="851" w:gutter="0"/>
          <w:pgNumType w:fmt="lowerRoman" w:start="1"/>
          <w:cols w:space="720"/>
          <w:vAlign w:val="center"/>
          <w:noEndnote/>
        </w:sectPr>
      </w:pPr>
    </w:p>
    <w:p w14:paraId="3A55C067" w14:textId="77777777" w:rsidR="00F34EB3" w:rsidRDefault="00F34EB3" w:rsidP="00D75AE3">
      <w:pPr>
        <w:pStyle w:val="Heading2"/>
        <w:numPr>
          <w:ilvl w:val="0"/>
          <w:numId w:val="0"/>
        </w:numPr>
        <w:ind w:left="720" w:hanging="720"/>
      </w:pPr>
      <w:r>
        <w:lastRenderedPageBreak/>
        <w:t>TABLE OF CONTENTS</w:t>
      </w:r>
    </w:p>
    <w:p w14:paraId="23DA54E4" w14:textId="7702849F" w:rsidR="00A25C40" w:rsidRDefault="00A25C40">
      <w:pPr>
        <w:pStyle w:val="TOC1"/>
        <w:rPr>
          <w:rFonts w:asciiTheme="minorHAnsi" w:eastAsiaTheme="minorEastAsia" w:hAnsiTheme="minorHAnsi" w:cstheme="minorBidi"/>
          <w:b w:val="0"/>
          <w:caps w:val="0"/>
          <w:sz w:val="22"/>
          <w:szCs w:val="22"/>
        </w:rPr>
      </w:pPr>
      <w:r>
        <w:rPr>
          <w:b w:val="0"/>
          <w:caps w:val="0"/>
          <w:sz w:val="22"/>
        </w:rPr>
        <w:fldChar w:fldCharType="begin"/>
      </w:r>
      <w:r>
        <w:rPr>
          <w:b w:val="0"/>
          <w:caps w:val="0"/>
          <w:sz w:val="22"/>
        </w:rPr>
        <w:instrText xml:space="preserve"> TOC \t "Heading 2,1,Heading 3,2" </w:instrText>
      </w:r>
      <w:r>
        <w:rPr>
          <w:b w:val="0"/>
          <w:caps w:val="0"/>
          <w:sz w:val="22"/>
        </w:rPr>
        <w:fldChar w:fldCharType="separate"/>
      </w:r>
      <w:r>
        <w:t>1.0</w:t>
      </w:r>
      <w:r>
        <w:rPr>
          <w:rFonts w:asciiTheme="minorHAnsi" w:eastAsiaTheme="minorEastAsia" w:hAnsiTheme="minorHAnsi" w:cstheme="minorBidi"/>
          <w:b w:val="0"/>
          <w:caps w:val="0"/>
          <w:sz w:val="22"/>
          <w:szCs w:val="22"/>
        </w:rPr>
        <w:tab/>
      </w:r>
      <w:r>
        <w:t>GENERAL</w:t>
      </w:r>
      <w:r>
        <w:tab/>
      </w:r>
      <w:r>
        <w:fldChar w:fldCharType="begin"/>
      </w:r>
      <w:r>
        <w:instrText xml:space="preserve"> PAGEREF _Toc76044638 \h </w:instrText>
      </w:r>
      <w:r>
        <w:fldChar w:fldCharType="separate"/>
      </w:r>
      <w:r>
        <w:t>1</w:t>
      </w:r>
      <w:r>
        <w:fldChar w:fldCharType="end"/>
      </w:r>
    </w:p>
    <w:p w14:paraId="09F76FDF" w14:textId="60A8C656" w:rsidR="00A25C40" w:rsidRDefault="00A25C40">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_Toc76044639 \h </w:instrText>
      </w:r>
      <w:r>
        <w:rPr>
          <w:noProof/>
        </w:rPr>
      </w:r>
      <w:r>
        <w:rPr>
          <w:noProof/>
        </w:rPr>
        <w:fldChar w:fldCharType="separate"/>
      </w:r>
      <w:r>
        <w:rPr>
          <w:noProof/>
        </w:rPr>
        <w:t>1</w:t>
      </w:r>
      <w:r>
        <w:rPr>
          <w:noProof/>
        </w:rPr>
        <w:fldChar w:fldCharType="end"/>
      </w:r>
    </w:p>
    <w:p w14:paraId="748B6499" w14:textId="7F4A789D" w:rsidR="00A25C40" w:rsidRDefault="00A25C40">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_Toc76044640 \h </w:instrText>
      </w:r>
      <w:r>
        <w:rPr>
          <w:noProof/>
        </w:rPr>
      </w:r>
      <w:r>
        <w:rPr>
          <w:noProof/>
        </w:rPr>
        <w:fldChar w:fldCharType="separate"/>
      </w:r>
      <w:r>
        <w:rPr>
          <w:noProof/>
        </w:rPr>
        <w:t>1</w:t>
      </w:r>
      <w:r>
        <w:rPr>
          <w:noProof/>
        </w:rPr>
        <w:fldChar w:fldCharType="end"/>
      </w:r>
    </w:p>
    <w:p w14:paraId="229F3054" w14:textId="31EAF5B9" w:rsidR="00A25C40" w:rsidRDefault="00A25C40">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_Toc76044641 \h </w:instrText>
      </w:r>
      <w:r>
        <w:rPr>
          <w:noProof/>
        </w:rPr>
      </w:r>
      <w:r>
        <w:rPr>
          <w:noProof/>
        </w:rPr>
        <w:fldChar w:fldCharType="separate"/>
      </w:r>
      <w:r>
        <w:rPr>
          <w:noProof/>
        </w:rPr>
        <w:t>1</w:t>
      </w:r>
      <w:r>
        <w:rPr>
          <w:noProof/>
        </w:rPr>
        <w:fldChar w:fldCharType="end"/>
      </w:r>
    </w:p>
    <w:p w14:paraId="500DCBF9" w14:textId="4E18FEBC" w:rsidR="00A25C40" w:rsidRDefault="00A25C40">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_Toc76044642 \h </w:instrText>
      </w:r>
      <w:r>
        <w:fldChar w:fldCharType="separate"/>
      </w:r>
      <w:r>
        <w:t>1</w:t>
      </w:r>
      <w:r>
        <w:fldChar w:fldCharType="end"/>
      </w:r>
    </w:p>
    <w:p w14:paraId="3C56F7E8" w14:textId="28C03261" w:rsidR="00A25C40" w:rsidRDefault="00A25C40">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_Toc76044643 \h </w:instrText>
      </w:r>
      <w:r>
        <w:rPr>
          <w:noProof/>
        </w:rPr>
      </w:r>
      <w:r>
        <w:rPr>
          <w:noProof/>
        </w:rPr>
        <w:fldChar w:fldCharType="separate"/>
      </w:r>
      <w:r>
        <w:rPr>
          <w:noProof/>
        </w:rPr>
        <w:t>1</w:t>
      </w:r>
      <w:r>
        <w:rPr>
          <w:noProof/>
        </w:rPr>
        <w:fldChar w:fldCharType="end"/>
      </w:r>
    </w:p>
    <w:p w14:paraId="6F71610F" w14:textId="60F1ABC2" w:rsidR="00A25C40" w:rsidRDefault="00A25C40">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_Toc76044644 \h </w:instrText>
      </w:r>
      <w:r>
        <w:rPr>
          <w:noProof/>
        </w:rPr>
      </w:r>
      <w:r>
        <w:rPr>
          <w:noProof/>
        </w:rPr>
        <w:fldChar w:fldCharType="separate"/>
      </w:r>
      <w:r>
        <w:rPr>
          <w:noProof/>
        </w:rPr>
        <w:t>1</w:t>
      </w:r>
      <w:r>
        <w:rPr>
          <w:noProof/>
        </w:rPr>
        <w:fldChar w:fldCharType="end"/>
      </w:r>
    </w:p>
    <w:p w14:paraId="6BA57E39" w14:textId="565C4DD1" w:rsidR="00A25C40" w:rsidRDefault="00A25C40">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materials and components</w:t>
      </w:r>
      <w:r>
        <w:tab/>
      </w:r>
      <w:r>
        <w:fldChar w:fldCharType="begin"/>
      </w:r>
      <w:r>
        <w:instrText xml:space="preserve"> PAGEREF _Toc76044645 \h </w:instrText>
      </w:r>
      <w:r>
        <w:fldChar w:fldCharType="separate"/>
      </w:r>
      <w:r>
        <w:t>2</w:t>
      </w:r>
      <w:r>
        <w:fldChar w:fldCharType="end"/>
      </w:r>
    </w:p>
    <w:p w14:paraId="46E841A0" w14:textId="0011385D" w:rsidR="00A25C40" w:rsidRDefault="00A25C40">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Coatings</w:t>
      </w:r>
      <w:r>
        <w:rPr>
          <w:noProof/>
        </w:rPr>
        <w:tab/>
      </w:r>
      <w:r>
        <w:rPr>
          <w:noProof/>
        </w:rPr>
        <w:fldChar w:fldCharType="begin"/>
      </w:r>
      <w:r>
        <w:rPr>
          <w:noProof/>
        </w:rPr>
        <w:instrText xml:space="preserve"> PAGEREF _Toc76044646 \h </w:instrText>
      </w:r>
      <w:r>
        <w:rPr>
          <w:noProof/>
        </w:rPr>
      </w:r>
      <w:r>
        <w:rPr>
          <w:noProof/>
        </w:rPr>
        <w:fldChar w:fldCharType="separate"/>
      </w:r>
      <w:r>
        <w:rPr>
          <w:noProof/>
        </w:rPr>
        <w:t>2</w:t>
      </w:r>
      <w:r>
        <w:rPr>
          <w:noProof/>
        </w:rPr>
        <w:fldChar w:fldCharType="end"/>
      </w:r>
    </w:p>
    <w:p w14:paraId="572A66C6" w14:textId="0E4025EE" w:rsidR="00A25C40" w:rsidRDefault="00A25C40">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Colour Selection</w:t>
      </w:r>
      <w:r>
        <w:rPr>
          <w:noProof/>
        </w:rPr>
        <w:tab/>
      </w:r>
      <w:r>
        <w:rPr>
          <w:noProof/>
        </w:rPr>
        <w:fldChar w:fldCharType="begin"/>
      </w:r>
      <w:r>
        <w:rPr>
          <w:noProof/>
        </w:rPr>
        <w:instrText xml:space="preserve"> PAGEREF _Toc76044647 \h </w:instrText>
      </w:r>
      <w:r>
        <w:rPr>
          <w:noProof/>
        </w:rPr>
      </w:r>
      <w:r>
        <w:rPr>
          <w:noProof/>
        </w:rPr>
        <w:fldChar w:fldCharType="separate"/>
      </w:r>
      <w:r>
        <w:rPr>
          <w:noProof/>
        </w:rPr>
        <w:t>2</w:t>
      </w:r>
      <w:r>
        <w:rPr>
          <w:noProof/>
        </w:rPr>
        <w:fldChar w:fldCharType="end"/>
      </w:r>
    </w:p>
    <w:p w14:paraId="10B596FE" w14:textId="6B96B4F1" w:rsidR="00A25C40" w:rsidRDefault="00A25C40">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t>execution</w:t>
      </w:r>
      <w:r>
        <w:tab/>
      </w:r>
      <w:r>
        <w:fldChar w:fldCharType="begin"/>
      </w:r>
      <w:r>
        <w:instrText xml:space="preserve"> PAGEREF _Toc76044648 \h </w:instrText>
      </w:r>
      <w:r>
        <w:fldChar w:fldCharType="separate"/>
      </w:r>
      <w:r>
        <w:t>3</w:t>
      </w:r>
      <w:r>
        <w:fldChar w:fldCharType="end"/>
      </w:r>
    </w:p>
    <w:p w14:paraId="216E58AE" w14:textId="15AEB17A" w:rsidR="00A25C40" w:rsidRDefault="00A25C40">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_Toc76044649 \h </w:instrText>
      </w:r>
      <w:r>
        <w:rPr>
          <w:noProof/>
        </w:rPr>
      </w:r>
      <w:r>
        <w:rPr>
          <w:noProof/>
        </w:rPr>
        <w:fldChar w:fldCharType="separate"/>
      </w:r>
      <w:r>
        <w:rPr>
          <w:noProof/>
        </w:rPr>
        <w:t>3</w:t>
      </w:r>
      <w:r>
        <w:rPr>
          <w:noProof/>
        </w:rPr>
        <w:fldChar w:fldCharType="end"/>
      </w:r>
    </w:p>
    <w:p w14:paraId="214CCCDA" w14:textId="6E693765" w:rsidR="00A25C40" w:rsidRDefault="00A25C40">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Surface Preparation</w:t>
      </w:r>
      <w:r>
        <w:rPr>
          <w:noProof/>
        </w:rPr>
        <w:tab/>
      </w:r>
      <w:r>
        <w:rPr>
          <w:noProof/>
        </w:rPr>
        <w:fldChar w:fldCharType="begin"/>
      </w:r>
      <w:r>
        <w:rPr>
          <w:noProof/>
        </w:rPr>
        <w:instrText xml:space="preserve"> PAGEREF _Toc76044650 \h </w:instrText>
      </w:r>
      <w:r>
        <w:rPr>
          <w:noProof/>
        </w:rPr>
      </w:r>
      <w:r>
        <w:rPr>
          <w:noProof/>
        </w:rPr>
        <w:fldChar w:fldCharType="separate"/>
      </w:r>
      <w:r>
        <w:rPr>
          <w:noProof/>
        </w:rPr>
        <w:t>3</w:t>
      </w:r>
      <w:r>
        <w:rPr>
          <w:noProof/>
        </w:rPr>
        <w:fldChar w:fldCharType="end"/>
      </w:r>
    </w:p>
    <w:p w14:paraId="1A5B7F2B" w14:textId="2C99A915" w:rsidR="00A25C40" w:rsidRDefault="00A25C40">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Coating Systems</w:t>
      </w:r>
      <w:r>
        <w:rPr>
          <w:noProof/>
        </w:rPr>
        <w:tab/>
      </w:r>
      <w:r>
        <w:rPr>
          <w:noProof/>
        </w:rPr>
        <w:fldChar w:fldCharType="begin"/>
      </w:r>
      <w:r>
        <w:rPr>
          <w:noProof/>
        </w:rPr>
        <w:instrText xml:space="preserve"> PAGEREF _Toc76044651 \h </w:instrText>
      </w:r>
      <w:r>
        <w:rPr>
          <w:noProof/>
        </w:rPr>
      </w:r>
      <w:r>
        <w:rPr>
          <w:noProof/>
        </w:rPr>
        <w:fldChar w:fldCharType="separate"/>
      </w:r>
      <w:r>
        <w:rPr>
          <w:noProof/>
        </w:rPr>
        <w:t>3</w:t>
      </w:r>
      <w:r>
        <w:rPr>
          <w:noProof/>
        </w:rPr>
        <w:fldChar w:fldCharType="end"/>
      </w:r>
    </w:p>
    <w:p w14:paraId="432A6266" w14:textId="6E67176D" w:rsidR="00A25C40" w:rsidRDefault="00A25C40">
      <w:pPr>
        <w:pStyle w:val="TOC2"/>
        <w:rPr>
          <w:rFonts w:asciiTheme="minorHAnsi" w:eastAsiaTheme="minorEastAsia" w:hAnsiTheme="minorHAnsi" w:cstheme="minorBidi"/>
          <w:b w:val="0"/>
          <w:smallCaps w:val="0"/>
          <w:noProof/>
          <w:szCs w:val="22"/>
        </w:rPr>
      </w:pPr>
      <w:r>
        <w:rPr>
          <w:noProof/>
        </w:rPr>
        <w:t>4.4</w:t>
      </w:r>
      <w:r>
        <w:rPr>
          <w:rFonts w:asciiTheme="minorHAnsi" w:eastAsiaTheme="minorEastAsia" w:hAnsiTheme="minorHAnsi" w:cstheme="minorBidi"/>
          <w:b w:val="0"/>
          <w:smallCaps w:val="0"/>
          <w:noProof/>
          <w:szCs w:val="22"/>
        </w:rPr>
        <w:tab/>
      </w:r>
      <w:r>
        <w:rPr>
          <w:noProof/>
        </w:rPr>
        <w:t>Coating Application</w:t>
      </w:r>
      <w:r>
        <w:rPr>
          <w:noProof/>
        </w:rPr>
        <w:tab/>
      </w:r>
      <w:r>
        <w:rPr>
          <w:noProof/>
        </w:rPr>
        <w:fldChar w:fldCharType="begin"/>
      </w:r>
      <w:r>
        <w:rPr>
          <w:noProof/>
        </w:rPr>
        <w:instrText xml:space="preserve"> PAGEREF _Toc76044652 \h </w:instrText>
      </w:r>
      <w:r>
        <w:rPr>
          <w:noProof/>
        </w:rPr>
      </w:r>
      <w:r>
        <w:rPr>
          <w:noProof/>
        </w:rPr>
        <w:fldChar w:fldCharType="separate"/>
      </w:r>
      <w:r>
        <w:rPr>
          <w:noProof/>
        </w:rPr>
        <w:t>4</w:t>
      </w:r>
      <w:r>
        <w:rPr>
          <w:noProof/>
        </w:rPr>
        <w:fldChar w:fldCharType="end"/>
      </w:r>
    </w:p>
    <w:p w14:paraId="447938D2" w14:textId="4C0DAB5C" w:rsidR="00F65F41" w:rsidRDefault="00A25C40">
      <w:pPr>
        <w:jc w:val="both"/>
        <w:rPr>
          <w:b/>
          <w:caps/>
          <w:sz w:val="22"/>
        </w:rPr>
      </w:pPr>
      <w:r>
        <w:rPr>
          <w:b/>
          <w:caps/>
          <w:noProof/>
          <w:sz w:val="22"/>
        </w:rPr>
        <w:fldChar w:fldCharType="end"/>
      </w:r>
    </w:p>
    <w:p w14:paraId="7985AEC5" w14:textId="77777777" w:rsidR="00F65F41" w:rsidRDefault="00F65F41">
      <w:pPr>
        <w:jc w:val="both"/>
        <w:rPr>
          <w:b/>
          <w:caps/>
          <w:sz w:val="22"/>
        </w:rPr>
      </w:pPr>
    </w:p>
    <w:p w14:paraId="188EBDA5" w14:textId="77777777" w:rsidR="00F65F41" w:rsidRDefault="00F65F41">
      <w:pPr>
        <w:jc w:val="both"/>
        <w:sectPr w:rsidR="00F65F41" w:rsidSect="00CB56FC">
          <w:footerReference w:type="default" r:id="rId15"/>
          <w:pgSz w:w="11906" w:h="16838" w:code="9"/>
          <w:pgMar w:top="1134" w:right="1134" w:bottom="992" w:left="1418" w:header="1134" w:footer="851" w:gutter="0"/>
          <w:pgNumType w:fmt="lowerRoman" w:start="1"/>
          <w:cols w:space="720"/>
          <w:noEndnote/>
        </w:sectPr>
      </w:pPr>
    </w:p>
    <w:p w14:paraId="370E2302" w14:textId="77777777" w:rsidR="00F65F41" w:rsidRDefault="00F51C59" w:rsidP="00DE4D9F">
      <w:pPr>
        <w:pStyle w:val="BodyTextIndentBoldItalicCen"/>
      </w:pPr>
      <w:bookmarkStart w:id="9" w:name="_Toc493942064"/>
      <w:bookmarkStart w:id="10" w:name="_Toc493986903"/>
      <w:r>
        <w:lastRenderedPageBreak/>
        <w:t>(</w:t>
      </w:r>
      <w:r w:rsidR="00DE4D9F" w:rsidRPr="0035457F">
        <w:t xml:space="preserve">Page </w:t>
      </w:r>
      <w:r w:rsidRPr="0035457F">
        <w:t>Left Intentionally Blank</w:t>
      </w:r>
      <w:r>
        <w:t>)</w:t>
      </w:r>
    </w:p>
    <w:p w14:paraId="3461C2D1" w14:textId="77777777" w:rsidR="00F65F41" w:rsidRDefault="00F65F41">
      <w:pPr>
        <w:jc w:val="both"/>
        <w:sectPr w:rsidR="00F65F41" w:rsidSect="00DE4D9F">
          <w:footerReference w:type="default" r:id="rId16"/>
          <w:pgSz w:w="11906" w:h="16838" w:code="9"/>
          <w:pgMar w:top="1134" w:right="1134" w:bottom="992" w:left="1418" w:header="1134" w:footer="851" w:gutter="0"/>
          <w:pgNumType w:fmt="lowerLetter"/>
          <w:cols w:space="720"/>
          <w:vAlign w:val="center"/>
          <w:noEndnote/>
        </w:sectPr>
      </w:pPr>
    </w:p>
    <w:p w14:paraId="257BA385" w14:textId="77777777" w:rsidR="00F65F41" w:rsidRPr="00D100F4" w:rsidRDefault="00F65F41" w:rsidP="00D100F4">
      <w:pPr>
        <w:pStyle w:val="Heading2"/>
      </w:pPr>
      <w:bookmarkStart w:id="11" w:name="_Toc493942089"/>
      <w:bookmarkStart w:id="12" w:name="_Toc493986928"/>
      <w:bookmarkStart w:id="13" w:name="_Toc76044638"/>
      <w:bookmarkEnd w:id="9"/>
      <w:bookmarkEnd w:id="10"/>
      <w:r w:rsidRPr="00D100F4">
        <w:lastRenderedPageBreak/>
        <w:t>GENERAL</w:t>
      </w:r>
      <w:bookmarkEnd w:id="11"/>
      <w:bookmarkEnd w:id="12"/>
      <w:bookmarkEnd w:id="13"/>
    </w:p>
    <w:p w14:paraId="133CE5C2" w14:textId="77777777" w:rsidR="00F65F41" w:rsidRPr="00D100F4" w:rsidRDefault="00FC2C12" w:rsidP="00D100F4">
      <w:pPr>
        <w:pStyle w:val="Heading3"/>
      </w:pPr>
      <w:bookmarkStart w:id="14" w:name="_Toc76044639"/>
      <w:r w:rsidRPr="00D100F4">
        <w:t>Section Content</w:t>
      </w:r>
      <w:bookmarkEnd w:id="14"/>
    </w:p>
    <w:p w14:paraId="2246FF0C" w14:textId="77777777" w:rsidR="00F65F41" w:rsidRDefault="00F65F41" w:rsidP="00034D07">
      <w:pPr>
        <w:pStyle w:val="BodyTextIndent"/>
      </w:pPr>
      <w:r w:rsidRPr="00340EAE">
        <w:rPr>
          <w:u w:val="single"/>
        </w:rPr>
        <w:t>Specified in this section</w:t>
      </w:r>
      <w:r>
        <w:t>: Coatings, colour selection, surface preparation, coating systems and applications.</w:t>
      </w:r>
    </w:p>
    <w:p w14:paraId="18B33259" w14:textId="77777777" w:rsidR="00344EF3" w:rsidRDefault="00344EF3" w:rsidP="00D100F4">
      <w:pPr>
        <w:pStyle w:val="Heading3"/>
      </w:pPr>
      <w:bookmarkStart w:id="15" w:name="_Toc76044640"/>
      <w:r w:rsidRPr="00FC2C12">
        <w:t>Standards</w:t>
      </w:r>
      <w:bookmarkEnd w:id="15"/>
    </w:p>
    <w:tbl>
      <w:tblPr>
        <w:tblW w:w="8789" w:type="dxa"/>
        <w:tblInd w:w="817" w:type="dxa"/>
        <w:tblLook w:val="0400" w:firstRow="0" w:lastRow="0" w:firstColumn="0" w:lastColumn="0" w:noHBand="0" w:noVBand="1"/>
      </w:tblPr>
      <w:tblGrid>
        <w:gridCol w:w="2308"/>
        <w:gridCol w:w="1677"/>
        <w:gridCol w:w="4804"/>
      </w:tblGrid>
      <w:tr w:rsidR="001E1303" w:rsidRPr="001E1303" w14:paraId="0F65FECB" w14:textId="77777777" w:rsidTr="00D100F4">
        <w:trPr>
          <w:trHeight w:val="340"/>
        </w:trPr>
        <w:tc>
          <w:tcPr>
            <w:tcW w:w="2308" w:type="dxa"/>
            <w:vAlign w:val="center"/>
          </w:tcPr>
          <w:p w14:paraId="2D9F42A5" w14:textId="77777777" w:rsidR="001E1303" w:rsidRPr="001E1303" w:rsidRDefault="001E1303" w:rsidP="001E1303">
            <w:pPr>
              <w:pStyle w:val="Table"/>
            </w:pPr>
            <w:r w:rsidRPr="001E1303">
              <w:t>Australian/New Zealand Standard</w:t>
            </w:r>
          </w:p>
        </w:tc>
        <w:tc>
          <w:tcPr>
            <w:tcW w:w="1677" w:type="dxa"/>
            <w:vAlign w:val="center"/>
          </w:tcPr>
          <w:p w14:paraId="51CC8444" w14:textId="77777777" w:rsidR="001E1303" w:rsidRPr="00F32AAF" w:rsidRDefault="001E1303" w:rsidP="002C3513">
            <w:pPr>
              <w:pStyle w:val="TableCen"/>
            </w:pPr>
            <w:r w:rsidRPr="002C3513">
              <w:t>AS/NZS </w:t>
            </w:r>
            <w:r w:rsidRPr="008265C8">
              <w:t>2310</w:t>
            </w:r>
          </w:p>
        </w:tc>
        <w:tc>
          <w:tcPr>
            <w:tcW w:w="4804" w:type="dxa"/>
            <w:vAlign w:val="center"/>
          </w:tcPr>
          <w:p w14:paraId="2DFAF3C1" w14:textId="77777777" w:rsidR="001E1303" w:rsidRPr="00F32AAF" w:rsidRDefault="001E1303" w:rsidP="002C3513">
            <w:pPr>
              <w:pStyle w:val="Table"/>
            </w:pPr>
            <w:r w:rsidRPr="00F32AAF">
              <w:t>Glossary of paint and painting terms</w:t>
            </w:r>
          </w:p>
        </w:tc>
      </w:tr>
      <w:tr w:rsidR="001E1303" w:rsidRPr="001E1303" w14:paraId="559C0D29" w14:textId="77777777" w:rsidTr="00D100F4">
        <w:trPr>
          <w:trHeight w:val="340"/>
        </w:trPr>
        <w:tc>
          <w:tcPr>
            <w:tcW w:w="2308" w:type="dxa"/>
            <w:vAlign w:val="center"/>
          </w:tcPr>
          <w:p w14:paraId="56EC76C1" w14:textId="77777777" w:rsidR="001E1303" w:rsidRPr="001E1303" w:rsidRDefault="001E1303" w:rsidP="001E1303">
            <w:pPr>
              <w:pStyle w:val="Table"/>
            </w:pPr>
            <w:r w:rsidRPr="001E1303">
              <w:t>Australian/New Zealand Standard</w:t>
            </w:r>
          </w:p>
        </w:tc>
        <w:tc>
          <w:tcPr>
            <w:tcW w:w="1677" w:type="dxa"/>
            <w:vAlign w:val="center"/>
          </w:tcPr>
          <w:p w14:paraId="4894AF1E" w14:textId="77777777" w:rsidR="001E1303" w:rsidRPr="00F32AAF" w:rsidRDefault="001E1303" w:rsidP="002C3513">
            <w:pPr>
              <w:pStyle w:val="TableCen"/>
            </w:pPr>
            <w:r w:rsidRPr="002C3513">
              <w:t>AS/NZS </w:t>
            </w:r>
            <w:r w:rsidRPr="008265C8">
              <w:t>2311</w:t>
            </w:r>
          </w:p>
        </w:tc>
        <w:tc>
          <w:tcPr>
            <w:tcW w:w="4804" w:type="dxa"/>
            <w:vAlign w:val="center"/>
          </w:tcPr>
          <w:p w14:paraId="0B0EE60C" w14:textId="77777777" w:rsidR="001E1303" w:rsidRPr="00F32AAF" w:rsidRDefault="001E1303" w:rsidP="002C3513">
            <w:pPr>
              <w:pStyle w:val="Table"/>
            </w:pPr>
            <w:r w:rsidRPr="00F32AAF">
              <w:t>Guide to the painting of buildings</w:t>
            </w:r>
          </w:p>
        </w:tc>
      </w:tr>
      <w:tr w:rsidR="001E1303" w:rsidRPr="001E1303" w14:paraId="48652216" w14:textId="77777777" w:rsidTr="00D100F4">
        <w:trPr>
          <w:trHeight w:val="340"/>
        </w:trPr>
        <w:tc>
          <w:tcPr>
            <w:tcW w:w="2308" w:type="dxa"/>
            <w:vAlign w:val="center"/>
          </w:tcPr>
          <w:p w14:paraId="5EB1BD94" w14:textId="77777777" w:rsidR="001E1303" w:rsidRPr="001E1303" w:rsidRDefault="001E1303" w:rsidP="001E1303">
            <w:pPr>
              <w:pStyle w:val="Table"/>
            </w:pPr>
            <w:r w:rsidRPr="001E1303">
              <w:t>Australian Standard</w:t>
            </w:r>
          </w:p>
        </w:tc>
        <w:tc>
          <w:tcPr>
            <w:tcW w:w="1677" w:type="dxa"/>
            <w:vAlign w:val="center"/>
          </w:tcPr>
          <w:p w14:paraId="63C2AEE1" w14:textId="77777777" w:rsidR="001E1303" w:rsidRPr="00F32AAF" w:rsidRDefault="001E1303" w:rsidP="002C3513">
            <w:pPr>
              <w:pStyle w:val="TableCen"/>
            </w:pPr>
            <w:r w:rsidRPr="002C3513">
              <w:t>AS </w:t>
            </w:r>
            <w:r w:rsidRPr="008265C8">
              <w:t>2700</w:t>
            </w:r>
          </w:p>
        </w:tc>
        <w:tc>
          <w:tcPr>
            <w:tcW w:w="4804" w:type="dxa"/>
            <w:vAlign w:val="center"/>
          </w:tcPr>
          <w:p w14:paraId="3EBBDEF5" w14:textId="77777777" w:rsidR="001E1303" w:rsidRPr="00F32AAF" w:rsidRDefault="001E1303" w:rsidP="002C3513">
            <w:pPr>
              <w:pStyle w:val="Table"/>
            </w:pPr>
            <w:r w:rsidRPr="00F32AAF">
              <w:t>Colour standards for general purpose</w:t>
            </w:r>
          </w:p>
        </w:tc>
      </w:tr>
    </w:tbl>
    <w:p w14:paraId="6AD991F6" w14:textId="77777777" w:rsidR="00F65F41" w:rsidRPr="00FC2C12" w:rsidRDefault="00FC2C12" w:rsidP="00D100F4">
      <w:pPr>
        <w:pStyle w:val="Heading3"/>
      </w:pPr>
      <w:bookmarkStart w:id="16" w:name="_Toc76044641"/>
      <w:r w:rsidRPr="00FC2C12">
        <w:t>References</w:t>
      </w:r>
      <w:bookmarkEnd w:id="16"/>
    </w:p>
    <w:p w14:paraId="37C180C1" w14:textId="6B7E8DE7" w:rsidR="00F65F41" w:rsidRDefault="00F65F41" w:rsidP="00034D07">
      <w:pPr>
        <w:pStyle w:val="BodyTextIndent"/>
      </w:pPr>
      <w:r w:rsidRPr="00AC247E">
        <w:t>Refer to the following other Reference Specifications</w:t>
      </w:r>
      <w:r w:rsidR="00FC2C12" w:rsidRPr="00AC247E">
        <w:t xml:space="preserve"> for Engineering </w:t>
      </w:r>
      <w:r w:rsidR="001E1303" w:rsidRPr="00AC247E">
        <w:t>Work</w:t>
      </w:r>
      <w:r w:rsidRPr="00AC247E">
        <w:t>:</w:t>
      </w:r>
      <w:permStart w:id="792015459" w:edGrp="everyone"/>
      <w:permEnd w:id="792015459"/>
    </w:p>
    <w:tbl>
      <w:tblPr>
        <w:tblW w:w="8789" w:type="dxa"/>
        <w:tblInd w:w="817" w:type="dxa"/>
        <w:tblLook w:val="0400" w:firstRow="0" w:lastRow="0" w:firstColumn="0" w:lastColumn="0" w:noHBand="0" w:noVBand="1"/>
      </w:tblPr>
      <w:tblGrid>
        <w:gridCol w:w="973"/>
        <w:gridCol w:w="7816"/>
      </w:tblGrid>
      <w:tr w:rsidR="001E1303" w:rsidRPr="00E915F1" w14:paraId="7F7FF5E3" w14:textId="77777777" w:rsidTr="00D100F4">
        <w:trPr>
          <w:trHeight w:val="340"/>
        </w:trPr>
        <w:tc>
          <w:tcPr>
            <w:tcW w:w="973" w:type="dxa"/>
            <w:vAlign w:val="center"/>
          </w:tcPr>
          <w:p w14:paraId="157545A8" w14:textId="77777777" w:rsidR="001E1303" w:rsidRPr="00E915F1" w:rsidRDefault="001E1303" w:rsidP="00336401">
            <w:pPr>
              <w:pStyle w:val="TableCen"/>
            </w:pPr>
            <w:r w:rsidRPr="00E915F1">
              <w:t>S110</w:t>
            </w:r>
          </w:p>
        </w:tc>
        <w:tc>
          <w:tcPr>
            <w:tcW w:w="7816" w:type="dxa"/>
            <w:vAlign w:val="center"/>
          </w:tcPr>
          <w:p w14:paraId="4EFDF3D4" w14:textId="77777777" w:rsidR="001E1303" w:rsidRPr="00E915F1" w:rsidRDefault="001E1303" w:rsidP="00336401">
            <w:pPr>
              <w:pStyle w:val="Table"/>
            </w:pPr>
            <w:r w:rsidRPr="00E915F1">
              <w:t>General Requirements</w:t>
            </w:r>
          </w:p>
        </w:tc>
      </w:tr>
      <w:tr w:rsidR="001E1303" w:rsidRPr="00E915F1" w14:paraId="388BDC58" w14:textId="77777777" w:rsidTr="00D100F4">
        <w:trPr>
          <w:trHeight w:val="340"/>
        </w:trPr>
        <w:tc>
          <w:tcPr>
            <w:tcW w:w="973" w:type="dxa"/>
            <w:vAlign w:val="center"/>
          </w:tcPr>
          <w:p w14:paraId="6B08F88D" w14:textId="77777777" w:rsidR="001E1303" w:rsidRPr="00E915F1" w:rsidRDefault="001E1303" w:rsidP="00336401">
            <w:pPr>
              <w:pStyle w:val="TableCen"/>
            </w:pPr>
            <w:r w:rsidRPr="00034D07">
              <w:t>S230</w:t>
            </w:r>
          </w:p>
        </w:tc>
        <w:tc>
          <w:tcPr>
            <w:tcW w:w="7816" w:type="dxa"/>
            <w:vAlign w:val="center"/>
          </w:tcPr>
          <w:p w14:paraId="5234396D" w14:textId="77777777" w:rsidR="001E1303" w:rsidRPr="00E915F1" w:rsidRDefault="001E1303" w:rsidP="00336401">
            <w:pPr>
              <w:pStyle w:val="Table"/>
            </w:pPr>
            <w:r w:rsidRPr="00034D07">
              <w:t>Structura</w:t>
            </w:r>
            <w:r>
              <w:t>l Steel</w:t>
            </w:r>
          </w:p>
        </w:tc>
      </w:tr>
    </w:tbl>
    <w:p w14:paraId="6890FC53" w14:textId="77777777" w:rsidR="00F65F41" w:rsidRDefault="00F65F41" w:rsidP="00D100F4">
      <w:pPr>
        <w:pStyle w:val="Heading2"/>
      </w:pPr>
      <w:bookmarkStart w:id="17" w:name="_Toc493942090"/>
      <w:bookmarkStart w:id="18" w:name="_Toc493986929"/>
      <w:bookmarkStart w:id="19" w:name="_Toc76044642"/>
      <w:r>
        <w:t>QUALITY</w:t>
      </w:r>
      <w:bookmarkEnd w:id="17"/>
      <w:bookmarkEnd w:id="18"/>
      <w:bookmarkEnd w:id="19"/>
    </w:p>
    <w:p w14:paraId="1D2CEC9F" w14:textId="77777777" w:rsidR="00F65F41" w:rsidRPr="00FC2C12" w:rsidRDefault="00FC2C12" w:rsidP="00D100F4">
      <w:pPr>
        <w:pStyle w:val="Heading3"/>
      </w:pPr>
      <w:bookmarkStart w:id="20" w:name="_Toc76044643"/>
      <w:r w:rsidRPr="00FC2C12">
        <w:t>Inspection</w:t>
      </w:r>
      <w:bookmarkEnd w:id="20"/>
    </w:p>
    <w:p w14:paraId="5F7E5BE3" w14:textId="77777777" w:rsidR="00F65F41" w:rsidRPr="007F2910" w:rsidRDefault="00F65F41" w:rsidP="007F2910">
      <w:pPr>
        <w:pStyle w:val="BodyTextIndentBoldUnderline"/>
      </w:pPr>
      <w:r w:rsidRPr="007F2910">
        <w:t xml:space="preserve">Witness points </w:t>
      </w:r>
      <w:r w:rsidR="007F2910">
        <w:t>–</w:t>
      </w:r>
      <w:r w:rsidRPr="007F2910">
        <w:t xml:space="preserve"> coating stages</w:t>
      </w:r>
    </w:p>
    <w:p w14:paraId="0D98024A" w14:textId="77777777" w:rsidR="00F65F41" w:rsidRDefault="00F65F41" w:rsidP="00034D07">
      <w:pPr>
        <w:pStyle w:val="BodyTextIndent"/>
      </w:pPr>
      <w:r>
        <w:rPr>
          <w:i/>
        </w:rPr>
        <w:t>Refer annexure</w:t>
      </w:r>
      <w:r>
        <w:t>.  Give sufficient notice so that inspection may be made at the following stages:</w:t>
      </w:r>
    </w:p>
    <w:p w14:paraId="1B9C76CD" w14:textId="77777777" w:rsidR="00F65F41" w:rsidRDefault="00F65F41" w:rsidP="007F2910">
      <w:pPr>
        <w:pStyle w:val="BodyTextIndentDot"/>
      </w:pPr>
      <w:r>
        <w:t>Completion of surface preparation.</w:t>
      </w:r>
    </w:p>
    <w:p w14:paraId="5C864680" w14:textId="77777777" w:rsidR="00F65F41" w:rsidRDefault="00F65F41" w:rsidP="007F2910">
      <w:pPr>
        <w:pStyle w:val="BodyTextIndentDot"/>
      </w:pPr>
      <w:r>
        <w:t>After application of prime or seal coats.</w:t>
      </w:r>
    </w:p>
    <w:p w14:paraId="264B86E6" w14:textId="77777777" w:rsidR="00F65F41" w:rsidRDefault="00F65F41" w:rsidP="007F2910">
      <w:pPr>
        <w:pStyle w:val="BodyTextIndentDot"/>
      </w:pPr>
      <w:r>
        <w:t>After application of undercoat.</w:t>
      </w:r>
    </w:p>
    <w:p w14:paraId="3A82FCB2" w14:textId="77777777" w:rsidR="00F65F41" w:rsidRDefault="00F65F41" w:rsidP="007F2910">
      <w:pPr>
        <w:pStyle w:val="BodyTextIndentDot"/>
      </w:pPr>
      <w:r>
        <w:t>After application of each subsequent coat.</w:t>
      </w:r>
    </w:p>
    <w:p w14:paraId="4E251C05" w14:textId="77777777" w:rsidR="00F65F41" w:rsidRDefault="00F65F41" w:rsidP="007F2910">
      <w:pPr>
        <w:pStyle w:val="BodyTextIndentBoldUnderline"/>
      </w:pPr>
      <w:r>
        <w:t xml:space="preserve">Witness points </w:t>
      </w:r>
      <w:r w:rsidR="007F2910">
        <w:t>–</w:t>
      </w:r>
      <w:r>
        <w:t xml:space="preserve"> clear finishing stages</w:t>
      </w:r>
    </w:p>
    <w:p w14:paraId="00B0C01D" w14:textId="77777777" w:rsidR="00F65F41" w:rsidRDefault="00F65F41" w:rsidP="007F2910">
      <w:pPr>
        <w:pStyle w:val="BodyTextIndent"/>
      </w:pPr>
      <w:r>
        <w:rPr>
          <w:i/>
        </w:rPr>
        <w:t>Refer annexure</w:t>
      </w:r>
      <w:r>
        <w:t>.  Give sufficient notice so that inspection may be made at the following stages:</w:t>
      </w:r>
    </w:p>
    <w:p w14:paraId="17C6D947" w14:textId="77777777" w:rsidR="00F65F41" w:rsidRDefault="00F65F41" w:rsidP="007F2910">
      <w:pPr>
        <w:pStyle w:val="BodyTextIndentDot"/>
      </w:pPr>
      <w:r>
        <w:t>Before surface preparation of timber.</w:t>
      </w:r>
    </w:p>
    <w:p w14:paraId="428A29DF" w14:textId="77777777" w:rsidR="00F65F41" w:rsidRDefault="00F65F41" w:rsidP="007F2910">
      <w:pPr>
        <w:pStyle w:val="BodyTextIndentDot"/>
      </w:pPr>
      <w:r>
        <w:t>Completion of surface preparation.</w:t>
      </w:r>
    </w:p>
    <w:p w14:paraId="49753461" w14:textId="77777777" w:rsidR="00F65F41" w:rsidRDefault="00F65F41" w:rsidP="007F2910">
      <w:pPr>
        <w:pStyle w:val="BodyTextIndentDot"/>
      </w:pPr>
      <w:r>
        <w:t>After staining.</w:t>
      </w:r>
    </w:p>
    <w:p w14:paraId="30673FA9" w14:textId="77777777" w:rsidR="00F65F41" w:rsidRDefault="00F65F41" w:rsidP="007F2910">
      <w:pPr>
        <w:pStyle w:val="BodyTextIndentDot"/>
      </w:pPr>
      <w:r>
        <w:t>After sanding of sealer.</w:t>
      </w:r>
    </w:p>
    <w:p w14:paraId="040208BF" w14:textId="77777777" w:rsidR="00F65F41" w:rsidRDefault="00F65F41" w:rsidP="007F2910">
      <w:pPr>
        <w:pStyle w:val="BodyTextIndentDot"/>
      </w:pPr>
      <w:r>
        <w:fldChar w:fldCharType="begin"/>
      </w:r>
      <w:r>
        <w:instrText>ADVANCE \u3</w:instrText>
      </w:r>
      <w:r>
        <w:fldChar w:fldCharType="end"/>
      </w:r>
      <w:r>
        <w:t>After application of each clear finishing coat.</w:t>
      </w:r>
    </w:p>
    <w:p w14:paraId="5D162C66" w14:textId="77777777" w:rsidR="00F65F41" w:rsidRPr="00FC2C12" w:rsidRDefault="00FC2C12" w:rsidP="00D100F4">
      <w:pPr>
        <w:pStyle w:val="Heading3"/>
      </w:pPr>
      <w:bookmarkStart w:id="21" w:name="_Toc76044644"/>
      <w:r w:rsidRPr="00FC2C12">
        <w:t>Contractor’s Submissions</w:t>
      </w:r>
      <w:bookmarkEnd w:id="21"/>
    </w:p>
    <w:p w14:paraId="36B23AEB" w14:textId="77777777" w:rsidR="00F65F41" w:rsidRDefault="00F65F41" w:rsidP="007F2910">
      <w:pPr>
        <w:pStyle w:val="BodyTextIndentBoldUnderline"/>
      </w:pPr>
      <w:r>
        <w:t>Samples</w:t>
      </w:r>
    </w:p>
    <w:p w14:paraId="6E8B187E" w14:textId="77777777" w:rsidR="00F65F41" w:rsidRDefault="00F65F41" w:rsidP="007F2910">
      <w:pPr>
        <w:pStyle w:val="BodyTextIndent"/>
      </w:pPr>
      <w:r>
        <w:t>Submit, on representative substrates, 1 m</w:t>
      </w:r>
      <w:r>
        <w:rPr>
          <w:vertAlign w:val="superscript"/>
        </w:rPr>
        <w:t>2</w:t>
      </w:r>
      <w:r>
        <w:t xml:space="preserve"> samples of each coating system showing surface preparation, colour, gloss level, texture, and physical properties.</w:t>
      </w:r>
    </w:p>
    <w:p w14:paraId="693792C8" w14:textId="77777777" w:rsidR="00F65F41" w:rsidRDefault="00F65F41" w:rsidP="007F2910">
      <w:pPr>
        <w:pStyle w:val="BodyTextIndentBoldUnderline"/>
      </w:pPr>
      <w:r>
        <w:t>Materials</w:t>
      </w:r>
    </w:p>
    <w:p w14:paraId="1406E9FC" w14:textId="77777777" w:rsidR="00F65F41" w:rsidRDefault="00F65F41" w:rsidP="007F2910">
      <w:pPr>
        <w:pStyle w:val="BodyTextIndent"/>
      </w:pPr>
      <w:r w:rsidRPr="00F51C59">
        <w:rPr>
          <w:u w:val="single"/>
        </w:rPr>
        <w:t>Manufacturer’s data</w:t>
      </w:r>
      <w:r>
        <w:t xml:space="preserve">: Submit the paint manufacturer’s published </w:t>
      </w:r>
      <w:r w:rsidR="00F51C59">
        <w:t xml:space="preserve">Material Safety Data Sheets </w:t>
      </w:r>
      <w:r>
        <w:t>(MSDS) showing the health and safety precautions to be taken during application.</w:t>
      </w:r>
    </w:p>
    <w:p w14:paraId="684B2E87" w14:textId="77777777" w:rsidR="00F65F41" w:rsidRDefault="00F65F41" w:rsidP="007F2910">
      <w:pPr>
        <w:pStyle w:val="BodyTextIndent"/>
      </w:pPr>
      <w:r w:rsidRPr="00F51C59">
        <w:rPr>
          <w:u w:val="single"/>
        </w:rPr>
        <w:t>Proprietary materials</w:t>
      </w:r>
      <w:r>
        <w:t>: If the brand of paint has not been specified, submit the proposed brand of paint and paint line, at least 3 weeks before the paint is required.</w:t>
      </w:r>
    </w:p>
    <w:p w14:paraId="2744E3E9" w14:textId="78C8A243" w:rsidR="00F65F41" w:rsidRDefault="00D100F4" w:rsidP="007F2910">
      <w:pPr>
        <w:pStyle w:val="BodyTextIndentBoldUnderline"/>
      </w:pPr>
      <w:r>
        <w:br w:type="page"/>
      </w:r>
      <w:r w:rsidR="00F65F41">
        <w:lastRenderedPageBreak/>
        <w:t>Records</w:t>
      </w:r>
    </w:p>
    <w:p w14:paraId="18E82695" w14:textId="77777777" w:rsidR="00F65F41" w:rsidRDefault="00F65F41" w:rsidP="007F2910">
      <w:pPr>
        <w:pStyle w:val="BodyTextIndent"/>
      </w:pPr>
      <w:r w:rsidRPr="00F51C59">
        <w:rPr>
          <w:u w:val="single"/>
        </w:rPr>
        <w:t>Record and submit the following data</w:t>
      </w:r>
      <w:r>
        <w:t>:</w:t>
      </w:r>
    </w:p>
    <w:p w14:paraId="1D1CD9CE" w14:textId="77777777" w:rsidR="00F65F41" w:rsidRDefault="00F65F41" w:rsidP="007F2910">
      <w:pPr>
        <w:pStyle w:val="BodyTextIndentDot"/>
      </w:pPr>
      <w:r>
        <w:t>Prevailing weather conditions.</w:t>
      </w:r>
    </w:p>
    <w:p w14:paraId="76DC65BC" w14:textId="77777777" w:rsidR="00F65F41" w:rsidRDefault="00F65F41" w:rsidP="007F2910">
      <w:pPr>
        <w:pStyle w:val="BodyTextIndentDot"/>
      </w:pPr>
      <w:r>
        <w:t>Standard of surface preparation, endorsed by inspector.</w:t>
      </w:r>
    </w:p>
    <w:p w14:paraId="0037DC74" w14:textId="77777777" w:rsidR="00F65F41" w:rsidRDefault="00F65F41" w:rsidP="007F2910">
      <w:pPr>
        <w:pStyle w:val="BodyTextIndentDot"/>
      </w:pPr>
      <w:r>
        <w:t>Identification of coatings supplied, including batch numbers, material and the condition of containers.</w:t>
      </w:r>
    </w:p>
    <w:p w14:paraId="7A110B0E" w14:textId="77777777" w:rsidR="00F65F41" w:rsidRDefault="00F65F41" w:rsidP="007F2910">
      <w:pPr>
        <w:pStyle w:val="BodyTextIndentDot"/>
      </w:pPr>
      <w:r>
        <w:t>Results of inspection of applied coatings including wet and dry film thickness.  Include the name and designation of the inspector in a signature block of the report.</w:t>
      </w:r>
    </w:p>
    <w:p w14:paraId="7AE20BC6" w14:textId="77777777" w:rsidR="00F65F41" w:rsidRDefault="00F65F41" w:rsidP="007F2910">
      <w:pPr>
        <w:pStyle w:val="BodyTextIndentDot"/>
      </w:pPr>
      <w:r>
        <w:t>Details of equipment used during application and testing of coating.</w:t>
      </w:r>
    </w:p>
    <w:p w14:paraId="4CEAA48A" w14:textId="1913D7EF" w:rsidR="00F65F41" w:rsidRDefault="00640BA0" w:rsidP="00D100F4">
      <w:pPr>
        <w:pStyle w:val="Heading2"/>
      </w:pPr>
      <w:bookmarkStart w:id="22" w:name="_Toc76044645"/>
      <w:r>
        <w:rPr>
          <w:caps w:val="0"/>
        </w:rPr>
        <w:t>MATERIALS AND COMPONENTS</w:t>
      </w:r>
      <w:bookmarkEnd w:id="22"/>
    </w:p>
    <w:p w14:paraId="60B7147A" w14:textId="77777777" w:rsidR="00F65F41" w:rsidRPr="00FC2C12" w:rsidRDefault="00FC2C12" w:rsidP="00D100F4">
      <w:pPr>
        <w:pStyle w:val="Heading3"/>
      </w:pPr>
      <w:bookmarkStart w:id="23" w:name="_Toc76044646"/>
      <w:r w:rsidRPr="00FC2C12">
        <w:t>Coatings</w:t>
      </w:r>
      <w:bookmarkEnd w:id="23"/>
    </w:p>
    <w:p w14:paraId="6A997E0F" w14:textId="77777777" w:rsidR="00F65F41" w:rsidRDefault="00F65F41" w:rsidP="003860AA">
      <w:pPr>
        <w:pStyle w:val="BodyTextIndentBoldUnderline"/>
      </w:pPr>
      <w:r>
        <w:t>General</w:t>
      </w:r>
    </w:p>
    <w:p w14:paraId="1D85FB50" w14:textId="77777777" w:rsidR="00F65F41" w:rsidRDefault="00F65F41" w:rsidP="003860AA">
      <w:pPr>
        <w:pStyle w:val="BodyTextIndent"/>
      </w:pPr>
      <w:r w:rsidRPr="00F51C59">
        <w:rPr>
          <w:u w:val="single"/>
        </w:rPr>
        <w:t>Quality</w:t>
      </w:r>
      <w:r>
        <w:t>: Use premium quality lines.</w:t>
      </w:r>
    </w:p>
    <w:p w14:paraId="3806FB30" w14:textId="77777777" w:rsidR="00F65F41" w:rsidRDefault="00F65F41" w:rsidP="003860AA">
      <w:pPr>
        <w:pStyle w:val="BodyTextIndent"/>
      </w:pPr>
      <w:r w:rsidRPr="00F51C59">
        <w:rPr>
          <w:u w:val="single"/>
        </w:rPr>
        <w:t>Delivery</w:t>
      </w:r>
      <w:r>
        <w:t>: Deliver coatings to the site in the manufacturer’s labelled and unopened containers.</w:t>
      </w:r>
    </w:p>
    <w:p w14:paraId="7EDF3314" w14:textId="77777777" w:rsidR="00F65F41" w:rsidRDefault="00F65F41" w:rsidP="00FD0DF6">
      <w:pPr>
        <w:pStyle w:val="BodyTextIndentBoldUnderline"/>
      </w:pPr>
      <w:r>
        <w:t>Combinations</w:t>
      </w:r>
    </w:p>
    <w:p w14:paraId="53B793E1" w14:textId="77777777" w:rsidR="00F65F41" w:rsidRDefault="00F65F41" w:rsidP="00FD0DF6">
      <w:pPr>
        <w:pStyle w:val="BodyTextIndent"/>
      </w:pPr>
      <w:r w:rsidRPr="00F51C59">
        <w:rPr>
          <w:u w:val="single"/>
        </w:rPr>
        <w:t>General</w:t>
      </w:r>
      <w:r>
        <w:t>: Do not combine coatings from different manufacturers in a coating system.</w:t>
      </w:r>
    </w:p>
    <w:p w14:paraId="44B10444" w14:textId="77777777" w:rsidR="00F65F41" w:rsidRDefault="00F65F41" w:rsidP="00FD0DF6">
      <w:pPr>
        <w:pStyle w:val="BodyTextIndent"/>
      </w:pPr>
      <w:r w:rsidRPr="00F51C59">
        <w:rPr>
          <w:u w:val="single"/>
        </w:rPr>
        <w:t>Clear timber finish systems</w:t>
      </w:r>
      <w:r>
        <w:t>: Use only the combinations of putty, stain and sealer recommended by the manufacturer of the topcoats.</w:t>
      </w:r>
    </w:p>
    <w:p w14:paraId="55FD8343" w14:textId="77777777" w:rsidR="00F65F41" w:rsidRDefault="00F65F41" w:rsidP="00FD0DF6">
      <w:pPr>
        <w:pStyle w:val="BodyTextIndentBoldUnderline"/>
      </w:pPr>
      <w:r>
        <w:t>Tinting</w:t>
      </w:r>
    </w:p>
    <w:p w14:paraId="79A18404" w14:textId="77777777" w:rsidR="00F65F41" w:rsidRDefault="00F65F41" w:rsidP="00FD0DF6">
      <w:pPr>
        <w:pStyle w:val="BodyTextIndent"/>
      </w:pPr>
      <w:r w:rsidRPr="00F51C59">
        <w:rPr>
          <w:u w:val="single"/>
        </w:rPr>
        <w:t>General</w:t>
      </w:r>
      <w:r>
        <w:t>: Use only products that are colour tinted by the manufacturer or supplier.  Tint each coat of an opaque coating system so that each has a noticeably different tint from the preceding coat, except for topcoats in systems with more than one topcoat.</w:t>
      </w:r>
    </w:p>
    <w:p w14:paraId="4452961F" w14:textId="77777777" w:rsidR="00F65F41" w:rsidRDefault="00F65F41" w:rsidP="00FD0DF6">
      <w:pPr>
        <w:pStyle w:val="BodyTextIndent"/>
      </w:pPr>
      <w:r w:rsidRPr="00F51C59">
        <w:rPr>
          <w:u w:val="single"/>
        </w:rPr>
        <w:t>Tinting by contractor</w:t>
      </w:r>
      <w:r>
        <w:t>: Add tinters or stainers only if this is without detriment to the durability or aesthetic performance of the product.</w:t>
      </w:r>
    </w:p>
    <w:p w14:paraId="2F560917" w14:textId="77777777" w:rsidR="00F65F41" w:rsidRDefault="00F65F41" w:rsidP="00FD0DF6">
      <w:pPr>
        <w:pStyle w:val="BodyTextIndentBoldUnderline"/>
      </w:pPr>
      <w:r>
        <w:t>Putty</w:t>
      </w:r>
    </w:p>
    <w:p w14:paraId="12A78B6E" w14:textId="77777777" w:rsidR="00F65F41" w:rsidRDefault="00F65F41" w:rsidP="00FD0DF6">
      <w:pPr>
        <w:pStyle w:val="BodyTextIndent"/>
      </w:pPr>
      <w:r w:rsidRPr="00F51C59">
        <w:rPr>
          <w:u w:val="single"/>
        </w:rPr>
        <w:t>General</w:t>
      </w:r>
      <w:r>
        <w:t>: Oil based or polymeric based.</w:t>
      </w:r>
    </w:p>
    <w:p w14:paraId="409CA6CB" w14:textId="77777777" w:rsidR="00F65F41" w:rsidRDefault="00F65F41" w:rsidP="00FD0DF6">
      <w:pPr>
        <w:pStyle w:val="BodyTextIndent"/>
      </w:pPr>
      <w:r w:rsidRPr="00F51C59">
        <w:rPr>
          <w:u w:val="single"/>
        </w:rPr>
        <w:t>Putty for timber finishers</w:t>
      </w:r>
      <w:r>
        <w:t>: Lacquer or water based, or 2K inert putty.  Do not use oil based or glazing putty.</w:t>
      </w:r>
    </w:p>
    <w:p w14:paraId="54B79D8D" w14:textId="77777777" w:rsidR="00F65F41" w:rsidRPr="00FC2C12" w:rsidRDefault="00FC2C12" w:rsidP="00A25C40">
      <w:pPr>
        <w:pStyle w:val="Heading3"/>
      </w:pPr>
      <w:bookmarkStart w:id="24" w:name="_Toc76044647"/>
      <w:r w:rsidRPr="00FC2C12">
        <w:t>Colour Selection</w:t>
      </w:r>
      <w:bookmarkEnd w:id="24"/>
    </w:p>
    <w:p w14:paraId="232401F7" w14:textId="77777777" w:rsidR="00F65F41" w:rsidRDefault="00F65F41" w:rsidP="00FF79F6">
      <w:pPr>
        <w:pStyle w:val="BodyTextIndentBoldUnderline"/>
      </w:pPr>
      <w:r>
        <w:t>Manufacturer’s chart</w:t>
      </w:r>
    </w:p>
    <w:p w14:paraId="376C2F1B" w14:textId="77777777" w:rsidR="00F65F41" w:rsidRDefault="00F65F41" w:rsidP="00FF79F6">
      <w:pPr>
        <w:pStyle w:val="BodyTextIndent"/>
      </w:pPr>
      <w:r>
        <w:t>Select colour from the standard colour chart of the nominated manufacturer.</w:t>
      </w:r>
    </w:p>
    <w:p w14:paraId="4C57F87F" w14:textId="77777777" w:rsidR="00F65F41" w:rsidRDefault="00F65F41" w:rsidP="00FF79F6">
      <w:pPr>
        <w:pStyle w:val="BodyTextIndentBoldUnderline"/>
      </w:pPr>
      <w:r>
        <w:t>Australian Standard</w:t>
      </w:r>
    </w:p>
    <w:p w14:paraId="65E50A3C" w14:textId="77777777" w:rsidR="00F65F41" w:rsidRDefault="00F65F41">
      <w:pPr>
        <w:tabs>
          <w:tab w:val="left" w:pos="-1440"/>
          <w:tab w:val="left" w:pos="-720"/>
          <w:tab w:val="left" w:pos="0"/>
          <w:tab w:val="left" w:pos="793"/>
          <w:tab w:val="left" w:pos="2160"/>
          <w:tab w:val="left" w:pos="2380"/>
        </w:tabs>
        <w:ind w:left="709"/>
        <w:jc w:val="both"/>
      </w:pPr>
      <w:r>
        <w:t xml:space="preserve">Select colour from the standard colour range specified in </w:t>
      </w:r>
      <w:r w:rsidRPr="00FF79F6">
        <w:rPr>
          <w:i/>
        </w:rPr>
        <w:t>AS 2700</w:t>
      </w:r>
      <w:r>
        <w:t>.</w:t>
      </w:r>
    </w:p>
    <w:p w14:paraId="1EC6816E" w14:textId="77777777" w:rsidR="00F65F41" w:rsidRDefault="00F65F41" w:rsidP="00FF79F6">
      <w:pPr>
        <w:pStyle w:val="BodyTextIndentBoldUnderline"/>
      </w:pPr>
      <w:r>
        <w:t>Samples</w:t>
      </w:r>
    </w:p>
    <w:p w14:paraId="40602670" w14:textId="77777777" w:rsidR="00F65F41" w:rsidRDefault="00F65F41" w:rsidP="00FF79F6">
      <w:pPr>
        <w:pStyle w:val="BodyTextIndent"/>
      </w:pPr>
      <w:r w:rsidRPr="00F51C59">
        <w:rPr>
          <w:u w:val="single"/>
        </w:rPr>
        <w:t>Coating systems</w:t>
      </w:r>
      <w:r>
        <w:t>: Mix or tint coating to match samples provided.  Consult the coating manufacturer to ensure that the colours selected are of satisfactory durability and opacity, and will comply with requirements in the specified number of coats.</w:t>
      </w:r>
    </w:p>
    <w:p w14:paraId="43AF697C" w14:textId="77777777" w:rsidR="00F65F41" w:rsidRDefault="00F65F41" w:rsidP="00FF79F6">
      <w:pPr>
        <w:pStyle w:val="BodyTextIndent"/>
      </w:pPr>
      <w:r w:rsidRPr="00F51C59">
        <w:rPr>
          <w:u w:val="single"/>
        </w:rPr>
        <w:t>Clear timber finishes</w:t>
      </w:r>
      <w:r>
        <w:t>: By reference to coated samples.</w:t>
      </w:r>
    </w:p>
    <w:p w14:paraId="3B6E88DF" w14:textId="3AD90BDB" w:rsidR="00F65F41" w:rsidRDefault="00640BA0" w:rsidP="00A25C40">
      <w:pPr>
        <w:pStyle w:val="Heading2"/>
      </w:pPr>
      <w:bookmarkStart w:id="25" w:name="_Toc76044648"/>
      <w:r>
        <w:rPr>
          <w:caps w:val="0"/>
        </w:rPr>
        <w:lastRenderedPageBreak/>
        <w:t>EXECUTION</w:t>
      </w:r>
      <w:bookmarkEnd w:id="25"/>
    </w:p>
    <w:p w14:paraId="1A85B026" w14:textId="77777777" w:rsidR="00F65F41" w:rsidRPr="00FC2C12" w:rsidRDefault="00FC2C12" w:rsidP="00A25C40">
      <w:pPr>
        <w:pStyle w:val="Heading3"/>
      </w:pPr>
      <w:bookmarkStart w:id="26" w:name="_Toc76044649"/>
      <w:r w:rsidRPr="00FC2C12">
        <w:t>General</w:t>
      </w:r>
      <w:bookmarkEnd w:id="26"/>
    </w:p>
    <w:p w14:paraId="15C3732E" w14:textId="77777777" w:rsidR="00F65F41" w:rsidRDefault="00F65F41" w:rsidP="00FF79F6">
      <w:pPr>
        <w:pStyle w:val="BodyTextIndentBoldUnderline"/>
      </w:pPr>
      <w:r>
        <w:t>Order of work</w:t>
      </w:r>
    </w:p>
    <w:p w14:paraId="0626693B" w14:textId="77777777" w:rsidR="00F65F41" w:rsidRDefault="00F65F41" w:rsidP="00FF79F6">
      <w:pPr>
        <w:pStyle w:val="BodyTextIndent"/>
      </w:pPr>
      <w:r w:rsidRPr="00F51C59">
        <w:rPr>
          <w:u w:val="single"/>
        </w:rPr>
        <w:t>Other trades</w:t>
      </w:r>
      <w:r>
        <w:t>: Before coating, complete the work of other trades as far as practicable within the area to be painted.</w:t>
      </w:r>
    </w:p>
    <w:p w14:paraId="0A9FB4C9" w14:textId="77777777" w:rsidR="00F65F41" w:rsidRDefault="00F65F41" w:rsidP="00FF79F6">
      <w:pPr>
        <w:pStyle w:val="BodyTextIndent"/>
      </w:pPr>
      <w:r w:rsidRPr="00F51C59">
        <w:rPr>
          <w:u w:val="single"/>
        </w:rPr>
        <w:t>Clear finishes</w:t>
      </w:r>
      <w:r>
        <w:t>: Complete clear timber finishes before commencing opaque finishes in the same area.</w:t>
      </w:r>
    </w:p>
    <w:p w14:paraId="2BE726E9" w14:textId="77777777" w:rsidR="00F65F41" w:rsidRDefault="00F65F41" w:rsidP="00FF79F6">
      <w:pPr>
        <w:pStyle w:val="BodyTextIndentBoldUnderline"/>
      </w:pPr>
      <w:r>
        <w:t>Protection</w:t>
      </w:r>
    </w:p>
    <w:p w14:paraId="5DCC92B5" w14:textId="77777777" w:rsidR="00F65F41" w:rsidRDefault="00F65F41" w:rsidP="00FF79F6">
      <w:pPr>
        <w:pStyle w:val="BodyTextIndent"/>
      </w:pPr>
      <w:r w:rsidRPr="00F51C59">
        <w:rPr>
          <w:u w:val="single"/>
        </w:rPr>
        <w:t>Fixtures</w:t>
      </w:r>
      <w:r>
        <w:t>: Remove fixtures before starting to paint, and refix in position undamaged on completion.</w:t>
      </w:r>
    </w:p>
    <w:p w14:paraId="0C251056" w14:textId="77777777" w:rsidR="00F65F41" w:rsidRDefault="00F65F41" w:rsidP="00FF79F6">
      <w:pPr>
        <w:pStyle w:val="BodyTextIndent"/>
      </w:pPr>
      <w:r w:rsidRPr="00F51C59">
        <w:rPr>
          <w:u w:val="single"/>
        </w:rPr>
        <w:t>Adjacent surfaces</w:t>
      </w:r>
      <w:r>
        <w:t>: Protect adjacent finished surfaces liable to damage from coating operations.</w:t>
      </w:r>
    </w:p>
    <w:p w14:paraId="04F059E9" w14:textId="77777777" w:rsidR="00F65F41" w:rsidRPr="00640BA0" w:rsidRDefault="00F65F41" w:rsidP="00640BA0">
      <w:pPr>
        <w:ind w:left="709"/>
        <w:rPr>
          <w:b/>
          <w:bCs/>
          <w:sz w:val="22"/>
          <w:szCs w:val="22"/>
          <w:u w:val="single"/>
        </w:rPr>
      </w:pPr>
      <w:r w:rsidRPr="00640BA0">
        <w:rPr>
          <w:b/>
          <w:bCs/>
          <w:sz w:val="22"/>
          <w:szCs w:val="22"/>
          <w:u w:val="single"/>
        </w:rPr>
        <w:t>Wet paint warning signs</w:t>
      </w:r>
    </w:p>
    <w:p w14:paraId="13B5E8A2" w14:textId="77777777" w:rsidR="00F65F41" w:rsidRDefault="00F65F41" w:rsidP="00FF79F6">
      <w:pPr>
        <w:pStyle w:val="BodyTextIndent"/>
      </w:pPr>
      <w:r>
        <w:t>Place warning signs in conspicuous locations.  Do not remove notices until the paint is dry.</w:t>
      </w:r>
    </w:p>
    <w:p w14:paraId="44AA500A" w14:textId="77777777" w:rsidR="00F65F41" w:rsidRDefault="00F65F41" w:rsidP="00FF79F6">
      <w:pPr>
        <w:pStyle w:val="BodyTextIndentBoldUnderline"/>
      </w:pPr>
      <w:r>
        <w:t>Light levels</w:t>
      </w:r>
    </w:p>
    <w:p w14:paraId="54CD6A85" w14:textId="77777777" w:rsidR="00F65F41" w:rsidRDefault="00F65F41" w:rsidP="00FF79F6">
      <w:pPr>
        <w:pStyle w:val="BodyTextIndent"/>
      </w:pPr>
      <w:r>
        <w:t>During surface preparation, coating and inspection, maintain light levels such that the luminance (photometric brightness) of the surface is equal to the specified permanent artificial illumination conditions or 400</w:t>
      </w:r>
      <w:r w:rsidR="00FF79F6">
        <w:t> </w:t>
      </w:r>
      <w:r w:rsidR="00340EAE">
        <w:t>l</w:t>
      </w:r>
      <w:r>
        <w:t>ux, whichever is the greater.</w:t>
      </w:r>
    </w:p>
    <w:p w14:paraId="677C56D1" w14:textId="77777777" w:rsidR="00F65F41" w:rsidRDefault="00F65F41" w:rsidP="00FF79F6">
      <w:pPr>
        <w:pStyle w:val="BodyTextIndentBoldUnderline"/>
      </w:pPr>
      <w:r>
        <w:t>Restoration</w:t>
      </w:r>
    </w:p>
    <w:p w14:paraId="281B7C59" w14:textId="77777777" w:rsidR="00F65F41" w:rsidRDefault="00F65F41" w:rsidP="00FF79F6">
      <w:pPr>
        <w:pStyle w:val="BodyTextIndent"/>
      </w:pPr>
      <w:r w:rsidRPr="00F51C59">
        <w:rPr>
          <w:u w:val="single"/>
        </w:rPr>
        <w:t>Preparation</w:t>
      </w:r>
      <w:r>
        <w:t>: Clean off marks, paint spots and stains progressively.</w:t>
      </w:r>
    </w:p>
    <w:p w14:paraId="417E35CD" w14:textId="77777777" w:rsidR="00F65F41" w:rsidRDefault="00F65F41" w:rsidP="00FF79F6">
      <w:pPr>
        <w:pStyle w:val="BodyTextIndent"/>
      </w:pPr>
      <w:r w:rsidRPr="00F51C59">
        <w:rPr>
          <w:u w:val="single"/>
        </w:rPr>
        <w:t>Restoration</w:t>
      </w:r>
      <w:r>
        <w:t>: Touch up damaged decorative paintwork or misses only with the paint batch used in the original application.  Restore damaged surfaces to their original condition.</w:t>
      </w:r>
    </w:p>
    <w:p w14:paraId="21E2E0A7" w14:textId="77777777" w:rsidR="00F65F41" w:rsidRDefault="00F65F41" w:rsidP="00F51C59">
      <w:pPr>
        <w:pStyle w:val="BodyTextIndentBoldUnderline"/>
      </w:pPr>
      <w:r>
        <w:t>Transportation</w:t>
      </w:r>
    </w:p>
    <w:p w14:paraId="17D11EB8" w14:textId="77777777" w:rsidR="00F65F41" w:rsidRDefault="00F65F41" w:rsidP="00FF79F6">
      <w:pPr>
        <w:pStyle w:val="BodyTextIndent"/>
      </w:pPr>
      <w:r w:rsidRPr="00F51C59">
        <w:rPr>
          <w:u w:val="single"/>
        </w:rPr>
        <w:t>Protection</w:t>
      </w:r>
      <w:r>
        <w:t>: Protect coatings from damage during transport and handling.  Do not handle or transport members until the coating has reached sufficient hardness to avoid damage.</w:t>
      </w:r>
    </w:p>
    <w:p w14:paraId="4C942739" w14:textId="77777777" w:rsidR="00F65F41" w:rsidRDefault="00F65F41" w:rsidP="00FF79F6">
      <w:pPr>
        <w:pStyle w:val="BodyTextIndent"/>
      </w:pPr>
      <w:r w:rsidRPr="00F51C59">
        <w:rPr>
          <w:u w:val="single"/>
        </w:rPr>
        <w:t>Slings and securing chains</w:t>
      </w:r>
      <w:r>
        <w:t>: Cover slings and securing chains adequately with felt.  Do not use steel chains wrapped around coated members.</w:t>
      </w:r>
    </w:p>
    <w:p w14:paraId="6AB1A041" w14:textId="77777777" w:rsidR="00F65F41" w:rsidRDefault="00FC2C12" w:rsidP="00A25C40">
      <w:pPr>
        <w:pStyle w:val="Heading3"/>
      </w:pPr>
      <w:bookmarkStart w:id="27" w:name="_Toc76044650"/>
      <w:r>
        <w:t>Surface Preparation</w:t>
      </w:r>
      <w:bookmarkEnd w:id="27"/>
    </w:p>
    <w:p w14:paraId="3B5DC2B1" w14:textId="77777777" w:rsidR="00F65F41" w:rsidRDefault="00F65F41" w:rsidP="00FF79F6">
      <w:pPr>
        <w:pStyle w:val="BodyTextIndent"/>
      </w:pPr>
      <w:r w:rsidRPr="00F51C59">
        <w:rPr>
          <w:u w:val="single"/>
        </w:rPr>
        <w:t>General</w:t>
      </w:r>
      <w:r>
        <w:t>: Prepare substrates to receive the coating system.</w:t>
      </w:r>
    </w:p>
    <w:p w14:paraId="1702DB6B" w14:textId="77777777" w:rsidR="00F65F41" w:rsidRDefault="00F65F41" w:rsidP="00FF79F6">
      <w:pPr>
        <w:pStyle w:val="BodyTextIndent"/>
      </w:pPr>
      <w:r w:rsidRPr="00F51C59">
        <w:rPr>
          <w:u w:val="single"/>
        </w:rPr>
        <w:t>Cleaning</w:t>
      </w:r>
      <w:r>
        <w:t>: Clean down the substrate surface.  Do not cause undue damage to the substrate or damage to, or contamination of, the surroundings.</w:t>
      </w:r>
    </w:p>
    <w:p w14:paraId="63A8468D" w14:textId="77777777" w:rsidR="00F65F41" w:rsidRDefault="00F65F41" w:rsidP="00FF79F6">
      <w:pPr>
        <w:pStyle w:val="BodyTextIndent"/>
      </w:pPr>
      <w:r w:rsidRPr="00F51C59">
        <w:rPr>
          <w:u w:val="single"/>
        </w:rPr>
        <w:t>Filling</w:t>
      </w:r>
      <w:r>
        <w:t>: Fill cracks and hole with fillers, sealants, putties or grouting cements as appropriate for the finishing system and substrate, and sand smooth.</w:t>
      </w:r>
    </w:p>
    <w:p w14:paraId="49A76F48" w14:textId="77777777" w:rsidR="00F65F41" w:rsidRDefault="00F65F41" w:rsidP="00FF79F6">
      <w:pPr>
        <w:pStyle w:val="BodyTextIndent"/>
      </w:pPr>
      <w:r w:rsidRPr="00F51C59">
        <w:rPr>
          <w:u w:val="single"/>
        </w:rPr>
        <w:t>Drying</w:t>
      </w:r>
      <w:r>
        <w:t>: Use a moisture meter to demonstrate that the moisture content of the substrate is at or below the recommended maximum level for the type of paint and the substrate material.</w:t>
      </w:r>
    </w:p>
    <w:p w14:paraId="3764F1C0" w14:textId="77777777" w:rsidR="00F65F41" w:rsidRPr="00FC2C12" w:rsidRDefault="00FC2C12" w:rsidP="00A25C40">
      <w:pPr>
        <w:pStyle w:val="Heading3"/>
      </w:pPr>
      <w:bookmarkStart w:id="28" w:name="_Toc76044651"/>
      <w:r w:rsidRPr="00FC2C12">
        <w:t>Coating Systems</w:t>
      </w:r>
      <w:bookmarkEnd w:id="28"/>
    </w:p>
    <w:p w14:paraId="369B2F5D" w14:textId="77777777" w:rsidR="00F65F41" w:rsidRDefault="00F65F41" w:rsidP="00FF79F6">
      <w:pPr>
        <w:pStyle w:val="BodyTextIndent"/>
      </w:pPr>
      <w:r w:rsidRPr="00F51C59">
        <w:rPr>
          <w:u w:val="single"/>
        </w:rPr>
        <w:t>Number of coats</w:t>
      </w:r>
      <w:r>
        <w:t xml:space="preserve">: Unless specified as one coat or two coat systems, provide paint systems consisting of at least 3 coats.  Provide additional coats if </w:t>
      </w:r>
      <w:r w:rsidR="00340EAE">
        <w:t>necessary,</w:t>
      </w:r>
      <w:r>
        <w:t xml:space="preserve"> to prepare porous or reactive substrates with prime or seal coats consistent with the manufacturer’s recommendations; achieve the total film thickness or texture; and achieve a satisfactory opacity.</w:t>
      </w:r>
    </w:p>
    <w:p w14:paraId="7A74C9BD" w14:textId="77777777" w:rsidR="00F65F41" w:rsidRDefault="00F65F41" w:rsidP="00FF79F6">
      <w:pPr>
        <w:pStyle w:val="BodyTextIndent"/>
      </w:pPr>
      <w:r w:rsidRPr="00F51C59">
        <w:rPr>
          <w:u w:val="single"/>
        </w:rPr>
        <w:t>System description</w:t>
      </w:r>
      <w:r>
        <w:t xml:space="preserve">: If a paint or clear finish system is referred to only by its final coat (for example by the manufacturer’s brand name or the generic name) provide in addition to the final coat, the appropriate stains, primers, sealers and undercoats, suitable for the substrate and compatible with the finished coat and each other. </w:t>
      </w:r>
      <w:r>
        <w:rPr>
          <w:i/>
        </w:rPr>
        <w:t xml:space="preserve"> Refer annexure</w:t>
      </w:r>
      <w:r>
        <w:t>.</w:t>
      </w:r>
    </w:p>
    <w:p w14:paraId="6D6C5862" w14:textId="77777777" w:rsidR="00F65F41" w:rsidRDefault="00F65F41" w:rsidP="00FF79F6">
      <w:pPr>
        <w:pStyle w:val="BodyTextIndent"/>
      </w:pPr>
      <w:r w:rsidRPr="00F51C59">
        <w:rPr>
          <w:u w:val="single"/>
        </w:rPr>
        <w:t>No system description given</w:t>
      </w:r>
      <w:r>
        <w:t xml:space="preserve">: If a surface is to be painted but no system is nominated, select the system from </w:t>
      </w:r>
      <w:r w:rsidRPr="00FF79F6">
        <w:rPr>
          <w:i/>
        </w:rPr>
        <w:t>AS/NZS 2311 Section 5</w:t>
      </w:r>
      <w:r>
        <w:t>, using System 1 where a choice is offered.</w:t>
      </w:r>
    </w:p>
    <w:p w14:paraId="7087AA33" w14:textId="77777777" w:rsidR="00F65F41" w:rsidRPr="00FC2C12" w:rsidRDefault="00FC2C12" w:rsidP="00A25C40">
      <w:pPr>
        <w:pStyle w:val="Heading3"/>
      </w:pPr>
      <w:bookmarkStart w:id="29" w:name="_Toc76044652"/>
      <w:r w:rsidRPr="00FC2C12">
        <w:lastRenderedPageBreak/>
        <w:t>Coating Application</w:t>
      </w:r>
      <w:bookmarkEnd w:id="29"/>
    </w:p>
    <w:p w14:paraId="1F995772" w14:textId="77777777" w:rsidR="00F65F41" w:rsidRDefault="00F65F41" w:rsidP="00FF79F6">
      <w:pPr>
        <w:pStyle w:val="BodyTextIndent"/>
      </w:pPr>
      <w:r w:rsidRPr="00F51C59">
        <w:rPr>
          <w:u w:val="single"/>
        </w:rPr>
        <w:t>General</w:t>
      </w:r>
      <w:r>
        <w:t>: Apply the first coat immediately after substrate preparation and before contamination of the substrate can occur.  Ensure each coat of paint or clear finish is uniform in colour, gloss, thickness and texture, and free of runs, sags, blisters, or other discontinuity.</w:t>
      </w:r>
    </w:p>
    <w:p w14:paraId="58BC8010" w14:textId="77777777" w:rsidR="00F65F41" w:rsidRDefault="00F65F41" w:rsidP="00FF79F6">
      <w:pPr>
        <w:pStyle w:val="BodyTextIndent"/>
      </w:pPr>
      <w:r w:rsidRPr="00F51C59">
        <w:rPr>
          <w:u w:val="single"/>
        </w:rPr>
        <w:t>Inaccessible surfaces</w:t>
      </w:r>
      <w:r>
        <w:t>: Where surfaces will be in contact or near contact after fabrication of erection, apply the coating and allow it to dry before assembly.</w:t>
      </w:r>
    </w:p>
    <w:p w14:paraId="5289C2DF" w14:textId="77777777" w:rsidR="00F65F41" w:rsidRDefault="00F65F41" w:rsidP="00FF79F6">
      <w:pPr>
        <w:pStyle w:val="BodyTextIndent"/>
      </w:pPr>
      <w:r w:rsidRPr="00F51C59">
        <w:rPr>
          <w:u w:val="single"/>
        </w:rPr>
        <w:t>Spraying</w:t>
      </w:r>
      <w:r>
        <w:t>: If the paint application is by spraying, use conventional or airless equipment which satisfactorily atomises the paint being applied; does not require the paint to be thinned beyond the maximum amount recommended by the manufacturer; and does not introduce oil, water or other contaminants into the applied paint.</w:t>
      </w:r>
    </w:p>
    <w:sectPr w:rsidR="00F65F41" w:rsidSect="00CB56FC">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1DBF" w14:textId="77777777" w:rsidR="004822D7" w:rsidRDefault="004822D7">
      <w:r>
        <w:separator/>
      </w:r>
    </w:p>
  </w:endnote>
  <w:endnote w:type="continuationSeparator" w:id="0">
    <w:p w14:paraId="07794A62" w14:textId="77777777" w:rsidR="004822D7" w:rsidRDefault="004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AE8" w14:textId="1F222542" w:rsidR="00F51C59" w:rsidRPr="005B6211" w:rsidRDefault="00640BA0" w:rsidP="005B6211">
    <w:pPr>
      <w:pStyle w:val="Footer"/>
    </w:pPr>
    <w:bookmarkStart w:id="3" w:name="_Hlk41658887"/>
    <w:bookmarkStart w:id="4" w:name="_Hlk41658888"/>
    <w:bookmarkStart w:id="5" w:name="_Hlk41658889"/>
    <w:bookmarkStart w:id="6" w:name="_Hlk41658890"/>
    <w:bookmarkStart w:id="7" w:name="_Hlk41658891"/>
    <w:bookmarkStart w:id="8" w:name="_Hlk41658892"/>
    <w:r>
      <w:pict w14:anchorId="6C081610">
        <v:shapetype id="_x0000_t202" coordsize="21600,21600" o:spt="202" path="m,l,21600r21600,l21600,xe">
          <v:stroke joinstyle="miter"/>
          <v:path gradientshapeok="t" o:connecttype="rect"/>
        </v:shapetype>
        <v:shape id="_x0000_s2107" type="#_x0000_t202" style="position:absolute;left:0;text-align:left;margin-left:333.1pt;margin-top:538.65pt;width:460.65pt;height:21.25pt;rotation:-5921140fd;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07">
            <w:txbxContent>
              <w:p w14:paraId="1CC27C59" w14:textId="77777777" w:rsidR="00F51C59" w:rsidRPr="00D93AC1" w:rsidRDefault="00F51C59"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F51C59" w:rsidRPr="00F51C59">
      <w:t xml:space="preserve">Revision 3.0 – </w:t>
    </w:r>
    <w:bookmarkEnd w:id="3"/>
    <w:bookmarkEnd w:id="4"/>
    <w:bookmarkEnd w:id="5"/>
    <w:bookmarkEnd w:id="6"/>
    <w:bookmarkEnd w:id="7"/>
    <w:bookmarkEnd w:id="8"/>
    <w:r w:rsidR="00AC247E">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7AEC" w14:textId="77777777" w:rsidR="001F61EC" w:rsidRPr="00A5238A" w:rsidRDefault="00640BA0" w:rsidP="00A5238A">
    <w:pPr>
      <w:pStyle w:val="Fooer"/>
    </w:pPr>
    <w:r>
      <w:pict w14:anchorId="1D1340AC">
        <v:shapetype id="_x0000_t202" coordsize="21600,21600" o:spt="202" path="m,l,21600r21600,l21600,xe">
          <v:stroke joinstyle="miter"/>
          <v:path gradientshapeok="t" o:connecttype="rect"/>
        </v:shapetype>
        <v:shape id="_x0000_s2116" type="#_x0000_t202" style="position:absolute;left:0;text-align:left;margin-left:333.1pt;margin-top:538.65pt;width:460.65pt;height:21.25pt;rotation:-5921140fd;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16">
            <w:txbxContent>
              <w:p w14:paraId="06A4CD38" w14:textId="77777777" w:rsidR="001F61EC" w:rsidRPr="00D93AC1" w:rsidRDefault="001F61EC"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1F61EC" w:rsidRPr="00A5238A">
      <w:t>Revision 3.0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701B" w14:textId="36F60189" w:rsidR="00E63238" w:rsidRPr="00C7114F" w:rsidRDefault="00640BA0" w:rsidP="00C7114F">
    <w:pPr>
      <w:pStyle w:val="Footer"/>
    </w:pPr>
    <w:r>
      <w:pict w14:anchorId="0D4356E8">
        <v:shapetype id="_x0000_t202" coordsize="21600,21600" o:spt="202" path="m,l,21600r21600,l21600,xe">
          <v:stroke joinstyle="miter"/>
          <v:path gradientshapeok="t" o:connecttype="rect"/>
        </v:shapetype>
        <v:shape id="_x0000_s2110" type="#_x0000_t202" style="position:absolute;left:0;text-align:left;margin-left:333.1pt;margin-top:538.65pt;width:460.65pt;height:21.25pt;rotation:-5921140fd;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10">
            <w:txbxContent>
              <w:p w14:paraId="7F8F93DC" w14:textId="77777777" w:rsidR="00E63238" w:rsidRPr="00D93AC1" w:rsidRDefault="00E63238"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E63238" w:rsidRPr="00C7114F">
      <w:t xml:space="preserve">Revision 3.0 – </w:t>
    </w:r>
    <w:r w:rsidR="00AC247E" w:rsidRPr="00C7114F">
      <w:t>March 2021</w:t>
    </w:r>
    <w:r w:rsidR="00C7114F" w:rsidRPr="00C7114F">
      <w:tab/>
    </w:r>
    <w:r w:rsidR="00E63238" w:rsidRPr="00C7114F">
      <w:fldChar w:fldCharType="begin"/>
    </w:r>
    <w:r w:rsidR="00E63238" w:rsidRPr="00C7114F">
      <w:instrText xml:space="preserve"> PAGE   \* MERGEFORMAT </w:instrText>
    </w:r>
    <w:r w:rsidR="00E63238" w:rsidRPr="00C7114F">
      <w:fldChar w:fldCharType="separate"/>
    </w:r>
    <w:r w:rsidR="00E63238" w:rsidRPr="00C7114F">
      <w:t>1</w:t>
    </w:r>
    <w:r w:rsidR="00E63238" w:rsidRPr="00C7114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9E65" w14:textId="711DFA80" w:rsidR="00F51C59" w:rsidRDefault="00640BA0" w:rsidP="00C7114F">
    <w:pPr>
      <w:pStyle w:val="Footer"/>
    </w:pPr>
    <w:r>
      <w:pict w14:anchorId="6B69B5C1">
        <v:shapetype id="_x0000_t202" coordsize="21600,21600" o:spt="202" path="m,l,21600r21600,l21600,xe">
          <v:stroke joinstyle="miter"/>
          <v:path gradientshapeok="t" o:connecttype="rect"/>
        </v:shapetype>
        <v:shape id="_x0000_s2108" type="#_x0000_t202" style="position:absolute;left:0;text-align:left;margin-left:333.1pt;margin-top:538.65pt;width:460.65pt;height:21.25pt;rotation:-5921140fd;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08">
            <w:txbxContent>
              <w:p w14:paraId="1FE1F6E0" w14:textId="77777777" w:rsidR="00F51C59" w:rsidRPr="00D93AC1" w:rsidRDefault="00F51C59"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F51C59" w:rsidRPr="00F51C59">
      <w:t xml:space="preserve">Revision 3.0 – </w:t>
    </w:r>
    <w:r w:rsidR="00AC247E" w:rsidRPr="00AC247E">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D6B1" w14:textId="067DDD69" w:rsidR="00F51C59" w:rsidRDefault="00640BA0" w:rsidP="00D100F4">
    <w:pPr>
      <w:pStyle w:val="Footer"/>
      <w:rPr>
        <w:b w:val="0"/>
        <w:i w:val="0"/>
      </w:rPr>
    </w:pPr>
    <w:r>
      <w:pict w14:anchorId="516EA526">
        <v:shapetype id="_x0000_t202" coordsize="21600,21600" o:spt="202" path="m,l,21600r21600,l21600,xe">
          <v:stroke joinstyle="miter"/>
          <v:path gradientshapeok="t" o:connecttype="rect"/>
        </v:shapetype>
        <v:shape id="_x0000_s2109" type="#_x0000_t202" style="position:absolute;left:0;text-align:left;margin-left:333.1pt;margin-top:538.65pt;width:460.65pt;height:21.25pt;rotation:-5921140fd;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09">
            <w:txbxContent>
              <w:p w14:paraId="430FFDD6" w14:textId="77777777" w:rsidR="00F51C59" w:rsidRPr="00D93AC1" w:rsidRDefault="00F51C59"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F51C59" w:rsidRPr="00F51C59">
      <w:t xml:space="preserve">Revision 3.0 – </w:t>
    </w:r>
    <w:r w:rsidR="00AC247E" w:rsidRPr="00AC247E">
      <w:t>March 2021</w:t>
    </w:r>
    <w:r w:rsidR="00D100F4">
      <w:tab/>
    </w:r>
    <w:r w:rsidR="00F51C59" w:rsidRPr="00F51C59">
      <w:rPr>
        <w:b w:val="0"/>
        <w:i w:val="0"/>
        <w:noProof w:val="0"/>
        <w:sz w:val="18"/>
      </w:rPr>
      <w:fldChar w:fldCharType="begin"/>
    </w:r>
    <w:r w:rsidR="00F51C59" w:rsidRPr="00F51C59">
      <w:rPr>
        <w:sz w:val="18"/>
      </w:rPr>
      <w:instrText xml:space="preserve"> PAGE   \* MERGEFORMAT </w:instrText>
    </w:r>
    <w:r w:rsidR="00F51C59" w:rsidRPr="00F51C59">
      <w:rPr>
        <w:b w:val="0"/>
        <w:i w:val="0"/>
        <w:noProof w:val="0"/>
        <w:sz w:val="18"/>
      </w:rPr>
      <w:fldChar w:fldCharType="separate"/>
    </w:r>
    <w:r w:rsidR="00F51C59" w:rsidRPr="00F51C59">
      <w:rPr>
        <w:sz w:val="18"/>
      </w:rPr>
      <w:t>1</w:t>
    </w:r>
    <w:r w:rsidR="00F51C59" w:rsidRPr="00F51C59">
      <w:rPr>
        <w:b w:val="0"/>
        <w:i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37A5" w14:textId="77777777" w:rsidR="004822D7" w:rsidRDefault="004822D7">
      <w:r>
        <w:separator/>
      </w:r>
    </w:p>
  </w:footnote>
  <w:footnote w:type="continuationSeparator" w:id="0">
    <w:p w14:paraId="4077361E" w14:textId="77777777" w:rsidR="004822D7" w:rsidRDefault="0048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7255" w14:textId="6075CBBD" w:rsidR="00F65F41" w:rsidRDefault="00640BA0">
    <w:pPr>
      <w:pStyle w:val="Header"/>
      <w:rPr>
        <w:b/>
        <w:i w:val="0"/>
      </w:rPr>
    </w:pPr>
    <w:r>
      <w:pict w14:anchorId="29B00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5B41" w14:textId="35B9EE79" w:rsidR="001F61EC" w:rsidRDefault="001F61EC">
    <w:pPr>
      <w:pStyle w:val="Header"/>
      <w:rPr>
        <w:b/>
        <w:i w:val="0"/>
      </w:rPr>
    </w:pPr>
    <w:r w:rsidRPr="00CB56FC">
      <w:t>Brisbane City Council</w:t>
    </w:r>
    <w:r w:rsidR="00747587">
      <w:tab/>
      <w:t>R</w:t>
    </w:r>
    <w:r w:rsidRPr="00AC247E">
      <w:t>eference Specifications for Engineering Work</w:t>
    </w:r>
    <w:r w:rsidR="00747587">
      <w:t xml:space="preserve"> </w:t>
    </w:r>
    <w:r w:rsidRPr="00CB56FC">
      <w:t>S240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68C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62A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7E29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D00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E07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8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0E2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81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87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8A6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D047A"/>
    <w:multiLevelType w:val="hybridMultilevel"/>
    <w:tmpl w:val="E982E4AC"/>
    <w:lvl w:ilvl="0" w:tplc="283AA018">
      <w:start w:val="1"/>
      <w:numFmt w:val="bullet"/>
      <w:pStyle w:val="BodyTextIndentDo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C841EC8"/>
    <w:multiLevelType w:val="multilevel"/>
    <w:tmpl w:val="3B9EA680"/>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6FC"/>
    <w:rsid w:val="00034D07"/>
    <w:rsid w:val="00067531"/>
    <w:rsid w:val="001E1303"/>
    <w:rsid w:val="001F61EC"/>
    <w:rsid w:val="00207912"/>
    <w:rsid w:val="002C3513"/>
    <w:rsid w:val="002F7B3D"/>
    <w:rsid w:val="00305A09"/>
    <w:rsid w:val="00336401"/>
    <w:rsid w:val="00340EAE"/>
    <w:rsid w:val="003419CF"/>
    <w:rsid w:val="00344EF3"/>
    <w:rsid w:val="003860AA"/>
    <w:rsid w:val="004209FA"/>
    <w:rsid w:val="004822D7"/>
    <w:rsid w:val="00502A4A"/>
    <w:rsid w:val="0052019E"/>
    <w:rsid w:val="005A4123"/>
    <w:rsid w:val="005B6211"/>
    <w:rsid w:val="006270FF"/>
    <w:rsid w:val="00640BA0"/>
    <w:rsid w:val="006D6C5A"/>
    <w:rsid w:val="00747587"/>
    <w:rsid w:val="00767B8A"/>
    <w:rsid w:val="007F2910"/>
    <w:rsid w:val="008265C8"/>
    <w:rsid w:val="00871884"/>
    <w:rsid w:val="00886D32"/>
    <w:rsid w:val="0089651A"/>
    <w:rsid w:val="008A06F9"/>
    <w:rsid w:val="0091655B"/>
    <w:rsid w:val="009433EE"/>
    <w:rsid w:val="0094572B"/>
    <w:rsid w:val="009922AD"/>
    <w:rsid w:val="00A25C40"/>
    <w:rsid w:val="00A511DD"/>
    <w:rsid w:val="00A5238A"/>
    <w:rsid w:val="00AC247E"/>
    <w:rsid w:val="00B369C4"/>
    <w:rsid w:val="00C1795A"/>
    <w:rsid w:val="00C7114F"/>
    <w:rsid w:val="00CB56FC"/>
    <w:rsid w:val="00D100F4"/>
    <w:rsid w:val="00D3119D"/>
    <w:rsid w:val="00D75AE3"/>
    <w:rsid w:val="00DE4D9F"/>
    <w:rsid w:val="00E25E0A"/>
    <w:rsid w:val="00E610B3"/>
    <w:rsid w:val="00E63238"/>
    <w:rsid w:val="00EC2984"/>
    <w:rsid w:val="00F32AAF"/>
    <w:rsid w:val="00F34EB3"/>
    <w:rsid w:val="00F51C59"/>
    <w:rsid w:val="00F65F41"/>
    <w:rsid w:val="00F92930"/>
    <w:rsid w:val="00FC2C12"/>
    <w:rsid w:val="00FD0DF6"/>
    <w:rsid w:val="00FF79F6"/>
    <w:rsid w:val="0AEF2C16"/>
    <w:rsid w:val="4AAB705C"/>
    <w:rsid w:val="518EF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o:shapelayout v:ext="edit">
      <o:idmap v:ext="edit" data="1"/>
    </o:shapelayout>
  </w:shapeDefaults>
  <w:decimalSymbol w:val="."/>
  <w:listSeparator w:val=","/>
  <w14:docId w14:val="63081290"/>
  <w15:chartTrackingRefBased/>
  <w15:docId w15:val="{0E69D1FA-1C65-479C-807C-0C2BA7F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31"/>
    <w:rPr>
      <w:rFonts w:ascii="Arial" w:hAnsi="Arial"/>
    </w:rPr>
  </w:style>
  <w:style w:type="paragraph" w:styleId="Heading1">
    <w:name w:val="heading 1"/>
    <w:basedOn w:val="Normal"/>
    <w:next w:val="Normal"/>
    <w:qFormat/>
    <w:rsid w:val="0094572B"/>
    <w:pPr>
      <w:keepNext/>
      <w:spacing w:before="240" w:after="60"/>
      <w:outlineLvl w:val="0"/>
    </w:pPr>
    <w:rPr>
      <w:b/>
      <w:caps/>
      <w:kern w:val="28"/>
      <w:sz w:val="24"/>
      <w:szCs w:val="24"/>
    </w:rPr>
  </w:style>
  <w:style w:type="paragraph" w:styleId="Heading2">
    <w:name w:val="heading 2"/>
    <w:basedOn w:val="Normal"/>
    <w:next w:val="BodyTextIndent"/>
    <w:qFormat/>
    <w:rsid w:val="00D100F4"/>
    <w:pPr>
      <w:keepNext/>
      <w:numPr>
        <w:numId w:val="1"/>
      </w:numPr>
      <w:spacing w:before="240" w:after="60"/>
      <w:outlineLvl w:val="1"/>
    </w:pPr>
    <w:rPr>
      <w:b/>
      <w:caps/>
      <w:sz w:val="28"/>
      <w:szCs w:val="22"/>
    </w:rPr>
  </w:style>
  <w:style w:type="paragraph" w:styleId="Heading3">
    <w:name w:val="heading 3"/>
    <w:basedOn w:val="Heading2"/>
    <w:next w:val="Normal"/>
    <w:qFormat/>
    <w:rsid w:val="00D100F4"/>
    <w:pPr>
      <w:numPr>
        <w:ilvl w:val="1"/>
      </w:numPr>
      <w:tabs>
        <w:tab w:val="clear" w:pos="1440"/>
        <w:tab w:val="num" w:pos="709"/>
      </w:tabs>
      <w:ind w:left="709" w:hanging="709"/>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747587"/>
    <w:pPr>
      <w:pBdr>
        <w:bottom w:val="single" w:sz="2" w:space="6" w:color="auto"/>
      </w:pBdr>
      <w:tabs>
        <w:tab w:val="right" w:pos="9356"/>
      </w:tabs>
      <w:spacing w:before="20" w:after="20"/>
      <w:jc w:val="both"/>
    </w:pPr>
    <w:rPr>
      <w:i/>
      <w:sz w:val="16"/>
    </w:rPr>
  </w:style>
  <w:style w:type="paragraph" w:styleId="Footer">
    <w:name w:val="footer"/>
    <w:basedOn w:val="Fooer"/>
    <w:semiHidden/>
    <w:rsid w:val="005B6211"/>
  </w:style>
  <w:style w:type="character" w:styleId="PageNumber">
    <w:name w:val="page number"/>
    <w:semiHidden/>
    <w:rPr>
      <w:rFonts w:ascii="Arial" w:hAnsi="Arial"/>
      <w:sz w:val="16"/>
    </w:rPr>
  </w:style>
  <w:style w:type="paragraph" w:styleId="BodyText">
    <w:name w:val="Body Text"/>
    <w:basedOn w:val="Normal"/>
    <w:link w:val="BodyTextChar"/>
    <w:semiHidden/>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unhideWhenUsed/>
    <w:rsid w:val="00034D07"/>
    <w:pPr>
      <w:spacing w:before="60" w:after="60"/>
      <w:ind w:left="709"/>
      <w:jc w:val="both"/>
    </w:pPr>
  </w:style>
  <w:style w:type="paragraph" w:styleId="TOC1">
    <w:name w:val="toc 1"/>
    <w:basedOn w:val="Normal"/>
    <w:next w:val="Normal"/>
    <w:autoRedefine/>
    <w:uiPriority w:val="39"/>
    <w:unhideWhenUsed/>
    <w:rsid w:val="00FC2C12"/>
    <w:pPr>
      <w:tabs>
        <w:tab w:val="left" w:pos="567"/>
        <w:tab w:val="right" w:leader="dot" w:pos="9344"/>
      </w:tabs>
      <w:spacing w:before="120" w:after="120"/>
      <w:ind w:left="567" w:hanging="567"/>
    </w:pPr>
    <w:rPr>
      <w:rFonts w:ascii="Arial Bold" w:hAnsi="Arial Bold"/>
      <w:b/>
      <w:caps/>
      <w:noProof/>
      <w:sz w:val="24"/>
    </w:rPr>
  </w:style>
  <w:style w:type="paragraph" w:styleId="TOC2">
    <w:name w:val="toc 2"/>
    <w:basedOn w:val="Normal"/>
    <w:next w:val="Normal"/>
    <w:autoRedefine/>
    <w:uiPriority w:val="39"/>
    <w:unhideWhenUsed/>
    <w:rsid w:val="00FC2C12"/>
    <w:pPr>
      <w:tabs>
        <w:tab w:val="left" w:pos="993"/>
        <w:tab w:val="right" w:leader="dot" w:pos="9344"/>
      </w:tabs>
      <w:ind w:left="993" w:hanging="426"/>
    </w:pPr>
    <w:rPr>
      <w:rFonts w:ascii="Arial Bold" w:hAnsi="Arial Bold"/>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semiHidden/>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semiHidden/>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semiHidden/>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semiHidden/>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customStyle="1" w:styleId="hdg5">
    <w:name w:val="hdg 5"/>
    <w:basedOn w:val="Normal"/>
    <w:next w:val="BlockText"/>
    <w:semiHidden/>
    <w:pPr>
      <w:widowControl w:val="0"/>
      <w:spacing w:before="120"/>
    </w:pPr>
    <w:rPr>
      <w:rFonts w:ascii="CG Times" w:hAnsi="CG Times"/>
      <w:b/>
      <w:snapToGrid w:val="0"/>
      <w:sz w:val="22"/>
      <w:lang w:val="en-US" w:eastAsia="en-US"/>
    </w:rPr>
  </w:style>
  <w:style w:type="paragraph" w:styleId="BlockText">
    <w:name w:val="Block Text"/>
    <w:basedOn w:val="Normal"/>
    <w:unhideWhenUsed/>
    <w:pPr>
      <w:spacing w:after="120"/>
      <w:ind w:left="1440" w:right="1440"/>
    </w:pPr>
  </w:style>
  <w:style w:type="paragraph" w:styleId="BodyTextIndent2">
    <w:name w:val="Body Text Indent 2"/>
    <w:basedOn w:val="Normal"/>
    <w:semiHidden/>
    <w:pPr>
      <w:ind w:left="709"/>
    </w:pPr>
  </w:style>
  <w:style w:type="paragraph" w:styleId="BodyTextIndent3">
    <w:name w:val="Body Text Indent 3"/>
    <w:basedOn w:val="Normal"/>
    <w:semiHidden/>
    <w:pPr>
      <w:ind w:left="709"/>
      <w:jc w:val="both"/>
    </w:pPr>
  </w:style>
  <w:style w:type="paragraph" w:styleId="DocumentMap">
    <w:name w:val="Document Map"/>
    <w:basedOn w:val="Normal"/>
    <w:semiHidden/>
    <w:pPr>
      <w:shd w:val="clear" w:color="auto" w:fill="000080"/>
    </w:pPr>
    <w:rPr>
      <w:rFonts w:ascii="Tahoma" w:hAnsi="Tahoma"/>
    </w:rPr>
  </w:style>
  <w:style w:type="paragraph" w:customStyle="1" w:styleId="a">
    <w:name w:val="_"/>
    <w:basedOn w:val="Normal"/>
    <w:pPr>
      <w:widowControl w:val="0"/>
      <w:spacing w:after="60"/>
      <w:ind w:left="624" w:hanging="624"/>
    </w:pPr>
    <w:rPr>
      <w:rFonts w:ascii="Times New Roman" w:hAnsi="Times New Roman"/>
      <w:snapToGrid w:val="0"/>
      <w:sz w:val="24"/>
      <w:lang w:val="en-US" w:eastAsia="en-US"/>
    </w:rPr>
  </w:style>
  <w:style w:type="paragraph" w:customStyle="1" w:styleId="hdg30">
    <w:name w:val="hdg3"/>
    <w:basedOn w:val="Normal"/>
    <w:semiHidden/>
    <w:pPr>
      <w:widowControl w:val="0"/>
      <w:spacing w:before="120" w:after="120"/>
    </w:pPr>
    <w:rPr>
      <w:b/>
      <w:caps/>
      <w:snapToGrid w:val="0"/>
      <w:lang w:val="en-US" w:eastAsia="en-US"/>
    </w:rPr>
  </w:style>
  <w:style w:type="paragraph" w:customStyle="1" w:styleId="hdg40">
    <w:name w:val="hdg4"/>
    <w:basedOn w:val="Normal"/>
    <w:semiHidden/>
    <w:pPr>
      <w:widowControl w:val="0"/>
      <w:spacing w:before="120" w:after="120"/>
    </w:pPr>
    <w:rPr>
      <w:b/>
      <w:snapToGrid w:val="0"/>
      <w:lang w:val="en-US" w:eastAsia="en-US"/>
    </w:rPr>
  </w:style>
  <w:style w:type="paragraph" w:customStyle="1" w:styleId="CoverHeading">
    <w:name w:val="Cover Heading"/>
    <w:basedOn w:val="Normal"/>
    <w:rsid w:val="00CB56FC"/>
    <w:pPr>
      <w:spacing w:before="240" w:after="120"/>
      <w:jc w:val="center"/>
      <w:outlineLvl w:val="0"/>
    </w:pPr>
    <w:rPr>
      <w:b/>
      <w:caps/>
      <w:sz w:val="24"/>
    </w:rPr>
  </w:style>
  <w:style w:type="paragraph" w:customStyle="1" w:styleId="Table">
    <w:name w:val="Table"/>
    <w:basedOn w:val="Normal"/>
    <w:qFormat/>
    <w:rsid w:val="00CB56FC"/>
    <w:pPr>
      <w:spacing w:before="20" w:after="20"/>
    </w:pPr>
    <w:rPr>
      <w:snapToGrid w:val="0"/>
      <w:sz w:val="18"/>
      <w:lang w:eastAsia="en-US"/>
    </w:rPr>
  </w:style>
  <w:style w:type="paragraph" w:customStyle="1" w:styleId="TableCen">
    <w:name w:val="Table Cen"/>
    <w:basedOn w:val="Table"/>
    <w:qFormat/>
    <w:rsid w:val="00CB56FC"/>
    <w:pPr>
      <w:jc w:val="center"/>
    </w:pPr>
  </w:style>
  <w:style w:type="paragraph" w:customStyle="1" w:styleId="TableHeadCen">
    <w:name w:val="Table Head Cen"/>
    <w:basedOn w:val="Normal"/>
    <w:rsid w:val="00CB56FC"/>
    <w:pPr>
      <w:spacing w:before="40" w:after="40"/>
      <w:jc w:val="center"/>
    </w:pPr>
    <w:rPr>
      <w:rFonts w:ascii="Arial Bold" w:hAnsi="Arial Bold"/>
      <w:b/>
      <w:sz w:val="18"/>
    </w:rPr>
  </w:style>
  <w:style w:type="paragraph" w:customStyle="1" w:styleId="BodyTextIndentBoldItalicCen">
    <w:name w:val="Body Text Indent Bold Italic Cen"/>
    <w:basedOn w:val="BodyTextIndent"/>
    <w:rsid w:val="00DE4D9F"/>
    <w:pPr>
      <w:jc w:val="center"/>
    </w:pPr>
    <w:rPr>
      <w:b/>
      <w:i/>
    </w:rPr>
  </w:style>
  <w:style w:type="paragraph" w:customStyle="1" w:styleId="Fooer">
    <w:name w:val="Fooer"/>
    <w:basedOn w:val="Normal"/>
    <w:qFormat/>
    <w:rsid w:val="00A5238A"/>
    <w:pPr>
      <w:pBdr>
        <w:top w:val="single" w:sz="2" w:space="6" w:color="auto"/>
      </w:pBdr>
      <w:tabs>
        <w:tab w:val="right" w:pos="9354"/>
      </w:tabs>
      <w:spacing w:before="60" w:after="60"/>
      <w:jc w:val="both"/>
    </w:pPr>
    <w:rPr>
      <w:b/>
      <w:i/>
      <w:noProof/>
      <w:sz w:val="16"/>
      <w:szCs w:val="18"/>
    </w:rPr>
  </w:style>
  <w:style w:type="paragraph" w:customStyle="1" w:styleId="BodyTextIndentDot">
    <w:name w:val="Body Text Indent Dot"/>
    <w:basedOn w:val="BodyTextIndent3"/>
    <w:qFormat/>
    <w:rsid w:val="00034D07"/>
    <w:pPr>
      <w:numPr>
        <w:numId w:val="4"/>
      </w:numPr>
      <w:spacing w:before="40" w:after="40"/>
      <w:ind w:left="1134" w:hanging="425"/>
    </w:pPr>
  </w:style>
  <w:style w:type="paragraph" w:styleId="BalloonText">
    <w:name w:val="Balloon Text"/>
    <w:basedOn w:val="Normal"/>
    <w:link w:val="BalloonTextChar"/>
    <w:uiPriority w:val="99"/>
    <w:semiHidden/>
    <w:unhideWhenUsed/>
    <w:rsid w:val="006D6C5A"/>
    <w:rPr>
      <w:rFonts w:ascii="Tahoma" w:hAnsi="Tahoma" w:cs="Tahoma"/>
      <w:sz w:val="16"/>
      <w:szCs w:val="16"/>
    </w:rPr>
  </w:style>
  <w:style w:type="character" w:customStyle="1" w:styleId="BalloonTextChar">
    <w:name w:val="Balloon Text Char"/>
    <w:link w:val="BalloonText"/>
    <w:uiPriority w:val="99"/>
    <w:semiHidden/>
    <w:rsid w:val="006D6C5A"/>
    <w:rPr>
      <w:rFonts w:ascii="Tahoma" w:hAnsi="Tahoma" w:cs="Tahoma"/>
      <w:sz w:val="16"/>
      <w:szCs w:val="16"/>
    </w:rPr>
  </w:style>
  <w:style w:type="paragraph" w:customStyle="1" w:styleId="BodyTextIndentBoldUnderline">
    <w:name w:val="Body Text Indent Bold Underline"/>
    <w:basedOn w:val="BodyTextIndent"/>
    <w:qFormat/>
    <w:rsid w:val="007F2910"/>
    <w:rPr>
      <w:b/>
      <w:u w:val="single"/>
    </w:rPr>
  </w:style>
  <w:style w:type="paragraph" w:styleId="NormalWeb">
    <w:name w:val="Normal (Web)"/>
    <w:basedOn w:val="Normal"/>
    <w:uiPriority w:val="99"/>
    <w:semiHidden/>
    <w:unhideWhenUsed/>
    <w:rsid w:val="00F51C59"/>
    <w:rPr>
      <w:rFonts w:ascii="Times New Roman" w:hAnsi="Times New Roman"/>
      <w:sz w:val="24"/>
      <w:szCs w:val="24"/>
    </w:rPr>
  </w:style>
  <w:style w:type="character" w:customStyle="1" w:styleId="BodyTextChar">
    <w:name w:val="Body Text Char"/>
    <w:basedOn w:val="DefaultParagraphFont"/>
    <w:link w:val="BodyText"/>
    <w:semiHidden/>
    <w:rsid w:val="005B6211"/>
    <w:rPr>
      <w:rFonts w:ascii="Arial" w:hAnsi="Arial"/>
    </w:rPr>
  </w:style>
  <w:style w:type="character" w:customStyle="1" w:styleId="BodyTextIndentChar">
    <w:name w:val="Body Text Indent Char"/>
    <w:basedOn w:val="DefaultParagraphFont"/>
    <w:link w:val="BodyTextIndent"/>
    <w:rsid w:val="005B62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31979-31DC-4A7D-A392-740543F8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57F6A-B35D-4496-AA90-C614DA74F7E8}">
  <ds:schemaRefs>
    <ds:schemaRef ds:uri="http://schemas.microsoft.com/sharepoint/v3/contenttype/forms"/>
  </ds:schemaRefs>
</ds:datastoreItem>
</file>

<file path=customXml/itemProps3.xml><?xml version="1.0" encoding="utf-8"?>
<ds:datastoreItem xmlns:ds="http://schemas.openxmlformats.org/officeDocument/2006/customXml" ds:itemID="{3FC727BD-53FA-4470-8EC9-0041550BB6D3}">
  <ds:schemaRefs>
    <ds:schemaRef ds:uri="http://schemas.openxmlformats.org/officeDocument/2006/bibliography"/>
  </ds:schemaRefs>
</ds:datastoreItem>
</file>

<file path=customXml/itemProps4.xml><?xml version="1.0" encoding="utf-8"?>
<ds:datastoreItem xmlns:ds="http://schemas.openxmlformats.org/officeDocument/2006/customXml" ds:itemID="{CEBDEFD1-C875-457F-B9D3-2769A63EF292}">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4f40705d-e7da-4f43-bdce-ad8c70b86017"/>
    <ds:schemaRef ds:uri="1aac26e5-4c41-468c-83b0-97e8e79a919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1273</Words>
  <Characters>7258</Characters>
  <Application>Microsoft Office Word</Application>
  <DocSecurity>0</DocSecurity>
  <Lines>60</Lines>
  <Paragraphs>17</Paragraphs>
  <ScaleCrop>false</ScaleCrop>
  <Manager>Bruce Hansen</Manager>
  <Company>Brisbane City Council</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S240 Coatings</dc:subject>
  <dc:creator>Lucy Ting</dc:creator>
  <cp:keywords/>
  <dc:description/>
  <cp:lastModifiedBy>David Brady</cp:lastModifiedBy>
  <cp:revision>22</cp:revision>
  <cp:lastPrinted>2001-06-29T06:37:00Z</cp:lastPrinted>
  <dcterms:created xsi:type="dcterms:W3CDTF">2020-10-12T04:34:00Z</dcterms:created>
  <dcterms:modified xsi:type="dcterms:W3CDTF">2021-11-17T21:20:00Z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