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1CE4" w14:textId="7D0C20EC" w:rsidR="001F5C7B" w:rsidRPr="005A4F0B" w:rsidRDefault="00BE205A" w:rsidP="005A4F0B">
      <w:pPr>
        <w:pStyle w:val="Heading1"/>
      </w:pPr>
      <w:bookmarkStart w:id="0" w:name="_Toc197934562"/>
      <w:bookmarkStart w:id="1" w:name="_Toc197935081"/>
      <w:bookmarkStart w:id="2" w:name="_Toc197936723"/>
      <w:bookmarkStart w:id="3" w:name="_Toc198699292"/>
      <w:r w:rsidRPr="005A4F0B">
        <w:rPr>
          <w:caps w:val="0"/>
        </w:rPr>
        <w:t>BRISBANE CITY COUNCIL</w:t>
      </w:r>
    </w:p>
    <w:p w14:paraId="79B15501" w14:textId="2DD2199F" w:rsidR="001F5C7B" w:rsidRDefault="00BE205A" w:rsidP="005A4F0B">
      <w:pPr>
        <w:pStyle w:val="Heading1"/>
      </w:pPr>
      <w:r>
        <w:rPr>
          <w:caps w:val="0"/>
        </w:rPr>
        <w:t>REFERENCE SPECIFICATIONS FOR ENGINEERING WORK</w:t>
      </w:r>
    </w:p>
    <w:p w14:paraId="72F503CF" w14:textId="266A014D" w:rsidR="00497ED9" w:rsidRDefault="00BE205A" w:rsidP="005A4F0B">
      <w:pPr>
        <w:pStyle w:val="Heading1"/>
      </w:pPr>
      <w:r>
        <w:rPr>
          <w:caps w:val="0"/>
        </w:rPr>
        <w:t>S300 QUARRY PRODUCTS</w:t>
      </w:r>
    </w:p>
    <w:p w14:paraId="2A922F33" w14:textId="13244EF0" w:rsidR="005A4F0B" w:rsidRPr="005A4F0B" w:rsidRDefault="005A4F0B" w:rsidP="005A4F0B">
      <w:pPr>
        <w:sectPr w:rsidR="005A4F0B" w:rsidRPr="005A4F0B" w:rsidSect="00D80BBA">
          <w:headerReference w:type="even" r:id="rId11"/>
          <w:headerReference w:type="default" r:id="rId12"/>
          <w:footerReference w:type="default" r:id="rId13"/>
          <w:footerReference w:type="first" r:id="rId14"/>
          <w:pgSz w:w="11906" w:h="16838" w:code="9"/>
          <w:pgMar w:top="1134" w:right="1418" w:bottom="992" w:left="1418" w:header="1134" w:footer="851" w:gutter="0"/>
          <w:pgNumType w:fmt="lowerRoman" w:start="1"/>
          <w:cols w:space="720"/>
          <w:docGrid w:linePitch="272"/>
        </w:sectPr>
      </w:pPr>
    </w:p>
    <w:p w14:paraId="6F22BF12" w14:textId="302585FE" w:rsidR="000C763A" w:rsidRDefault="000C763A" w:rsidP="00BE205A">
      <w:pPr>
        <w:pStyle w:val="Heading2"/>
        <w:numPr>
          <w:ilvl w:val="0"/>
          <w:numId w:val="0"/>
        </w:numPr>
        <w:ind w:left="720" w:hanging="720"/>
      </w:pPr>
      <w:r>
        <w:lastRenderedPageBreak/>
        <w:t>Amendment Register</w:t>
      </w:r>
      <w:bookmarkEnd w:id="0"/>
      <w:bookmarkEnd w:id="1"/>
      <w:bookmarkEnd w:id="2"/>
      <w:bookmarkEnd w:id="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4927"/>
        <w:gridCol w:w="1593"/>
      </w:tblGrid>
      <w:tr w:rsidR="00DC21CB" w14:paraId="13640E17" w14:textId="77777777" w:rsidTr="00BE205A">
        <w:tc>
          <w:tcPr>
            <w:tcW w:w="1242" w:type="dxa"/>
            <w:tcBorders>
              <w:top w:val="single" w:sz="12" w:space="0" w:color="auto"/>
              <w:left w:val="nil"/>
              <w:bottom w:val="single" w:sz="12" w:space="0" w:color="auto"/>
              <w:right w:val="single" w:sz="6" w:space="0" w:color="auto"/>
            </w:tcBorders>
            <w:shd w:val="clear" w:color="auto" w:fill="auto"/>
            <w:vAlign w:val="center"/>
          </w:tcPr>
          <w:p w14:paraId="230917FE" w14:textId="77777777" w:rsidR="00DC21CB" w:rsidRDefault="00DC21CB" w:rsidP="00E42D09">
            <w:pPr>
              <w:pStyle w:val="TableHead"/>
            </w:pPr>
            <w:r>
              <w:t>Ed/Rev Number</w:t>
            </w:r>
          </w:p>
        </w:tc>
        <w:tc>
          <w:tcPr>
            <w:tcW w:w="1310" w:type="dxa"/>
            <w:tcBorders>
              <w:top w:val="single" w:sz="12" w:space="0" w:color="auto"/>
              <w:left w:val="single" w:sz="6" w:space="0" w:color="auto"/>
              <w:bottom w:val="single" w:sz="12" w:space="0" w:color="auto"/>
              <w:right w:val="single" w:sz="6" w:space="0" w:color="auto"/>
            </w:tcBorders>
            <w:shd w:val="clear" w:color="auto" w:fill="auto"/>
            <w:vAlign w:val="center"/>
          </w:tcPr>
          <w:p w14:paraId="2EEA27E4" w14:textId="77777777" w:rsidR="00DC21CB" w:rsidRDefault="00DC21CB" w:rsidP="00E42D09">
            <w:pPr>
              <w:pStyle w:val="TableHead"/>
            </w:pPr>
            <w:r>
              <w:t>Section Number</w:t>
            </w:r>
          </w:p>
        </w:tc>
        <w:tc>
          <w:tcPr>
            <w:tcW w:w="4927" w:type="dxa"/>
            <w:tcBorders>
              <w:top w:val="single" w:sz="12" w:space="0" w:color="auto"/>
              <w:left w:val="single" w:sz="6" w:space="0" w:color="auto"/>
              <w:bottom w:val="single" w:sz="12" w:space="0" w:color="auto"/>
              <w:right w:val="single" w:sz="6" w:space="0" w:color="auto"/>
            </w:tcBorders>
            <w:shd w:val="clear" w:color="auto" w:fill="auto"/>
            <w:vAlign w:val="center"/>
          </w:tcPr>
          <w:p w14:paraId="68092DA4" w14:textId="77777777" w:rsidR="00DC21CB" w:rsidRDefault="00DC21CB" w:rsidP="00E42D09">
            <w:pPr>
              <w:pStyle w:val="TableHead"/>
            </w:pPr>
            <w:r>
              <w:t>Description</w:t>
            </w:r>
          </w:p>
        </w:tc>
        <w:tc>
          <w:tcPr>
            <w:tcW w:w="1593" w:type="dxa"/>
            <w:tcBorders>
              <w:top w:val="single" w:sz="12" w:space="0" w:color="auto"/>
              <w:left w:val="single" w:sz="6" w:space="0" w:color="auto"/>
              <w:bottom w:val="single" w:sz="12" w:space="0" w:color="auto"/>
              <w:right w:val="nil"/>
            </w:tcBorders>
            <w:shd w:val="clear" w:color="auto" w:fill="auto"/>
            <w:vAlign w:val="center"/>
          </w:tcPr>
          <w:p w14:paraId="4328E849" w14:textId="77777777" w:rsidR="00DC21CB" w:rsidRDefault="00DC21CB" w:rsidP="00E42D09">
            <w:pPr>
              <w:pStyle w:val="TableHead"/>
            </w:pPr>
            <w:r>
              <w:t>Date</w:t>
            </w:r>
          </w:p>
        </w:tc>
      </w:tr>
      <w:tr w:rsidR="00DC21CB" w14:paraId="07F76ABA" w14:textId="77777777" w:rsidTr="00BE205A">
        <w:trPr>
          <w:trHeight w:val="340"/>
        </w:trPr>
        <w:tc>
          <w:tcPr>
            <w:tcW w:w="1242" w:type="dxa"/>
            <w:tcBorders>
              <w:top w:val="single" w:sz="12" w:space="0" w:color="auto"/>
              <w:left w:val="nil"/>
              <w:bottom w:val="single" w:sz="8" w:space="0" w:color="auto"/>
              <w:right w:val="single" w:sz="6" w:space="0" w:color="auto"/>
            </w:tcBorders>
            <w:vAlign w:val="center"/>
          </w:tcPr>
          <w:p w14:paraId="007D4C78" w14:textId="77777777" w:rsidR="00DC21CB" w:rsidRDefault="00DC21CB" w:rsidP="00E42D09">
            <w:pPr>
              <w:pStyle w:val="TableCen"/>
            </w:pPr>
            <w:r>
              <w:t>1.0</w:t>
            </w:r>
          </w:p>
        </w:tc>
        <w:tc>
          <w:tcPr>
            <w:tcW w:w="1310" w:type="dxa"/>
            <w:tcBorders>
              <w:top w:val="single" w:sz="12" w:space="0" w:color="auto"/>
              <w:left w:val="single" w:sz="6" w:space="0" w:color="auto"/>
              <w:bottom w:val="single" w:sz="8" w:space="0" w:color="auto"/>
              <w:right w:val="single" w:sz="6" w:space="0" w:color="auto"/>
            </w:tcBorders>
            <w:vAlign w:val="center"/>
          </w:tcPr>
          <w:p w14:paraId="61EB4F57" w14:textId="77777777" w:rsidR="00DC21CB" w:rsidRDefault="00DC21CB" w:rsidP="00E42D09">
            <w:pPr>
              <w:pStyle w:val="TableCen"/>
            </w:pPr>
          </w:p>
        </w:tc>
        <w:tc>
          <w:tcPr>
            <w:tcW w:w="4927" w:type="dxa"/>
            <w:tcBorders>
              <w:top w:val="single" w:sz="12" w:space="0" w:color="auto"/>
              <w:left w:val="single" w:sz="6" w:space="0" w:color="auto"/>
              <w:bottom w:val="single" w:sz="8" w:space="0" w:color="auto"/>
              <w:right w:val="single" w:sz="6" w:space="0" w:color="auto"/>
            </w:tcBorders>
            <w:vAlign w:val="center"/>
          </w:tcPr>
          <w:p w14:paraId="1B4F9BD8" w14:textId="77777777" w:rsidR="00DC21CB" w:rsidRDefault="00DC21CB" w:rsidP="00E42D09">
            <w:pPr>
              <w:pStyle w:val="Table"/>
            </w:pPr>
            <w:r>
              <w:t>Original issue</w:t>
            </w:r>
          </w:p>
        </w:tc>
        <w:tc>
          <w:tcPr>
            <w:tcW w:w="1593" w:type="dxa"/>
            <w:tcBorders>
              <w:top w:val="single" w:sz="12" w:space="0" w:color="auto"/>
              <w:left w:val="single" w:sz="6" w:space="0" w:color="auto"/>
              <w:bottom w:val="single" w:sz="8" w:space="0" w:color="auto"/>
              <w:right w:val="nil"/>
            </w:tcBorders>
            <w:vAlign w:val="center"/>
          </w:tcPr>
          <w:p w14:paraId="581A673D" w14:textId="77777777" w:rsidR="00DC21CB" w:rsidRDefault="00DC21CB" w:rsidP="00E42D09">
            <w:pPr>
              <w:pStyle w:val="TableCen"/>
            </w:pPr>
            <w:r>
              <w:t>Oct 2001</w:t>
            </w:r>
          </w:p>
        </w:tc>
      </w:tr>
      <w:tr w:rsidR="00DC21CB" w14:paraId="4DB70CB9" w14:textId="77777777" w:rsidTr="00BE205A">
        <w:trPr>
          <w:trHeight w:val="340"/>
        </w:trPr>
        <w:tc>
          <w:tcPr>
            <w:tcW w:w="1242" w:type="dxa"/>
            <w:tcBorders>
              <w:top w:val="single" w:sz="8" w:space="0" w:color="auto"/>
              <w:left w:val="nil"/>
              <w:bottom w:val="single" w:sz="8" w:space="0" w:color="auto"/>
              <w:right w:val="single" w:sz="6" w:space="0" w:color="auto"/>
            </w:tcBorders>
            <w:vAlign w:val="center"/>
          </w:tcPr>
          <w:p w14:paraId="39C613B3" w14:textId="77777777" w:rsidR="00DC21CB" w:rsidRDefault="00DC21CB" w:rsidP="00E42D09">
            <w:pPr>
              <w:pStyle w:val="TableCen"/>
            </w:pPr>
            <w:r>
              <w:t>2.0</w:t>
            </w:r>
          </w:p>
        </w:tc>
        <w:tc>
          <w:tcPr>
            <w:tcW w:w="1310" w:type="dxa"/>
            <w:tcBorders>
              <w:top w:val="single" w:sz="8" w:space="0" w:color="auto"/>
              <w:left w:val="single" w:sz="6" w:space="0" w:color="auto"/>
              <w:bottom w:val="single" w:sz="8" w:space="0" w:color="auto"/>
              <w:right w:val="single" w:sz="6" w:space="0" w:color="auto"/>
            </w:tcBorders>
            <w:vAlign w:val="center"/>
          </w:tcPr>
          <w:p w14:paraId="7EEE815B" w14:textId="77777777" w:rsidR="00DC21CB" w:rsidRDefault="00DC21CB" w:rsidP="00E42D09">
            <w:pPr>
              <w:pStyle w:val="TableCen"/>
            </w:pPr>
            <w:r>
              <w:t>4.1, 4.2 and 4.3</w:t>
            </w:r>
          </w:p>
        </w:tc>
        <w:tc>
          <w:tcPr>
            <w:tcW w:w="4927" w:type="dxa"/>
            <w:tcBorders>
              <w:top w:val="single" w:sz="8" w:space="0" w:color="auto"/>
              <w:left w:val="single" w:sz="6" w:space="0" w:color="auto"/>
              <w:bottom w:val="single" w:sz="8" w:space="0" w:color="auto"/>
              <w:right w:val="single" w:sz="6" w:space="0" w:color="auto"/>
            </w:tcBorders>
            <w:vAlign w:val="center"/>
          </w:tcPr>
          <w:p w14:paraId="1EE57D44" w14:textId="77777777" w:rsidR="00DC21CB" w:rsidRPr="00DC21CB" w:rsidRDefault="00DC21CB" w:rsidP="00707A08">
            <w:pPr>
              <w:pStyle w:val="Table"/>
            </w:pPr>
            <w:r w:rsidRPr="00DC21CB">
              <w:t xml:space="preserve">Requirements </w:t>
            </w:r>
            <w:r w:rsidR="00707A08">
              <w:t>to</w:t>
            </w:r>
            <w:r w:rsidR="00085839">
              <w:t xml:space="preserve"> </w:t>
            </w:r>
            <w:r w:rsidR="00645DD8">
              <w:t xml:space="preserve">verify permissible </w:t>
            </w:r>
            <w:r w:rsidR="00E12845">
              <w:t xml:space="preserve">sulphur </w:t>
            </w:r>
            <w:r w:rsidR="00707A08">
              <w:t>content of</w:t>
            </w:r>
            <w:r w:rsidR="00B77123">
              <w:t xml:space="preserve"> Class 1</w:t>
            </w:r>
            <w:r w:rsidR="00E12845">
              <w:t xml:space="preserve"> and</w:t>
            </w:r>
            <w:r w:rsidR="00B77123">
              <w:t xml:space="preserve"> Class 2 materials defined.</w:t>
            </w:r>
          </w:p>
        </w:tc>
        <w:tc>
          <w:tcPr>
            <w:tcW w:w="1593" w:type="dxa"/>
            <w:tcBorders>
              <w:top w:val="single" w:sz="8" w:space="0" w:color="auto"/>
              <w:left w:val="single" w:sz="6" w:space="0" w:color="auto"/>
              <w:bottom w:val="single" w:sz="8" w:space="0" w:color="auto"/>
              <w:right w:val="nil"/>
            </w:tcBorders>
            <w:vAlign w:val="center"/>
          </w:tcPr>
          <w:p w14:paraId="65036142" w14:textId="77777777" w:rsidR="00DC21CB" w:rsidRPr="00EE0A6D" w:rsidRDefault="00877DEA" w:rsidP="00085839">
            <w:pPr>
              <w:pStyle w:val="TableCen"/>
            </w:pPr>
            <w:r>
              <w:t>Apr</w:t>
            </w:r>
            <w:r w:rsidR="00EE0A6D" w:rsidRPr="00EE0A6D">
              <w:t xml:space="preserve"> 201</w:t>
            </w:r>
            <w:r>
              <w:t>4</w:t>
            </w:r>
          </w:p>
        </w:tc>
      </w:tr>
      <w:tr w:rsidR="00744425" w14:paraId="55EC936E" w14:textId="77777777" w:rsidTr="00BE205A">
        <w:trPr>
          <w:trHeight w:val="340"/>
        </w:trPr>
        <w:tc>
          <w:tcPr>
            <w:tcW w:w="1242" w:type="dxa"/>
            <w:vMerge w:val="restart"/>
            <w:tcBorders>
              <w:top w:val="single" w:sz="8" w:space="0" w:color="auto"/>
              <w:left w:val="nil"/>
              <w:bottom w:val="single" w:sz="8" w:space="0" w:color="auto"/>
              <w:right w:val="single" w:sz="6" w:space="0" w:color="auto"/>
            </w:tcBorders>
            <w:vAlign w:val="center"/>
          </w:tcPr>
          <w:p w14:paraId="026FF6B1" w14:textId="77777777" w:rsidR="00744425" w:rsidRDefault="00744425" w:rsidP="00E42D09">
            <w:pPr>
              <w:pStyle w:val="TableCen"/>
            </w:pPr>
            <w:r>
              <w:t>3.0</w:t>
            </w:r>
          </w:p>
        </w:tc>
        <w:tc>
          <w:tcPr>
            <w:tcW w:w="1310" w:type="dxa"/>
            <w:tcBorders>
              <w:top w:val="single" w:sz="8" w:space="0" w:color="auto"/>
              <w:left w:val="single" w:sz="6" w:space="0" w:color="auto"/>
              <w:bottom w:val="single" w:sz="2" w:space="0" w:color="auto"/>
              <w:right w:val="single" w:sz="6" w:space="0" w:color="auto"/>
            </w:tcBorders>
            <w:vAlign w:val="center"/>
          </w:tcPr>
          <w:p w14:paraId="1C57A3D8" w14:textId="77777777" w:rsidR="00744425" w:rsidRDefault="00744425" w:rsidP="00E42D09">
            <w:pPr>
              <w:pStyle w:val="TableCen"/>
            </w:pPr>
            <w:r>
              <w:t>1.2</w:t>
            </w:r>
          </w:p>
        </w:tc>
        <w:tc>
          <w:tcPr>
            <w:tcW w:w="4927" w:type="dxa"/>
            <w:tcBorders>
              <w:top w:val="single" w:sz="8" w:space="0" w:color="auto"/>
              <w:left w:val="single" w:sz="6" w:space="0" w:color="auto"/>
              <w:bottom w:val="single" w:sz="2" w:space="0" w:color="auto"/>
              <w:right w:val="single" w:sz="6" w:space="0" w:color="auto"/>
            </w:tcBorders>
            <w:vAlign w:val="center"/>
          </w:tcPr>
          <w:p w14:paraId="69354A25" w14:textId="77777777" w:rsidR="00744425" w:rsidRPr="00DC21CB" w:rsidRDefault="00744425" w:rsidP="00707A08">
            <w:pPr>
              <w:pStyle w:val="Table"/>
            </w:pPr>
            <w:r w:rsidRPr="00744425">
              <w:t>Referenced documents list updated</w:t>
            </w:r>
          </w:p>
        </w:tc>
        <w:tc>
          <w:tcPr>
            <w:tcW w:w="1593" w:type="dxa"/>
            <w:vMerge w:val="restart"/>
            <w:tcBorders>
              <w:top w:val="single" w:sz="8" w:space="0" w:color="auto"/>
              <w:left w:val="single" w:sz="6" w:space="0" w:color="auto"/>
              <w:bottom w:val="single" w:sz="12" w:space="0" w:color="auto"/>
              <w:right w:val="nil"/>
            </w:tcBorders>
            <w:vAlign w:val="center"/>
          </w:tcPr>
          <w:p w14:paraId="3C6A5285" w14:textId="77777777" w:rsidR="00744425" w:rsidRDefault="00744425" w:rsidP="00085839">
            <w:pPr>
              <w:pStyle w:val="TableCen"/>
            </w:pPr>
            <w:r>
              <w:t>May 2016</w:t>
            </w:r>
          </w:p>
        </w:tc>
      </w:tr>
      <w:tr w:rsidR="00744425" w14:paraId="4F3BE93A" w14:textId="77777777" w:rsidTr="00BE205A">
        <w:trPr>
          <w:trHeight w:val="340"/>
        </w:trPr>
        <w:tc>
          <w:tcPr>
            <w:tcW w:w="1242" w:type="dxa"/>
            <w:vMerge/>
            <w:tcBorders>
              <w:left w:val="nil"/>
              <w:bottom w:val="single" w:sz="8" w:space="0" w:color="auto"/>
            </w:tcBorders>
            <w:vAlign w:val="center"/>
          </w:tcPr>
          <w:p w14:paraId="6FE0B800" w14:textId="77777777" w:rsidR="00744425" w:rsidRDefault="00744425" w:rsidP="00E42D09">
            <w:pPr>
              <w:pStyle w:val="TableCen"/>
            </w:pPr>
          </w:p>
        </w:tc>
        <w:tc>
          <w:tcPr>
            <w:tcW w:w="1310" w:type="dxa"/>
            <w:tcBorders>
              <w:top w:val="single" w:sz="2" w:space="0" w:color="auto"/>
              <w:left w:val="single" w:sz="6" w:space="0" w:color="auto"/>
              <w:bottom w:val="single" w:sz="8" w:space="0" w:color="auto"/>
              <w:right w:val="single" w:sz="6" w:space="0" w:color="auto"/>
            </w:tcBorders>
            <w:vAlign w:val="center"/>
          </w:tcPr>
          <w:p w14:paraId="1AFFDE6D" w14:textId="77777777" w:rsidR="00744425" w:rsidRDefault="00744425" w:rsidP="00744425">
            <w:pPr>
              <w:pStyle w:val="TableCen"/>
            </w:pPr>
            <w:r w:rsidRPr="00744425">
              <w:t>4.1</w:t>
            </w:r>
            <w:r>
              <w:t>, 4.2, 4.3</w:t>
            </w:r>
          </w:p>
        </w:tc>
        <w:tc>
          <w:tcPr>
            <w:tcW w:w="4927" w:type="dxa"/>
            <w:tcBorders>
              <w:top w:val="single" w:sz="2" w:space="0" w:color="auto"/>
              <w:left w:val="single" w:sz="6" w:space="0" w:color="auto"/>
              <w:bottom w:val="single" w:sz="8" w:space="0" w:color="auto"/>
              <w:right w:val="single" w:sz="6" w:space="0" w:color="auto"/>
            </w:tcBorders>
            <w:vAlign w:val="center"/>
          </w:tcPr>
          <w:p w14:paraId="6504A9FA" w14:textId="77777777" w:rsidR="00744425" w:rsidRPr="00DC21CB" w:rsidRDefault="00744425" w:rsidP="00707A08">
            <w:pPr>
              <w:pStyle w:val="Table"/>
            </w:pPr>
            <w:r>
              <w:t>‘Resistance to Weathering’ t</w:t>
            </w:r>
            <w:r w:rsidR="00DF5B4A">
              <w:t>e</w:t>
            </w:r>
            <w:r>
              <w:t>st requirement replaced with ‘Degradation Factor’</w:t>
            </w:r>
            <w:r w:rsidRPr="00744425">
              <w:t xml:space="preserve"> test</w:t>
            </w:r>
            <w:r>
              <w:t xml:space="preserve"> for </w:t>
            </w:r>
            <w:r w:rsidRPr="00744425">
              <w:t>Class 1, 2 and 3 gravels</w:t>
            </w:r>
            <w:r>
              <w:t>.</w:t>
            </w:r>
          </w:p>
        </w:tc>
        <w:tc>
          <w:tcPr>
            <w:tcW w:w="1593" w:type="dxa"/>
            <w:vMerge/>
            <w:tcBorders>
              <w:bottom w:val="single" w:sz="8" w:space="0" w:color="auto"/>
              <w:right w:val="nil"/>
            </w:tcBorders>
            <w:vAlign w:val="center"/>
          </w:tcPr>
          <w:p w14:paraId="7EF9C65D" w14:textId="77777777" w:rsidR="00744425" w:rsidRDefault="00744425" w:rsidP="00085839">
            <w:pPr>
              <w:pStyle w:val="TableCen"/>
            </w:pPr>
          </w:p>
        </w:tc>
      </w:tr>
      <w:tr w:rsidR="0069627E" w14:paraId="40532F6F" w14:textId="77777777" w:rsidTr="00BE205A">
        <w:trPr>
          <w:trHeight w:val="340"/>
        </w:trPr>
        <w:tc>
          <w:tcPr>
            <w:tcW w:w="1242" w:type="dxa"/>
            <w:vMerge w:val="restart"/>
            <w:tcBorders>
              <w:top w:val="single" w:sz="8" w:space="0" w:color="auto"/>
              <w:left w:val="nil"/>
              <w:bottom w:val="single" w:sz="2" w:space="0" w:color="auto"/>
              <w:right w:val="single" w:sz="6" w:space="0" w:color="auto"/>
            </w:tcBorders>
            <w:vAlign w:val="center"/>
          </w:tcPr>
          <w:p w14:paraId="486F3142" w14:textId="77777777" w:rsidR="0069627E" w:rsidRDefault="0069627E" w:rsidP="00E42D09">
            <w:pPr>
              <w:pStyle w:val="TableCen"/>
            </w:pPr>
            <w:r>
              <w:t>4.0</w:t>
            </w:r>
          </w:p>
        </w:tc>
        <w:tc>
          <w:tcPr>
            <w:tcW w:w="1310" w:type="dxa"/>
            <w:tcBorders>
              <w:top w:val="single" w:sz="8" w:space="0" w:color="auto"/>
              <w:left w:val="single" w:sz="6" w:space="0" w:color="auto"/>
              <w:bottom w:val="single" w:sz="2" w:space="0" w:color="auto"/>
              <w:right w:val="single" w:sz="6" w:space="0" w:color="auto"/>
            </w:tcBorders>
            <w:vAlign w:val="center"/>
          </w:tcPr>
          <w:p w14:paraId="6CC18CFC" w14:textId="77777777" w:rsidR="0069627E" w:rsidRPr="00744425" w:rsidRDefault="0069627E" w:rsidP="00744425">
            <w:pPr>
              <w:pStyle w:val="TableCen"/>
            </w:pPr>
            <w:r>
              <w:t>Generally</w:t>
            </w:r>
          </w:p>
        </w:tc>
        <w:tc>
          <w:tcPr>
            <w:tcW w:w="4927" w:type="dxa"/>
            <w:tcBorders>
              <w:top w:val="single" w:sz="8" w:space="0" w:color="auto"/>
              <w:left w:val="single" w:sz="6" w:space="0" w:color="auto"/>
              <w:bottom w:val="single" w:sz="2" w:space="0" w:color="auto"/>
              <w:right w:val="single" w:sz="6" w:space="0" w:color="auto"/>
            </w:tcBorders>
            <w:vAlign w:val="center"/>
          </w:tcPr>
          <w:p w14:paraId="584AA1D9" w14:textId="77777777" w:rsidR="0069627E" w:rsidRDefault="0069627E" w:rsidP="0069627E">
            <w:pPr>
              <w:pStyle w:val="Table"/>
            </w:pPr>
            <w:r>
              <w:t>Recycled materials permitted except where restrictions applied</w:t>
            </w:r>
          </w:p>
        </w:tc>
        <w:tc>
          <w:tcPr>
            <w:tcW w:w="1593" w:type="dxa"/>
            <w:vMerge w:val="restart"/>
            <w:tcBorders>
              <w:top w:val="single" w:sz="8" w:space="0" w:color="auto"/>
              <w:left w:val="single" w:sz="6" w:space="0" w:color="auto"/>
              <w:bottom w:val="single" w:sz="12" w:space="0" w:color="auto"/>
              <w:right w:val="nil"/>
            </w:tcBorders>
            <w:vAlign w:val="center"/>
          </w:tcPr>
          <w:p w14:paraId="422FD6E0" w14:textId="77777777" w:rsidR="0069627E" w:rsidRDefault="00B86696" w:rsidP="00085839">
            <w:pPr>
              <w:pStyle w:val="TableCen"/>
            </w:pPr>
            <w:r>
              <w:t xml:space="preserve">Nov </w:t>
            </w:r>
            <w:r w:rsidR="0069627E">
              <w:t>2018</w:t>
            </w:r>
          </w:p>
        </w:tc>
      </w:tr>
      <w:tr w:rsidR="00163043" w14:paraId="70273228" w14:textId="77777777" w:rsidTr="00BE205A">
        <w:trPr>
          <w:trHeight w:val="340"/>
        </w:trPr>
        <w:tc>
          <w:tcPr>
            <w:tcW w:w="1242" w:type="dxa"/>
            <w:vMerge/>
            <w:tcBorders>
              <w:left w:val="nil"/>
            </w:tcBorders>
            <w:vAlign w:val="center"/>
          </w:tcPr>
          <w:p w14:paraId="524F89EB" w14:textId="77777777" w:rsidR="00163043" w:rsidRDefault="00163043" w:rsidP="00E42D09">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506AD8FB" w14:textId="77777777" w:rsidR="00163043" w:rsidRDefault="00163043" w:rsidP="00744425">
            <w:pPr>
              <w:pStyle w:val="TableCen"/>
            </w:pPr>
            <w:r>
              <w:t>1.3</w:t>
            </w:r>
          </w:p>
        </w:tc>
        <w:tc>
          <w:tcPr>
            <w:tcW w:w="4927" w:type="dxa"/>
            <w:tcBorders>
              <w:top w:val="single" w:sz="2" w:space="0" w:color="auto"/>
              <w:left w:val="single" w:sz="6" w:space="0" w:color="auto"/>
              <w:bottom w:val="single" w:sz="2" w:space="0" w:color="auto"/>
              <w:right w:val="single" w:sz="6" w:space="0" w:color="auto"/>
            </w:tcBorders>
            <w:vAlign w:val="center"/>
          </w:tcPr>
          <w:p w14:paraId="2E130281" w14:textId="77777777" w:rsidR="00163043" w:rsidRDefault="00163043" w:rsidP="0069627E">
            <w:pPr>
              <w:pStyle w:val="Table"/>
            </w:pPr>
            <w:r>
              <w:t>Deleted DTMR Test Methods removed</w:t>
            </w:r>
          </w:p>
        </w:tc>
        <w:tc>
          <w:tcPr>
            <w:tcW w:w="1593" w:type="dxa"/>
            <w:vMerge/>
            <w:tcBorders>
              <w:bottom w:val="single" w:sz="12" w:space="0" w:color="auto"/>
              <w:right w:val="nil"/>
            </w:tcBorders>
            <w:vAlign w:val="center"/>
          </w:tcPr>
          <w:p w14:paraId="2A53E93A" w14:textId="77777777" w:rsidR="00163043" w:rsidRDefault="00163043" w:rsidP="00085839">
            <w:pPr>
              <w:pStyle w:val="TableCen"/>
            </w:pPr>
          </w:p>
        </w:tc>
      </w:tr>
      <w:tr w:rsidR="0069627E" w14:paraId="2E2C42FB" w14:textId="77777777" w:rsidTr="00BE205A">
        <w:trPr>
          <w:trHeight w:val="340"/>
        </w:trPr>
        <w:tc>
          <w:tcPr>
            <w:tcW w:w="1242" w:type="dxa"/>
            <w:vMerge/>
            <w:tcBorders>
              <w:left w:val="nil"/>
            </w:tcBorders>
            <w:vAlign w:val="center"/>
          </w:tcPr>
          <w:p w14:paraId="2ABC0B70" w14:textId="77777777" w:rsidR="0069627E" w:rsidRDefault="0069627E" w:rsidP="009B6A2E">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0B0F988A" w14:textId="77777777" w:rsidR="0069627E" w:rsidRPr="00744425" w:rsidRDefault="0069627E" w:rsidP="009B6A2E">
            <w:pPr>
              <w:pStyle w:val="TableCen"/>
            </w:pPr>
            <w:r>
              <w:t>4.0</w:t>
            </w:r>
          </w:p>
        </w:tc>
        <w:tc>
          <w:tcPr>
            <w:tcW w:w="4927" w:type="dxa"/>
            <w:tcBorders>
              <w:top w:val="single" w:sz="2" w:space="0" w:color="auto"/>
              <w:left w:val="single" w:sz="6" w:space="0" w:color="auto"/>
              <w:bottom w:val="single" w:sz="2" w:space="0" w:color="auto"/>
              <w:right w:val="single" w:sz="6" w:space="0" w:color="auto"/>
            </w:tcBorders>
            <w:vAlign w:val="center"/>
          </w:tcPr>
          <w:p w14:paraId="705B993B" w14:textId="77777777" w:rsidR="0069627E" w:rsidRDefault="0069627E" w:rsidP="009B6A2E">
            <w:pPr>
              <w:pStyle w:val="Table"/>
            </w:pPr>
            <w:r>
              <w:t>BCC Class 1, 2 and 3 materials are to be supplied to DTMR MRTS 05 and MRTS 35.</w:t>
            </w:r>
          </w:p>
        </w:tc>
        <w:tc>
          <w:tcPr>
            <w:tcW w:w="1593" w:type="dxa"/>
            <w:vMerge/>
            <w:tcBorders>
              <w:bottom w:val="single" w:sz="12" w:space="0" w:color="auto"/>
              <w:right w:val="nil"/>
            </w:tcBorders>
            <w:vAlign w:val="center"/>
          </w:tcPr>
          <w:p w14:paraId="051267FF" w14:textId="77777777" w:rsidR="0069627E" w:rsidRDefault="0069627E" w:rsidP="009B6A2E">
            <w:pPr>
              <w:pStyle w:val="TableCen"/>
            </w:pPr>
          </w:p>
        </w:tc>
      </w:tr>
      <w:tr w:rsidR="00AB7452" w14:paraId="5F393762" w14:textId="77777777" w:rsidTr="00BE205A">
        <w:trPr>
          <w:trHeight w:val="340"/>
        </w:trPr>
        <w:tc>
          <w:tcPr>
            <w:tcW w:w="1242" w:type="dxa"/>
            <w:vMerge/>
            <w:tcBorders>
              <w:left w:val="nil"/>
            </w:tcBorders>
            <w:vAlign w:val="center"/>
          </w:tcPr>
          <w:p w14:paraId="73126A80" w14:textId="77777777" w:rsidR="00AB7452" w:rsidRDefault="00AB7452" w:rsidP="009B6A2E">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248CB01B" w14:textId="77777777" w:rsidR="00AB7452" w:rsidRDefault="00AB7452" w:rsidP="009B6A2E">
            <w:pPr>
              <w:pStyle w:val="TableCen"/>
            </w:pPr>
            <w:r>
              <w:t>4.5</w:t>
            </w:r>
          </w:p>
        </w:tc>
        <w:tc>
          <w:tcPr>
            <w:tcW w:w="4927" w:type="dxa"/>
            <w:tcBorders>
              <w:top w:val="single" w:sz="2" w:space="0" w:color="auto"/>
              <w:left w:val="single" w:sz="6" w:space="0" w:color="auto"/>
              <w:bottom w:val="single" w:sz="2" w:space="0" w:color="auto"/>
              <w:right w:val="single" w:sz="6" w:space="0" w:color="auto"/>
            </w:tcBorders>
            <w:vAlign w:val="center"/>
          </w:tcPr>
          <w:p w14:paraId="444CBC2C" w14:textId="77777777" w:rsidR="00AB7452" w:rsidRDefault="00A7506E" w:rsidP="00163043">
            <w:pPr>
              <w:pStyle w:val="Table"/>
            </w:pPr>
            <w:r>
              <w:t xml:space="preserve">Alternative </w:t>
            </w:r>
            <w:r w:rsidR="00AB7452" w:rsidRPr="00AB7452">
              <w:t xml:space="preserve">constituents </w:t>
            </w:r>
            <w:r>
              <w:t xml:space="preserve">may be considered </w:t>
            </w:r>
            <w:r w:rsidR="00AB7452" w:rsidRPr="00AB7452">
              <w:t>in recycled material blends</w:t>
            </w:r>
            <w:r w:rsidR="00163043">
              <w:t>.  Locations where recycled material blends cannot be used.</w:t>
            </w:r>
          </w:p>
        </w:tc>
        <w:tc>
          <w:tcPr>
            <w:tcW w:w="1593" w:type="dxa"/>
            <w:vMerge/>
            <w:tcBorders>
              <w:bottom w:val="single" w:sz="12" w:space="0" w:color="auto"/>
              <w:right w:val="nil"/>
            </w:tcBorders>
            <w:vAlign w:val="center"/>
          </w:tcPr>
          <w:p w14:paraId="4EDBBEF2" w14:textId="77777777" w:rsidR="00AB7452" w:rsidRDefault="00AB7452" w:rsidP="009B6A2E">
            <w:pPr>
              <w:pStyle w:val="TableCen"/>
            </w:pPr>
          </w:p>
        </w:tc>
      </w:tr>
      <w:tr w:rsidR="0069627E" w14:paraId="625A442B" w14:textId="77777777" w:rsidTr="00BE205A">
        <w:trPr>
          <w:trHeight w:val="340"/>
        </w:trPr>
        <w:tc>
          <w:tcPr>
            <w:tcW w:w="1242" w:type="dxa"/>
            <w:vMerge/>
            <w:tcBorders>
              <w:left w:val="nil"/>
              <w:bottom w:val="single" w:sz="8" w:space="0" w:color="auto"/>
            </w:tcBorders>
            <w:vAlign w:val="center"/>
          </w:tcPr>
          <w:p w14:paraId="310E92E7" w14:textId="77777777" w:rsidR="0069627E" w:rsidRDefault="0069627E" w:rsidP="009B6A2E">
            <w:pPr>
              <w:pStyle w:val="TableCen"/>
            </w:pPr>
          </w:p>
        </w:tc>
        <w:tc>
          <w:tcPr>
            <w:tcW w:w="1310" w:type="dxa"/>
            <w:tcBorders>
              <w:top w:val="single" w:sz="2" w:space="0" w:color="auto"/>
              <w:left w:val="single" w:sz="6" w:space="0" w:color="auto"/>
              <w:bottom w:val="single" w:sz="8" w:space="0" w:color="auto"/>
              <w:right w:val="single" w:sz="6" w:space="0" w:color="auto"/>
            </w:tcBorders>
            <w:vAlign w:val="center"/>
          </w:tcPr>
          <w:p w14:paraId="17267BC4" w14:textId="77777777" w:rsidR="0069627E" w:rsidRDefault="0069627E" w:rsidP="009B6A2E">
            <w:pPr>
              <w:pStyle w:val="TableCen"/>
            </w:pPr>
            <w:r>
              <w:t>4.6</w:t>
            </w:r>
          </w:p>
        </w:tc>
        <w:tc>
          <w:tcPr>
            <w:tcW w:w="4927" w:type="dxa"/>
            <w:tcBorders>
              <w:top w:val="single" w:sz="2" w:space="0" w:color="auto"/>
              <w:left w:val="single" w:sz="6" w:space="0" w:color="auto"/>
              <w:bottom w:val="single" w:sz="8" w:space="0" w:color="auto"/>
              <w:right w:val="single" w:sz="6" w:space="0" w:color="auto"/>
            </w:tcBorders>
            <w:vAlign w:val="center"/>
          </w:tcPr>
          <w:p w14:paraId="3A66CB7F" w14:textId="77777777" w:rsidR="0069627E" w:rsidRDefault="0069627E" w:rsidP="009B6A2E">
            <w:pPr>
              <w:pStyle w:val="Table"/>
            </w:pPr>
            <w:r>
              <w:t xml:space="preserve">New section </w:t>
            </w:r>
            <w:r w:rsidR="00B86696">
              <w:t>‘</w:t>
            </w:r>
            <w:r w:rsidRPr="0069627E">
              <w:t>GRANULATED GLASS AGGREGATE</w:t>
            </w:r>
            <w:r w:rsidR="00B86696">
              <w:t>’</w:t>
            </w:r>
          </w:p>
        </w:tc>
        <w:tc>
          <w:tcPr>
            <w:tcW w:w="1593" w:type="dxa"/>
            <w:vMerge/>
            <w:tcBorders>
              <w:bottom w:val="single" w:sz="8" w:space="0" w:color="auto"/>
              <w:right w:val="nil"/>
            </w:tcBorders>
            <w:vAlign w:val="center"/>
          </w:tcPr>
          <w:p w14:paraId="149990F2" w14:textId="77777777" w:rsidR="0069627E" w:rsidRDefault="0069627E" w:rsidP="009B6A2E">
            <w:pPr>
              <w:pStyle w:val="TableCen"/>
            </w:pPr>
          </w:p>
        </w:tc>
      </w:tr>
      <w:tr w:rsidR="003B794D" w14:paraId="78283F9A" w14:textId="77777777" w:rsidTr="00BE205A">
        <w:trPr>
          <w:trHeight w:val="340"/>
        </w:trPr>
        <w:tc>
          <w:tcPr>
            <w:tcW w:w="1242" w:type="dxa"/>
            <w:vMerge w:val="restart"/>
            <w:tcBorders>
              <w:top w:val="single" w:sz="8" w:space="0" w:color="auto"/>
              <w:left w:val="nil"/>
              <w:bottom w:val="single" w:sz="12" w:space="0" w:color="auto"/>
              <w:right w:val="single" w:sz="6" w:space="0" w:color="auto"/>
            </w:tcBorders>
            <w:shd w:val="clear" w:color="auto" w:fill="auto"/>
            <w:vAlign w:val="center"/>
          </w:tcPr>
          <w:p w14:paraId="3BF5FE90" w14:textId="77777777" w:rsidR="003B794D" w:rsidRPr="008604C7" w:rsidRDefault="003B794D" w:rsidP="003B794D">
            <w:pPr>
              <w:pStyle w:val="TableCen"/>
            </w:pPr>
            <w:r w:rsidRPr="008604C7">
              <w:rPr>
                <w:rStyle w:val="normaltextrun"/>
              </w:rPr>
              <w:t>5.0</w:t>
            </w:r>
          </w:p>
        </w:tc>
        <w:tc>
          <w:tcPr>
            <w:tcW w:w="1310" w:type="dxa"/>
            <w:tcBorders>
              <w:top w:val="single" w:sz="8" w:space="0" w:color="auto"/>
              <w:left w:val="single" w:sz="6" w:space="0" w:color="auto"/>
              <w:bottom w:val="single" w:sz="2" w:space="0" w:color="auto"/>
              <w:right w:val="single" w:sz="6" w:space="0" w:color="auto"/>
            </w:tcBorders>
            <w:shd w:val="clear" w:color="auto" w:fill="auto"/>
            <w:vAlign w:val="center"/>
          </w:tcPr>
          <w:p w14:paraId="6733A517" w14:textId="77777777" w:rsidR="003B794D" w:rsidRPr="008604C7" w:rsidRDefault="003B794D" w:rsidP="003B794D">
            <w:pPr>
              <w:pStyle w:val="TableCen"/>
            </w:pPr>
            <w:r w:rsidRPr="008604C7">
              <w:rPr>
                <w:rStyle w:val="normaltextrun"/>
              </w:rPr>
              <w:t>General</w:t>
            </w:r>
            <w:r w:rsidRPr="008604C7">
              <w:rPr>
                <w:rStyle w:val="eop"/>
              </w:rPr>
              <w:t> </w:t>
            </w:r>
          </w:p>
        </w:tc>
        <w:tc>
          <w:tcPr>
            <w:tcW w:w="4927" w:type="dxa"/>
            <w:tcBorders>
              <w:top w:val="single" w:sz="8" w:space="0" w:color="auto"/>
              <w:left w:val="single" w:sz="6" w:space="0" w:color="auto"/>
              <w:bottom w:val="single" w:sz="2" w:space="0" w:color="auto"/>
              <w:right w:val="single" w:sz="6" w:space="0" w:color="auto"/>
            </w:tcBorders>
            <w:shd w:val="clear" w:color="auto" w:fill="auto"/>
            <w:vAlign w:val="center"/>
          </w:tcPr>
          <w:p w14:paraId="435147D6" w14:textId="77777777" w:rsidR="003B794D" w:rsidRPr="009C44D1" w:rsidRDefault="003B794D" w:rsidP="003B794D">
            <w:pPr>
              <w:pStyle w:val="Table"/>
            </w:pPr>
            <w:r w:rsidRPr="009C44D1">
              <w:rPr>
                <w:rStyle w:val="normaltextrun"/>
              </w:rPr>
              <w:t>Document name changed from ‘Reference Specifications for Civil Engineering Work’ to ‘Reference Specifications for Engineering Work’</w:t>
            </w:r>
            <w:r w:rsidRPr="009C44D1">
              <w:rPr>
                <w:rStyle w:val="eop"/>
              </w:rPr>
              <w:t> </w:t>
            </w:r>
          </w:p>
        </w:tc>
        <w:tc>
          <w:tcPr>
            <w:tcW w:w="1593" w:type="dxa"/>
            <w:vMerge w:val="restart"/>
            <w:tcBorders>
              <w:top w:val="single" w:sz="8" w:space="0" w:color="auto"/>
              <w:left w:val="single" w:sz="6" w:space="0" w:color="auto"/>
              <w:bottom w:val="single" w:sz="12" w:space="0" w:color="auto"/>
              <w:right w:val="nil"/>
            </w:tcBorders>
            <w:vAlign w:val="center"/>
          </w:tcPr>
          <w:p w14:paraId="203DA679" w14:textId="7A8B5D69" w:rsidR="003B794D" w:rsidRDefault="003B794D" w:rsidP="003B794D">
            <w:pPr>
              <w:pStyle w:val="TableCen"/>
            </w:pPr>
            <w:r>
              <w:t>Mar 2021</w:t>
            </w:r>
          </w:p>
        </w:tc>
      </w:tr>
      <w:tr w:rsidR="2EB8D3B0" w14:paraId="130F427E" w14:textId="77777777" w:rsidTr="00BE205A">
        <w:trPr>
          <w:trHeight w:val="340"/>
        </w:trPr>
        <w:tc>
          <w:tcPr>
            <w:tcW w:w="1242" w:type="dxa"/>
            <w:vMerge/>
            <w:tcBorders>
              <w:top w:val="single" w:sz="6" w:space="0" w:color="auto"/>
              <w:left w:val="nil"/>
              <w:bottom w:val="single" w:sz="12" w:space="0" w:color="auto"/>
              <w:right w:val="single" w:sz="6" w:space="0" w:color="auto"/>
            </w:tcBorders>
            <w:shd w:val="clear" w:color="auto" w:fill="auto"/>
            <w:vAlign w:val="center"/>
          </w:tcPr>
          <w:p w14:paraId="1784545D" w14:textId="77777777" w:rsidR="00F46CBF" w:rsidRDefault="00F46CBF" w:rsidP="008604C7">
            <w:pPr>
              <w:pStyle w:val="TableCen"/>
            </w:pPr>
          </w:p>
        </w:tc>
        <w:tc>
          <w:tcPr>
            <w:tcW w:w="1310" w:type="dxa"/>
            <w:tcBorders>
              <w:top w:val="single" w:sz="2" w:space="0" w:color="auto"/>
              <w:left w:val="single" w:sz="6" w:space="0" w:color="auto"/>
              <w:bottom w:val="single" w:sz="2" w:space="0" w:color="auto"/>
              <w:right w:val="single" w:sz="6" w:space="0" w:color="auto"/>
            </w:tcBorders>
            <w:shd w:val="clear" w:color="auto" w:fill="auto"/>
            <w:vAlign w:val="center"/>
          </w:tcPr>
          <w:p w14:paraId="41A69D5F" w14:textId="4F6CACAF" w:rsidR="2AA3B2CA" w:rsidRPr="008604C7" w:rsidRDefault="2AA3B2CA" w:rsidP="008604C7">
            <w:pPr>
              <w:pStyle w:val="TableCen"/>
              <w:rPr>
                <w:rStyle w:val="normaltextrun"/>
              </w:rPr>
            </w:pPr>
            <w:r w:rsidRPr="008604C7">
              <w:rPr>
                <w:rStyle w:val="normaltextrun"/>
              </w:rPr>
              <w:t>General</w:t>
            </w:r>
          </w:p>
        </w:tc>
        <w:tc>
          <w:tcPr>
            <w:tcW w:w="4927" w:type="dxa"/>
            <w:tcBorders>
              <w:top w:val="single" w:sz="2" w:space="0" w:color="auto"/>
              <w:left w:val="single" w:sz="6" w:space="0" w:color="auto"/>
              <w:bottom w:val="single" w:sz="2" w:space="0" w:color="auto"/>
              <w:right w:val="single" w:sz="6" w:space="0" w:color="auto"/>
            </w:tcBorders>
            <w:shd w:val="clear" w:color="auto" w:fill="auto"/>
            <w:vAlign w:val="center"/>
          </w:tcPr>
          <w:p w14:paraId="370D5BF3" w14:textId="6AC3816B" w:rsidR="36B9FDF4" w:rsidRPr="009C44D1" w:rsidRDefault="36B9FDF4" w:rsidP="009C44D1">
            <w:pPr>
              <w:pStyle w:val="Table"/>
              <w:rPr>
                <w:rFonts w:eastAsia="Arial"/>
              </w:rPr>
            </w:pPr>
            <w:r w:rsidRPr="009C44D1">
              <w:rPr>
                <w:rFonts w:eastAsia="Arial"/>
              </w:rPr>
              <w:t>Deleted references to DTMR Specification MRTS 35 – Recycling Materials for Pavements</w:t>
            </w:r>
          </w:p>
        </w:tc>
        <w:tc>
          <w:tcPr>
            <w:tcW w:w="1593" w:type="dxa"/>
            <w:vMerge/>
            <w:tcBorders>
              <w:top w:val="single" w:sz="4" w:space="0" w:color="auto"/>
              <w:left w:val="single" w:sz="6" w:space="0" w:color="auto"/>
              <w:bottom w:val="single" w:sz="12" w:space="0" w:color="auto"/>
              <w:right w:val="nil"/>
            </w:tcBorders>
            <w:vAlign w:val="center"/>
          </w:tcPr>
          <w:p w14:paraId="05C4DF69" w14:textId="77777777" w:rsidR="00F46CBF" w:rsidRDefault="00F46CBF"/>
        </w:tc>
      </w:tr>
      <w:tr w:rsidR="2EB8D3B0" w14:paraId="4CEB814F" w14:textId="77777777" w:rsidTr="00BE205A">
        <w:trPr>
          <w:trHeight w:val="340"/>
        </w:trPr>
        <w:tc>
          <w:tcPr>
            <w:tcW w:w="1242" w:type="dxa"/>
            <w:vMerge/>
            <w:tcBorders>
              <w:top w:val="single" w:sz="6" w:space="0" w:color="auto"/>
              <w:left w:val="nil"/>
              <w:bottom w:val="single" w:sz="12" w:space="0" w:color="auto"/>
              <w:right w:val="single" w:sz="6" w:space="0" w:color="auto"/>
            </w:tcBorders>
            <w:shd w:val="clear" w:color="auto" w:fill="auto"/>
            <w:vAlign w:val="center"/>
          </w:tcPr>
          <w:p w14:paraId="301856E6" w14:textId="77777777" w:rsidR="00F46CBF" w:rsidRDefault="00F46CBF" w:rsidP="008604C7">
            <w:pPr>
              <w:pStyle w:val="TableCen"/>
            </w:pPr>
          </w:p>
        </w:tc>
        <w:tc>
          <w:tcPr>
            <w:tcW w:w="1310" w:type="dxa"/>
            <w:tcBorders>
              <w:top w:val="single" w:sz="2" w:space="0" w:color="auto"/>
              <w:left w:val="single" w:sz="6" w:space="0" w:color="auto"/>
              <w:bottom w:val="single" w:sz="12" w:space="0" w:color="auto"/>
              <w:right w:val="single" w:sz="6" w:space="0" w:color="auto"/>
            </w:tcBorders>
            <w:shd w:val="clear" w:color="auto" w:fill="auto"/>
            <w:vAlign w:val="center"/>
          </w:tcPr>
          <w:p w14:paraId="1062811E" w14:textId="3AFEF100" w:rsidR="7AFEA6AB" w:rsidRPr="008604C7" w:rsidRDefault="7AFEA6AB" w:rsidP="008604C7">
            <w:pPr>
              <w:pStyle w:val="TableCen"/>
              <w:rPr>
                <w:rStyle w:val="normaltextrun"/>
              </w:rPr>
            </w:pPr>
            <w:r w:rsidRPr="008604C7">
              <w:rPr>
                <w:rStyle w:val="normaltextrun"/>
              </w:rPr>
              <w:t>2.1</w:t>
            </w:r>
          </w:p>
        </w:tc>
        <w:tc>
          <w:tcPr>
            <w:tcW w:w="4927" w:type="dxa"/>
            <w:tcBorders>
              <w:top w:val="single" w:sz="2" w:space="0" w:color="auto"/>
              <w:left w:val="single" w:sz="6" w:space="0" w:color="auto"/>
              <w:bottom w:val="single" w:sz="12" w:space="0" w:color="auto"/>
              <w:right w:val="single" w:sz="6" w:space="0" w:color="auto"/>
            </w:tcBorders>
            <w:shd w:val="clear" w:color="auto" w:fill="auto"/>
            <w:vAlign w:val="center"/>
          </w:tcPr>
          <w:p w14:paraId="77D0A4E3" w14:textId="0DEE770F" w:rsidR="32CD83FF" w:rsidRPr="009C44D1" w:rsidRDefault="32CD83FF" w:rsidP="009C44D1">
            <w:pPr>
              <w:pStyle w:val="Table"/>
            </w:pPr>
            <w:r w:rsidRPr="009C44D1">
              <w:t>D</w:t>
            </w:r>
            <w:r w:rsidR="232F844D" w:rsidRPr="009C44D1">
              <w:t>TMR Quarry Registration System requirement added</w:t>
            </w:r>
          </w:p>
        </w:tc>
        <w:tc>
          <w:tcPr>
            <w:tcW w:w="1593" w:type="dxa"/>
            <w:vMerge/>
            <w:tcBorders>
              <w:top w:val="single" w:sz="4" w:space="0" w:color="auto"/>
              <w:left w:val="single" w:sz="6" w:space="0" w:color="auto"/>
              <w:bottom w:val="single" w:sz="12" w:space="0" w:color="auto"/>
              <w:right w:val="nil"/>
            </w:tcBorders>
            <w:vAlign w:val="center"/>
          </w:tcPr>
          <w:p w14:paraId="2D03B228" w14:textId="77777777" w:rsidR="00F46CBF" w:rsidRDefault="00F46CBF"/>
        </w:tc>
      </w:tr>
    </w:tbl>
    <w:p w14:paraId="3B1CFA5F" w14:textId="77777777" w:rsidR="00B77123" w:rsidRDefault="00B77123" w:rsidP="005C04A6"/>
    <w:p w14:paraId="61BDD910" w14:textId="77777777" w:rsidR="005C04A6" w:rsidRDefault="005C04A6" w:rsidP="005C04A6">
      <w:pPr>
        <w:sectPr w:rsidR="005C04A6" w:rsidSect="00D80BBA">
          <w:headerReference w:type="default" r:id="rId15"/>
          <w:footerReference w:type="default" r:id="rId16"/>
          <w:pgSz w:w="11906" w:h="16838" w:code="9"/>
          <w:pgMar w:top="1134" w:right="1418" w:bottom="992" w:left="1418" w:header="1134" w:footer="851" w:gutter="0"/>
          <w:pgNumType w:fmt="lowerRoman" w:start="1"/>
          <w:cols w:space="720"/>
          <w:docGrid w:linePitch="272"/>
        </w:sectPr>
      </w:pPr>
    </w:p>
    <w:p w14:paraId="4B3D30C0" w14:textId="77777777" w:rsidR="00DC21CB" w:rsidRDefault="00B86696" w:rsidP="00041DA0">
      <w:pPr>
        <w:pStyle w:val="BodyTextIndentBoldItalicCen"/>
        <w:sectPr w:rsidR="00DC21CB" w:rsidSect="007447A0">
          <w:pgSz w:w="11906" w:h="16838" w:code="9"/>
          <w:pgMar w:top="1134" w:right="1418" w:bottom="992" w:left="1418" w:header="1134" w:footer="851" w:gutter="0"/>
          <w:pgNumType w:fmt="lowerRoman" w:start="1"/>
          <w:cols w:space="720"/>
          <w:vAlign w:val="center"/>
          <w:docGrid w:linePitch="272"/>
        </w:sectPr>
      </w:pPr>
      <w:r w:rsidRPr="00AA3D85">
        <w:lastRenderedPageBreak/>
        <w:t>(</w:t>
      </w:r>
      <w:r w:rsidR="00041DA0" w:rsidRPr="00AA3D85">
        <w:t xml:space="preserve">This </w:t>
      </w:r>
      <w:r w:rsidRPr="00AA3D85">
        <w:t>Page Left Intentionally Blank)</w:t>
      </w:r>
    </w:p>
    <w:p w14:paraId="05840BD9" w14:textId="77777777" w:rsidR="00F0232B" w:rsidRDefault="00F0232B" w:rsidP="00BE205A">
      <w:pPr>
        <w:pStyle w:val="Heading2"/>
        <w:numPr>
          <w:ilvl w:val="0"/>
          <w:numId w:val="0"/>
        </w:numPr>
        <w:ind w:left="720" w:hanging="720"/>
      </w:pPr>
      <w:r>
        <w:lastRenderedPageBreak/>
        <w:t>TABLE OF CONTENTS</w:t>
      </w:r>
    </w:p>
    <w:p w14:paraId="29EE9015" w14:textId="510B5A58" w:rsidR="00A92376" w:rsidRDefault="00B555B2">
      <w:pPr>
        <w:pStyle w:val="TOC1"/>
        <w:rPr>
          <w:rFonts w:asciiTheme="minorHAnsi" w:eastAsiaTheme="minorEastAsia" w:hAnsiTheme="minorHAnsi" w:cstheme="minorBidi"/>
          <w:b w:val="0"/>
          <w:caps w:val="0"/>
          <w:sz w:val="22"/>
        </w:rPr>
      </w:pPr>
      <w:r>
        <w:rPr>
          <w:b w:val="0"/>
          <w:caps w:val="0"/>
        </w:rPr>
        <w:fldChar w:fldCharType="begin"/>
      </w:r>
      <w:r>
        <w:rPr>
          <w:b w:val="0"/>
          <w:caps w:val="0"/>
        </w:rPr>
        <w:instrText xml:space="preserve"> TOC \t "Heading 2,1,Heading 3,2" </w:instrText>
      </w:r>
      <w:r>
        <w:rPr>
          <w:b w:val="0"/>
          <w:caps w:val="0"/>
        </w:rPr>
        <w:fldChar w:fldCharType="separate"/>
      </w:r>
      <w:r w:rsidR="00A92376">
        <w:t>1.0</w:t>
      </w:r>
      <w:r w:rsidR="00A92376">
        <w:rPr>
          <w:rFonts w:asciiTheme="minorHAnsi" w:eastAsiaTheme="minorEastAsia" w:hAnsiTheme="minorHAnsi" w:cstheme="minorBidi"/>
          <w:b w:val="0"/>
          <w:caps w:val="0"/>
          <w:sz w:val="22"/>
        </w:rPr>
        <w:tab/>
      </w:r>
      <w:r w:rsidR="00A92376">
        <w:t>GENERAL</w:t>
      </w:r>
      <w:r w:rsidR="00A92376">
        <w:tab/>
      </w:r>
      <w:r w:rsidR="00A92376">
        <w:fldChar w:fldCharType="begin"/>
      </w:r>
      <w:r w:rsidR="00A92376">
        <w:instrText xml:space="preserve"> PAGEREF _Toc76045690 \h </w:instrText>
      </w:r>
      <w:r w:rsidR="00A92376">
        <w:fldChar w:fldCharType="separate"/>
      </w:r>
      <w:r w:rsidR="00A92376">
        <w:t>1</w:t>
      </w:r>
      <w:r w:rsidR="00A92376">
        <w:fldChar w:fldCharType="end"/>
      </w:r>
    </w:p>
    <w:p w14:paraId="401A4BA6" w14:textId="2B55FCFE" w:rsidR="00A92376" w:rsidRDefault="00A92376">
      <w:pPr>
        <w:pStyle w:val="TOC2"/>
        <w:rPr>
          <w:rFonts w:asciiTheme="minorHAnsi" w:eastAsiaTheme="minorEastAsia" w:hAnsiTheme="minorHAnsi" w:cstheme="minorBidi"/>
          <w:b w:val="0"/>
          <w:smallCaps w:val="0"/>
        </w:rPr>
      </w:pPr>
      <w:r>
        <w:t>1.1</w:t>
      </w:r>
      <w:r>
        <w:rPr>
          <w:rFonts w:asciiTheme="minorHAnsi" w:eastAsiaTheme="minorEastAsia" w:hAnsiTheme="minorHAnsi" w:cstheme="minorBidi"/>
          <w:b w:val="0"/>
          <w:smallCaps w:val="0"/>
        </w:rPr>
        <w:tab/>
      </w:r>
      <w:r>
        <w:t>Section content</w:t>
      </w:r>
      <w:r>
        <w:tab/>
      </w:r>
      <w:r>
        <w:fldChar w:fldCharType="begin"/>
      </w:r>
      <w:r>
        <w:instrText xml:space="preserve"> PAGEREF _Toc76045691 \h </w:instrText>
      </w:r>
      <w:r>
        <w:fldChar w:fldCharType="separate"/>
      </w:r>
      <w:r>
        <w:t>1</w:t>
      </w:r>
      <w:r>
        <w:fldChar w:fldCharType="end"/>
      </w:r>
    </w:p>
    <w:p w14:paraId="4BD4E6DC" w14:textId="26878D74" w:rsidR="00A92376" w:rsidRDefault="00A92376">
      <w:pPr>
        <w:pStyle w:val="TOC2"/>
        <w:rPr>
          <w:rFonts w:asciiTheme="minorHAnsi" w:eastAsiaTheme="minorEastAsia" w:hAnsiTheme="minorHAnsi" w:cstheme="minorBidi"/>
          <w:b w:val="0"/>
          <w:smallCaps w:val="0"/>
        </w:rPr>
      </w:pPr>
      <w:r>
        <w:t>1.2</w:t>
      </w:r>
      <w:r>
        <w:rPr>
          <w:rFonts w:asciiTheme="minorHAnsi" w:eastAsiaTheme="minorEastAsia" w:hAnsiTheme="minorHAnsi" w:cstheme="minorBidi"/>
          <w:b w:val="0"/>
          <w:smallCaps w:val="0"/>
        </w:rPr>
        <w:tab/>
      </w:r>
      <w:r>
        <w:t>Standards</w:t>
      </w:r>
      <w:r>
        <w:tab/>
      </w:r>
      <w:r>
        <w:fldChar w:fldCharType="begin"/>
      </w:r>
      <w:r>
        <w:instrText xml:space="preserve"> PAGEREF _Toc76045692 \h </w:instrText>
      </w:r>
      <w:r>
        <w:fldChar w:fldCharType="separate"/>
      </w:r>
      <w:r>
        <w:t>1</w:t>
      </w:r>
      <w:r>
        <w:fldChar w:fldCharType="end"/>
      </w:r>
    </w:p>
    <w:p w14:paraId="41A971AB" w14:textId="4B92A5F2" w:rsidR="00A92376" w:rsidRDefault="00A92376">
      <w:pPr>
        <w:pStyle w:val="TOC2"/>
        <w:rPr>
          <w:rFonts w:asciiTheme="minorHAnsi" w:eastAsiaTheme="minorEastAsia" w:hAnsiTheme="minorHAnsi" w:cstheme="minorBidi"/>
          <w:b w:val="0"/>
          <w:smallCaps w:val="0"/>
        </w:rPr>
      </w:pPr>
      <w:r>
        <w:t>1.3</w:t>
      </w:r>
      <w:r>
        <w:rPr>
          <w:rFonts w:asciiTheme="minorHAnsi" w:eastAsiaTheme="minorEastAsia" w:hAnsiTheme="minorHAnsi" w:cstheme="minorBidi"/>
          <w:b w:val="0"/>
          <w:smallCaps w:val="0"/>
        </w:rPr>
        <w:tab/>
      </w:r>
      <w:r>
        <w:t>References</w:t>
      </w:r>
      <w:r>
        <w:tab/>
      </w:r>
      <w:r>
        <w:fldChar w:fldCharType="begin"/>
      </w:r>
      <w:r>
        <w:instrText xml:space="preserve"> PAGEREF _Toc76045693 \h </w:instrText>
      </w:r>
      <w:r>
        <w:fldChar w:fldCharType="separate"/>
      </w:r>
      <w:r>
        <w:t>1</w:t>
      </w:r>
      <w:r>
        <w:fldChar w:fldCharType="end"/>
      </w:r>
    </w:p>
    <w:p w14:paraId="1C7A8E9B" w14:textId="6E6BF337" w:rsidR="00A92376" w:rsidRDefault="00A92376">
      <w:pPr>
        <w:pStyle w:val="TOC2"/>
        <w:rPr>
          <w:rFonts w:asciiTheme="minorHAnsi" w:eastAsiaTheme="minorEastAsia" w:hAnsiTheme="minorHAnsi" w:cstheme="minorBidi"/>
          <w:b w:val="0"/>
          <w:smallCaps w:val="0"/>
        </w:rPr>
      </w:pPr>
      <w:r>
        <w:t>1.4</w:t>
      </w:r>
      <w:r>
        <w:rPr>
          <w:rFonts w:asciiTheme="minorHAnsi" w:eastAsiaTheme="minorEastAsia" w:hAnsiTheme="minorHAnsi" w:cstheme="minorBidi"/>
          <w:b w:val="0"/>
          <w:smallCaps w:val="0"/>
        </w:rPr>
        <w:tab/>
      </w:r>
      <w:r>
        <w:t>Definitions</w:t>
      </w:r>
      <w:r>
        <w:tab/>
      </w:r>
      <w:r>
        <w:fldChar w:fldCharType="begin"/>
      </w:r>
      <w:r>
        <w:instrText xml:space="preserve"> PAGEREF _Toc76045694 \h </w:instrText>
      </w:r>
      <w:r>
        <w:fldChar w:fldCharType="separate"/>
      </w:r>
      <w:r>
        <w:t>2</w:t>
      </w:r>
      <w:r>
        <w:fldChar w:fldCharType="end"/>
      </w:r>
    </w:p>
    <w:p w14:paraId="24BD8FDA" w14:textId="7963698B" w:rsidR="00A92376" w:rsidRDefault="00A92376">
      <w:pPr>
        <w:pStyle w:val="TOC1"/>
        <w:rPr>
          <w:rFonts w:asciiTheme="minorHAnsi" w:eastAsiaTheme="minorEastAsia" w:hAnsiTheme="minorHAnsi" w:cstheme="minorBidi"/>
          <w:b w:val="0"/>
          <w:caps w:val="0"/>
          <w:sz w:val="22"/>
        </w:rPr>
      </w:pPr>
      <w:r>
        <w:t>2.0</w:t>
      </w:r>
      <w:r>
        <w:rPr>
          <w:rFonts w:asciiTheme="minorHAnsi" w:eastAsiaTheme="minorEastAsia" w:hAnsiTheme="minorHAnsi" w:cstheme="minorBidi"/>
          <w:b w:val="0"/>
          <w:caps w:val="0"/>
          <w:sz w:val="22"/>
        </w:rPr>
        <w:tab/>
      </w:r>
      <w:r>
        <w:t>QUALITY</w:t>
      </w:r>
      <w:r>
        <w:tab/>
      </w:r>
      <w:r>
        <w:fldChar w:fldCharType="begin"/>
      </w:r>
      <w:r>
        <w:instrText xml:space="preserve"> PAGEREF _Toc76045695 \h </w:instrText>
      </w:r>
      <w:r>
        <w:fldChar w:fldCharType="separate"/>
      </w:r>
      <w:r>
        <w:t>2</w:t>
      </w:r>
      <w:r>
        <w:fldChar w:fldCharType="end"/>
      </w:r>
    </w:p>
    <w:p w14:paraId="174452DF" w14:textId="078DEBDD" w:rsidR="00A92376" w:rsidRDefault="00A92376">
      <w:pPr>
        <w:pStyle w:val="TOC2"/>
        <w:rPr>
          <w:rFonts w:asciiTheme="minorHAnsi" w:eastAsiaTheme="minorEastAsia" w:hAnsiTheme="minorHAnsi" w:cstheme="minorBidi"/>
          <w:b w:val="0"/>
          <w:smallCaps w:val="0"/>
        </w:rPr>
      </w:pPr>
      <w:r>
        <w:t>2.1</w:t>
      </w:r>
      <w:r>
        <w:rPr>
          <w:rFonts w:asciiTheme="minorHAnsi" w:eastAsiaTheme="minorEastAsia" w:hAnsiTheme="minorHAnsi" w:cstheme="minorBidi"/>
          <w:b w:val="0"/>
          <w:smallCaps w:val="0"/>
        </w:rPr>
        <w:tab/>
      </w:r>
      <w:r>
        <w:t>Quality system</w:t>
      </w:r>
      <w:r>
        <w:tab/>
      </w:r>
      <w:r>
        <w:fldChar w:fldCharType="begin"/>
      </w:r>
      <w:r>
        <w:instrText xml:space="preserve"> PAGEREF _Toc76045696 \h </w:instrText>
      </w:r>
      <w:r>
        <w:fldChar w:fldCharType="separate"/>
      </w:r>
      <w:r>
        <w:t>2</w:t>
      </w:r>
      <w:r>
        <w:fldChar w:fldCharType="end"/>
      </w:r>
    </w:p>
    <w:p w14:paraId="332C0317" w14:textId="6924A445" w:rsidR="00A92376" w:rsidRDefault="00A92376">
      <w:pPr>
        <w:pStyle w:val="TOC2"/>
        <w:rPr>
          <w:rFonts w:asciiTheme="minorHAnsi" w:eastAsiaTheme="minorEastAsia" w:hAnsiTheme="minorHAnsi" w:cstheme="minorBidi"/>
          <w:b w:val="0"/>
          <w:smallCaps w:val="0"/>
        </w:rPr>
      </w:pPr>
      <w:r>
        <w:t>2.2</w:t>
      </w:r>
      <w:r>
        <w:rPr>
          <w:rFonts w:asciiTheme="minorHAnsi" w:eastAsiaTheme="minorEastAsia" w:hAnsiTheme="minorHAnsi" w:cstheme="minorBidi"/>
          <w:b w:val="0"/>
          <w:smallCaps w:val="0"/>
        </w:rPr>
        <w:tab/>
      </w:r>
      <w:r>
        <w:t>Tests</w:t>
      </w:r>
      <w:r>
        <w:tab/>
      </w:r>
      <w:r>
        <w:fldChar w:fldCharType="begin"/>
      </w:r>
      <w:r>
        <w:instrText xml:space="preserve"> PAGEREF _Toc76045697 \h </w:instrText>
      </w:r>
      <w:r>
        <w:fldChar w:fldCharType="separate"/>
      </w:r>
      <w:r>
        <w:t>2</w:t>
      </w:r>
      <w:r>
        <w:fldChar w:fldCharType="end"/>
      </w:r>
    </w:p>
    <w:p w14:paraId="3A7F472C" w14:textId="5B34167C" w:rsidR="00A92376" w:rsidRDefault="00A92376">
      <w:pPr>
        <w:pStyle w:val="TOC2"/>
        <w:rPr>
          <w:rFonts w:asciiTheme="minorHAnsi" w:eastAsiaTheme="minorEastAsia" w:hAnsiTheme="minorHAnsi" w:cstheme="minorBidi"/>
          <w:b w:val="0"/>
          <w:smallCaps w:val="0"/>
        </w:rPr>
      </w:pPr>
      <w:r>
        <w:t>2.3</w:t>
      </w:r>
      <w:r>
        <w:rPr>
          <w:rFonts w:asciiTheme="minorHAnsi" w:eastAsiaTheme="minorEastAsia" w:hAnsiTheme="minorHAnsi" w:cstheme="minorBidi"/>
          <w:b w:val="0"/>
          <w:smallCaps w:val="0"/>
        </w:rPr>
        <w:tab/>
      </w:r>
      <w:r>
        <w:t>Samples</w:t>
      </w:r>
      <w:r>
        <w:tab/>
      </w:r>
      <w:r>
        <w:fldChar w:fldCharType="begin"/>
      </w:r>
      <w:r>
        <w:instrText xml:space="preserve"> PAGEREF _Toc76045698 \h </w:instrText>
      </w:r>
      <w:r>
        <w:fldChar w:fldCharType="separate"/>
      </w:r>
      <w:r>
        <w:t>2</w:t>
      </w:r>
      <w:r>
        <w:fldChar w:fldCharType="end"/>
      </w:r>
    </w:p>
    <w:p w14:paraId="3FDA3734" w14:textId="6E9EAA51" w:rsidR="00A92376" w:rsidRDefault="00A92376">
      <w:pPr>
        <w:pStyle w:val="TOC2"/>
        <w:rPr>
          <w:rFonts w:asciiTheme="minorHAnsi" w:eastAsiaTheme="minorEastAsia" w:hAnsiTheme="minorHAnsi" w:cstheme="minorBidi"/>
          <w:b w:val="0"/>
          <w:smallCaps w:val="0"/>
        </w:rPr>
      </w:pPr>
      <w:r>
        <w:t>2.4</w:t>
      </w:r>
      <w:r>
        <w:rPr>
          <w:rFonts w:asciiTheme="minorHAnsi" w:eastAsiaTheme="minorEastAsia" w:hAnsiTheme="minorHAnsi" w:cstheme="minorBidi"/>
          <w:b w:val="0"/>
          <w:smallCaps w:val="0"/>
        </w:rPr>
        <w:tab/>
      </w:r>
      <w:r>
        <w:t>Supplier's submissions</w:t>
      </w:r>
      <w:r>
        <w:tab/>
      </w:r>
      <w:r>
        <w:fldChar w:fldCharType="begin"/>
      </w:r>
      <w:r>
        <w:instrText xml:space="preserve"> PAGEREF _Toc76045699 \h </w:instrText>
      </w:r>
      <w:r>
        <w:fldChar w:fldCharType="separate"/>
      </w:r>
      <w:r>
        <w:t>3</w:t>
      </w:r>
      <w:r>
        <w:fldChar w:fldCharType="end"/>
      </w:r>
    </w:p>
    <w:p w14:paraId="3184A606" w14:textId="0A40F884" w:rsidR="00A92376" w:rsidRDefault="00A92376">
      <w:pPr>
        <w:pStyle w:val="TOC1"/>
        <w:rPr>
          <w:rFonts w:asciiTheme="minorHAnsi" w:eastAsiaTheme="minorEastAsia" w:hAnsiTheme="minorHAnsi" w:cstheme="minorBidi"/>
          <w:b w:val="0"/>
          <w:caps w:val="0"/>
          <w:sz w:val="22"/>
        </w:rPr>
      </w:pPr>
      <w:r>
        <w:t>3.0</w:t>
      </w:r>
      <w:r>
        <w:rPr>
          <w:rFonts w:asciiTheme="minorHAnsi" w:eastAsiaTheme="minorEastAsia" w:hAnsiTheme="minorHAnsi" w:cstheme="minorBidi"/>
          <w:b w:val="0"/>
          <w:caps w:val="0"/>
          <w:sz w:val="22"/>
        </w:rPr>
        <w:tab/>
      </w:r>
      <w:r>
        <w:t>Grading limits</w:t>
      </w:r>
      <w:r>
        <w:tab/>
      </w:r>
      <w:r>
        <w:fldChar w:fldCharType="begin"/>
      </w:r>
      <w:r>
        <w:instrText xml:space="preserve"> PAGEREF _Toc76045700 \h </w:instrText>
      </w:r>
      <w:r>
        <w:fldChar w:fldCharType="separate"/>
      </w:r>
      <w:r>
        <w:t>3</w:t>
      </w:r>
      <w:r>
        <w:fldChar w:fldCharType="end"/>
      </w:r>
    </w:p>
    <w:p w14:paraId="48E20FBE" w14:textId="1DBC9501" w:rsidR="00A92376" w:rsidRDefault="00A92376">
      <w:pPr>
        <w:pStyle w:val="TOC1"/>
        <w:rPr>
          <w:rFonts w:asciiTheme="minorHAnsi" w:eastAsiaTheme="minorEastAsia" w:hAnsiTheme="minorHAnsi" w:cstheme="minorBidi"/>
          <w:b w:val="0"/>
          <w:caps w:val="0"/>
          <w:sz w:val="22"/>
        </w:rPr>
      </w:pPr>
      <w:r>
        <w:t>4.0</w:t>
      </w:r>
      <w:r>
        <w:rPr>
          <w:rFonts w:asciiTheme="minorHAnsi" w:eastAsiaTheme="minorEastAsia" w:hAnsiTheme="minorHAnsi" w:cstheme="minorBidi"/>
          <w:b w:val="0"/>
          <w:caps w:val="0"/>
          <w:sz w:val="22"/>
        </w:rPr>
        <w:tab/>
      </w:r>
      <w:r>
        <w:t>MATERIALS</w:t>
      </w:r>
      <w:r>
        <w:tab/>
      </w:r>
      <w:r>
        <w:fldChar w:fldCharType="begin"/>
      </w:r>
      <w:r>
        <w:instrText xml:space="preserve"> PAGEREF _Toc76045701 \h </w:instrText>
      </w:r>
      <w:r>
        <w:fldChar w:fldCharType="separate"/>
      </w:r>
      <w:r>
        <w:t>4</w:t>
      </w:r>
      <w:r>
        <w:fldChar w:fldCharType="end"/>
      </w:r>
    </w:p>
    <w:p w14:paraId="2382C484" w14:textId="01E1E35E" w:rsidR="00A92376" w:rsidRDefault="00A92376">
      <w:pPr>
        <w:pStyle w:val="TOC2"/>
        <w:rPr>
          <w:rFonts w:asciiTheme="minorHAnsi" w:eastAsiaTheme="minorEastAsia" w:hAnsiTheme="minorHAnsi" w:cstheme="minorBidi"/>
          <w:b w:val="0"/>
          <w:smallCaps w:val="0"/>
        </w:rPr>
      </w:pPr>
      <w:r>
        <w:t>4.1</w:t>
      </w:r>
      <w:r>
        <w:rPr>
          <w:rFonts w:asciiTheme="minorHAnsi" w:eastAsiaTheme="minorEastAsia" w:hAnsiTheme="minorHAnsi" w:cstheme="minorBidi"/>
          <w:b w:val="0"/>
          <w:smallCaps w:val="0"/>
        </w:rPr>
        <w:tab/>
      </w:r>
      <w:r>
        <w:t>Class 1 material</w:t>
      </w:r>
      <w:r>
        <w:tab/>
      </w:r>
      <w:r>
        <w:fldChar w:fldCharType="begin"/>
      </w:r>
      <w:r>
        <w:instrText xml:space="preserve"> PAGEREF _Toc76045702 \h </w:instrText>
      </w:r>
      <w:r>
        <w:fldChar w:fldCharType="separate"/>
      </w:r>
      <w:r>
        <w:t>4</w:t>
      </w:r>
      <w:r>
        <w:fldChar w:fldCharType="end"/>
      </w:r>
    </w:p>
    <w:p w14:paraId="6AB9C348" w14:textId="2EBD1FCF" w:rsidR="00A92376" w:rsidRDefault="00A92376">
      <w:pPr>
        <w:pStyle w:val="TOC2"/>
        <w:rPr>
          <w:rFonts w:asciiTheme="minorHAnsi" w:eastAsiaTheme="minorEastAsia" w:hAnsiTheme="minorHAnsi" w:cstheme="minorBidi"/>
          <w:b w:val="0"/>
          <w:smallCaps w:val="0"/>
        </w:rPr>
      </w:pPr>
      <w:r>
        <w:t>4.2</w:t>
      </w:r>
      <w:r>
        <w:rPr>
          <w:rFonts w:asciiTheme="minorHAnsi" w:eastAsiaTheme="minorEastAsia" w:hAnsiTheme="minorHAnsi" w:cstheme="minorBidi"/>
          <w:b w:val="0"/>
          <w:smallCaps w:val="0"/>
        </w:rPr>
        <w:tab/>
      </w:r>
      <w:r>
        <w:t>Class 2 material</w:t>
      </w:r>
      <w:r>
        <w:tab/>
      </w:r>
      <w:r>
        <w:fldChar w:fldCharType="begin"/>
      </w:r>
      <w:r>
        <w:instrText xml:space="preserve"> PAGEREF _Toc76045703 \h </w:instrText>
      </w:r>
      <w:r>
        <w:fldChar w:fldCharType="separate"/>
      </w:r>
      <w:r>
        <w:t>4</w:t>
      </w:r>
      <w:r>
        <w:fldChar w:fldCharType="end"/>
      </w:r>
    </w:p>
    <w:p w14:paraId="73859E5C" w14:textId="35802677" w:rsidR="00A92376" w:rsidRDefault="00A92376">
      <w:pPr>
        <w:pStyle w:val="TOC2"/>
        <w:rPr>
          <w:rFonts w:asciiTheme="minorHAnsi" w:eastAsiaTheme="minorEastAsia" w:hAnsiTheme="minorHAnsi" w:cstheme="minorBidi"/>
          <w:b w:val="0"/>
          <w:smallCaps w:val="0"/>
        </w:rPr>
      </w:pPr>
      <w:r>
        <w:t>4.3</w:t>
      </w:r>
      <w:r>
        <w:rPr>
          <w:rFonts w:asciiTheme="minorHAnsi" w:eastAsiaTheme="minorEastAsia" w:hAnsiTheme="minorHAnsi" w:cstheme="minorBidi"/>
          <w:b w:val="0"/>
          <w:smallCaps w:val="0"/>
        </w:rPr>
        <w:tab/>
      </w:r>
      <w:r>
        <w:t>Class 3 material</w:t>
      </w:r>
      <w:r>
        <w:tab/>
      </w:r>
      <w:r>
        <w:fldChar w:fldCharType="begin"/>
      </w:r>
      <w:r>
        <w:instrText xml:space="preserve"> PAGEREF _Toc76045704 \h </w:instrText>
      </w:r>
      <w:r>
        <w:fldChar w:fldCharType="separate"/>
      </w:r>
      <w:r>
        <w:t>5</w:t>
      </w:r>
      <w:r>
        <w:fldChar w:fldCharType="end"/>
      </w:r>
    </w:p>
    <w:p w14:paraId="68191D44" w14:textId="35D8239A" w:rsidR="00A92376" w:rsidRDefault="00A92376">
      <w:pPr>
        <w:pStyle w:val="TOC2"/>
        <w:rPr>
          <w:rFonts w:asciiTheme="minorHAnsi" w:eastAsiaTheme="minorEastAsia" w:hAnsiTheme="minorHAnsi" w:cstheme="minorBidi"/>
          <w:b w:val="0"/>
          <w:smallCaps w:val="0"/>
        </w:rPr>
      </w:pPr>
      <w:r>
        <w:t>4.4</w:t>
      </w:r>
      <w:r>
        <w:rPr>
          <w:rFonts w:asciiTheme="minorHAnsi" w:eastAsiaTheme="minorEastAsia" w:hAnsiTheme="minorHAnsi" w:cstheme="minorBidi"/>
          <w:b w:val="0"/>
          <w:smallCaps w:val="0"/>
        </w:rPr>
        <w:tab/>
      </w:r>
      <w:r>
        <w:t>Filter material</w:t>
      </w:r>
      <w:r>
        <w:tab/>
      </w:r>
      <w:r>
        <w:fldChar w:fldCharType="begin"/>
      </w:r>
      <w:r>
        <w:instrText xml:space="preserve"> PAGEREF _Toc76045705 \h </w:instrText>
      </w:r>
      <w:r>
        <w:fldChar w:fldCharType="separate"/>
      </w:r>
      <w:r>
        <w:t>5</w:t>
      </w:r>
      <w:r>
        <w:fldChar w:fldCharType="end"/>
      </w:r>
    </w:p>
    <w:p w14:paraId="26849EA2" w14:textId="4F052080" w:rsidR="00A92376" w:rsidRDefault="00A92376">
      <w:pPr>
        <w:pStyle w:val="TOC2"/>
        <w:rPr>
          <w:rFonts w:asciiTheme="minorHAnsi" w:eastAsiaTheme="minorEastAsia" w:hAnsiTheme="minorHAnsi" w:cstheme="minorBidi"/>
          <w:b w:val="0"/>
          <w:smallCaps w:val="0"/>
        </w:rPr>
      </w:pPr>
      <w:r>
        <w:t>4.5</w:t>
      </w:r>
      <w:r>
        <w:rPr>
          <w:rFonts w:asciiTheme="minorHAnsi" w:eastAsiaTheme="minorEastAsia" w:hAnsiTheme="minorHAnsi" w:cstheme="minorBidi"/>
          <w:b w:val="0"/>
          <w:smallCaps w:val="0"/>
        </w:rPr>
        <w:tab/>
      </w:r>
      <w:r>
        <w:t>Additional requirements for recycled materials</w:t>
      </w:r>
      <w:r>
        <w:tab/>
      </w:r>
      <w:r>
        <w:fldChar w:fldCharType="begin"/>
      </w:r>
      <w:r>
        <w:instrText xml:space="preserve"> PAGEREF _Toc76045706 \h </w:instrText>
      </w:r>
      <w:r>
        <w:fldChar w:fldCharType="separate"/>
      </w:r>
      <w:r>
        <w:t>5</w:t>
      </w:r>
      <w:r>
        <w:fldChar w:fldCharType="end"/>
      </w:r>
    </w:p>
    <w:p w14:paraId="48C67A07" w14:textId="23D49F35" w:rsidR="00A92376" w:rsidRDefault="00A92376">
      <w:pPr>
        <w:pStyle w:val="TOC2"/>
        <w:rPr>
          <w:rFonts w:asciiTheme="minorHAnsi" w:eastAsiaTheme="minorEastAsia" w:hAnsiTheme="minorHAnsi" w:cstheme="minorBidi"/>
          <w:b w:val="0"/>
          <w:smallCaps w:val="0"/>
        </w:rPr>
      </w:pPr>
      <w:r>
        <w:t>4.6</w:t>
      </w:r>
      <w:r>
        <w:rPr>
          <w:rFonts w:asciiTheme="minorHAnsi" w:eastAsiaTheme="minorEastAsia" w:hAnsiTheme="minorHAnsi" w:cstheme="minorBidi"/>
          <w:b w:val="0"/>
          <w:smallCaps w:val="0"/>
        </w:rPr>
        <w:tab/>
      </w:r>
      <w:r>
        <w:t>Granulated glass aggregate</w:t>
      </w:r>
      <w:r>
        <w:tab/>
      </w:r>
      <w:r>
        <w:fldChar w:fldCharType="begin"/>
      </w:r>
      <w:r>
        <w:instrText xml:space="preserve"> PAGEREF _Toc76045707 \h </w:instrText>
      </w:r>
      <w:r>
        <w:fldChar w:fldCharType="separate"/>
      </w:r>
      <w:r>
        <w:t>5</w:t>
      </w:r>
      <w:r>
        <w:fldChar w:fldCharType="end"/>
      </w:r>
    </w:p>
    <w:p w14:paraId="31206AA9" w14:textId="01443BD5" w:rsidR="00F0232B" w:rsidRDefault="00B555B2" w:rsidP="00537CDD">
      <w:pPr>
        <w:pStyle w:val="BodyTextIndent"/>
      </w:pPr>
      <w:r>
        <w:rPr>
          <w:rFonts w:cs="Arial"/>
          <w:b/>
          <w:caps/>
          <w:noProof/>
          <w:sz w:val="24"/>
          <w:szCs w:val="22"/>
        </w:rPr>
        <w:fldChar w:fldCharType="end"/>
      </w:r>
    </w:p>
    <w:p w14:paraId="43A8A5CB" w14:textId="77777777" w:rsidR="00537CDD" w:rsidRDefault="00537CDD" w:rsidP="00537CDD">
      <w:pPr>
        <w:pStyle w:val="BodyTextIndent"/>
        <w:sectPr w:rsidR="00537CDD" w:rsidSect="00D80BBA">
          <w:footerReference w:type="default" r:id="rId17"/>
          <w:pgSz w:w="11906" w:h="16838" w:code="9"/>
          <w:pgMar w:top="1134" w:right="1418" w:bottom="992" w:left="1418" w:header="1134" w:footer="851" w:gutter="0"/>
          <w:pgNumType w:fmt="lowerRoman" w:start="1"/>
          <w:cols w:space="720"/>
          <w:docGrid w:linePitch="272"/>
        </w:sectPr>
      </w:pPr>
    </w:p>
    <w:p w14:paraId="37ED32C4" w14:textId="77777777" w:rsidR="00F0232B" w:rsidRDefault="00B86696" w:rsidP="00041DA0">
      <w:pPr>
        <w:pStyle w:val="BodyTextIndentBoldItalicCen"/>
      </w:pPr>
      <w:r>
        <w:lastRenderedPageBreak/>
        <w:t>(</w:t>
      </w:r>
      <w:r w:rsidR="00F0232B">
        <w:t xml:space="preserve">Page </w:t>
      </w:r>
      <w:r>
        <w:t>Left Blank Intentionally)</w:t>
      </w:r>
      <w:bookmarkStart w:id="5" w:name="_Toc493942064"/>
      <w:bookmarkStart w:id="6" w:name="_Toc493986903"/>
    </w:p>
    <w:p w14:paraId="21C150C3" w14:textId="77777777" w:rsidR="00F0232B" w:rsidRDefault="00F0232B">
      <w:pPr>
        <w:sectPr w:rsidR="00F0232B" w:rsidSect="00711534">
          <w:footerReference w:type="default" r:id="rId18"/>
          <w:pgSz w:w="11906" w:h="16838" w:code="9"/>
          <w:pgMar w:top="1134" w:right="1418" w:bottom="992" w:left="1418" w:header="1134" w:footer="851" w:gutter="0"/>
          <w:pgNumType w:fmt="lowerRoman" w:start="1"/>
          <w:cols w:space="720"/>
          <w:vAlign w:val="center"/>
          <w:docGrid w:linePitch="272"/>
        </w:sectPr>
      </w:pPr>
    </w:p>
    <w:p w14:paraId="10440E3A" w14:textId="77777777" w:rsidR="00F0232B" w:rsidRPr="00793413" w:rsidRDefault="00F0232B" w:rsidP="00793413">
      <w:pPr>
        <w:pStyle w:val="Heading2"/>
      </w:pPr>
      <w:bookmarkStart w:id="7" w:name="_Toc76045690"/>
      <w:bookmarkEnd w:id="5"/>
      <w:bookmarkEnd w:id="6"/>
      <w:r w:rsidRPr="00793413">
        <w:lastRenderedPageBreak/>
        <w:t>GENERAL</w:t>
      </w:r>
      <w:bookmarkEnd w:id="7"/>
    </w:p>
    <w:p w14:paraId="1DE28231" w14:textId="364EE3FE" w:rsidR="00BD596C" w:rsidRPr="00460AFA" w:rsidRDefault="00460AFA" w:rsidP="00460AFA">
      <w:pPr>
        <w:pStyle w:val="Heading3"/>
      </w:pPr>
      <w:bookmarkStart w:id="8" w:name="_Toc76045691"/>
      <w:r w:rsidRPr="00460AFA">
        <w:t>Section content</w:t>
      </w:r>
      <w:bookmarkEnd w:id="8"/>
    </w:p>
    <w:p w14:paraId="15A95158" w14:textId="77777777" w:rsidR="000567A1" w:rsidRDefault="00F0232B" w:rsidP="00E42D09">
      <w:pPr>
        <w:pStyle w:val="BodyTextIndent"/>
      </w:pPr>
      <w:r>
        <w:t>Supply of naturally occurring, recycled and processed rock and earthen materials used in earthworks and road construction.</w:t>
      </w:r>
    </w:p>
    <w:p w14:paraId="1BA251A5" w14:textId="77777777" w:rsidR="00F0232B" w:rsidRDefault="000567A1" w:rsidP="00E42D09">
      <w:pPr>
        <w:pStyle w:val="BodyTextIndent"/>
      </w:pPr>
      <w:r>
        <w:t xml:space="preserve">Refer to appropriate Reference Specifications for requirements for incorporating these materials into </w:t>
      </w:r>
      <w:r w:rsidR="00E75DDC">
        <w:t>projects</w:t>
      </w:r>
      <w:r>
        <w:t>.</w:t>
      </w:r>
    </w:p>
    <w:p w14:paraId="3D22F504" w14:textId="530008E0" w:rsidR="00227389" w:rsidRPr="00460AFA" w:rsidRDefault="00460AFA" w:rsidP="00460AFA">
      <w:pPr>
        <w:pStyle w:val="Heading3"/>
      </w:pPr>
      <w:bookmarkStart w:id="9" w:name="_Toc76045692"/>
      <w:r w:rsidRPr="00460AFA">
        <w:t>Standards</w:t>
      </w:r>
      <w:bookmarkEnd w:id="9"/>
    </w:p>
    <w:tbl>
      <w:tblPr>
        <w:tblW w:w="0" w:type="auto"/>
        <w:tblInd w:w="709" w:type="dxa"/>
        <w:tblLook w:val="0400" w:firstRow="0" w:lastRow="0" w:firstColumn="0" w:lastColumn="0" w:noHBand="0" w:noVBand="1"/>
      </w:tblPr>
      <w:tblGrid>
        <w:gridCol w:w="2237"/>
        <w:gridCol w:w="1677"/>
        <w:gridCol w:w="4339"/>
      </w:tblGrid>
      <w:tr w:rsidR="00BD28A7" w:rsidRPr="00CC52E2" w14:paraId="4B94608C" w14:textId="77777777" w:rsidTr="00FA5714">
        <w:trPr>
          <w:trHeight w:val="340"/>
        </w:trPr>
        <w:tc>
          <w:tcPr>
            <w:tcW w:w="2237" w:type="dxa"/>
            <w:vAlign w:val="center"/>
          </w:tcPr>
          <w:p w14:paraId="011E7EA3" w14:textId="77777777" w:rsidR="00BD28A7" w:rsidRPr="00CC52E2" w:rsidRDefault="00BD28A7" w:rsidP="00B94EDA">
            <w:pPr>
              <w:pStyle w:val="Table"/>
            </w:pPr>
            <w:r>
              <w:t>Australian Standard</w:t>
            </w:r>
          </w:p>
        </w:tc>
        <w:tc>
          <w:tcPr>
            <w:tcW w:w="1677" w:type="dxa"/>
            <w:vAlign w:val="center"/>
          </w:tcPr>
          <w:p w14:paraId="09ECE113" w14:textId="77777777" w:rsidR="00BD28A7" w:rsidRPr="00CC52E2" w:rsidRDefault="00BD28A7" w:rsidP="00B94EDA">
            <w:pPr>
              <w:pStyle w:val="TableCen"/>
            </w:pPr>
            <w:r>
              <w:t>A</w:t>
            </w:r>
            <w:r w:rsidRPr="00373FD7">
              <w:t>S </w:t>
            </w:r>
            <w:r>
              <w:t>1141.19</w:t>
            </w:r>
          </w:p>
        </w:tc>
        <w:tc>
          <w:tcPr>
            <w:tcW w:w="4339" w:type="dxa"/>
            <w:vAlign w:val="center"/>
          </w:tcPr>
          <w:p w14:paraId="5F834FAC" w14:textId="77777777" w:rsidR="00BD28A7" w:rsidRPr="00CC52E2" w:rsidRDefault="00BD28A7" w:rsidP="00B94EDA">
            <w:pPr>
              <w:pStyle w:val="Table"/>
            </w:pPr>
            <w:r>
              <w:t>Methods for sampling and testing aggregates – Fine particle size distribution in road materials by sieving and decantation</w:t>
            </w:r>
          </w:p>
        </w:tc>
      </w:tr>
      <w:tr w:rsidR="00BD28A7" w:rsidRPr="00CC52E2" w14:paraId="2E110EFD" w14:textId="77777777" w:rsidTr="00FA5714">
        <w:trPr>
          <w:trHeight w:val="340"/>
        </w:trPr>
        <w:tc>
          <w:tcPr>
            <w:tcW w:w="2237" w:type="dxa"/>
            <w:vAlign w:val="center"/>
          </w:tcPr>
          <w:p w14:paraId="1648C1F7" w14:textId="77777777" w:rsidR="00BD28A7" w:rsidRPr="00CC52E2" w:rsidRDefault="00BD28A7" w:rsidP="00B94EDA">
            <w:pPr>
              <w:pStyle w:val="Table"/>
            </w:pPr>
            <w:r>
              <w:t>Australian Standard</w:t>
            </w:r>
          </w:p>
        </w:tc>
        <w:tc>
          <w:tcPr>
            <w:tcW w:w="1677" w:type="dxa"/>
            <w:vAlign w:val="center"/>
          </w:tcPr>
          <w:p w14:paraId="0045D1D0" w14:textId="77777777" w:rsidR="00BD28A7" w:rsidRPr="00CC52E2" w:rsidRDefault="00BD28A7" w:rsidP="00B94EDA">
            <w:pPr>
              <w:pStyle w:val="TableCen"/>
            </w:pPr>
            <w:r w:rsidRPr="00373FD7">
              <w:t>AS </w:t>
            </w:r>
            <w:r>
              <w:t>1141.22</w:t>
            </w:r>
          </w:p>
        </w:tc>
        <w:tc>
          <w:tcPr>
            <w:tcW w:w="4339" w:type="dxa"/>
            <w:vAlign w:val="center"/>
          </w:tcPr>
          <w:p w14:paraId="118ECB11" w14:textId="77777777" w:rsidR="00BD28A7" w:rsidRPr="00CC52E2" w:rsidRDefault="00BD28A7" w:rsidP="00B94EDA">
            <w:pPr>
              <w:pStyle w:val="Table"/>
            </w:pPr>
            <w:r>
              <w:t>Methods for sampling and testing aggregates – Wet/dry strength variation</w:t>
            </w:r>
          </w:p>
        </w:tc>
      </w:tr>
      <w:tr w:rsidR="00BD28A7" w:rsidRPr="006F3F30" w14:paraId="7BFB79D4" w14:textId="77777777" w:rsidTr="00FA5714">
        <w:trPr>
          <w:trHeight w:val="340"/>
        </w:trPr>
        <w:tc>
          <w:tcPr>
            <w:tcW w:w="2237" w:type="dxa"/>
            <w:vAlign w:val="center"/>
          </w:tcPr>
          <w:p w14:paraId="5F78D083" w14:textId="77777777" w:rsidR="00BD28A7" w:rsidRPr="00CC52E2" w:rsidRDefault="00BD28A7" w:rsidP="00B94EDA">
            <w:pPr>
              <w:pStyle w:val="Table"/>
            </w:pPr>
            <w:r>
              <w:t>Australian Standard</w:t>
            </w:r>
          </w:p>
        </w:tc>
        <w:tc>
          <w:tcPr>
            <w:tcW w:w="1677" w:type="dxa"/>
            <w:vAlign w:val="center"/>
          </w:tcPr>
          <w:p w14:paraId="38E42461" w14:textId="77777777" w:rsidR="00BD28A7" w:rsidRPr="006F3F30" w:rsidRDefault="00BD28A7" w:rsidP="00B94EDA">
            <w:pPr>
              <w:pStyle w:val="TableCen"/>
            </w:pPr>
            <w:r w:rsidRPr="00373FD7">
              <w:t>AS </w:t>
            </w:r>
            <w:r w:rsidRPr="007D3747">
              <w:t>1141.25.2</w:t>
            </w:r>
          </w:p>
        </w:tc>
        <w:tc>
          <w:tcPr>
            <w:tcW w:w="4339" w:type="dxa"/>
            <w:vAlign w:val="center"/>
          </w:tcPr>
          <w:p w14:paraId="23548192" w14:textId="77777777" w:rsidR="00BD28A7" w:rsidRPr="006F3F30" w:rsidRDefault="00BD28A7" w:rsidP="00B94EDA">
            <w:pPr>
              <w:pStyle w:val="Table"/>
            </w:pPr>
            <w:r w:rsidRPr="007D3747">
              <w:t xml:space="preserve">Methods for sampling and testing aggregates </w:t>
            </w:r>
            <w:r>
              <w:t>–</w:t>
            </w:r>
            <w:r w:rsidRPr="007D3747">
              <w:t xml:space="preserve"> Degradation factor </w:t>
            </w:r>
            <w:r>
              <w:t>–</w:t>
            </w:r>
            <w:r w:rsidRPr="007D3747">
              <w:t xml:space="preserve"> Coarse aggregate</w:t>
            </w:r>
          </w:p>
        </w:tc>
      </w:tr>
      <w:tr w:rsidR="00BD28A7" w:rsidRPr="006F3F30" w14:paraId="23CEC32F" w14:textId="77777777" w:rsidTr="00FA5714">
        <w:trPr>
          <w:trHeight w:val="340"/>
        </w:trPr>
        <w:tc>
          <w:tcPr>
            <w:tcW w:w="2237" w:type="dxa"/>
            <w:vAlign w:val="center"/>
          </w:tcPr>
          <w:p w14:paraId="797DB844" w14:textId="77777777" w:rsidR="00BD28A7" w:rsidRPr="00CC52E2" w:rsidRDefault="00BD28A7" w:rsidP="00B94EDA">
            <w:pPr>
              <w:pStyle w:val="Table"/>
            </w:pPr>
            <w:r>
              <w:t>Australian Standard</w:t>
            </w:r>
          </w:p>
        </w:tc>
        <w:tc>
          <w:tcPr>
            <w:tcW w:w="1677" w:type="dxa"/>
            <w:vAlign w:val="center"/>
          </w:tcPr>
          <w:p w14:paraId="67130B73" w14:textId="77777777" w:rsidR="00BD28A7" w:rsidRPr="006F3F30" w:rsidRDefault="006F20FD" w:rsidP="00B94EDA">
            <w:pPr>
              <w:pStyle w:val="TableCen"/>
            </w:pPr>
            <w:r w:rsidRPr="00373FD7">
              <w:t>AS </w:t>
            </w:r>
            <w:r>
              <w:t>1289.3.1.1</w:t>
            </w:r>
          </w:p>
        </w:tc>
        <w:tc>
          <w:tcPr>
            <w:tcW w:w="4339" w:type="dxa"/>
            <w:vAlign w:val="center"/>
          </w:tcPr>
          <w:p w14:paraId="60AB39A1" w14:textId="77777777" w:rsidR="00BD28A7" w:rsidRPr="006F3F30" w:rsidRDefault="006F20FD" w:rsidP="00B94EDA">
            <w:pPr>
              <w:pStyle w:val="Table"/>
            </w:pPr>
            <w:r>
              <w:t>Methods of testing soils for engineering purposes – Soil classification tests – Determination of the liquid limit of a soil – Four point Casagrande method</w:t>
            </w:r>
          </w:p>
        </w:tc>
      </w:tr>
      <w:tr w:rsidR="00BD28A7" w:rsidRPr="006F3F30" w14:paraId="559B2F0F" w14:textId="77777777" w:rsidTr="00FA5714">
        <w:trPr>
          <w:trHeight w:val="340"/>
        </w:trPr>
        <w:tc>
          <w:tcPr>
            <w:tcW w:w="2237" w:type="dxa"/>
            <w:vAlign w:val="center"/>
          </w:tcPr>
          <w:p w14:paraId="4E22B8EA" w14:textId="77777777" w:rsidR="00BD28A7" w:rsidRPr="00CC52E2" w:rsidRDefault="00BD28A7" w:rsidP="00B94EDA">
            <w:pPr>
              <w:pStyle w:val="Table"/>
            </w:pPr>
            <w:r>
              <w:t>Australian Standard</w:t>
            </w:r>
          </w:p>
        </w:tc>
        <w:tc>
          <w:tcPr>
            <w:tcW w:w="1677" w:type="dxa"/>
            <w:vAlign w:val="center"/>
          </w:tcPr>
          <w:p w14:paraId="251CD6DB" w14:textId="77777777" w:rsidR="00BD28A7" w:rsidRPr="006F3F30" w:rsidRDefault="006F20FD" w:rsidP="00B94EDA">
            <w:pPr>
              <w:pStyle w:val="TableCen"/>
            </w:pPr>
            <w:r w:rsidRPr="00373FD7">
              <w:t>AS </w:t>
            </w:r>
            <w:r>
              <w:t>1289.3.3.1</w:t>
            </w:r>
          </w:p>
        </w:tc>
        <w:tc>
          <w:tcPr>
            <w:tcW w:w="4339" w:type="dxa"/>
            <w:vAlign w:val="center"/>
          </w:tcPr>
          <w:p w14:paraId="5E6B4DF9" w14:textId="77777777" w:rsidR="00BD28A7" w:rsidRPr="006F3F30" w:rsidRDefault="006F20FD" w:rsidP="00B94EDA">
            <w:pPr>
              <w:pStyle w:val="Table"/>
            </w:pPr>
            <w:r>
              <w:t>Methods of testing soils for engineering purposes – Soil classification tests – Calculation of the plasticity index of a soil</w:t>
            </w:r>
          </w:p>
        </w:tc>
      </w:tr>
      <w:tr w:rsidR="00BD28A7" w:rsidRPr="006F3F30" w14:paraId="2F53C8AE" w14:textId="77777777" w:rsidTr="00FA5714">
        <w:trPr>
          <w:trHeight w:val="340"/>
        </w:trPr>
        <w:tc>
          <w:tcPr>
            <w:tcW w:w="2237" w:type="dxa"/>
            <w:vAlign w:val="center"/>
          </w:tcPr>
          <w:p w14:paraId="3D6937FA" w14:textId="77777777" w:rsidR="00BD28A7" w:rsidRPr="00CC52E2" w:rsidRDefault="00BD28A7" w:rsidP="00B94EDA">
            <w:pPr>
              <w:pStyle w:val="Table"/>
            </w:pPr>
            <w:r>
              <w:t>Australian Standard</w:t>
            </w:r>
          </w:p>
        </w:tc>
        <w:tc>
          <w:tcPr>
            <w:tcW w:w="1677" w:type="dxa"/>
            <w:vAlign w:val="center"/>
          </w:tcPr>
          <w:p w14:paraId="08955062" w14:textId="77777777" w:rsidR="00BD28A7" w:rsidRPr="006F3F30" w:rsidRDefault="006F20FD" w:rsidP="00B94EDA">
            <w:pPr>
              <w:pStyle w:val="TableCen"/>
            </w:pPr>
            <w:r w:rsidRPr="00373FD7">
              <w:t>AS </w:t>
            </w:r>
            <w:r>
              <w:t>1289.3.4.1</w:t>
            </w:r>
          </w:p>
        </w:tc>
        <w:tc>
          <w:tcPr>
            <w:tcW w:w="4339" w:type="dxa"/>
            <w:vAlign w:val="center"/>
          </w:tcPr>
          <w:p w14:paraId="63397BEB" w14:textId="77777777" w:rsidR="00BD28A7" w:rsidRPr="006F3F30" w:rsidRDefault="006F20FD" w:rsidP="00B94EDA">
            <w:pPr>
              <w:pStyle w:val="Table"/>
            </w:pPr>
            <w:r>
              <w:t>Methods of testing soils for engineering purposes – Soil classification tests – Determination of the linear shrinkage of a soil – Standard method</w:t>
            </w:r>
          </w:p>
        </w:tc>
      </w:tr>
      <w:tr w:rsidR="00BD28A7" w:rsidRPr="006F3F30" w14:paraId="14C9058F" w14:textId="77777777" w:rsidTr="00FA5714">
        <w:trPr>
          <w:trHeight w:val="340"/>
        </w:trPr>
        <w:tc>
          <w:tcPr>
            <w:tcW w:w="2237" w:type="dxa"/>
            <w:vAlign w:val="center"/>
          </w:tcPr>
          <w:p w14:paraId="3C467AAD" w14:textId="77777777" w:rsidR="00BD28A7" w:rsidRPr="00CC52E2" w:rsidRDefault="00BD28A7" w:rsidP="00B94EDA">
            <w:pPr>
              <w:pStyle w:val="Table"/>
            </w:pPr>
            <w:r>
              <w:t>Australian Standard</w:t>
            </w:r>
          </w:p>
        </w:tc>
        <w:tc>
          <w:tcPr>
            <w:tcW w:w="1677" w:type="dxa"/>
            <w:vAlign w:val="center"/>
          </w:tcPr>
          <w:p w14:paraId="76DD12EA" w14:textId="77777777" w:rsidR="00BD28A7" w:rsidRPr="006F3F30" w:rsidRDefault="006F20FD" w:rsidP="00B94EDA">
            <w:pPr>
              <w:pStyle w:val="TableCen"/>
            </w:pPr>
            <w:r w:rsidRPr="00373FD7">
              <w:t>AS </w:t>
            </w:r>
            <w:r>
              <w:t>1289.3.6.1</w:t>
            </w:r>
          </w:p>
        </w:tc>
        <w:tc>
          <w:tcPr>
            <w:tcW w:w="4339" w:type="dxa"/>
            <w:vAlign w:val="center"/>
          </w:tcPr>
          <w:p w14:paraId="1A2B9392" w14:textId="77777777" w:rsidR="00BD28A7" w:rsidRPr="006F3F30" w:rsidRDefault="006F20FD" w:rsidP="00B94EDA">
            <w:pPr>
              <w:pStyle w:val="Table"/>
            </w:pPr>
            <w:r>
              <w:t>Methods of testing soils for engineering purposes – Soil classification tests – Determination of the particle size distribution of a soil – Standard method of analysis by sieving</w:t>
            </w:r>
          </w:p>
        </w:tc>
      </w:tr>
      <w:tr w:rsidR="00BD28A7" w:rsidRPr="006F3F30" w14:paraId="004F5CDC" w14:textId="77777777" w:rsidTr="00FA5714">
        <w:trPr>
          <w:trHeight w:val="340"/>
        </w:trPr>
        <w:tc>
          <w:tcPr>
            <w:tcW w:w="2237" w:type="dxa"/>
            <w:vAlign w:val="center"/>
          </w:tcPr>
          <w:p w14:paraId="7EE6F74B" w14:textId="77777777" w:rsidR="00BD28A7" w:rsidRPr="00CC52E2" w:rsidRDefault="00BD28A7" w:rsidP="00B94EDA">
            <w:pPr>
              <w:pStyle w:val="Table"/>
            </w:pPr>
            <w:r>
              <w:t>Australian Standard</w:t>
            </w:r>
          </w:p>
        </w:tc>
        <w:tc>
          <w:tcPr>
            <w:tcW w:w="1677" w:type="dxa"/>
            <w:vAlign w:val="center"/>
          </w:tcPr>
          <w:p w14:paraId="7DA9E8DC" w14:textId="77777777" w:rsidR="00BD28A7" w:rsidRPr="006F3F30" w:rsidRDefault="006F20FD" w:rsidP="00B94EDA">
            <w:pPr>
              <w:pStyle w:val="TableCen"/>
            </w:pPr>
            <w:r w:rsidRPr="00373FD7">
              <w:t>AS </w:t>
            </w:r>
            <w:r>
              <w:t>1289.6.1.1</w:t>
            </w:r>
          </w:p>
        </w:tc>
        <w:tc>
          <w:tcPr>
            <w:tcW w:w="4339" w:type="dxa"/>
            <w:vAlign w:val="center"/>
          </w:tcPr>
          <w:p w14:paraId="7A57406C" w14:textId="77777777" w:rsidR="00BD28A7" w:rsidRPr="006F3F30" w:rsidRDefault="006F20FD" w:rsidP="00B94EDA">
            <w:pPr>
              <w:pStyle w:val="Table"/>
            </w:pPr>
            <w:r>
              <w:t>Methods of testing soils for engineering purposes – Soil strength and consolidation tests – Determination of the California Bearing Ratio of a soil – Standard laboratory method for a remoulded specimen</w:t>
            </w:r>
          </w:p>
        </w:tc>
      </w:tr>
      <w:tr w:rsidR="006F20FD" w:rsidRPr="006F3F30" w14:paraId="16A7ED00" w14:textId="77777777" w:rsidTr="00FA5714">
        <w:trPr>
          <w:trHeight w:val="340"/>
        </w:trPr>
        <w:tc>
          <w:tcPr>
            <w:tcW w:w="2237" w:type="dxa"/>
            <w:vAlign w:val="center"/>
          </w:tcPr>
          <w:p w14:paraId="7FAA0D81" w14:textId="77777777" w:rsidR="006F20FD" w:rsidRDefault="006F20FD" w:rsidP="006F20FD">
            <w:pPr>
              <w:pStyle w:val="Table"/>
            </w:pPr>
            <w:r w:rsidRPr="00373FD7">
              <w:t xml:space="preserve">Australian Standard </w:t>
            </w:r>
          </w:p>
        </w:tc>
        <w:tc>
          <w:tcPr>
            <w:tcW w:w="1677" w:type="dxa"/>
            <w:vAlign w:val="center"/>
          </w:tcPr>
          <w:p w14:paraId="39D506CD" w14:textId="77777777" w:rsidR="006F20FD" w:rsidRPr="006F3F30" w:rsidRDefault="006F20FD" w:rsidP="00B94EDA">
            <w:pPr>
              <w:pStyle w:val="TableCen"/>
            </w:pPr>
            <w:r w:rsidRPr="00373FD7">
              <w:t>AS </w:t>
            </w:r>
            <w:r>
              <w:t>4969.1</w:t>
            </w:r>
          </w:p>
        </w:tc>
        <w:tc>
          <w:tcPr>
            <w:tcW w:w="4339" w:type="dxa"/>
            <w:vAlign w:val="center"/>
          </w:tcPr>
          <w:p w14:paraId="3C72AEC7" w14:textId="77777777" w:rsidR="006F20FD" w:rsidRPr="006F3F30" w:rsidRDefault="006F20FD" w:rsidP="00B94EDA">
            <w:pPr>
              <w:pStyle w:val="Table"/>
            </w:pPr>
            <w:r>
              <w:t>Analysis of acid sulfate soil – Dried samples – Methods of test – Pre-treatment of samples</w:t>
            </w:r>
          </w:p>
        </w:tc>
      </w:tr>
      <w:tr w:rsidR="006F20FD" w:rsidRPr="006F3F30" w14:paraId="71B996F5" w14:textId="77777777" w:rsidTr="00FA5714">
        <w:trPr>
          <w:trHeight w:val="340"/>
        </w:trPr>
        <w:tc>
          <w:tcPr>
            <w:tcW w:w="2237" w:type="dxa"/>
            <w:vAlign w:val="center"/>
          </w:tcPr>
          <w:p w14:paraId="433BD145" w14:textId="77777777" w:rsidR="006F20FD" w:rsidRDefault="006F20FD" w:rsidP="006F20FD">
            <w:pPr>
              <w:pStyle w:val="Table"/>
            </w:pPr>
            <w:r>
              <w:t>Australian/New Zealand Standard, International Standards Organization</w:t>
            </w:r>
          </w:p>
        </w:tc>
        <w:tc>
          <w:tcPr>
            <w:tcW w:w="1677" w:type="dxa"/>
            <w:vAlign w:val="center"/>
          </w:tcPr>
          <w:p w14:paraId="68D82DB7" w14:textId="77777777" w:rsidR="006F20FD" w:rsidRPr="006F3F30" w:rsidRDefault="006F20FD" w:rsidP="00B94EDA">
            <w:pPr>
              <w:pStyle w:val="TableCen"/>
            </w:pPr>
            <w:r>
              <w:t>AS/NZS</w:t>
            </w:r>
            <w:r w:rsidRPr="00B9552D">
              <w:t> </w:t>
            </w:r>
            <w:r>
              <w:t>ISO</w:t>
            </w:r>
            <w:r w:rsidRPr="00B9552D">
              <w:t> </w:t>
            </w:r>
            <w:r>
              <w:t>9001</w:t>
            </w:r>
          </w:p>
        </w:tc>
        <w:tc>
          <w:tcPr>
            <w:tcW w:w="4339" w:type="dxa"/>
            <w:vAlign w:val="center"/>
          </w:tcPr>
          <w:p w14:paraId="485EA3AA" w14:textId="77777777" w:rsidR="006F20FD" w:rsidRPr="006F3F30" w:rsidRDefault="006F20FD" w:rsidP="00B94EDA">
            <w:pPr>
              <w:pStyle w:val="Table"/>
            </w:pPr>
            <w:r>
              <w:t>Quality management systems – Requirements</w:t>
            </w:r>
          </w:p>
        </w:tc>
      </w:tr>
    </w:tbl>
    <w:p w14:paraId="77E12BE9" w14:textId="06B122F1" w:rsidR="00BD596C" w:rsidRPr="00460AFA" w:rsidRDefault="00460AFA" w:rsidP="00460AFA">
      <w:pPr>
        <w:pStyle w:val="Heading3"/>
      </w:pPr>
      <w:bookmarkStart w:id="10" w:name="_Toc76045693"/>
      <w:r w:rsidRPr="00460AFA">
        <w:t>References</w:t>
      </w:r>
      <w:bookmarkEnd w:id="10"/>
    </w:p>
    <w:tbl>
      <w:tblPr>
        <w:tblW w:w="8469" w:type="dxa"/>
        <w:tblInd w:w="709" w:type="dxa"/>
        <w:tblLayout w:type="fixed"/>
        <w:tblLook w:val="0400" w:firstRow="0" w:lastRow="0" w:firstColumn="0" w:lastColumn="0" w:noHBand="0" w:noVBand="1"/>
      </w:tblPr>
      <w:tblGrid>
        <w:gridCol w:w="2410"/>
        <w:gridCol w:w="1417"/>
        <w:gridCol w:w="993"/>
        <w:gridCol w:w="3649"/>
      </w:tblGrid>
      <w:tr w:rsidR="007938EB" w:rsidRPr="006F3F30" w14:paraId="5357E23E" w14:textId="77777777" w:rsidTr="00FA5714">
        <w:trPr>
          <w:trHeight w:val="340"/>
        </w:trPr>
        <w:tc>
          <w:tcPr>
            <w:tcW w:w="2410" w:type="dxa"/>
            <w:vAlign w:val="center"/>
          </w:tcPr>
          <w:p w14:paraId="145E940A" w14:textId="77777777" w:rsidR="007938EB" w:rsidRPr="00CC52E2" w:rsidRDefault="007938EB" w:rsidP="006F20FD">
            <w:pPr>
              <w:pStyle w:val="Table"/>
            </w:pPr>
            <w:r w:rsidRPr="00307771">
              <w:t>Queensland Departm</w:t>
            </w:r>
            <w:r>
              <w:t>ent of Transport and Main Roads</w:t>
            </w:r>
          </w:p>
        </w:tc>
        <w:tc>
          <w:tcPr>
            <w:tcW w:w="1417" w:type="dxa"/>
            <w:vAlign w:val="center"/>
          </w:tcPr>
          <w:p w14:paraId="0B6209FE" w14:textId="77777777" w:rsidR="007938EB" w:rsidRPr="006F3F30" w:rsidRDefault="007938EB" w:rsidP="006F20FD">
            <w:pPr>
              <w:pStyle w:val="TableCen"/>
            </w:pPr>
            <w:r>
              <w:t>Technical Specification</w:t>
            </w:r>
          </w:p>
        </w:tc>
        <w:tc>
          <w:tcPr>
            <w:tcW w:w="993" w:type="dxa"/>
            <w:vAlign w:val="center"/>
          </w:tcPr>
          <w:p w14:paraId="4B261E41" w14:textId="77777777" w:rsidR="007938EB" w:rsidRDefault="007938EB" w:rsidP="007938EB">
            <w:pPr>
              <w:pStyle w:val="TableCen"/>
            </w:pPr>
            <w:r>
              <w:t>MRTS</w:t>
            </w:r>
            <w:r w:rsidRPr="00373FD7">
              <w:t> </w:t>
            </w:r>
            <w:r>
              <w:t>05</w:t>
            </w:r>
          </w:p>
        </w:tc>
        <w:tc>
          <w:tcPr>
            <w:tcW w:w="3649" w:type="dxa"/>
            <w:vAlign w:val="center"/>
          </w:tcPr>
          <w:p w14:paraId="10637A4F" w14:textId="77777777" w:rsidR="007938EB" w:rsidRPr="006F3F30" w:rsidRDefault="007938EB" w:rsidP="007938EB">
            <w:pPr>
              <w:pStyle w:val="Table"/>
            </w:pPr>
            <w:r>
              <w:t>Unbound Pavements</w:t>
            </w:r>
          </w:p>
        </w:tc>
      </w:tr>
      <w:tr w:rsidR="007938EB" w:rsidRPr="006F3F30" w14:paraId="5B62AB01" w14:textId="77777777" w:rsidTr="00FA5714">
        <w:trPr>
          <w:trHeight w:val="340"/>
        </w:trPr>
        <w:tc>
          <w:tcPr>
            <w:tcW w:w="2410" w:type="dxa"/>
            <w:vAlign w:val="center"/>
          </w:tcPr>
          <w:p w14:paraId="69D685A1" w14:textId="77777777" w:rsidR="007938EB" w:rsidRPr="00307771" w:rsidRDefault="007938EB" w:rsidP="006F20FD">
            <w:pPr>
              <w:pStyle w:val="Table"/>
            </w:pPr>
            <w:r w:rsidRPr="00C02E13">
              <w:t>Queensland Departm</w:t>
            </w:r>
            <w:r>
              <w:t>ent of Transport and Main Roads</w:t>
            </w:r>
          </w:p>
        </w:tc>
        <w:tc>
          <w:tcPr>
            <w:tcW w:w="1417" w:type="dxa"/>
            <w:vAlign w:val="center"/>
          </w:tcPr>
          <w:p w14:paraId="65D1657A" w14:textId="77777777" w:rsidR="007938EB" w:rsidRDefault="007938EB" w:rsidP="006F20FD">
            <w:pPr>
              <w:pStyle w:val="TableCen"/>
            </w:pPr>
            <w:r>
              <w:t>Test Method</w:t>
            </w:r>
          </w:p>
        </w:tc>
        <w:tc>
          <w:tcPr>
            <w:tcW w:w="993" w:type="dxa"/>
            <w:vAlign w:val="center"/>
          </w:tcPr>
          <w:p w14:paraId="2D2EDA0E" w14:textId="77777777" w:rsidR="007938EB" w:rsidRDefault="007938EB" w:rsidP="007938EB">
            <w:pPr>
              <w:pStyle w:val="TableCen"/>
            </w:pPr>
            <w:r>
              <w:t>Q104A</w:t>
            </w:r>
          </w:p>
        </w:tc>
        <w:tc>
          <w:tcPr>
            <w:tcW w:w="3649" w:type="dxa"/>
            <w:vAlign w:val="center"/>
          </w:tcPr>
          <w:p w14:paraId="797011AA" w14:textId="77777777" w:rsidR="007938EB" w:rsidRDefault="007938EB" w:rsidP="007938EB">
            <w:pPr>
              <w:pStyle w:val="Table"/>
            </w:pPr>
            <w:r>
              <w:t>Liquid limit of soil</w:t>
            </w:r>
          </w:p>
        </w:tc>
      </w:tr>
      <w:tr w:rsidR="007938EB" w:rsidRPr="006F3F30" w14:paraId="27B42337" w14:textId="77777777" w:rsidTr="00FA5714">
        <w:trPr>
          <w:trHeight w:val="340"/>
        </w:trPr>
        <w:tc>
          <w:tcPr>
            <w:tcW w:w="2410" w:type="dxa"/>
            <w:vAlign w:val="center"/>
          </w:tcPr>
          <w:p w14:paraId="73473621" w14:textId="77777777" w:rsidR="007938EB" w:rsidRPr="00307771" w:rsidRDefault="007938EB" w:rsidP="007938EB">
            <w:pPr>
              <w:pStyle w:val="Table"/>
            </w:pPr>
            <w:r w:rsidRPr="00C02E13">
              <w:t>Queensland Departm</w:t>
            </w:r>
            <w:r>
              <w:t>ent of Transport and Main Roads</w:t>
            </w:r>
          </w:p>
        </w:tc>
        <w:tc>
          <w:tcPr>
            <w:tcW w:w="1417" w:type="dxa"/>
            <w:vAlign w:val="center"/>
          </w:tcPr>
          <w:p w14:paraId="0DF477FE" w14:textId="77777777" w:rsidR="007938EB" w:rsidRDefault="007938EB" w:rsidP="006F20FD">
            <w:pPr>
              <w:pStyle w:val="TableCen"/>
            </w:pPr>
            <w:r>
              <w:t>Test Method</w:t>
            </w:r>
          </w:p>
        </w:tc>
        <w:tc>
          <w:tcPr>
            <w:tcW w:w="993" w:type="dxa"/>
            <w:vAlign w:val="center"/>
          </w:tcPr>
          <w:p w14:paraId="76AC033E" w14:textId="77777777" w:rsidR="007938EB" w:rsidRDefault="007938EB" w:rsidP="007938EB">
            <w:pPr>
              <w:pStyle w:val="TableCen"/>
            </w:pPr>
            <w:r>
              <w:t>Q105</w:t>
            </w:r>
          </w:p>
        </w:tc>
        <w:tc>
          <w:tcPr>
            <w:tcW w:w="3649" w:type="dxa"/>
            <w:vAlign w:val="center"/>
          </w:tcPr>
          <w:p w14:paraId="400555AA" w14:textId="77777777" w:rsidR="007938EB" w:rsidRDefault="007938EB" w:rsidP="00B94EDA">
            <w:pPr>
              <w:pStyle w:val="Table"/>
            </w:pPr>
            <w:r>
              <w:t>Plastic limit and plasticity index of soil</w:t>
            </w:r>
          </w:p>
        </w:tc>
      </w:tr>
      <w:tr w:rsidR="007938EB" w:rsidRPr="006F3F30" w14:paraId="7222606D" w14:textId="77777777" w:rsidTr="00FA5714">
        <w:trPr>
          <w:trHeight w:val="340"/>
        </w:trPr>
        <w:tc>
          <w:tcPr>
            <w:tcW w:w="2410" w:type="dxa"/>
            <w:vAlign w:val="center"/>
          </w:tcPr>
          <w:p w14:paraId="44B7C142" w14:textId="77777777" w:rsidR="007938EB" w:rsidRPr="00307771" w:rsidRDefault="007938EB" w:rsidP="00B94EDA">
            <w:pPr>
              <w:pStyle w:val="Table"/>
            </w:pPr>
            <w:r w:rsidRPr="00C02E13">
              <w:t>Queensland Departm</w:t>
            </w:r>
            <w:r>
              <w:t>ent of Transport and Main Roads</w:t>
            </w:r>
          </w:p>
        </w:tc>
        <w:tc>
          <w:tcPr>
            <w:tcW w:w="1417" w:type="dxa"/>
            <w:vAlign w:val="center"/>
          </w:tcPr>
          <w:p w14:paraId="587DD75E" w14:textId="77777777" w:rsidR="007938EB" w:rsidRDefault="007938EB" w:rsidP="006F20FD">
            <w:pPr>
              <w:pStyle w:val="TableCen"/>
            </w:pPr>
            <w:r>
              <w:t>Test Method</w:t>
            </w:r>
          </w:p>
        </w:tc>
        <w:tc>
          <w:tcPr>
            <w:tcW w:w="993" w:type="dxa"/>
            <w:vAlign w:val="center"/>
          </w:tcPr>
          <w:p w14:paraId="6EBC1B8B" w14:textId="77777777" w:rsidR="007938EB" w:rsidRDefault="007938EB" w:rsidP="007938EB">
            <w:pPr>
              <w:pStyle w:val="TableCen"/>
            </w:pPr>
            <w:r>
              <w:t>Q106</w:t>
            </w:r>
          </w:p>
        </w:tc>
        <w:tc>
          <w:tcPr>
            <w:tcW w:w="3649" w:type="dxa"/>
            <w:vAlign w:val="center"/>
          </w:tcPr>
          <w:p w14:paraId="4179A100" w14:textId="77777777" w:rsidR="007938EB" w:rsidRDefault="007938EB" w:rsidP="00B94EDA">
            <w:pPr>
              <w:pStyle w:val="Table"/>
            </w:pPr>
            <w:r>
              <w:t>Linear shrinkage of soil</w:t>
            </w:r>
          </w:p>
        </w:tc>
      </w:tr>
      <w:tr w:rsidR="007938EB" w:rsidRPr="006F3F30" w14:paraId="15CE1239" w14:textId="77777777" w:rsidTr="00FA5714">
        <w:trPr>
          <w:trHeight w:val="340"/>
        </w:trPr>
        <w:tc>
          <w:tcPr>
            <w:tcW w:w="2410" w:type="dxa"/>
            <w:vAlign w:val="center"/>
          </w:tcPr>
          <w:p w14:paraId="2BDA373A" w14:textId="77777777" w:rsidR="007938EB" w:rsidRPr="00307771" w:rsidRDefault="007938EB" w:rsidP="00B94EDA">
            <w:pPr>
              <w:pStyle w:val="Table"/>
            </w:pPr>
            <w:r w:rsidRPr="00C02E13">
              <w:t>Queensland Departm</w:t>
            </w:r>
            <w:r>
              <w:t>ent of Transport and Main Roads</w:t>
            </w:r>
          </w:p>
        </w:tc>
        <w:tc>
          <w:tcPr>
            <w:tcW w:w="1417" w:type="dxa"/>
            <w:vAlign w:val="center"/>
          </w:tcPr>
          <w:p w14:paraId="6D8568D6" w14:textId="77777777" w:rsidR="007938EB" w:rsidRDefault="007938EB" w:rsidP="006F20FD">
            <w:pPr>
              <w:pStyle w:val="TableCen"/>
            </w:pPr>
            <w:r>
              <w:t>Test Method</w:t>
            </w:r>
          </w:p>
        </w:tc>
        <w:tc>
          <w:tcPr>
            <w:tcW w:w="993" w:type="dxa"/>
            <w:vAlign w:val="center"/>
          </w:tcPr>
          <w:p w14:paraId="3213BF7F" w14:textId="77777777" w:rsidR="007938EB" w:rsidRDefault="007938EB" w:rsidP="007938EB">
            <w:pPr>
              <w:pStyle w:val="TableCen"/>
            </w:pPr>
            <w:r>
              <w:t>Q113C</w:t>
            </w:r>
          </w:p>
        </w:tc>
        <w:tc>
          <w:tcPr>
            <w:tcW w:w="3649" w:type="dxa"/>
            <w:vAlign w:val="center"/>
          </w:tcPr>
          <w:p w14:paraId="3AA63863" w14:textId="77777777" w:rsidR="007938EB" w:rsidRDefault="004223FF" w:rsidP="00B94EDA">
            <w:pPr>
              <w:pStyle w:val="Table"/>
            </w:pPr>
            <w:r>
              <w:t>C</w:t>
            </w:r>
            <w:r w:rsidR="007938EB">
              <w:t>alifornia Bearing Ratio of soil at nominated levels of dry density and moisture content</w:t>
            </w:r>
          </w:p>
        </w:tc>
      </w:tr>
    </w:tbl>
    <w:p w14:paraId="1D9DC989" w14:textId="77777777" w:rsidR="00F0232B" w:rsidRDefault="00F0232B" w:rsidP="00E42D09">
      <w:pPr>
        <w:pStyle w:val="BodyTextIndent"/>
      </w:pPr>
      <w:r>
        <w:t>Refer to the following other Reference Specifications</w:t>
      </w:r>
      <w:r w:rsidR="00D80BBA">
        <w:t xml:space="preserve"> for Civil Engineering </w:t>
      </w:r>
      <w:r w:rsidR="00744425">
        <w:t>Works</w:t>
      </w:r>
      <w:r>
        <w:t>:</w:t>
      </w:r>
    </w:p>
    <w:tbl>
      <w:tblPr>
        <w:tblW w:w="0" w:type="auto"/>
        <w:tblInd w:w="709" w:type="dxa"/>
        <w:tblLook w:val="0400" w:firstRow="0" w:lastRow="0" w:firstColumn="0" w:lastColumn="0" w:noHBand="0" w:noVBand="1"/>
      </w:tblPr>
      <w:tblGrid>
        <w:gridCol w:w="962"/>
        <w:gridCol w:w="7291"/>
      </w:tblGrid>
      <w:tr w:rsidR="003E783F" w:rsidRPr="006F3F30" w14:paraId="1CC1802C" w14:textId="77777777" w:rsidTr="00FA5714">
        <w:trPr>
          <w:trHeight w:val="340"/>
        </w:trPr>
        <w:tc>
          <w:tcPr>
            <w:tcW w:w="962" w:type="dxa"/>
            <w:vAlign w:val="center"/>
          </w:tcPr>
          <w:p w14:paraId="4949426B" w14:textId="77777777" w:rsidR="003E783F" w:rsidRPr="00CC52E2" w:rsidRDefault="003E783F" w:rsidP="00B94EDA">
            <w:pPr>
              <w:pStyle w:val="TableCen"/>
            </w:pPr>
            <w:r w:rsidRPr="00E42D09">
              <w:t>S110</w:t>
            </w:r>
          </w:p>
        </w:tc>
        <w:tc>
          <w:tcPr>
            <w:tcW w:w="7291" w:type="dxa"/>
            <w:vAlign w:val="center"/>
          </w:tcPr>
          <w:p w14:paraId="1A85DED0" w14:textId="77777777" w:rsidR="003E783F" w:rsidRPr="006F3F30" w:rsidRDefault="00587E75" w:rsidP="00587E75">
            <w:pPr>
              <w:pStyle w:val="Table"/>
            </w:pPr>
            <w:r>
              <w:t>General Requirements</w:t>
            </w:r>
          </w:p>
        </w:tc>
      </w:tr>
      <w:tr w:rsidR="003E783F" w:rsidRPr="006F3F30" w14:paraId="5EC2479D" w14:textId="77777777" w:rsidTr="00FA5714">
        <w:trPr>
          <w:trHeight w:val="340"/>
        </w:trPr>
        <w:tc>
          <w:tcPr>
            <w:tcW w:w="962" w:type="dxa"/>
            <w:vAlign w:val="center"/>
          </w:tcPr>
          <w:p w14:paraId="465ECAB6" w14:textId="77777777" w:rsidR="003E783F" w:rsidRPr="00CC52E2" w:rsidRDefault="003E783F" w:rsidP="00B94EDA">
            <w:pPr>
              <w:pStyle w:val="TableCen"/>
            </w:pPr>
            <w:r>
              <w:lastRenderedPageBreak/>
              <w:t>S120</w:t>
            </w:r>
          </w:p>
        </w:tc>
        <w:tc>
          <w:tcPr>
            <w:tcW w:w="7291" w:type="dxa"/>
            <w:vAlign w:val="center"/>
          </w:tcPr>
          <w:p w14:paraId="3D9380D5" w14:textId="77777777" w:rsidR="003E783F" w:rsidRPr="006F3F30" w:rsidRDefault="003E783F" w:rsidP="00B94EDA">
            <w:pPr>
              <w:pStyle w:val="Table"/>
            </w:pPr>
            <w:r>
              <w:t>Quality: Quality control testing</w:t>
            </w:r>
          </w:p>
        </w:tc>
      </w:tr>
      <w:tr w:rsidR="003E783F" w:rsidRPr="006F3F30" w14:paraId="0CBE5C30" w14:textId="77777777" w:rsidTr="00FA5714">
        <w:trPr>
          <w:trHeight w:val="340"/>
        </w:trPr>
        <w:tc>
          <w:tcPr>
            <w:tcW w:w="962" w:type="dxa"/>
            <w:vAlign w:val="center"/>
          </w:tcPr>
          <w:p w14:paraId="5E4242E0" w14:textId="77777777" w:rsidR="003E783F" w:rsidRPr="00CC52E2" w:rsidRDefault="003E783F" w:rsidP="00B94EDA">
            <w:pPr>
              <w:pStyle w:val="TableCen"/>
            </w:pPr>
            <w:r>
              <w:t>S140</w:t>
            </w:r>
          </w:p>
        </w:tc>
        <w:tc>
          <w:tcPr>
            <w:tcW w:w="7291" w:type="dxa"/>
            <w:vAlign w:val="center"/>
          </w:tcPr>
          <w:p w14:paraId="2F0C7A58" w14:textId="77777777" w:rsidR="003E783F" w:rsidRPr="006F3F30" w:rsidRDefault="00587E75" w:rsidP="00587E75">
            <w:pPr>
              <w:pStyle w:val="Table"/>
            </w:pPr>
            <w:r>
              <w:t>Earthworks</w:t>
            </w:r>
          </w:p>
        </w:tc>
      </w:tr>
      <w:tr w:rsidR="003E783F" w:rsidRPr="006F3F30" w14:paraId="3DB94FCF" w14:textId="77777777" w:rsidTr="00FA5714">
        <w:trPr>
          <w:trHeight w:val="340"/>
        </w:trPr>
        <w:tc>
          <w:tcPr>
            <w:tcW w:w="962" w:type="dxa"/>
            <w:vAlign w:val="center"/>
          </w:tcPr>
          <w:p w14:paraId="7DE34539" w14:textId="77777777" w:rsidR="003E783F" w:rsidRPr="00CC52E2" w:rsidRDefault="003E783F" w:rsidP="00B94EDA">
            <w:pPr>
              <w:pStyle w:val="TableCen"/>
            </w:pPr>
            <w:r>
              <w:t>S150</w:t>
            </w:r>
          </w:p>
        </w:tc>
        <w:tc>
          <w:tcPr>
            <w:tcW w:w="7291" w:type="dxa"/>
            <w:vAlign w:val="center"/>
          </w:tcPr>
          <w:p w14:paraId="12E386DC" w14:textId="77777777" w:rsidR="003E783F" w:rsidRPr="006F3F30" w:rsidRDefault="00587E75" w:rsidP="00587E75">
            <w:pPr>
              <w:pStyle w:val="Table"/>
            </w:pPr>
            <w:r>
              <w:t>Roadworks</w:t>
            </w:r>
          </w:p>
        </w:tc>
      </w:tr>
    </w:tbl>
    <w:p w14:paraId="09378049" w14:textId="211A106A" w:rsidR="00F0232B" w:rsidRPr="00460AFA" w:rsidRDefault="00460AFA" w:rsidP="00460AFA">
      <w:pPr>
        <w:pStyle w:val="Heading3"/>
      </w:pPr>
      <w:bookmarkStart w:id="11" w:name="_Toc76045694"/>
      <w:r w:rsidRPr="00460AFA">
        <w:t>Definitions</w:t>
      </w:r>
      <w:bookmarkEnd w:id="11"/>
    </w:p>
    <w:p w14:paraId="314119F5" w14:textId="77777777" w:rsidR="00F0232B" w:rsidRDefault="00F0232B" w:rsidP="00E42D09">
      <w:pPr>
        <w:pStyle w:val="BodyTextIndent"/>
      </w:pPr>
      <w:r>
        <w:t>Crushed rock: Crushed material from a hard rock quarry.</w:t>
      </w:r>
    </w:p>
    <w:p w14:paraId="298D90A4" w14:textId="77777777" w:rsidR="00F0232B" w:rsidRDefault="00F0232B" w:rsidP="00E42D09">
      <w:pPr>
        <w:pStyle w:val="BodyTextIndent"/>
      </w:pPr>
      <w:r>
        <w:t>Soil aggregate: Pit, ridge or creek gravels; either crushed, partially crushed or in their natural state; blended or unblended.</w:t>
      </w:r>
    </w:p>
    <w:p w14:paraId="36F2A5BE" w14:textId="77777777" w:rsidR="00F0232B" w:rsidRDefault="00F0232B" w:rsidP="00E42D09">
      <w:pPr>
        <w:pStyle w:val="BodyTextIndent"/>
      </w:pPr>
      <w:r>
        <w:t xml:space="preserve">Recycled material: </w:t>
      </w:r>
      <w:r w:rsidR="00886460" w:rsidRPr="00886460">
        <w:t xml:space="preserve">Various products derived from resource recovery of construction and demolition waste from building waste; reclaimed asphalt pavement (RAP) from maintenance and rehabilitation activities; and reclaimed glass from the glass disposal industry blended </w:t>
      </w:r>
      <w:r>
        <w:t>with approved fillers in a controlled process.</w:t>
      </w:r>
    </w:p>
    <w:p w14:paraId="15CD2C6A" w14:textId="77777777" w:rsidR="00F0232B" w:rsidRDefault="00F0232B" w:rsidP="00793413">
      <w:pPr>
        <w:pStyle w:val="Heading2"/>
      </w:pPr>
      <w:bookmarkStart w:id="12" w:name="_Toc76045695"/>
      <w:r>
        <w:t>QUALITY</w:t>
      </w:r>
      <w:bookmarkEnd w:id="12"/>
    </w:p>
    <w:p w14:paraId="7B2D8F6F" w14:textId="78D47FAE" w:rsidR="00BD596C" w:rsidRPr="00460AFA" w:rsidRDefault="00460AFA" w:rsidP="00460AFA">
      <w:pPr>
        <w:pStyle w:val="Heading3"/>
      </w:pPr>
      <w:bookmarkStart w:id="13" w:name="_Toc76045696"/>
      <w:r w:rsidRPr="00460AFA">
        <w:t>Quality system</w:t>
      </w:r>
      <w:bookmarkEnd w:id="13"/>
    </w:p>
    <w:p w14:paraId="1DE4869E" w14:textId="77777777" w:rsidR="00F0232B" w:rsidRDefault="00F0232B" w:rsidP="00E42D09">
      <w:pPr>
        <w:pStyle w:val="BodyTextIndent"/>
      </w:pPr>
      <w:r>
        <w:t xml:space="preserve">The supplier must maintain a Quality Assurance System with third party accreditation to </w:t>
      </w:r>
      <w:r w:rsidRPr="00065E03">
        <w:rPr>
          <w:i/>
        </w:rPr>
        <w:t>AS/NZS</w:t>
      </w:r>
      <w:r w:rsidR="00D80BBA">
        <w:rPr>
          <w:i/>
        </w:rPr>
        <w:t> </w:t>
      </w:r>
      <w:r w:rsidRPr="00065E03">
        <w:rPr>
          <w:i/>
        </w:rPr>
        <w:t>ISO</w:t>
      </w:r>
      <w:r w:rsidR="00065E03">
        <w:rPr>
          <w:i/>
        </w:rPr>
        <w:t> </w:t>
      </w:r>
      <w:r w:rsidR="00D80BBA" w:rsidRPr="00065E03">
        <w:rPr>
          <w:i/>
        </w:rPr>
        <w:t>900</w:t>
      </w:r>
      <w:r w:rsidR="00D80BBA">
        <w:rPr>
          <w:i/>
        </w:rPr>
        <w:t>1</w:t>
      </w:r>
      <w:r>
        <w:t>.  The supplier must notify the Contractor and the Superintendent within two days of becoming aware that process control tests relevant to the material supplied have fallen outside the specified limits.</w:t>
      </w:r>
    </w:p>
    <w:p w14:paraId="17295D7A" w14:textId="1457274B" w:rsidR="2B7E7916" w:rsidRDefault="2B7E7916" w:rsidP="2EB8D3B0">
      <w:pPr>
        <w:pStyle w:val="BodyTextIndent"/>
      </w:pPr>
      <w:r w:rsidRPr="007B21A1">
        <w:t xml:space="preserve">Class 1, Class 2 and Class 3 materials (including those sourced from recycled materials) shall be provided by a supplier registered and operated in accordance with the </w:t>
      </w:r>
      <w:r w:rsidR="473216C0" w:rsidRPr="007B21A1">
        <w:t xml:space="preserve">Department of </w:t>
      </w:r>
      <w:r w:rsidRPr="007B21A1">
        <w:t>Transport and Main Roads Quarry Registration System</w:t>
      </w:r>
      <w:r w:rsidR="572441CF" w:rsidRPr="007B21A1">
        <w:t xml:space="preserve">. </w:t>
      </w:r>
      <w:r w:rsidRPr="007B21A1">
        <w:t xml:space="preserve">The supplier must be registered to supply </w:t>
      </w:r>
      <w:r w:rsidR="79228E8A" w:rsidRPr="007B21A1">
        <w:t xml:space="preserve">material of </w:t>
      </w:r>
      <w:r w:rsidRPr="007B21A1">
        <w:t xml:space="preserve">the appropriate </w:t>
      </w:r>
      <w:r w:rsidR="325A05B9" w:rsidRPr="007B21A1">
        <w:t>Class</w:t>
      </w:r>
      <w:r w:rsidRPr="007B21A1">
        <w:t>.</w:t>
      </w:r>
    </w:p>
    <w:p w14:paraId="630D2773" w14:textId="1E785AAD" w:rsidR="00BD596C" w:rsidRPr="00460AFA" w:rsidRDefault="00460AFA" w:rsidP="00460AFA">
      <w:pPr>
        <w:pStyle w:val="Heading3"/>
      </w:pPr>
      <w:bookmarkStart w:id="14" w:name="_Toc76045697"/>
      <w:r w:rsidRPr="00460AFA">
        <w:t>Tests</w:t>
      </w:r>
      <w:bookmarkEnd w:id="14"/>
    </w:p>
    <w:p w14:paraId="0AAF4EA2" w14:textId="77777777" w:rsidR="00F0232B" w:rsidRDefault="00F0232B" w:rsidP="00E42D09">
      <w:pPr>
        <w:pStyle w:val="BodyTextIndentBoldUnderline"/>
        <w:rPr>
          <w:snapToGrid w:val="0"/>
        </w:rPr>
      </w:pPr>
      <w:r>
        <w:t>General</w:t>
      </w:r>
    </w:p>
    <w:p w14:paraId="026846E4" w14:textId="77777777" w:rsidR="00F0232B" w:rsidRDefault="00F0232B" w:rsidP="00E42D09">
      <w:pPr>
        <w:pStyle w:val="BodyTextIndent"/>
      </w:pPr>
      <w:r>
        <w:rPr>
          <w:snapToGrid w:val="0"/>
        </w:rPr>
        <w:t>Methods</w:t>
      </w:r>
      <w:r>
        <w:t xml:space="preserve">: Use the specified Australian Standard or Queensland Department of </w:t>
      </w:r>
      <w:r w:rsidR="00085839">
        <w:t xml:space="preserve">Transport and </w:t>
      </w:r>
      <w:r>
        <w:t>Main Roads test methods.</w:t>
      </w:r>
    </w:p>
    <w:p w14:paraId="7574487B" w14:textId="77777777" w:rsidR="00F0232B" w:rsidRDefault="00F0232B" w:rsidP="00E42D09">
      <w:pPr>
        <w:pStyle w:val="BodyTextIndent"/>
      </w:pPr>
      <w:r>
        <w:t>Testing authority: Use a testing facility registered by NATA for the test required.</w:t>
      </w:r>
    </w:p>
    <w:p w14:paraId="090D849C" w14:textId="77777777" w:rsidR="00F0232B" w:rsidRDefault="00F0232B" w:rsidP="00E42D09">
      <w:pPr>
        <w:pStyle w:val="BodyTextIndentBoldUnderline"/>
      </w:pPr>
      <w:r>
        <w:t>Process control tests</w:t>
      </w:r>
    </w:p>
    <w:p w14:paraId="66A50AB1" w14:textId="77777777" w:rsidR="00F0232B" w:rsidRDefault="00F0232B" w:rsidP="00E42D09">
      <w:pPr>
        <w:pStyle w:val="BodyTextIndent"/>
      </w:pPr>
      <w:r>
        <w:t xml:space="preserve">Perform tests of the type and frequency necessary to adequately control the materials.  Comply with the minimum requirements specified in </w:t>
      </w:r>
      <w:r>
        <w:rPr>
          <w:i/>
        </w:rPr>
        <w:t>S120 Quality Clause 6.1</w:t>
      </w:r>
      <w:r>
        <w:t xml:space="preserve">.  </w:t>
      </w:r>
      <w:r>
        <w:rPr>
          <w:i/>
        </w:rPr>
        <w:t>Refer annexure</w:t>
      </w:r>
      <w:r>
        <w:t>.</w:t>
      </w:r>
    </w:p>
    <w:p w14:paraId="64982714" w14:textId="77777777" w:rsidR="00F0232B" w:rsidRDefault="00F0232B" w:rsidP="00E42D09">
      <w:pPr>
        <w:pStyle w:val="BodyTextIndentBoldUnderline"/>
      </w:pPr>
      <w:r>
        <w:t>Compliance assessment tests</w:t>
      </w:r>
    </w:p>
    <w:p w14:paraId="3C2010FE" w14:textId="77777777" w:rsidR="00F0232B" w:rsidRDefault="00F0232B" w:rsidP="00E42D09">
      <w:pPr>
        <w:pStyle w:val="BodyTextIndent"/>
      </w:pPr>
      <w:r>
        <w:t>The Contractor or Superintendent may carry out compliance assessment testing using a testing laboratory registered with NATA for the particular test.</w:t>
      </w:r>
    </w:p>
    <w:p w14:paraId="5C73DA44" w14:textId="1BF78141" w:rsidR="00BD596C" w:rsidRPr="00460AFA" w:rsidRDefault="00460AFA" w:rsidP="00460AFA">
      <w:pPr>
        <w:pStyle w:val="Heading3"/>
      </w:pPr>
      <w:bookmarkStart w:id="15" w:name="_Toc76045698"/>
      <w:r w:rsidRPr="00460AFA">
        <w:t>Samples</w:t>
      </w:r>
      <w:bookmarkEnd w:id="15"/>
    </w:p>
    <w:p w14:paraId="63894B00" w14:textId="77777777" w:rsidR="00F0232B" w:rsidRDefault="00F0232B" w:rsidP="00E42D09">
      <w:pPr>
        <w:pStyle w:val="BodyTextIndentBoldUnderline"/>
      </w:pPr>
      <w:r>
        <w:t>General</w:t>
      </w:r>
    </w:p>
    <w:p w14:paraId="250F3936" w14:textId="77777777" w:rsidR="00F0232B" w:rsidRDefault="00F0232B" w:rsidP="00E42D09">
      <w:pPr>
        <w:pStyle w:val="BodyTextIndent"/>
      </w:pPr>
      <w:r>
        <w:t xml:space="preserve">On request, submit samples (50 kg) of each type of material supplied under the Contract.  </w:t>
      </w:r>
      <w:r>
        <w:rPr>
          <w:i/>
        </w:rPr>
        <w:t>Refer annexure</w:t>
      </w:r>
      <w:r>
        <w:t>.</w:t>
      </w:r>
    </w:p>
    <w:p w14:paraId="541289E8" w14:textId="77777777" w:rsidR="00F0232B" w:rsidRDefault="00F0232B" w:rsidP="00E42D09">
      <w:pPr>
        <w:pStyle w:val="BodyTextIndentBoldUnderline"/>
      </w:pPr>
      <w:r>
        <w:t>Identification</w:t>
      </w:r>
    </w:p>
    <w:p w14:paraId="66417972" w14:textId="77777777" w:rsidR="00F0232B" w:rsidRDefault="00F0232B" w:rsidP="00E42D09">
      <w:pPr>
        <w:pStyle w:val="BodyTextIndent"/>
      </w:pPr>
      <w:r>
        <w:t>Attach a tag to each sample showing relevant information including description, source and nominal size of material, date sampled and by whom.</w:t>
      </w:r>
    </w:p>
    <w:p w14:paraId="24F120AC" w14:textId="77777777" w:rsidR="00217EDD" w:rsidRDefault="00217EDD" w:rsidP="00217EDD">
      <w:pPr>
        <w:pStyle w:val="BodyText"/>
        <w:rPr>
          <w:rFonts w:ascii="Arial Bold" w:hAnsi="Arial Bold"/>
          <w:sz w:val="24"/>
        </w:rPr>
      </w:pPr>
      <w:r>
        <w:br w:type="page"/>
      </w:r>
    </w:p>
    <w:p w14:paraId="78DD0764" w14:textId="36758A5E" w:rsidR="00BD596C" w:rsidRPr="00460AFA" w:rsidRDefault="00460AFA" w:rsidP="00460AFA">
      <w:pPr>
        <w:pStyle w:val="Heading3"/>
      </w:pPr>
      <w:bookmarkStart w:id="16" w:name="_Toc76045699"/>
      <w:r w:rsidRPr="00460AFA">
        <w:lastRenderedPageBreak/>
        <w:t>Supplier's submissions</w:t>
      </w:r>
      <w:bookmarkEnd w:id="16"/>
    </w:p>
    <w:p w14:paraId="527186A1" w14:textId="77777777" w:rsidR="00F0232B" w:rsidRDefault="00F0232B" w:rsidP="00E42D09">
      <w:pPr>
        <w:pStyle w:val="BodyTextIndentBoldUnderline"/>
      </w:pPr>
      <w:r>
        <w:t>Test program</w:t>
      </w:r>
    </w:p>
    <w:p w14:paraId="6846BFB4" w14:textId="77777777" w:rsidR="00F0232B" w:rsidRDefault="00F0232B" w:rsidP="00E42D09">
      <w:pPr>
        <w:pStyle w:val="BodyTextIndent"/>
      </w:pPr>
      <w:r>
        <w:t xml:space="preserve">On request, submit details of the supplier's inspection and test program covering all specified properties of the materials.  On request, submit details of recent test results demonstrating sustained compliance of the materials with the required properties.  </w:t>
      </w:r>
      <w:r>
        <w:rPr>
          <w:i/>
        </w:rPr>
        <w:t>Refer annexure</w:t>
      </w:r>
      <w:r>
        <w:t>.</w:t>
      </w:r>
    </w:p>
    <w:p w14:paraId="7D3547D6" w14:textId="77777777" w:rsidR="00F0232B" w:rsidRDefault="00F0232B" w:rsidP="00E42D09">
      <w:pPr>
        <w:pStyle w:val="BodyTextIndentBoldUnderline"/>
      </w:pPr>
      <w:r>
        <w:t>Material details</w:t>
      </w:r>
    </w:p>
    <w:p w14:paraId="0011C8B8" w14:textId="77777777" w:rsidR="00F0232B" w:rsidRDefault="00F0232B" w:rsidP="00E42D09">
      <w:pPr>
        <w:pStyle w:val="BodyTextIndent"/>
      </w:pPr>
      <w:r>
        <w:t>Source: State the source quarry and geology of the rock.</w:t>
      </w:r>
    </w:p>
    <w:p w14:paraId="454DE494" w14:textId="77777777" w:rsidR="00F0232B" w:rsidRDefault="00F0232B" w:rsidP="00E42D09">
      <w:pPr>
        <w:pStyle w:val="BodyTextIndent"/>
      </w:pPr>
      <w:r>
        <w:t>Recycled products: Notify the nature, source, proportions and method of incorporation of any added fillers or binders.</w:t>
      </w:r>
    </w:p>
    <w:p w14:paraId="5846E246" w14:textId="77777777" w:rsidR="00F0232B" w:rsidRDefault="00F0232B" w:rsidP="00E42D09">
      <w:pPr>
        <w:pStyle w:val="BodyTextIndentBoldUnderline"/>
      </w:pPr>
      <w:r>
        <w:t>Deliveries</w:t>
      </w:r>
    </w:p>
    <w:p w14:paraId="32637D1C" w14:textId="77777777" w:rsidR="00F0232B" w:rsidRDefault="00F0232B" w:rsidP="00E42D09">
      <w:pPr>
        <w:pStyle w:val="BodyTextIndent"/>
      </w:pPr>
      <w:r>
        <w:t>Delivery docket: Submit a delivery docket at the time and place of delivery for each truckload of material showing:</w:t>
      </w:r>
    </w:p>
    <w:p w14:paraId="2DC3614E" w14:textId="77777777" w:rsidR="00BD596C" w:rsidRDefault="00F0232B">
      <w:pPr>
        <w:pStyle w:val="BodyTextIndentDot1"/>
      </w:pPr>
      <w:r>
        <w:t>Empty and loaded mass of vehicle.</w:t>
      </w:r>
    </w:p>
    <w:p w14:paraId="3B78C7C6" w14:textId="77777777" w:rsidR="00BD596C" w:rsidRDefault="00F0232B">
      <w:pPr>
        <w:pStyle w:val="BodyTextIndentDot1"/>
      </w:pPr>
      <w:r>
        <w:t>Date and time of batching.</w:t>
      </w:r>
    </w:p>
    <w:p w14:paraId="2394D9FD" w14:textId="77777777" w:rsidR="00BD596C" w:rsidRDefault="00F0232B">
      <w:pPr>
        <w:pStyle w:val="BodyTextIndentDot1"/>
      </w:pPr>
      <w:r>
        <w:t>Supplier and location of mixing plant.</w:t>
      </w:r>
    </w:p>
    <w:p w14:paraId="207B7755" w14:textId="77777777" w:rsidR="00BD596C" w:rsidRDefault="00F0232B">
      <w:pPr>
        <w:pStyle w:val="BodyTextIndentDot1"/>
      </w:pPr>
      <w:r>
        <w:t>Registration number of the vehicle.</w:t>
      </w:r>
    </w:p>
    <w:p w14:paraId="3B9DC91A" w14:textId="77777777" w:rsidR="00BD596C" w:rsidRDefault="00F0232B">
      <w:pPr>
        <w:pStyle w:val="BodyTextIndentDot1"/>
      </w:pPr>
      <w:r>
        <w:t>Nature of material.</w:t>
      </w:r>
    </w:p>
    <w:p w14:paraId="2F38C064" w14:textId="5AF02844" w:rsidR="00F0232B" w:rsidRDefault="00BE205A" w:rsidP="00793413">
      <w:pPr>
        <w:pStyle w:val="Heading2"/>
      </w:pPr>
      <w:bookmarkStart w:id="17" w:name="_Toc76045700"/>
      <w:r>
        <w:rPr>
          <w:caps w:val="0"/>
        </w:rPr>
        <w:t>GRADING LIMITS</w:t>
      </w:r>
      <w:bookmarkEnd w:id="17"/>
    </w:p>
    <w:p w14:paraId="2F397CEB" w14:textId="77777777" w:rsidR="00F0232B" w:rsidRDefault="00F0232B" w:rsidP="00E42D09">
      <w:pPr>
        <w:pStyle w:val="BodyTextIndentBoldUnderline"/>
      </w:pPr>
      <w:r>
        <w:t>General</w:t>
      </w:r>
    </w:p>
    <w:p w14:paraId="4B7A0CE0" w14:textId="77777777" w:rsidR="00F0232B" w:rsidRDefault="00F0232B">
      <w:pPr>
        <w:pStyle w:val="BodyTextIndent3"/>
        <w:spacing w:after="120"/>
      </w:pPr>
      <w:r>
        <w:t xml:space="preserve">Test:  To Queensland Department of </w:t>
      </w:r>
      <w:r w:rsidR="00F37EA3">
        <w:t xml:space="preserve">Transport and </w:t>
      </w:r>
      <w:r>
        <w:t xml:space="preserve">Main Roads method </w:t>
      </w:r>
      <w:r w:rsidRPr="00065E03">
        <w:rPr>
          <w:i/>
        </w:rPr>
        <w:t>Q103A</w:t>
      </w:r>
      <w:r>
        <w:t xml:space="preserve"> or the appropriate Australian Standard method </w:t>
      </w:r>
      <w:r w:rsidRPr="00085839">
        <w:rPr>
          <w:i/>
        </w:rPr>
        <w:t>AS 1141.19</w:t>
      </w:r>
      <w:r>
        <w:t xml:space="preserve"> or </w:t>
      </w:r>
      <w:r w:rsidRPr="00085839">
        <w:rPr>
          <w:i/>
        </w:rPr>
        <w:t>AS 1289.3.6.1</w:t>
      </w:r>
      <w:r>
        <w:t>.</w:t>
      </w:r>
    </w:p>
    <w:p w14:paraId="244CCE7C" w14:textId="77777777" w:rsidR="00F0232B" w:rsidRDefault="00F0232B">
      <w:pPr>
        <w:pStyle w:val="BodyTextIndent3"/>
        <w:spacing w:after="120"/>
      </w:pPr>
      <w:r>
        <w:t xml:space="preserve">Particle size distribution envelopes: </w:t>
      </w:r>
      <w:r w:rsidR="000A019D">
        <w:t>F</w:t>
      </w:r>
      <w:r>
        <w:t>ilter material to Table 3.</w:t>
      </w:r>
      <w:r w:rsidR="000A019D">
        <w:t>1</w:t>
      </w:r>
      <w:r>
        <w:t>, screenings to Table 3.</w:t>
      </w:r>
      <w:r w:rsidR="000A019D">
        <w:t>2</w:t>
      </w:r>
      <w:r>
        <w:t xml:space="preserve">.  </w:t>
      </w:r>
      <w:r>
        <w:rPr>
          <w:i/>
        </w:rPr>
        <w:t>Refer annexure</w:t>
      </w:r>
      <w:r>
        <w:t>.</w:t>
      </w:r>
    </w:p>
    <w:p w14:paraId="319A2E1C" w14:textId="77777777" w:rsidR="00DC21CB" w:rsidRDefault="00F0232B" w:rsidP="00DC21CB">
      <w:pPr>
        <w:pStyle w:val="BodyTextIndent3"/>
      </w:pPr>
      <w:r>
        <w:t xml:space="preserve">Grading smoothness: Grading curves must be reasonably smooth and free from abrupt irregularities and the material must be capable of ready compaction.  </w:t>
      </w:r>
      <w:r w:rsidR="000A019D">
        <w:t>T</w:t>
      </w:r>
      <w:r>
        <w:t>he grading curve must not move from one outer third of the limits range on any sieve into the opposite outer third of the limits range on the next lowest sieve listed.</w:t>
      </w:r>
    </w:p>
    <w:p w14:paraId="0D8F7B59" w14:textId="4ACA0648" w:rsidR="00F0232B" w:rsidRPr="004F55C9" w:rsidRDefault="00F0232B" w:rsidP="00085839">
      <w:pPr>
        <w:pStyle w:val="TableIdNum"/>
      </w:pPr>
      <w:r w:rsidRPr="004F55C9">
        <w:t>Table</w:t>
      </w:r>
      <w:r w:rsidR="00B555B2">
        <w:t> </w:t>
      </w:r>
      <w:r w:rsidRPr="004F55C9">
        <w:t>3.</w:t>
      </w:r>
      <w:r w:rsidR="000A019D">
        <w:t>1</w:t>
      </w:r>
      <w:r w:rsidRPr="004F55C9">
        <w:t xml:space="preserve"> </w:t>
      </w:r>
      <w:r w:rsidR="00B77123" w:rsidRPr="004F55C9">
        <w:t>–</w:t>
      </w:r>
      <w:r w:rsidRPr="004F55C9">
        <w:t xml:space="preserve"> Filter material particle size distribution limits</w:t>
      </w:r>
    </w:p>
    <w:tbl>
      <w:tblPr>
        <w:tblW w:w="8505" w:type="dxa"/>
        <w:tblInd w:w="739"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4252"/>
        <w:gridCol w:w="4253"/>
      </w:tblGrid>
      <w:tr w:rsidR="00E36628" w14:paraId="131173E6" w14:textId="77777777" w:rsidTr="00085839">
        <w:trPr>
          <w:cantSplit/>
          <w:trHeight w:val="397"/>
        </w:trPr>
        <w:tc>
          <w:tcPr>
            <w:tcW w:w="4252" w:type="dxa"/>
            <w:tcBorders>
              <w:top w:val="single" w:sz="12" w:space="0" w:color="000000"/>
              <w:left w:val="nil"/>
              <w:bottom w:val="single" w:sz="12" w:space="0" w:color="000000"/>
              <w:right w:val="single" w:sz="4" w:space="0" w:color="000000"/>
            </w:tcBorders>
            <w:shd w:val="pct10" w:color="auto" w:fill="auto"/>
            <w:vAlign w:val="center"/>
          </w:tcPr>
          <w:p w14:paraId="547BAE65" w14:textId="77777777" w:rsidR="00E36628" w:rsidRDefault="00E36628" w:rsidP="00085839">
            <w:pPr>
              <w:pStyle w:val="TableHeadCen"/>
              <w:rPr>
                <w:snapToGrid w:val="0"/>
                <w:lang w:eastAsia="en-US"/>
              </w:rPr>
            </w:pPr>
            <w:r>
              <w:rPr>
                <w:snapToGrid w:val="0"/>
                <w:lang w:eastAsia="en-US"/>
              </w:rPr>
              <w:t>A.S. sieve size</w:t>
            </w:r>
          </w:p>
        </w:tc>
        <w:tc>
          <w:tcPr>
            <w:tcW w:w="4253" w:type="dxa"/>
            <w:tcBorders>
              <w:top w:val="single" w:sz="12" w:space="0" w:color="000000"/>
              <w:left w:val="single" w:sz="4" w:space="0" w:color="000000"/>
              <w:bottom w:val="single" w:sz="12" w:space="0" w:color="000000"/>
              <w:right w:val="nil"/>
            </w:tcBorders>
            <w:shd w:val="pct10" w:color="auto" w:fill="auto"/>
            <w:vAlign w:val="center"/>
          </w:tcPr>
          <w:p w14:paraId="27DE37DA" w14:textId="77777777" w:rsidR="00E36628" w:rsidRDefault="00E36628" w:rsidP="0024417B">
            <w:pPr>
              <w:pStyle w:val="TableHeadCen"/>
              <w:rPr>
                <w:snapToGrid w:val="0"/>
                <w:lang w:eastAsia="en-US"/>
              </w:rPr>
            </w:pPr>
            <w:r>
              <w:rPr>
                <w:snapToGrid w:val="0"/>
                <w:lang w:eastAsia="en-US"/>
              </w:rPr>
              <w:t>% passing by weight</w:t>
            </w:r>
          </w:p>
        </w:tc>
      </w:tr>
      <w:tr w:rsidR="00E36628" w14:paraId="3EAC02EE" w14:textId="77777777" w:rsidTr="00085839">
        <w:trPr>
          <w:cantSplit/>
          <w:trHeight w:val="340"/>
        </w:trPr>
        <w:tc>
          <w:tcPr>
            <w:tcW w:w="4252" w:type="dxa"/>
            <w:tcBorders>
              <w:top w:val="single" w:sz="12" w:space="0" w:color="000000"/>
              <w:left w:val="nil"/>
              <w:bottom w:val="single" w:sz="4" w:space="0" w:color="808080"/>
              <w:right w:val="single" w:sz="4" w:space="0" w:color="000000"/>
            </w:tcBorders>
            <w:vAlign w:val="center"/>
          </w:tcPr>
          <w:p w14:paraId="1F97FFE5" w14:textId="77777777" w:rsidR="00E36628" w:rsidRPr="0024417B" w:rsidRDefault="00E36628" w:rsidP="0056179C">
            <w:pPr>
              <w:pStyle w:val="TableCen"/>
            </w:pPr>
            <w:r w:rsidRPr="0024417B">
              <w:t>26.5</w:t>
            </w:r>
            <w:r w:rsidR="0056179C">
              <w:t> </w:t>
            </w:r>
            <w:r w:rsidRPr="0024417B">
              <w:t>mm</w:t>
            </w:r>
          </w:p>
        </w:tc>
        <w:tc>
          <w:tcPr>
            <w:tcW w:w="4253" w:type="dxa"/>
            <w:tcBorders>
              <w:top w:val="single" w:sz="12" w:space="0" w:color="000000"/>
              <w:left w:val="single" w:sz="4" w:space="0" w:color="000000"/>
              <w:bottom w:val="single" w:sz="4" w:space="0" w:color="808080"/>
              <w:right w:val="nil"/>
            </w:tcBorders>
            <w:vAlign w:val="center"/>
          </w:tcPr>
          <w:p w14:paraId="2540B6A8" w14:textId="77777777" w:rsidR="00E36628" w:rsidRDefault="00E36628" w:rsidP="0024417B">
            <w:pPr>
              <w:pStyle w:val="TableCen"/>
            </w:pPr>
            <w:r>
              <w:t>100</w:t>
            </w:r>
          </w:p>
        </w:tc>
      </w:tr>
      <w:tr w:rsidR="00E36628" w14:paraId="0E1B401B" w14:textId="77777777" w:rsidTr="00085839">
        <w:trPr>
          <w:cantSplit/>
          <w:trHeight w:val="340"/>
        </w:trPr>
        <w:tc>
          <w:tcPr>
            <w:tcW w:w="4252" w:type="dxa"/>
            <w:tcBorders>
              <w:top w:val="single" w:sz="4" w:space="0" w:color="808080"/>
              <w:left w:val="nil"/>
              <w:bottom w:val="single" w:sz="4" w:space="0" w:color="808080"/>
              <w:right w:val="single" w:sz="4" w:space="0" w:color="000000"/>
            </w:tcBorders>
            <w:vAlign w:val="center"/>
          </w:tcPr>
          <w:p w14:paraId="67F92B44" w14:textId="77777777" w:rsidR="00E36628" w:rsidRDefault="00E36628" w:rsidP="0056179C">
            <w:pPr>
              <w:pStyle w:val="TableCen"/>
            </w:pPr>
            <w:r>
              <w:t>19.0</w:t>
            </w:r>
            <w:r w:rsidR="0056179C">
              <w:t> </w:t>
            </w:r>
            <w:r>
              <w:t>mm</w:t>
            </w:r>
          </w:p>
        </w:tc>
        <w:tc>
          <w:tcPr>
            <w:tcW w:w="4253" w:type="dxa"/>
            <w:tcBorders>
              <w:top w:val="single" w:sz="4" w:space="0" w:color="808080"/>
              <w:left w:val="single" w:sz="4" w:space="0" w:color="000000"/>
              <w:bottom w:val="single" w:sz="4" w:space="0" w:color="808080"/>
              <w:right w:val="nil"/>
            </w:tcBorders>
            <w:vAlign w:val="center"/>
          </w:tcPr>
          <w:p w14:paraId="5CFDC27E" w14:textId="77777777" w:rsidR="00E36628" w:rsidRDefault="00E36628" w:rsidP="00870FF6">
            <w:pPr>
              <w:pStyle w:val="TableCen"/>
            </w:pPr>
            <w:r>
              <w:t>95</w:t>
            </w:r>
            <w:r w:rsidR="00870FF6">
              <w:t> - </w:t>
            </w:r>
            <w:r>
              <w:t>100</w:t>
            </w:r>
          </w:p>
        </w:tc>
      </w:tr>
      <w:tr w:rsidR="00E36628" w14:paraId="38BACC0E" w14:textId="77777777" w:rsidTr="00085839">
        <w:trPr>
          <w:cantSplit/>
          <w:trHeight w:val="340"/>
        </w:trPr>
        <w:tc>
          <w:tcPr>
            <w:tcW w:w="4252" w:type="dxa"/>
            <w:tcBorders>
              <w:top w:val="single" w:sz="4" w:space="0" w:color="808080"/>
              <w:left w:val="nil"/>
              <w:bottom w:val="single" w:sz="4" w:space="0" w:color="808080"/>
              <w:right w:val="single" w:sz="4" w:space="0" w:color="000000"/>
            </w:tcBorders>
            <w:vAlign w:val="center"/>
          </w:tcPr>
          <w:p w14:paraId="4677079A" w14:textId="77777777" w:rsidR="00E36628" w:rsidRDefault="00E36628" w:rsidP="0056179C">
            <w:pPr>
              <w:pStyle w:val="TableCen"/>
            </w:pPr>
            <w:r>
              <w:t>13.2</w:t>
            </w:r>
            <w:r w:rsidR="0056179C">
              <w:t> </w:t>
            </w:r>
            <w:r>
              <w:t>mm</w:t>
            </w:r>
          </w:p>
        </w:tc>
        <w:tc>
          <w:tcPr>
            <w:tcW w:w="4253" w:type="dxa"/>
            <w:tcBorders>
              <w:top w:val="single" w:sz="4" w:space="0" w:color="808080"/>
              <w:left w:val="single" w:sz="4" w:space="0" w:color="000000"/>
              <w:bottom w:val="single" w:sz="4" w:space="0" w:color="808080"/>
              <w:right w:val="nil"/>
            </w:tcBorders>
            <w:vAlign w:val="center"/>
          </w:tcPr>
          <w:p w14:paraId="5F6B76D6" w14:textId="77777777" w:rsidR="00E36628" w:rsidRDefault="00E36628" w:rsidP="00870FF6">
            <w:pPr>
              <w:pStyle w:val="TableCen"/>
            </w:pPr>
            <w:r>
              <w:t>50</w:t>
            </w:r>
            <w:r w:rsidR="00870FF6">
              <w:t> - </w:t>
            </w:r>
            <w:r>
              <w:t>70</w:t>
            </w:r>
          </w:p>
        </w:tc>
      </w:tr>
      <w:tr w:rsidR="00E36628" w14:paraId="6DF4EA59" w14:textId="77777777" w:rsidTr="00085839">
        <w:trPr>
          <w:cantSplit/>
          <w:trHeight w:val="340"/>
        </w:trPr>
        <w:tc>
          <w:tcPr>
            <w:tcW w:w="4252" w:type="dxa"/>
            <w:tcBorders>
              <w:top w:val="single" w:sz="4" w:space="0" w:color="808080"/>
              <w:left w:val="nil"/>
              <w:bottom w:val="single" w:sz="4" w:space="0" w:color="808080"/>
              <w:right w:val="single" w:sz="4" w:space="0" w:color="000000"/>
            </w:tcBorders>
            <w:vAlign w:val="center"/>
          </w:tcPr>
          <w:p w14:paraId="71330688" w14:textId="77777777" w:rsidR="00E36628" w:rsidRDefault="00E36628" w:rsidP="0056179C">
            <w:pPr>
              <w:pStyle w:val="TableCen"/>
            </w:pPr>
            <w:r>
              <w:t>6.7</w:t>
            </w:r>
            <w:r w:rsidR="0056179C">
              <w:t> </w:t>
            </w:r>
            <w:r>
              <w:t>mm</w:t>
            </w:r>
          </w:p>
        </w:tc>
        <w:tc>
          <w:tcPr>
            <w:tcW w:w="4253" w:type="dxa"/>
            <w:tcBorders>
              <w:top w:val="single" w:sz="4" w:space="0" w:color="808080"/>
              <w:left w:val="single" w:sz="4" w:space="0" w:color="000000"/>
              <w:bottom w:val="single" w:sz="4" w:space="0" w:color="808080"/>
              <w:right w:val="nil"/>
            </w:tcBorders>
            <w:vAlign w:val="center"/>
          </w:tcPr>
          <w:p w14:paraId="4D8E7A41" w14:textId="77777777" w:rsidR="00E36628" w:rsidRDefault="00E36628" w:rsidP="00870FF6">
            <w:pPr>
              <w:pStyle w:val="TableCen"/>
            </w:pPr>
            <w:r>
              <w:t>30</w:t>
            </w:r>
            <w:r w:rsidR="00870FF6">
              <w:t> - </w:t>
            </w:r>
            <w:r>
              <w:t>55</w:t>
            </w:r>
          </w:p>
        </w:tc>
      </w:tr>
      <w:tr w:rsidR="00E36628" w14:paraId="548DED0A" w14:textId="77777777" w:rsidTr="00085839">
        <w:trPr>
          <w:cantSplit/>
          <w:trHeight w:val="340"/>
        </w:trPr>
        <w:tc>
          <w:tcPr>
            <w:tcW w:w="4252" w:type="dxa"/>
            <w:tcBorders>
              <w:top w:val="single" w:sz="4" w:space="0" w:color="808080"/>
              <w:left w:val="nil"/>
              <w:bottom w:val="single" w:sz="4" w:space="0" w:color="808080"/>
              <w:right w:val="single" w:sz="4" w:space="0" w:color="000000"/>
            </w:tcBorders>
            <w:vAlign w:val="center"/>
          </w:tcPr>
          <w:p w14:paraId="67CF5742" w14:textId="77777777" w:rsidR="00E36628" w:rsidRDefault="00E36628" w:rsidP="0056179C">
            <w:pPr>
              <w:pStyle w:val="TableCen"/>
            </w:pPr>
            <w:r>
              <w:t>2.36</w:t>
            </w:r>
            <w:r w:rsidR="0056179C">
              <w:t> </w:t>
            </w:r>
            <w:r>
              <w:t>mm</w:t>
            </w:r>
          </w:p>
        </w:tc>
        <w:tc>
          <w:tcPr>
            <w:tcW w:w="4253" w:type="dxa"/>
            <w:tcBorders>
              <w:top w:val="single" w:sz="4" w:space="0" w:color="808080"/>
              <w:left w:val="single" w:sz="4" w:space="0" w:color="000000"/>
              <w:bottom w:val="single" w:sz="4" w:space="0" w:color="808080"/>
              <w:right w:val="nil"/>
            </w:tcBorders>
            <w:vAlign w:val="center"/>
          </w:tcPr>
          <w:p w14:paraId="185373CB" w14:textId="77777777" w:rsidR="00E36628" w:rsidRDefault="00E36628" w:rsidP="00870FF6">
            <w:pPr>
              <w:pStyle w:val="TableCen"/>
            </w:pPr>
            <w:r>
              <w:t>20</w:t>
            </w:r>
            <w:r w:rsidR="00870FF6">
              <w:t> - </w:t>
            </w:r>
            <w:r>
              <w:t>30</w:t>
            </w:r>
          </w:p>
        </w:tc>
      </w:tr>
      <w:tr w:rsidR="00E36628" w14:paraId="71EAC52A" w14:textId="77777777" w:rsidTr="00085839">
        <w:trPr>
          <w:cantSplit/>
          <w:trHeight w:val="340"/>
        </w:trPr>
        <w:tc>
          <w:tcPr>
            <w:tcW w:w="4252" w:type="dxa"/>
            <w:tcBorders>
              <w:top w:val="single" w:sz="4" w:space="0" w:color="808080"/>
              <w:left w:val="nil"/>
              <w:bottom w:val="single" w:sz="12" w:space="0" w:color="000000"/>
              <w:right w:val="single" w:sz="4" w:space="0" w:color="000000"/>
            </w:tcBorders>
            <w:vAlign w:val="center"/>
          </w:tcPr>
          <w:p w14:paraId="63CB7E9C" w14:textId="77777777" w:rsidR="00E36628" w:rsidRDefault="00E36628" w:rsidP="0056179C">
            <w:pPr>
              <w:pStyle w:val="TableCen"/>
            </w:pPr>
            <w:r>
              <w:t>0.15</w:t>
            </w:r>
            <w:r w:rsidR="0056179C">
              <w:t> </w:t>
            </w:r>
            <w:r>
              <w:t>mm</w:t>
            </w:r>
          </w:p>
        </w:tc>
        <w:tc>
          <w:tcPr>
            <w:tcW w:w="4253" w:type="dxa"/>
            <w:tcBorders>
              <w:top w:val="single" w:sz="4" w:space="0" w:color="808080"/>
              <w:left w:val="single" w:sz="4" w:space="0" w:color="000000"/>
              <w:bottom w:val="single" w:sz="12" w:space="0" w:color="000000"/>
              <w:right w:val="nil"/>
            </w:tcBorders>
            <w:vAlign w:val="center"/>
          </w:tcPr>
          <w:p w14:paraId="10C508AE" w14:textId="77777777" w:rsidR="00E36628" w:rsidRDefault="00E36628" w:rsidP="00870FF6">
            <w:pPr>
              <w:pStyle w:val="TableCen"/>
            </w:pPr>
            <w:r>
              <w:t>0</w:t>
            </w:r>
            <w:r w:rsidR="00870FF6">
              <w:t> - </w:t>
            </w:r>
            <w:r>
              <w:t>5</w:t>
            </w:r>
          </w:p>
        </w:tc>
      </w:tr>
    </w:tbl>
    <w:p w14:paraId="63997DA1" w14:textId="77777777" w:rsidR="00217EDD" w:rsidRDefault="00217EDD" w:rsidP="00217EDD">
      <w:pPr>
        <w:pStyle w:val="BodyText"/>
      </w:pPr>
    </w:p>
    <w:p w14:paraId="3F9DDA97" w14:textId="77777777" w:rsidR="00217EDD" w:rsidRDefault="00217EDD" w:rsidP="00217EDD">
      <w:pPr>
        <w:pStyle w:val="BodyText"/>
        <w:rPr>
          <w:sz w:val="18"/>
        </w:rPr>
      </w:pPr>
      <w:r>
        <w:br w:type="page"/>
      </w:r>
    </w:p>
    <w:p w14:paraId="569AC0CF" w14:textId="1F011BE6" w:rsidR="00F0232B" w:rsidRDefault="00F0232B" w:rsidP="00085839">
      <w:pPr>
        <w:pStyle w:val="TableIdNum"/>
      </w:pPr>
      <w:r>
        <w:lastRenderedPageBreak/>
        <w:t>Table</w:t>
      </w:r>
      <w:r w:rsidR="00B555B2">
        <w:t> </w:t>
      </w:r>
      <w:r>
        <w:t>3.</w:t>
      </w:r>
      <w:r w:rsidR="000A019D">
        <w:t>2</w:t>
      </w:r>
      <w:r>
        <w:t xml:space="preserve"> </w:t>
      </w:r>
      <w:r w:rsidR="00B77123">
        <w:t>–</w:t>
      </w:r>
      <w:r>
        <w:t xml:space="preserve"> Screenings particle size distribution limits</w:t>
      </w:r>
    </w:p>
    <w:tbl>
      <w:tblPr>
        <w:tblW w:w="8505" w:type="dxa"/>
        <w:tblInd w:w="739"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2693"/>
        <w:gridCol w:w="2906"/>
        <w:gridCol w:w="2906"/>
      </w:tblGrid>
      <w:tr w:rsidR="00F0232B" w14:paraId="5C3EF2DD" w14:textId="77777777" w:rsidTr="00085839">
        <w:trPr>
          <w:cantSplit/>
          <w:trHeight w:val="397"/>
          <w:tblHeader/>
        </w:trPr>
        <w:tc>
          <w:tcPr>
            <w:tcW w:w="2693" w:type="dxa"/>
            <w:vMerge w:val="restart"/>
            <w:tcBorders>
              <w:top w:val="single" w:sz="12" w:space="0" w:color="000000"/>
              <w:left w:val="nil"/>
              <w:bottom w:val="single" w:sz="6" w:space="0" w:color="000000"/>
              <w:right w:val="single" w:sz="4" w:space="0" w:color="000000"/>
            </w:tcBorders>
            <w:shd w:val="pct10" w:color="auto" w:fill="auto"/>
            <w:vAlign w:val="center"/>
          </w:tcPr>
          <w:p w14:paraId="09E3BC6A" w14:textId="77777777" w:rsidR="00F0232B" w:rsidRDefault="00F0232B" w:rsidP="00E36628">
            <w:pPr>
              <w:pStyle w:val="TableHeadCen"/>
              <w:rPr>
                <w:snapToGrid w:val="0"/>
                <w:lang w:eastAsia="en-US"/>
              </w:rPr>
            </w:pPr>
            <w:r>
              <w:rPr>
                <w:snapToGrid w:val="0"/>
                <w:lang w:eastAsia="en-US"/>
              </w:rPr>
              <w:t>A</w:t>
            </w:r>
            <w:r w:rsidR="00E36628">
              <w:rPr>
                <w:snapToGrid w:val="0"/>
                <w:lang w:eastAsia="en-US"/>
              </w:rPr>
              <w:t>.</w:t>
            </w:r>
            <w:r>
              <w:rPr>
                <w:snapToGrid w:val="0"/>
                <w:lang w:eastAsia="en-US"/>
              </w:rPr>
              <w:t>S. sieve size</w:t>
            </w:r>
          </w:p>
        </w:tc>
        <w:tc>
          <w:tcPr>
            <w:tcW w:w="5812" w:type="dxa"/>
            <w:gridSpan w:val="2"/>
            <w:tcBorders>
              <w:top w:val="single" w:sz="12" w:space="0" w:color="000000"/>
              <w:left w:val="single" w:sz="4" w:space="0" w:color="000000"/>
              <w:bottom w:val="single" w:sz="6" w:space="0" w:color="000000"/>
              <w:right w:val="nil"/>
            </w:tcBorders>
            <w:shd w:val="pct10" w:color="auto" w:fill="auto"/>
            <w:vAlign w:val="center"/>
          </w:tcPr>
          <w:p w14:paraId="00BFE19D" w14:textId="77777777" w:rsidR="00F0232B" w:rsidRDefault="00F0232B" w:rsidP="0024417B">
            <w:pPr>
              <w:pStyle w:val="TableHeadCen"/>
              <w:rPr>
                <w:snapToGrid w:val="0"/>
                <w:lang w:eastAsia="en-US"/>
              </w:rPr>
            </w:pPr>
            <w:r>
              <w:rPr>
                <w:snapToGrid w:val="0"/>
                <w:lang w:eastAsia="en-US"/>
              </w:rPr>
              <w:t>% passing by weight</w:t>
            </w:r>
          </w:p>
        </w:tc>
      </w:tr>
      <w:tr w:rsidR="00F0232B" w14:paraId="0C53360B" w14:textId="77777777" w:rsidTr="00085839">
        <w:trPr>
          <w:cantSplit/>
          <w:trHeight w:val="397"/>
          <w:tblHeader/>
        </w:trPr>
        <w:tc>
          <w:tcPr>
            <w:tcW w:w="2693" w:type="dxa"/>
            <w:vMerge/>
            <w:tcBorders>
              <w:top w:val="single" w:sz="6" w:space="0" w:color="000000"/>
              <w:left w:val="nil"/>
              <w:bottom w:val="single" w:sz="12" w:space="0" w:color="000000"/>
              <w:right w:val="single" w:sz="4" w:space="0" w:color="000000"/>
            </w:tcBorders>
            <w:shd w:val="pct10" w:color="auto" w:fill="auto"/>
            <w:vAlign w:val="center"/>
          </w:tcPr>
          <w:p w14:paraId="75F7F647" w14:textId="77777777" w:rsidR="00F0232B" w:rsidRDefault="00F0232B" w:rsidP="0024417B">
            <w:pPr>
              <w:pStyle w:val="Notes"/>
              <w:jc w:val="left"/>
              <w:rPr>
                <w:rFonts w:ascii="Arial" w:hAnsi="Arial"/>
                <w:b/>
                <w:snapToGrid w:val="0"/>
                <w:color w:val="808080"/>
                <w:lang w:eastAsia="en-US"/>
              </w:rPr>
            </w:pPr>
          </w:p>
        </w:tc>
        <w:tc>
          <w:tcPr>
            <w:tcW w:w="2906" w:type="dxa"/>
            <w:tcBorders>
              <w:top w:val="single" w:sz="6" w:space="0" w:color="000000"/>
              <w:left w:val="single" w:sz="4" w:space="0" w:color="000000"/>
              <w:bottom w:val="single" w:sz="12" w:space="0" w:color="000000"/>
              <w:right w:val="single" w:sz="4" w:space="0" w:color="000000"/>
            </w:tcBorders>
            <w:shd w:val="pct10" w:color="auto" w:fill="auto"/>
            <w:vAlign w:val="center"/>
          </w:tcPr>
          <w:p w14:paraId="44AFFFF9" w14:textId="77777777" w:rsidR="00F0232B" w:rsidRDefault="00F0232B" w:rsidP="0024417B">
            <w:pPr>
              <w:pStyle w:val="TableHeadCen"/>
              <w:rPr>
                <w:snapToGrid w:val="0"/>
                <w:lang w:eastAsia="en-US"/>
              </w:rPr>
            </w:pPr>
            <w:r>
              <w:rPr>
                <w:snapToGrid w:val="0"/>
                <w:lang w:eastAsia="en-US"/>
              </w:rPr>
              <w:t>5 mm nominal size</w:t>
            </w:r>
          </w:p>
        </w:tc>
        <w:tc>
          <w:tcPr>
            <w:tcW w:w="2906" w:type="dxa"/>
            <w:tcBorders>
              <w:top w:val="single" w:sz="6" w:space="0" w:color="000000"/>
              <w:left w:val="single" w:sz="4" w:space="0" w:color="000000"/>
              <w:bottom w:val="single" w:sz="12" w:space="0" w:color="000000"/>
              <w:right w:val="nil"/>
            </w:tcBorders>
            <w:shd w:val="pct10" w:color="auto" w:fill="auto"/>
            <w:vAlign w:val="center"/>
          </w:tcPr>
          <w:p w14:paraId="2EFBC8CD" w14:textId="77777777" w:rsidR="00F0232B" w:rsidRDefault="00F0232B" w:rsidP="0024417B">
            <w:pPr>
              <w:pStyle w:val="TableHeadCen"/>
              <w:rPr>
                <w:snapToGrid w:val="0"/>
                <w:lang w:eastAsia="en-US"/>
              </w:rPr>
            </w:pPr>
            <w:r>
              <w:rPr>
                <w:snapToGrid w:val="0"/>
                <w:lang w:eastAsia="en-US"/>
              </w:rPr>
              <w:t>10 mm nominal size</w:t>
            </w:r>
          </w:p>
        </w:tc>
      </w:tr>
      <w:tr w:rsidR="00F0232B" w14:paraId="24ED260E" w14:textId="77777777" w:rsidTr="00085839">
        <w:trPr>
          <w:cantSplit/>
          <w:trHeight w:val="340"/>
        </w:trPr>
        <w:tc>
          <w:tcPr>
            <w:tcW w:w="2693" w:type="dxa"/>
            <w:tcBorders>
              <w:top w:val="single" w:sz="12" w:space="0" w:color="000000"/>
              <w:left w:val="nil"/>
              <w:bottom w:val="single" w:sz="4" w:space="0" w:color="808080"/>
              <w:right w:val="single" w:sz="4" w:space="0" w:color="000000"/>
            </w:tcBorders>
            <w:vAlign w:val="center"/>
          </w:tcPr>
          <w:p w14:paraId="6F4D081A" w14:textId="77777777" w:rsidR="00F0232B" w:rsidRDefault="00F0232B" w:rsidP="00085839">
            <w:pPr>
              <w:pStyle w:val="TableCen"/>
            </w:pPr>
            <w:r>
              <w:t>13.2</w:t>
            </w:r>
            <w:r w:rsidR="00085839">
              <w:t> </w:t>
            </w:r>
            <w:r>
              <w:t>mm</w:t>
            </w:r>
          </w:p>
        </w:tc>
        <w:tc>
          <w:tcPr>
            <w:tcW w:w="2906" w:type="dxa"/>
            <w:tcBorders>
              <w:top w:val="single" w:sz="12" w:space="0" w:color="000000"/>
              <w:left w:val="single" w:sz="4" w:space="0" w:color="000000"/>
              <w:bottom w:val="single" w:sz="4" w:space="0" w:color="808080"/>
              <w:right w:val="single" w:sz="4" w:space="0" w:color="000000"/>
            </w:tcBorders>
            <w:vAlign w:val="center"/>
          </w:tcPr>
          <w:p w14:paraId="793CD1EA" w14:textId="77777777" w:rsidR="00F0232B" w:rsidRDefault="00F0232B" w:rsidP="0024417B">
            <w:pPr>
              <w:pStyle w:val="TableCen"/>
            </w:pPr>
          </w:p>
        </w:tc>
        <w:tc>
          <w:tcPr>
            <w:tcW w:w="2906" w:type="dxa"/>
            <w:tcBorders>
              <w:top w:val="single" w:sz="12" w:space="0" w:color="000000"/>
              <w:left w:val="single" w:sz="4" w:space="0" w:color="000000"/>
              <w:bottom w:val="single" w:sz="4" w:space="0" w:color="808080"/>
              <w:right w:val="nil"/>
            </w:tcBorders>
            <w:vAlign w:val="center"/>
          </w:tcPr>
          <w:p w14:paraId="2D4E039B" w14:textId="77777777" w:rsidR="00F0232B" w:rsidRDefault="00F0232B" w:rsidP="0024417B">
            <w:pPr>
              <w:pStyle w:val="TableCen"/>
            </w:pPr>
            <w:r>
              <w:t>100</w:t>
            </w:r>
          </w:p>
        </w:tc>
      </w:tr>
      <w:tr w:rsidR="00F0232B" w14:paraId="77579DA0" w14:textId="77777777" w:rsidTr="00085839">
        <w:trPr>
          <w:cantSplit/>
          <w:trHeight w:val="340"/>
        </w:trPr>
        <w:tc>
          <w:tcPr>
            <w:tcW w:w="2693" w:type="dxa"/>
            <w:tcBorders>
              <w:top w:val="single" w:sz="4" w:space="0" w:color="808080"/>
              <w:left w:val="nil"/>
              <w:bottom w:val="single" w:sz="4" w:space="0" w:color="808080"/>
              <w:right w:val="single" w:sz="4" w:space="0" w:color="000000"/>
            </w:tcBorders>
            <w:vAlign w:val="center"/>
          </w:tcPr>
          <w:p w14:paraId="38D9AB45" w14:textId="77777777" w:rsidR="00F0232B" w:rsidRDefault="00F0232B" w:rsidP="00085839">
            <w:pPr>
              <w:pStyle w:val="TableCen"/>
            </w:pPr>
            <w:r>
              <w:t>9.50</w:t>
            </w:r>
            <w:r w:rsidR="00085839">
              <w:t> </w:t>
            </w:r>
            <w:r>
              <w:t>mm</w:t>
            </w:r>
          </w:p>
        </w:tc>
        <w:tc>
          <w:tcPr>
            <w:tcW w:w="2906" w:type="dxa"/>
            <w:tcBorders>
              <w:top w:val="single" w:sz="4" w:space="0" w:color="808080"/>
              <w:left w:val="single" w:sz="4" w:space="0" w:color="000000"/>
              <w:bottom w:val="single" w:sz="4" w:space="0" w:color="808080"/>
              <w:right w:val="single" w:sz="4" w:space="0" w:color="000000"/>
            </w:tcBorders>
            <w:vAlign w:val="center"/>
          </w:tcPr>
          <w:p w14:paraId="118C5B26" w14:textId="77777777" w:rsidR="00F0232B" w:rsidRDefault="00F0232B" w:rsidP="0024417B">
            <w:pPr>
              <w:pStyle w:val="TableCen"/>
            </w:pPr>
          </w:p>
        </w:tc>
        <w:tc>
          <w:tcPr>
            <w:tcW w:w="2906" w:type="dxa"/>
            <w:tcBorders>
              <w:top w:val="single" w:sz="4" w:space="0" w:color="808080"/>
              <w:left w:val="single" w:sz="4" w:space="0" w:color="000000"/>
              <w:bottom w:val="single" w:sz="4" w:space="0" w:color="808080"/>
              <w:right w:val="nil"/>
            </w:tcBorders>
            <w:vAlign w:val="center"/>
          </w:tcPr>
          <w:p w14:paraId="5091758E" w14:textId="77777777" w:rsidR="00F0232B" w:rsidRDefault="00F0232B" w:rsidP="00870FF6">
            <w:pPr>
              <w:pStyle w:val="TableCen"/>
            </w:pPr>
            <w:r>
              <w:t>85</w:t>
            </w:r>
            <w:r w:rsidR="00870FF6">
              <w:t> - </w:t>
            </w:r>
            <w:r>
              <w:t>100</w:t>
            </w:r>
          </w:p>
        </w:tc>
      </w:tr>
      <w:tr w:rsidR="00F0232B" w14:paraId="41B3A0CC" w14:textId="77777777" w:rsidTr="00085839">
        <w:trPr>
          <w:cantSplit/>
          <w:trHeight w:val="340"/>
        </w:trPr>
        <w:tc>
          <w:tcPr>
            <w:tcW w:w="2693" w:type="dxa"/>
            <w:tcBorders>
              <w:top w:val="single" w:sz="4" w:space="0" w:color="808080"/>
              <w:left w:val="nil"/>
              <w:bottom w:val="single" w:sz="4" w:space="0" w:color="808080"/>
              <w:right w:val="single" w:sz="4" w:space="0" w:color="000000"/>
            </w:tcBorders>
            <w:vAlign w:val="center"/>
          </w:tcPr>
          <w:p w14:paraId="7747098B" w14:textId="77777777" w:rsidR="00F0232B" w:rsidRDefault="00F0232B" w:rsidP="00085839">
            <w:pPr>
              <w:pStyle w:val="TableCen"/>
            </w:pPr>
            <w:r>
              <w:t>6.70</w:t>
            </w:r>
            <w:r w:rsidR="00085839">
              <w:t> </w:t>
            </w:r>
            <w:r>
              <w:t>mm</w:t>
            </w:r>
          </w:p>
        </w:tc>
        <w:tc>
          <w:tcPr>
            <w:tcW w:w="2906" w:type="dxa"/>
            <w:tcBorders>
              <w:top w:val="single" w:sz="4" w:space="0" w:color="808080"/>
              <w:left w:val="single" w:sz="4" w:space="0" w:color="000000"/>
              <w:bottom w:val="single" w:sz="4" w:space="0" w:color="808080"/>
              <w:right w:val="single" w:sz="4" w:space="0" w:color="000000"/>
            </w:tcBorders>
            <w:vAlign w:val="center"/>
          </w:tcPr>
          <w:p w14:paraId="7B46149A" w14:textId="77777777" w:rsidR="00F0232B" w:rsidRDefault="00F0232B" w:rsidP="0024417B">
            <w:pPr>
              <w:pStyle w:val="TableCen"/>
            </w:pPr>
            <w:r>
              <w:t>100</w:t>
            </w:r>
          </w:p>
        </w:tc>
        <w:tc>
          <w:tcPr>
            <w:tcW w:w="2906" w:type="dxa"/>
            <w:tcBorders>
              <w:top w:val="single" w:sz="4" w:space="0" w:color="808080"/>
              <w:left w:val="single" w:sz="4" w:space="0" w:color="000000"/>
              <w:bottom w:val="single" w:sz="4" w:space="0" w:color="808080"/>
              <w:right w:val="nil"/>
            </w:tcBorders>
            <w:vAlign w:val="center"/>
          </w:tcPr>
          <w:p w14:paraId="4A914291" w14:textId="77777777" w:rsidR="00F0232B" w:rsidRDefault="00F0232B" w:rsidP="0024417B">
            <w:pPr>
              <w:pStyle w:val="TableCen"/>
            </w:pPr>
          </w:p>
        </w:tc>
      </w:tr>
      <w:tr w:rsidR="00F0232B" w14:paraId="46100A80" w14:textId="77777777" w:rsidTr="00085839">
        <w:trPr>
          <w:cantSplit/>
          <w:trHeight w:val="340"/>
        </w:trPr>
        <w:tc>
          <w:tcPr>
            <w:tcW w:w="2693" w:type="dxa"/>
            <w:tcBorders>
              <w:top w:val="single" w:sz="4" w:space="0" w:color="808080"/>
              <w:left w:val="nil"/>
              <w:bottom w:val="single" w:sz="4" w:space="0" w:color="808080"/>
              <w:right w:val="single" w:sz="4" w:space="0" w:color="000000"/>
            </w:tcBorders>
            <w:vAlign w:val="center"/>
          </w:tcPr>
          <w:p w14:paraId="232C9012" w14:textId="77777777" w:rsidR="00F0232B" w:rsidRDefault="00F0232B" w:rsidP="00085839">
            <w:pPr>
              <w:pStyle w:val="TableCen"/>
            </w:pPr>
            <w:r>
              <w:t>4.75</w:t>
            </w:r>
            <w:r w:rsidR="00085839">
              <w:t> </w:t>
            </w:r>
            <w:r>
              <w:t>mm</w:t>
            </w:r>
          </w:p>
        </w:tc>
        <w:tc>
          <w:tcPr>
            <w:tcW w:w="2906" w:type="dxa"/>
            <w:tcBorders>
              <w:top w:val="single" w:sz="4" w:space="0" w:color="808080"/>
              <w:left w:val="single" w:sz="4" w:space="0" w:color="000000"/>
              <w:bottom w:val="single" w:sz="4" w:space="0" w:color="808080"/>
              <w:right w:val="single" w:sz="4" w:space="0" w:color="000000"/>
            </w:tcBorders>
            <w:vAlign w:val="center"/>
          </w:tcPr>
          <w:p w14:paraId="7F9FD3D5" w14:textId="77777777" w:rsidR="00F0232B" w:rsidRDefault="00F0232B" w:rsidP="00870FF6">
            <w:pPr>
              <w:pStyle w:val="TableCen"/>
            </w:pPr>
            <w:r>
              <w:t>85</w:t>
            </w:r>
            <w:r w:rsidR="00870FF6">
              <w:t> - </w:t>
            </w:r>
            <w:r>
              <w:t>100</w:t>
            </w:r>
          </w:p>
        </w:tc>
        <w:tc>
          <w:tcPr>
            <w:tcW w:w="2906" w:type="dxa"/>
            <w:tcBorders>
              <w:top w:val="single" w:sz="4" w:space="0" w:color="808080"/>
              <w:left w:val="single" w:sz="4" w:space="0" w:color="000000"/>
              <w:bottom w:val="single" w:sz="4" w:space="0" w:color="808080"/>
              <w:right w:val="nil"/>
            </w:tcBorders>
            <w:vAlign w:val="center"/>
          </w:tcPr>
          <w:p w14:paraId="318E95A8" w14:textId="77777777" w:rsidR="00F0232B" w:rsidRDefault="00F0232B" w:rsidP="00870FF6">
            <w:pPr>
              <w:pStyle w:val="TableCen"/>
            </w:pPr>
            <w:r>
              <w:t>0</w:t>
            </w:r>
            <w:r w:rsidR="00870FF6">
              <w:t> - </w:t>
            </w:r>
            <w:r>
              <w:t>20</w:t>
            </w:r>
          </w:p>
        </w:tc>
      </w:tr>
      <w:tr w:rsidR="00F0232B" w14:paraId="00A8ABFC" w14:textId="77777777" w:rsidTr="00085839">
        <w:trPr>
          <w:cantSplit/>
          <w:trHeight w:val="340"/>
        </w:trPr>
        <w:tc>
          <w:tcPr>
            <w:tcW w:w="2693" w:type="dxa"/>
            <w:tcBorders>
              <w:top w:val="single" w:sz="4" w:space="0" w:color="808080"/>
              <w:left w:val="nil"/>
              <w:bottom w:val="single" w:sz="4" w:space="0" w:color="808080"/>
              <w:right w:val="single" w:sz="4" w:space="0" w:color="000000"/>
            </w:tcBorders>
            <w:vAlign w:val="center"/>
          </w:tcPr>
          <w:p w14:paraId="706F9A60" w14:textId="77777777" w:rsidR="00F0232B" w:rsidRDefault="00F0232B" w:rsidP="00085839">
            <w:pPr>
              <w:pStyle w:val="TableCen"/>
            </w:pPr>
            <w:r>
              <w:t>2.36</w:t>
            </w:r>
            <w:r w:rsidR="00085839">
              <w:t> </w:t>
            </w:r>
            <w:r>
              <w:t>mm</w:t>
            </w:r>
          </w:p>
        </w:tc>
        <w:tc>
          <w:tcPr>
            <w:tcW w:w="2906" w:type="dxa"/>
            <w:tcBorders>
              <w:top w:val="single" w:sz="4" w:space="0" w:color="808080"/>
              <w:left w:val="single" w:sz="4" w:space="0" w:color="000000"/>
              <w:bottom w:val="single" w:sz="4" w:space="0" w:color="808080"/>
              <w:right w:val="single" w:sz="4" w:space="0" w:color="000000"/>
            </w:tcBorders>
            <w:vAlign w:val="center"/>
          </w:tcPr>
          <w:p w14:paraId="048258D4" w14:textId="77777777" w:rsidR="00F0232B" w:rsidRDefault="00F0232B" w:rsidP="00870FF6">
            <w:pPr>
              <w:pStyle w:val="TableCen"/>
            </w:pPr>
            <w:r>
              <w:t>0</w:t>
            </w:r>
            <w:r w:rsidR="00870FF6">
              <w:t> - </w:t>
            </w:r>
            <w:r>
              <w:t>40</w:t>
            </w:r>
          </w:p>
        </w:tc>
        <w:tc>
          <w:tcPr>
            <w:tcW w:w="2906" w:type="dxa"/>
            <w:tcBorders>
              <w:top w:val="single" w:sz="4" w:space="0" w:color="808080"/>
              <w:left w:val="single" w:sz="4" w:space="0" w:color="000000"/>
              <w:bottom w:val="single" w:sz="4" w:space="0" w:color="808080"/>
              <w:right w:val="nil"/>
            </w:tcBorders>
            <w:vAlign w:val="center"/>
          </w:tcPr>
          <w:p w14:paraId="17966B8D" w14:textId="77777777" w:rsidR="00F0232B" w:rsidRDefault="00F0232B" w:rsidP="00870FF6">
            <w:pPr>
              <w:pStyle w:val="TableCen"/>
            </w:pPr>
            <w:r>
              <w:t>0</w:t>
            </w:r>
            <w:r w:rsidR="00870FF6">
              <w:t> - </w:t>
            </w:r>
            <w:r>
              <w:t>5</w:t>
            </w:r>
          </w:p>
        </w:tc>
      </w:tr>
      <w:tr w:rsidR="00F0232B" w14:paraId="793D2E0A" w14:textId="77777777" w:rsidTr="00085839">
        <w:trPr>
          <w:cantSplit/>
          <w:trHeight w:val="340"/>
        </w:trPr>
        <w:tc>
          <w:tcPr>
            <w:tcW w:w="2693" w:type="dxa"/>
            <w:tcBorders>
              <w:top w:val="single" w:sz="4" w:space="0" w:color="808080"/>
              <w:left w:val="nil"/>
              <w:bottom w:val="single" w:sz="12" w:space="0" w:color="000000"/>
              <w:right w:val="single" w:sz="4" w:space="0" w:color="000000"/>
            </w:tcBorders>
            <w:vAlign w:val="center"/>
          </w:tcPr>
          <w:p w14:paraId="61DA9905" w14:textId="77777777" w:rsidR="00F0232B" w:rsidRDefault="00F0232B" w:rsidP="00085839">
            <w:pPr>
              <w:pStyle w:val="TableCen"/>
            </w:pPr>
            <w:r>
              <w:t>0.075</w:t>
            </w:r>
            <w:r w:rsidR="00085839">
              <w:t> </w:t>
            </w:r>
            <w:r>
              <w:t>mm</w:t>
            </w:r>
          </w:p>
        </w:tc>
        <w:tc>
          <w:tcPr>
            <w:tcW w:w="2906" w:type="dxa"/>
            <w:tcBorders>
              <w:top w:val="single" w:sz="4" w:space="0" w:color="808080"/>
              <w:left w:val="single" w:sz="4" w:space="0" w:color="000000"/>
              <w:bottom w:val="single" w:sz="12" w:space="0" w:color="000000"/>
              <w:right w:val="single" w:sz="4" w:space="0" w:color="000000"/>
            </w:tcBorders>
            <w:vAlign w:val="center"/>
          </w:tcPr>
          <w:p w14:paraId="1A2D30AF" w14:textId="77777777" w:rsidR="00F0232B" w:rsidRDefault="00F0232B" w:rsidP="00870FF6">
            <w:pPr>
              <w:pStyle w:val="TableCen"/>
            </w:pPr>
            <w:r>
              <w:t>0</w:t>
            </w:r>
            <w:r w:rsidR="00870FF6">
              <w:t> - </w:t>
            </w:r>
            <w:r>
              <w:t>2</w:t>
            </w:r>
          </w:p>
        </w:tc>
        <w:tc>
          <w:tcPr>
            <w:tcW w:w="2906" w:type="dxa"/>
            <w:tcBorders>
              <w:top w:val="single" w:sz="4" w:space="0" w:color="808080"/>
              <w:left w:val="single" w:sz="4" w:space="0" w:color="000000"/>
              <w:bottom w:val="single" w:sz="12" w:space="0" w:color="000000"/>
              <w:right w:val="nil"/>
            </w:tcBorders>
            <w:vAlign w:val="center"/>
          </w:tcPr>
          <w:p w14:paraId="52B15CAD" w14:textId="77777777" w:rsidR="00F0232B" w:rsidRDefault="00F0232B" w:rsidP="00870FF6">
            <w:pPr>
              <w:pStyle w:val="TableCen"/>
            </w:pPr>
            <w:r>
              <w:t>0</w:t>
            </w:r>
            <w:r w:rsidR="00870FF6">
              <w:t> - </w:t>
            </w:r>
            <w:r>
              <w:t>2</w:t>
            </w:r>
          </w:p>
        </w:tc>
      </w:tr>
    </w:tbl>
    <w:p w14:paraId="3B1C23A1" w14:textId="77777777" w:rsidR="00F0232B" w:rsidRDefault="00F0232B" w:rsidP="00793413">
      <w:pPr>
        <w:pStyle w:val="Heading2"/>
      </w:pPr>
      <w:bookmarkStart w:id="18" w:name="_Toc76045701"/>
      <w:r>
        <w:t>MATERIALS</w:t>
      </w:r>
      <w:bookmarkEnd w:id="18"/>
    </w:p>
    <w:p w14:paraId="418FA3D7" w14:textId="77777777" w:rsidR="00F0232B" w:rsidRDefault="00F0232B" w:rsidP="00E42D09">
      <w:pPr>
        <w:pStyle w:val="BodyTextIndentBoldUnderline"/>
      </w:pPr>
      <w:r>
        <w:t>General</w:t>
      </w:r>
    </w:p>
    <w:p w14:paraId="3E8D4C77" w14:textId="77777777" w:rsidR="00F0232B" w:rsidRDefault="00F0232B">
      <w:pPr>
        <w:pStyle w:val="BodyTextIndent3"/>
        <w:spacing w:after="120"/>
      </w:pPr>
      <w:r>
        <w:t>Binder: Cement, lime or chemically bound materials are not permitted.</w:t>
      </w:r>
    </w:p>
    <w:p w14:paraId="4DBB5782" w14:textId="77777777" w:rsidR="00F0232B" w:rsidRDefault="00F0232B">
      <w:pPr>
        <w:pStyle w:val="BodyTextIndent3"/>
        <w:spacing w:after="120"/>
      </w:pPr>
      <w:r>
        <w:t>Material properties: The specified properties of materials apply to their condition as installed in the completed works.  If it is expected that properties will change significantly during compaction, adjust the delivered material accordingly.</w:t>
      </w:r>
    </w:p>
    <w:p w14:paraId="111C9305" w14:textId="0C68ACB8" w:rsidR="0D48B3FC" w:rsidRDefault="0D48B3FC" w:rsidP="2EB8D3B0">
      <w:pPr>
        <w:pStyle w:val="BodyTextIndent3"/>
        <w:spacing w:after="120"/>
      </w:pPr>
      <w:r w:rsidRPr="009C44D1">
        <w:rPr>
          <w:b/>
          <w:bCs/>
          <w:u w:val="single"/>
        </w:rPr>
        <w:t>Definition</w:t>
      </w:r>
    </w:p>
    <w:p w14:paraId="723B2FA6" w14:textId="768A9D16" w:rsidR="0D48B3FC" w:rsidRDefault="0D48B3FC" w:rsidP="2EB8D3B0">
      <w:pPr>
        <w:pStyle w:val="BodyTextIndent3"/>
        <w:spacing w:after="120"/>
      </w:pPr>
      <w:r w:rsidRPr="007B21A1">
        <w:t xml:space="preserve">Class 1, </w:t>
      </w:r>
      <w:r w:rsidR="7E11F800" w:rsidRPr="007B21A1">
        <w:t xml:space="preserve">Class </w:t>
      </w:r>
      <w:r w:rsidRPr="007B21A1">
        <w:t xml:space="preserve">2 and </w:t>
      </w:r>
      <w:r w:rsidR="398AAE8D" w:rsidRPr="007B21A1">
        <w:t xml:space="preserve">Class </w:t>
      </w:r>
      <w:r w:rsidRPr="007B21A1">
        <w:t>3 material</w:t>
      </w:r>
      <w:r w:rsidR="58A1B07D" w:rsidRPr="007B21A1">
        <w:t>s</w:t>
      </w:r>
      <w:r w:rsidRPr="007B21A1">
        <w:t xml:space="preserve"> </w:t>
      </w:r>
      <w:r w:rsidR="3C668AC8" w:rsidRPr="007B21A1">
        <w:t xml:space="preserve">are defined </w:t>
      </w:r>
      <w:r w:rsidR="2B352F68" w:rsidRPr="007B21A1">
        <w:t>by</w:t>
      </w:r>
      <w:r w:rsidR="3C668AC8" w:rsidRPr="007B21A1">
        <w:t xml:space="preserve"> the appropriate </w:t>
      </w:r>
      <w:r w:rsidR="669FACDA" w:rsidRPr="007B21A1">
        <w:t xml:space="preserve">material type produced to Queensland Department of Transport and Main Roads standard specification </w:t>
      </w:r>
      <w:r w:rsidR="669FACDA" w:rsidRPr="007B21A1">
        <w:rPr>
          <w:i/>
          <w:iCs/>
        </w:rPr>
        <w:t xml:space="preserve">MRTS 05 Unbound Pavements </w:t>
      </w:r>
      <w:r w:rsidR="669FACDA" w:rsidRPr="007B21A1">
        <w:t xml:space="preserve">and </w:t>
      </w:r>
      <w:r w:rsidRPr="007B21A1">
        <w:t xml:space="preserve">can be </w:t>
      </w:r>
      <w:r w:rsidR="25C8C42E" w:rsidRPr="007B21A1">
        <w:t>natural gravel, quarried or recycled materials (or combination of these).</w:t>
      </w:r>
      <w:r w:rsidR="76230F3F" w:rsidRPr="007B21A1">
        <w:t xml:space="preserve"> Recycled Material Blends may be used in all pavements unless directed otherwise. </w:t>
      </w:r>
      <w:r w:rsidR="76230F3F" w:rsidRPr="007B21A1">
        <w:rPr>
          <w:i/>
          <w:iCs/>
        </w:rPr>
        <w:t>Refer annexure</w:t>
      </w:r>
      <w:r w:rsidR="76230F3F" w:rsidRPr="007B21A1">
        <w:t>.</w:t>
      </w:r>
    </w:p>
    <w:p w14:paraId="2718EDBF" w14:textId="77777777" w:rsidR="004E7C47" w:rsidRPr="00E42D09" w:rsidRDefault="004E7C47" w:rsidP="004E7C47">
      <w:pPr>
        <w:pStyle w:val="BodyTextIndentBoldUnderline"/>
      </w:pPr>
      <w:r w:rsidRPr="00E42D09">
        <w:t>Additional requirements</w:t>
      </w:r>
    </w:p>
    <w:p w14:paraId="026571DC" w14:textId="45691A3D" w:rsidR="00B24FDD" w:rsidRDefault="00B24FDD" w:rsidP="00B24FDD">
      <w:pPr>
        <w:pStyle w:val="BodyTextIndent3"/>
      </w:pPr>
      <w:r>
        <w:t>Class</w:t>
      </w:r>
      <w:r w:rsidR="0096235E">
        <w:rPr>
          <w:snapToGrid w:val="0"/>
          <w:lang w:eastAsia="en-US"/>
        </w:rPr>
        <w:t> </w:t>
      </w:r>
      <w:r>
        <w:t>1 and Class</w:t>
      </w:r>
      <w:r w:rsidR="0096235E">
        <w:rPr>
          <w:snapToGrid w:val="0"/>
          <w:lang w:eastAsia="en-US"/>
        </w:rPr>
        <w:t> </w:t>
      </w:r>
      <w:r>
        <w:t>2 shall comply with the requirements of Table</w:t>
      </w:r>
      <w:r w:rsidR="0096235E">
        <w:rPr>
          <w:snapToGrid w:val="0"/>
          <w:lang w:eastAsia="en-US"/>
        </w:rPr>
        <w:t> </w:t>
      </w:r>
      <w:r>
        <w:t>4.1.</w:t>
      </w:r>
    </w:p>
    <w:p w14:paraId="08CDC49D" w14:textId="6037F781" w:rsidR="00B24FDD" w:rsidRDefault="00B24FDD" w:rsidP="00B24FDD">
      <w:pPr>
        <w:pStyle w:val="TableIdNum"/>
      </w:pPr>
      <w:r>
        <w:t>Table</w:t>
      </w:r>
      <w:r w:rsidR="0096235E">
        <w:rPr>
          <w:snapToGrid w:val="0"/>
          <w:lang w:eastAsia="en-US"/>
        </w:rPr>
        <w:t> </w:t>
      </w:r>
      <w:r>
        <w:t>4.1 – Additional requirements for Class</w:t>
      </w:r>
      <w:r w:rsidR="0096235E">
        <w:rPr>
          <w:snapToGrid w:val="0"/>
          <w:lang w:eastAsia="en-US"/>
        </w:rPr>
        <w:t> </w:t>
      </w:r>
      <w:r>
        <w:t>1 and Class</w:t>
      </w:r>
      <w:r w:rsidR="0096235E">
        <w:rPr>
          <w:snapToGrid w:val="0"/>
          <w:lang w:eastAsia="en-US"/>
        </w:rPr>
        <w:t> </w:t>
      </w:r>
      <w:r>
        <w:t>2 material</w:t>
      </w:r>
    </w:p>
    <w:tbl>
      <w:tblPr>
        <w:tblW w:w="8307" w:type="dxa"/>
        <w:tblInd w:w="765" w:type="dxa"/>
        <w:tblBorders>
          <w:top w:val="single" w:sz="12" w:space="0" w:color="000000"/>
          <w:left w:val="nil"/>
          <w:bottom w:val="single" w:sz="12" w:space="0" w:color="000000"/>
          <w:right w:val="nil"/>
          <w:insideH w:val="nil"/>
          <w:insideV w:val="nil"/>
        </w:tblBorders>
        <w:tblLayout w:type="fixed"/>
        <w:tblCellMar>
          <w:left w:w="56" w:type="dxa"/>
          <w:right w:w="56" w:type="dxa"/>
        </w:tblCellMar>
        <w:tblLook w:val="00A0" w:firstRow="1" w:lastRow="0" w:firstColumn="1" w:lastColumn="0" w:noHBand="0" w:noVBand="0"/>
      </w:tblPr>
      <w:tblGrid>
        <w:gridCol w:w="2552"/>
        <w:gridCol w:w="1918"/>
        <w:gridCol w:w="1918"/>
        <w:gridCol w:w="1919"/>
      </w:tblGrid>
      <w:tr w:rsidR="00B24FDD" w14:paraId="666B69B2" w14:textId="77777777" w:rsidTr="00D54DA5">
        <w:trPr>
          <w:cantSplit/>
          <w:trHeight w:val="397"/>
          <w:tblHeader/>
        </w:trPr>
        <w:tc>
          <w:tcPr>
            <w:tcW w:w="2552" w:type="dxa"/>
            <w:tcBorders>
              <w:top w:val="single" w:sz="12" w:space="0" w:color="000000"/>
              <w:left w:val="nil"/>
              <w:bottom w:val="single" w:sz="12" w:space="0" w:color="000000"/>
              <w:right w:val="single" w:sz="4" w:space="0" w:color="000000"/>
            </w:tcBorders>
            <w:shd w:val="pct10" w:color="auto" w:fill="auto"/>
            <w:vAlign w:val="center"/>
          </w:tcPr>
          <w:p w14:paraId="58FC7DA6" w14:textId="77777777" w:rsidR="00B24FDD" w:rsidRDefault="00B24FDD" w:rsidP="0090695B">
            <w:pPr>
              <w:pStyle w:val="TableHead"/>
            </w:pPr>
            <w:r>
              <w:t>Property</w:t>
            </w:r>
          </w:p>
        </w:tc>
        <w:tc>
          <w:tcPr>
            <w:tcW w:w="1918" w:type="dxa"/>
            <w:tcBorders>
              <w:top w:val="single" w:sz="12" w:space="0" w:color="000000"/>
              <w:left w:val="single" w:sz="4" w:space="0" w:color="000000"/>
              <w:bottom w:val="single" w:sz="12" w:space="0" w:color="000000"/>
              <w:right w:val="single" w:sz="4" w:space="0" w:color="000000"/>
            </w:tcBorders>
            <w:shd w:val="pct10" w:color="auto" w:fill="auto"/>
            <w:vAlign w:val="center"/>
          </w:tcPr>
          <w:p w14:paraId="696D2621" w14:textId="77777777" w:rsidR="00B24FDD" w:rsidRDefault="00B24FDD" w:rsidP="0090695B">
            <w:pPr>
              <w:pStyle w:val="TableHeadCen"/>
            </w:pPr>
            <w:r>
              <w:t>Test method</w:t>
            </w:r>
          </w:p>
        </w:tc>
        <w:tc>
          <w:tcPr>
            <w:tcW w:w="1918" w:type="dxa"/>
            <w:tcBorders>
              <w:top w:val="single" w:sz="12" w:space="0" w:color="000000"/>
              <w:left w:val="single" w:sz="4" w:space="0" w:color="000000"/>
              <w:bottom w:val="single" w:sz="12" w:space="0" w:color="000000"/>
              <w:right w:val="single" w:sz="4" w:space="0" w:color="000000"/>
            </w:tcBorders>
            <w:shd w:val="pct10" w:color="auto" w:fill="auto"/>
            <w:vAlign w:val="center"/>
          </w:tcPr>
          <w:p w14:paraId="1B5CB2EE" w14:textId="77777777" w:rsidR="00B24FDD" w:rsidRDefault="00B24FDD" w:rsidP="0090695B">
            <w:pPr>
              <w:pStyle w:val="TableHeadCen"/>
            </w:pPr>
            <w:r>
              <w:t>Soil aggregate</w:t>
            </w:r>
          </w:p>
        </w:tc>
        <w:tc>
          <w:tcPr>
            <w:tcW w:w="1919" w:type="dxa"/>
            <w:tcBorders>
              <w:top w:val="single" w:sz="12" w:space="0" w:color="000000"/>
              <w:left w:val="single" w:sz="4" w:space="0" w:color="000000"/>
              <w:bottom w:val="single" w:sz="12" w:space="0" w:color="000000"/>
              <w:right w:val="nil"/>
            </w:tcBorders>
            <w:shd w:val="pct10" w:color="auto" w:fill="auto"/>
            <w:vAlign w:val="center"/>
          </w:tcPr>
          <w:p w14:paraId="4E49205D" w14:textId="77777777" w:rsidR="00B24FDD" w:rsidRDefault="00B24FDD" w:rsidP="0090695B">
            <w:pPr>
              <w:pStyle w:val="TableHeadCen"/>
            </w:pPr>
            <w:r>
              <w:t>Crushed rock</w:t>
            </w:r>
          </w:p>
        </w:tc>
      </w:tr>
      <w:tr w:rsidR="00B24FDD" w:rsidRPr="003D23FC" w14:paraId="43848109" w14:textId="77777777" w:rsidTr="00D54DA5">
        <w:trPr>
          <w:cantSplit/>
          <w:trHeight w:val="340"/>
        </w:trPr>
        <w:tc>
          <w:tcPr>
            <w:tcW w:w="2552" w:type="dxa"/>
            <w:tcBorders>
              <w:top w:val="single" w:sz="4" w:space="0" w:color="808080"/>
              <w:left w:val="nil"/>
              <w:bottom w:val="single" w:sz="12" w:space="0" w:color="000000"/>
              <w:right w:val="single" w:sz="4" w:space="0" w:color="000000"/>
            </w:tcBorders>
            <w:vAlign w:val="center"/>
          </w:tcPr>
          <w:p w14:paraId="41C2D0AB" w14:textId="77777777" w:rsidR="00B24FDD" w:rsidRPr="003D23FC" w:rsidRDefault="00B24FDD" w:rsidP="0090695B">
            <w:pPr>
              <w:pStyle w:val="Table"/>
            </w:pPr>
            <w:r>
              <w:t>Peroxide Oxidisable Sulphur</w:t>
            </w:r>
          </w:p>
        </w:tc>
        <w:tc>
          <w:tcPr>
            <w:tcW w:w="1918" w:type="dxa"/>
            <w:tcBorders>
              <w:top w:val="single" w:sz="4" w:space="0" w:color="808080"/>
              <w:left w:val="single" w:sz="4" w:space="0" w:color="000000"/>
              <w:bottom w:val="single" w:sz="12" w:space="0" w:color="000000"/>
              <w:right w:val="single" w:sz="4" w:space="0" w:color="000000"/>
            </w:tcBorders>
            <w:vAlign w:val="center"/>
          </w:tcPr>
          <w:p w14:paraId="69CC0563" w14:textId="77777777" w:rsidR="00B24FDD" w:rsidRPr="00085839" w:rsidRDefault="00B24FDD" w:rsidP="0090695B">
            <w:pPr>
              <w:pStyle w:val="TableCen"/>
              <w:rPr>
                <w:i/>
              </w:rPr>
            </w:pPr>
            <w:r w:rsidRPr="00085839">
              <w:rPr>
                <w:i/>
              </w:rPr>
              <w:t>AS 4969.1</w:t>
            </w:r>
            <w:r w:rsidRPr="00B24FDD">
              <w:rPr>
                <w:i/>
                <w:vertAlign w:val="superscript"/>
              </w:rPr>
              <w:t>(1)</w:t>
            </w:r>
          </w:p>
        </w:tc>
        <w:tc>
          <w:tcPr>
            <w:tcW w:w="1918" w:type="dxa"/>
            <w:tcBorders>
              <w:top w:val="single" w:sz="4" w:space="0" w:color="808080"/>
              <w:left w:val="single" w:sz="4" w:space="0" w:color="000000"/>
              <w:bottom w:val="single" w:sz="12" w:space="0" w:color="000000"/>
              <w:right w:val="single" w:sz="4" w:space="0" w:color="000000"/>
            </w:tcBorders>
            <w:vAlign w:val="center"/>
          </w:tcPr>
          <w:p w14:paraId="52F79BED" w14:textId="11665390" w:rsidR="00B24FDD" w:rsidRPr="00085839" w:rsidRDefault="00793413" w:rsidP="0090695B">
            <w:pPr>
              <w:pStyle w:val="TableCen"/>
            </w:pPr>
            <w:r>
              <w:t>&lt;</w:t>
            </w:r>
            <w:r w:rsidR="00B24FDD" w:rsidRPr="00085839">
              <w:t xml:space="preserve">Acid Neutralising Capacity/2 </w:t>
            </w:r>
          </w:p>
        </w:tc>
        <w:tc>
          <w:tcPr>
            <w:tcW w:w="1919" w:type="dxa"/>
            <w:tcBorders>
              <w:top w:val="single" w:sz="4" w:space="0" w:color="808080"/>
              <w:left w:val="single" w:sz="4" w:space="0" w:color="000000"/>
              <w:bottom w:val="single" w:sz="12" w:space="0" w:color="000000"/>
              <w:right w:val="nil"/>
            </w:tcBorders>
            <w:vAlign w:val="center"/>
          </w:tcPr>
          <w:p w14:paraId="0025C1B2" w14:textId="1DA07024" w:rsidR="00B24FDD" w:rsidRPr="00E36628" w:rsidRDefault="00B24FDD" w:rsidP="0090695B">
            <w:pPr>
              <w:pStyle w:val="TableCen"/>
            </w:pPr>
            <w:r w:rsidRPr="00874616">
              <w:t>&lt;Acid neutralising capacity/2</w:t>
            </w:r>
          </w:p>
        </w:tc>
      </w:tr>
    </w:tbl>
    <w:p w14:paraId="4D571907" w14:textId="77777777" w:rsidR="00B24FDD" w:rsidRPr="00D54DA5" w:rsidRDefault="00B24FDD" w:rsidP="00B24FDD">
      <w:pPr>
        <w:pStyle w:val="BodyTextIndent3"/>
        <w:numPr>
          <w:ilvl w:val="0"/>
          <w:numId w:val="14"/>
        </w:numPr>
        <w:rPr>
          <w:i/>
          <w:iCs/>
          <w:sz w:val="18"/>
          <w:szCs w:val="18"/>
        </w:rPr>
      </w:pPr>
      <w:r w:rsidRPr="00D54DA5">
        <w:rPr>
          <w:i/>
          <w:iCs/>
          <w:sz w:val="18"/>
          <w:szCs w:val="18"/>
        </w:rPr>
        <w:t>Variation from Australian Standard test method – Samples for AS</w:t>
      </w:r>
      <w:r w:rsidRPr="00D54DA5">
        <w:rPr>
          <w:i/>
          <w:iCs/>
          <w:snapToGrid w:val="0"/>
          <w:sz w:val="18"/>
          <w:szCs w:val="18"/>
          <w:lang w:eastAsia="en-US"/>
        </w:rPr>
        <w:t> </w:t>
      </w:r>
      <w:r w:rsidRPr="00D54DA5">
        <w:rPr>
          <w:i/>
          <w:iCs/>
          <w:sz w:val="18"/>
          <w:szCs w:val="18"/>
        </w:rPr>
        <w:t>4969.1 should be collected without removing coarse fragments that are greater than 2</w:t>
      </w:r>
      <w:r w:rsidRPr="00D54DA5">
        <w:rPr>
          <w:i/>
          <w:iCs/>
          <w:snapToGrid w:val="0"/>
          <w:sz w:val="18"/>
          <w:szCs w:val="18"/>
          <w:lang w:eastAsia="en-US"/>
        </w:rPr>
        <w:t> </w:t>
      </w:r>
      <w:r w:rsidRPr="00D54DA5">
        <w:rPr>
          <w:i/>
          <w:iCs/>
          <w:sz w:val="18"/>
          <w:szCs w:val="18"/>
        </w:rPr>
        <w:t>mm and the whole sample should be crushed to less than 75</w:t>
      </w:r>
      <w:r w:rsidRPr="00D54DA5">
        <w:rPr>
          <w:i/>
          <w:iCs/>
          <w:snapToGrid w:val="0"/>
          <w:sz w:val="18"/>
          <w:szCs w:val="18"/>
          <w:lang w:eastAsia="en-US"/>
        </w:rPr>
        <w:t> </w:t>
      </w:r>
      <w:r w:rsidRPr="00D54DA5">
        <w:rPr>
          <w:rFonts w:cs="Arial"/>
          <w:i/>
          <w:iCs/>
          <w:sz w:val="18"/>
          <w:szCs w:val="18"/>
        </w:rPr>
        <w:t>µ</w:t>
      </w:r>
      <w:r w:rsidRPr="00D54DA5">
        <w:rPr>
          <w:i/>
          <w:iCs/>
          <w:sz w:val="18"/>
          <w:szCs w:val="18"/>
        </w:rPr>
        <w:t>m for testing in the laboratory.</w:t>
      </w:r>
    </w:p>
    <w:p w14:paraId="31D31F49" w14:textId="4445778E" w:rsidR="00BD596C" w:rsidRPr="00EE4FB6" w:rsidRDefault="00EE4FB6" w:rsidP="00EE4FB6">
      <w:pPr>
        <w:pStyle w:val="Heading3"/>
      </w:pPr>
      <w:bookmarkStart w:id="19" w:name="_Toc76045702"/>
      <w:r w:rsidRPr="00EE4FB6">
        <w:t>Class</w:t>
      </w:r>
      <w:r w:rsidR="00E85F23" w:rsidRPr="00EE4FB6">
        <w:t> </w:t>
      </w:r>
      <w:r w:rsidRPr="00EE4FB6">
        <w:t>1 material</w:t>
      </w:r>
      <w:bookmarkEnd w:id="19"/>
    </w:p>
    <w:p w14:paraId="0B63FD67" w14:textId="6DD39AC7" w:rsidR="000A019D" w:rsidRPr="007B21A1" w:rsidRDefault="00D41C98" w:rsidP="000A019D">
      <w:pPr>
        <w:pStyle w:val="BodyTextIndent3"/>
      </w:pPr>
      <w:r w:rsidRPr="007B21A1">
        <w:t>BCC Class 1 materials are t</w:t>
      </w:r>
      <w:r w:rsidR="000A019D" w:rsidRPr="007B21A1">
        <w:t xml:space="preserve">he following materials produced to Queensland Department of Transport and Main Roads standard specification </w:t>
      </w:r>
      <w:r w:rsidR="000A019D" w:rsidRPr="007B21A1">
        <w:rPr>
          <w:i/>
        </w:rPr>
        <w:t>MRTS 05 Unbound Pavements</w:t>
      </w:r>
      <w:r w:rsidRPr="007B21A1">
        <w:t>:</w:t>
      </w:r>
    </w:p>
    <w:p w14:paraId="15FD0FA5" w14:textId="2B96B194" w:rsidR="000A019D" w:rsidRPr="007B21A1" w:rsidRDefault="000A019D" w:rsidP="000A019D">
      <w:pPr>
        <w:pStyle w:val="BodyTextIndentDot1"/>
      </w:pPr>
      <w:r w:rsidRPr="007B21A1">
        <w:t>Type</w:t>
      </w:r>
      <w:r w:rsidR="00E85F23" w:rsidRPr="007B21A1">
        <w:t> 1</w:t>
      </w:r>
      <w:r w:rsidRPr="007B21A1">
        <w:t xml:space="preserve"> </w:t>
      </w:r>
      <w:r w:rsidR="36F9F7EC" w:rsidRPr="007B21A1">
        <w:t xml:space="preserve">(HSG) </w:t>
      </w:r>
      <w:r w:rsidRPr="007B21A1">
        <w:t>unbound material</w:t>
      </w:r>
      <w:r w:rsidR="00E85F23" w:rsidRPr="007B21A1">
        <w:t>;</w:t>
      </w:r>
    </w:p>
    <w:p w14:paraId="4DE6A335" w14:textId="32689096" w:rsidR="00D41C98" w:rsidRPr="007B21A1" w:rsidRDefault="000A019D" w:rsidP="00D41C98">
      <w:pPr>
        <w:pStyle w:val="BodyTextIndentDot1"/>
      </w:pPr>
      <w:r w:rsidRPr="007B21A1">
        <w:t>Type</w:t>
      </w:r>
      <w:r w:rsidR="00E85F23" w:rsidRPr="007B21A1">
        <w:t> </w:t>
      </w:r>
      <w:r w:rsidRPr="007B21A1">
        <w:t xml:space="preserve">2 unbound material, </w:t>
      </w:r>
      <w:r w:rsidR="0087117A" w:rsidRPr="007B21A1">
        <w:t>Sub-type </w:t>
      </w:r>
      <w:r w:rsidRPr="007B21A1">
        <w:t>2.1</w:t>
      </w:r>
      <w:r w:rsidR="00021151" w:rsidRPr="007B21A1">
        <w:rPr>
          <w:i/>
        </w:rPr>
        <w:t>.</w:t>
      </w:r>
    </w:p>
    <w:p w14:paraId="24100937" w14:textId="04C4F1A9" w:rsidR="00BD596C" w:rsidRPr="00EE4FB6" w:rsidRDefault="00EE4FB6" w:rsidP="00EE4FB6">
      <w:pPr>
        <w:pStyle w:val="Heading3"/>
      </w:pPr>
      <w:bookmarkStart w:id="20" w:name="_Toc76045703"/>
      <w:r w:rsidRPr="00EE4FB6">
        <w:t>Class</w:t>
      </w:r>
      <w:r w:rsidR="00E85F23" w:rsidRPr="00EE4FB6">
        <w:t> </w:t>
      </w:r>
      <w:r w:rsidRPr="00EE4FB6">
        <w:t>2 material</w:t>
      </w:r>
      <w:bookmarkEnd w:id="20"/>
    </w:p>
    <w:p w14:paraId="42237CD4" w14:textId="2DBF95E5" w:rsidR="00021151" w:rsidRPr="007B21A1" w:rsidRDefault="00D41C98">
      <w:pPr>
        <w:ind w:left="709"/>
        <w:rPr>
          <w:i/>
        </w:rPr>
      </w:pPr>
      <w:r w:rsidRPr="007B21A1">
        <w:t>BCC Class 2 materials are t</w:t>
      </w:r>
      <w:r w:rsidR="00F0232B" w:rsidRPr="007B21A1">
        <w:t xml:space="preserve">he </w:t>
      </w:r>
      <w:r w:rsidR="00F0232B" w:rsidRPr="007B21A1">
        <w:rPr>
          <w:rStyle w:val="BodyTextIndentChar"/>
        </w:rPr>
        <w:t xml:space="preserve">following </w:t>
      </w:r>
      <w:r w:rsidR="0056179C" w:rsidRPr="007B21A1">
        <w:rPr>
          <w:rStyle w:val="BodyTextIndentChar"/>
        </w:rPr>
        <w:t>materials</w:t>
      </w:r>
      <w:r w:rsidR="00F0232B" w:rsidRPr="007B21A1">
        <w:rPr>
          <w:rStyle w:val="BodyTextIndentChar"/>
        </w:rPr>
        <w:t xml:space="preserve"> produced and controlled to Queensland Department of </w:t>
      </w:r>
      <w:r w:rsidR="00F37EA3" w:rsidRPr="007B21A1">
        <w:rPr>
          <w:rStyle w:val="BodyTextIndentChar"/>
        </w:rPr>
        <w:t xml:space="preserve">Transport and </w:t>
      </w:r>
      <w:r w:rsidR="00F0232B" w:rsidRPr="007B21A1">
        <w:rPr>
          <w:rStyle w:val="BodyTextIndentChar"/>
        </w:rPr>
        <w:t xml:space="preserve">Main Roads standard specification </w:t>
      </w:r>
      <w:r w:rsidR="00F0232B" w:rsidRPr="007B21A1">
        <w:rPr>
          <w:rStyle w:val="BodyTextIndentChar"/>
          <w:i/>
        </w:rPr>
        <w:t>MR</w:t>
      </w:r>
      <w:r w:rsidR="00D96D9B" w:rsidRPr="007B21A1">
        <w:rPr>
          <w:rStyle w:val="BodyTextIndentChar"/>
          <w:i/>
        </w:rPr>
        <w:t>T</w:t>
      </w:r>
      <w:r w:rsidR="00F0232B" w:rsidRPr="007B21A1">
        <w:rPr>
          <w:rStyle w:val="BodyTextIndentChar"/>
          <w:i/>
        </w:rPr>
        <w:t>S</w:t>
      </w:r>
      <w:r w:rsidR="00874616" w:rsidRPr="007B21A1">
        <w:rPr>
          <w:i/>
          <w:snapToGrid w:val="0"/>
          <w:lang w:eastAsia="en-US"/>
        </w:rPr>
        <w:t> </w:t>
      </w:r>
      <w:r w:rsidR="00F0232B" w:rsidRPr="007B21A1">
        <w:rPr>
          <w:rStyle w:val="BodyTextIndentChar"/>
          <w:i/>
        </w:rPr>
        <w:t>05 Unbound Pavements</w:t>
      </w:r>
      <w:r w:rsidR="00D9073E" w:rsidRPr="007B21A1">
        <w:rPr>
          <w:i/>
        </w:rPr>
        <w:t>:</w:t>
      </w:r>
    </w:p>
    <w:p w14:paraId="5F13C042" w14:textId="10F90832" w:rsidR="00D9073E" w:rsidRPr="007B21A1" w:rsidRDefault="00F0232B" w:rsidP="00E36628">
      <w:pPr>
        <w:pStyle w:val="BodyTextIndentDot1"/>
      </w:pPr>
      <w:r w:rsidRPr="007B21A1">
        <w:t>Type</w:t>
      </w:r>
      <w:r w:rsidR="00D9073E" w:rsidRPr="007B21A1">
        <w:t> </w:t>
      </w:r>
      <w:r w:rsidRPr="007B21A1">
        <w:t xml:space="preserve">2 unbound </w:t>
      </w:r>
      <w:r w:rsidR="00E36628" w:rsidRPr="007B21A1">
        <w:t>materials</w:t>
      </w:r>
      <w:r w:rsidRPr="007B21A1">
        <w:t xml:space="preserve">, </w:t>
      </w:r>
      <w:r w:rsidR="0087117A" w:rsidRPr="007B21A1">
        <w:t>Sub-types </w:t>
      </w:r>
      <w:r w:rsidRPr="007B21A1">
        <w:t>2.1 or 2.2 or 2.3</w:t>
      </w:r>
      <w:r w:rsidR="00021151" w:rsidRPr="007B21A1">
        <w:t>;</w:t>
      </w:r>
    </w:p>
    <w:p w14:paraId="06ED986D" w14:textId="24420EA3" w:rsidR="00571D47" w:rsidRPr="007B21A1" w:rsidRDefault="00571D47" w:rsidP="00603B0B">
      <w:pPr>
        <w:pStyle w:val="BodyTextIndentDot1"/>
      </w:pPr>
      <w:r w:rsidRPr="007B21A1">
        <w:t>Type</w:t>
      </w:r>
      <w:r w:rsidR="00D9073E" w:rsidRPr="007B21A1">
        <w:t> </w:t>
      </w:r>
      <w:r w:rsidRPr="007B21A1">
        <w:t xml:space="preserve">3 unbound material, </w:t>
      </w:r>
      <w:r w:rsidR="0087117A" w:rsidRPr="007B21A1">
        <w:t>Sub-types </w:t>
      </w:r>
      <w:r w:rsidRPr="007B21A1">
        <w:t>3.1</w:t>
      </w:r>
      <w:r w:rsidR="002C3ED4" w:rsidRPr="007B21A1">
        <w:t xml:space="preserve">, provided the soaked CBR </w:t>
      </w:r>
      <w:r w:rsidR="002C3ED4" w:rsidRPr="007B21A1">
        <w:rPr>
          <w:rFonts w:ascii="Symbol" w:eastAsia="Symbol" w:hAnsi="Symbol" w:cs="Symbol"/>
        </w:rPr>
        <w:sym w:font="Symbol" w:char="F0B3"/>
      </w:r>
      <w:r w:rsidR="002C3ED4" w:rsidRPr="007B21A1">
        <w:t>45%</w:t>
      </w:r>
      <w:r w:rsidR="00D9073E" w:rsidRPr="007B21A1">
        <w:t>.</w:t>
      </w:r>
    </w:p>
    <w:p w14:paraId="63FD3934" w14:textId="32D05256" w:rsidR="00BD596C" w:rsidRPr="00EE4FB6" w:rsidRDefault="00EE4FB6" w:rsidP="00EE4FB6">
      <w:pPr>
        <w:pStyle w:val="Heading3"/>
      </w:pPr>
      <w:bookmarkStart w:id="21" w:name="_Toc76045704"/>
      <w:r w:rsidRPr="00EE4FB6">
        <w:lastRenderedPageBreak/>
        <w:t>Class</w:t>
      </w:r>
      <w:r w:rsidR="00D9073E" w:rsidRPr="00EE4FB6">
        <w:t> </w:t>
      </w:r>
      <w:r w:rsidRPr="00EE4FB6">
        <w:t>3 material</w:t>
      </w:r>
      <w:bookmarkEnd w:id="21"/>
    </w:p>
    <w:p w14:paraId="04887528" w14:textId="2EC42163" w:rsidR="00F0232B" w:rsidRPr="007B21A1" w:rsidRDefault="00D41C98" w:rsidP="003C7FE6">
      <w:pPr>
        <w:pStyle w:val="BodyTextIndent"/>
      </w:pPr>
      <w:r w:rsidRPr="007B21A1">
        <w:t>BCC Class </w:t>
      </w:r>
      <w:r w:rsidR="00A32222" w:rsidRPr="007B21A1">
        <w:t>3</w:t>
      </w:r>
      <w:r w:rsidRPr="007B21A1">
        <w:t xml:space="preserve"> materials are t</w:t>
      </w:r>
      <w:r w:rsidR="00F0232B" w:rsidRPr="007B21A1">
        <w:t xml:space="preserve">he following </w:t>
      </w:r>
      <w:r w:rsidR="0056179C" w:rsidRPr="007B21A1">
        <w:t>materials</w:t>
      </w:r>
      <w:r w:rsidR="00F0232B" w:rsidRPr="007B21A1">
        <w:t xml:space="preserve"> produced and controlled to Queensland Department of </w:t>
      </w:r>
      <w:r w:rsidR="00F37EA3" w:rsidRPr="007B21A1">
        <w:t xml:space="preserve">Transport and </w:t>
      </w:r>
      <w:r w:rsidR="00F0232B" w:rsidRPr="007B21A1">
        <w:t xml:space="preserve">Main Roads standard specification </w:t>
      </w:r>
      <w:r w:rsidR="00F0232B" w:rsidRPr="007B21A1">
        <w:rPr>
          <w:i/>
        </w:rPr>
        <w:t>MR</w:t>
      </w:r>
      <w:r w:rsidR="00603B0B" w:rsidRPr="007B21A1">
        <w:rPr>
          <w:i/>
        </w:rPr>
        <w:t>T</w:t>
      </w:r>
      <w:r w:rsidR="00F0232B" w:rsidRPr="007B21A1">
        <w:rPr>
          <w:i/>
        </w:rPr>
        <w:t>S</w:t>
      </w:r>
      <w:r w:rsidR="00065E03" w:rsidRPr="007B21A1">
        <w:t> </w:t>
      </w:r>
      <w:r w:rsidR="00065E03" w:rsidRPr="007B21A1">
        <w:rPr>
          <w:i/>
        </w:rPr>
        <w:t>0</w:t>
      </w:r>
      <w:r w:rsidR="00F0232B" w:rsidRPr="007B21A1">
        <w:rPr>
          <w:i/>
        </w:rPr>
        <w:t>5 Unbound Pavements</w:t>
      </w:r>
      <w:r w:rsidRPr="007B21A1">
        <w:rPr>
          <w:i/>
        </w:rPr>
        <w:t>:</w:t>
      </w:r>
    </w:p>
    <w:p w14:paraId="3E87D67F" w14:textId="7E9723E7" w:rsidR="00D9073E" w:rsidRPr="007B21A1" w:rsidRDefault="00F0232B">
      <w:pPr>
        <w:pStyle w:val="BodyTextIndentDot1"/>
      </w:pPr>
      <w:r w:rsidRPr="007B21A1">
        <w:t>Type</w:t>
      </w:r>
      <w:r w:rsidR="00A87F71" w:rsidRPr="007B21A1">
        <w:t> </w:t>
      </w:r>
      <w:r w:rsidRPr="007B21A1">
        <w:t xml:space="preserve">2 unbound </w:t>
      </w:r>
      <w:r w:rsidR="00431246" w:rsidRPr="007B21A1">
        <w:t>materials</w:t>
      </w:r>
      <w:r w:rsidRPr="007B21A1">
        <w:t xml:space="preserve">, </w:t>
      </w:r>
      <w:r w:rsidR="0087117A" w:rsidRPr="007B21A1">
        <w:t>Sub-types </w:t>
      </w:r>
      <w:r w:rsidRPr="007B21A1">
        <w:t>2.1 or 2.2 or 2.3 or 2.4</w:t>
      </w:r>
      <w:r w:rsidR="00D9073E" w:rsidRPr="007B21A1">
        <w:t>;</w:t>
      </w:r>
    </w:p>
    <w:p w14:paraId="515273AE" w14:textId="15384FF2" w:rsidR="00721A2D" w:rsidRPr="007B21A1" w:rsidRDefault="00721A2D">
      <w:pPr>
        <w:pStyle w:val="BodyTextIndentDot1"/>
      </w:pPr>
      <w:r w:rsidRPr="007B21A1">
        <w:t>Type</w:t>
      </w:r>
      <w:r w:rsidR="00A87F71" w:rsidRPr="007B21A1">
        <w:t> </w:t>
      </w:r>
      <w:r w:rsidRPr="007B21A1">
        <w:t>3 unbound material, Sub-types</w:t>
      </w:r>
      <w:r w:rsidR="0087117A" w:rsidRPr="007B21A1">
        <w:t> </w:t>
      </w:r>
      <w:r w:rsidRPr="007B21A1">
        <w:t xml:space="preserve">3.1 or 3.2 or 3.3, provided the soaked CBR is </w:t>
      </w:r>
      <w:r w:rsidRPr="007B21A1">
        <w:rPr>
          <w:rFonts w:ascii="Symbol" w:eastAsia="Symbol" w:hAnsi="Symbol" w:cs="Symbol"/>
        </w:rPr>
        <w:sym w:font="Symbol" w:char="F0B3"/>
      </w:r>
      <w:r w:rsidRPr="007B21A1">
        <w:t>15%</w:t>
      </w:r>
      <w:r w:rsidR="00D9073E" w:rsidRPr="007B21A1">
        <w:t>.</w:t>
      </w:r>
    </w:p>
    <w:p w14:paraId="4693CD6C" w14:textId="00950636" w:rsidR="00F0232B" w:rsidRPr="00AA35C5" w:rsidRDefault="00F0232B" w:rsidP="00A32222">
      <w:pPr>
        <w:pStyle w:val="BodyTextIndentDot1"/>
        <w:numPr>
          <w:ilvl w:val="0"/>
          <w:numId w:val="0"/>
        </w:numPr>
        <w:ind w:left="709"/>
      </w:pPr>
      <w:r w:rsidRPr="007B21A1">
        <w:t>Sand: A fine grained material with more than 90% passing 0.425mm sieve may be used as a Class</w:t>
      </w:r>
      <w:r w:rsidR="00A87F71" w:rsidRPr="007B21A1">
        <w:t> </w:t>
      </w:r>
      <w:r w:rsidRPr="007B21A1">
        <w:t>3 material if the material is of uniform quality; meets the Atterberg limits of Class 2 soil aggregate and is at least CBR 15 (4 day soaked).</w:t>
      </w:r>
    </w:p>
    <w:p w14:paraId="2F3C7B2E" w14:textId="2B71CF95" w:rsidR="00BD596C" w:rsidRPr="00EE4FB6" w:rsidRDefault="00EE4FB6" w:rsidP="00EE4FB6">
      <w:pPr>
        <w:pStyle w:val="Heading3"/>
      </w:pPr>
      <w:bookmarkStart w:id="22" w:name="_Toc76045705"/>
      <w:r w:rsidRPr="00EE4FB6">
        <w:t>Filter material</w:t>
      </w:r>
      <w:bookmarkEnd w:id="22"/>
    </w:p>
    <w:p w14:paraId="3E4E7079" w14:textId="77777777" w:rsidR="00F0232B" w:rsidRPr="00AA35C5" w:rsidRDefault="00F0232B" w:rsidP="00E42D09">
      <w:pPr>
        <w:pStyle w:val="BodyTextIndentBoldUnderline"/>
      </w:pPr>
      <w:r w:rsidRPr="00AA35C5">
        <w:t>Material requirements</w:t>
      </w:r>
    </w:p>
    <w:p w14:paraId="623DA6D9" w14:textId="77777777" w:rsidR="00F0232B" w:rsidRPr="00AA35C5" w:rsidRDefault="00F0232B" w:rsidP="003C7FE6">
      <w:pPr>
        <w:pStyle w:val="BodyTextIndent"/>
      </w:pPr>
      <w:r w:rsidRPr="00AA35C5">
        <w:t>Filter material selection: Select the appropriate granular material or screenings to suit the application.  At least 98% of the filter material must be retained on the A.S. sieve size equal to or immediately greater than 1.5 times the slot width or opening diameter of the slotted drainage pipe or proprietary drainage media.</w:t>
      </w:r>
    </w:p>
    <w:p w14:paraId="7236CB50" w14:textId="77777777" w:rsidR="00F0232B" w:rsidRDefault="00F0232B" w:rsidP="003C7FE6">
      <w:pPr>
        <w:pStyle w:val="BodyTextIndent"/>
      </w:pPr>
      <w:r w:rsidRPr="00AA35C5">
        <w:t>Permeability: Achieve a permeability of</w:t>
      </w:r>
      <w:r>
        <w:t xml:space="preserve"> 0.01-10 mm/s determined in accordance with </w:t>
      </w:r>
      <w:r w:rsidRPr="00E36628">
        <w:rPr>
          <w:i/>
        </w:rPr>
        <w:t>AS 1289.6.7.1.</w:t>
      </w:r>
    </w:p>
    <w:p w14:paraId="3B22BF43" w14:textId="77777777" w:rsidR="00F0232B" w:rsidRDefault="00F0232B" w:rsidP="003C7FE6">
      <w:pPr>
        <w:pStyle w:val="BodyTextIndent"/>
      </w:pPr>
      <w:r>
        <w:t>Granular material: Natural or manufactured granular material free from organic matter conforming to the grading specified in Table 3.</w:t>
      </w:r>
      <w:r w:rsidR="008E0ED9">
        <w:t>1</w:t>
      </w:r>
      <w:r>
        <w:t>.</w:t>
      </w:r>
      <w:r w:rsidR="0041550E">
        <w:t xml:space="preserve">  </w:t>
      </w:r>
      <w:r w:rsidR="0041550E" w:rsidRPr="0041550E">
        <w:t>Granular filter material shall consist of hard, durable and clean sand, gravel</w:t>
      </w:r>
      <w:r w:rsidR="009B0A07">
        <w:t>, recycled material</w:t>
      </w:r>
      <w:r w:rsidR="0041550E" w:rsidRPr="0041550E">
        <w:t xml:space="preserve"> or crushed rock, free from clay balls and organic matter, and shall have a pH value greater than 6.0 and less than 8.0.</w:t>
      </w:r>
    </w:p>
    <w:p w14:paraId="3F104947" w14:textId="77777777" w:rsidR="00F0232B" w:rsidRDefault="00F0232B" w:rsidP="003C7FE6">
      <w:pPr>
        <w:pStyle w:val="BodyTextIndent"/>
      </w:pPr>
      <w:r>
        <w:t>Screenings:  5 mm or 10 mm nominal single size screenings conforming to the grading specified in Table 3.</w:t>
      </w:r>
      <w:r w:rsidR="008E0ED9">
        <w:t>2</w:t>
      </w:r>
      <w:r>
        <w:t>.</w:t>
      </w:r>
    </w:p>
    <w:p w14:paraId="6F2EFAED" w14:textId="77777777" w:rsidR="00F0232B" w:rsidRDefault="00F0232B" w:rsidP="00E42D09">
      <w:pPr>
        <w:pStyle w:val="BodyTextIndentBoldUnderline"/>
      </w:pPr>
      <w:r>
        <w:t>Pavement drainage</w:t>
      </w:r>
    </w:p>
    <w:p w14:paraId="785D553F" w14:textId="77777777" w:rsidR="00F0232B" w:rsidRDefault="00F0232B" w:rsidP="003C7FE6">
      <w:pPr>
        <w:pStyle w:val="BodyTextIndent"/>
      </w:pPr>
      <w:r>
        <w:t>Side drain: 5 mm or 10 mm screenings.</w:t>
      </w:r>
    </w:p>
    <w:p w14:paraId="2F9C5B88" w14:textId="77777777" w:rsidR="00F0232B" w:rsidRDefault="00F0232B" w:rsidP="003C7FE6">
      <w:pPr>
        <w:pStyle w:val="BodyTextIndent"/>
      </w:pPr>
      <w:r>
        <w:t xml:space="preserve">Mitre drain/ blanket course: Screenings or Class 1 </w:t>
      </w:r>
      <w:r w:rsidR="004223FF">
        <w:t>material</w:t>
      </w:r>
      <w:r>
        <w:t>.</w:t>
      </w:r>
    </w:p>
    <w:p w14:paraId="1C703DCF" w14:textId="453003A2" w:rsidR="00BD596C" w:rsidRPr="00EE4FB6" w:rsidRDefault="00EE4FB6" w:rsidP="00EE4FB6">
      <w:pPr>
        <w:pStyle w:val="Heading3"/>
      </w:pPr>
      <w:bookmarkStart w:id="23" w:name="_Toc76045706"/>
      <w:r w:rsidRPr="00EE4FB6">
        <w:t>Additional requirements for recycled materials</w:t>
      </w:r>
      <w:bookmarkEnd w:id="23"/>
    </w:p>
    <w:p w14:paraId="18FFFA08" w14:textId="77777777" w:rsidR="00AD3434" w:rsidRPr="00AA35C5" w:rsidRDefault="00F0232B" w:rsidP="003C7FE6">
      <w:pPr>
        <w:pStyle w:val="BodyTextIndent"/>
      </w:pPr>
      <w:r w:rsidRPr="00AA35C5">
        <w:t>The crushed concrete must not contain any asbestos cement or asbestos fibre.</w:t>
      </w:r>
    </w:p>
    <w:p w14:paraId="2F27B17D" w14:textId="77777777" w:rsidR="00AD3434" w:rsidRPr="00AA35C5" w:rsidRDefault="00AD3434" w:rsidP="003C7FE6">
      <w:pPr>
        <w:pStyle w:val="BodyTextIndent"/>
      </w:pPr>
      <w:r w:rsidRPr="00AA35C5">
        <w:t>Reclaimed asphalt pavement shall not contain tar.</w:t>
      </w:r>
    </w:p>
    <w:p w14:paraId="20D0E52C" w14:textId="5777B8CD" w:rsidR="00586ED6" w:rsidRPr="00AA35C5" w:rsidRDefault="00586ED6" w:rsidP="00586ED6">
      <w:pPr>
        <w:pStyle w:val="BodyTextIndent3"/>
        <w:spacing w:after="120"/>
      </w:pPr>
      <w:r w:rsidRPr="00AA35C5">
        <w:t xml:space="preserve">Do not use Recycled </w:t>
      </w:r>
      <w:r w:rsidR="6DB42BBB">
        <w:t xml:space="preserve">Material </w:t>
      </w:r>
      <w:r w:rsidRPr="00AA35C5">
        <w:t xml:space="preserve">Blends in </w:t>
      </w:r>
      <w:r w:rsidRPr="00AA35C5">
        <w:rPr>
          <w:i/>
        </w:rPr>
        <w:t>MRTS</w:t>
      </w:r>
      <w:r w:rsidRPr="00AA35C5">
        <w:t> </w:t>
      </w:r>
      <w:r w:rsidR="34557A75" w:rsidRPr="2EB8D3B0">
        <w:rPr>
          <w:i/>
          <w:iCs/>
        </w:rPr>
        <w:t>05</w:t>
      </w:r>
      <w:r w:rsidRPr="00AA35C5">
        <w:rPr>
          <w:i/>
        </w:rPr>
        <w:t xml:space="preserve"> </w:t>
      </w:r>
      <w:r w:rsidRPr="00AA35C5">
        <w:t>in:</w:t>
      </w:r>
    </w:p>
    <w:p w14:paraId="08F49DE2" w14:textId="77777777" w:rsidR="00586ED6" w:rsidRPr="00AA35C5" w:rsidRDefault="00586ED6" w:rsidP="00586ED6">
      <w:pPr>
        <w:pStyle w:val="BodyTextIndentDot"/>
      </w:pPr>
      <w:r w:rsidRPr="00AA35C5">
        <w:t>Reinforced soil structures in accordance with S140 Earthworks where steel or polyester reinforcement is used.</w:t>
      </w:r>
    </w:p>
    <w:p w14:paraId="2B5992DC" w14:textId="77777777" w:rsidR="00586ED6" w:rsidRPr="00AA35C5" w:rsidRDefault="00586ED6" w:rsidP="00586ED6">
      <w:pPr>
        <w:pStyle w:val="BodyTextIndentDot"/>
      </w:pPr>
      <w:r w:rsidRPr="00AA35C5">
        <w:t>Direct contact with galvanised or aluminium pipes and fittings unless the pH value is less than 11.</w:t>
      </w:r>
    </w:p>
    <w:p w14:paraId="2663DEC3" w14:textId="77777777" w:rsidR="00586ED6" w:rsidRPr="00AA35C5" w:rsidRDefault="00586ED6" w:rsidP="00586ED6">
      <w:pPr>
        <w:pStyle w:val="BodyTextIndentDot"/>
      </w:pPr>
      <w:r w:rsidRPr="00AA35C5">
        <w:t>Drainage layers unless the pH value is greater than 6.0 and less than 8.0.</w:t>
      </w:r>
    </w:p>
    <w:p w14:paraId="60659456" w14:textId="26F97687" w:rsidR="004223FF" w:rsidRPr="00AA35C5" w:rsidRDefault="64DCA07E" w:rsidP="00AD3434">
      <w:pPr>
        <w:pStyle w:val="BodyTextIndent"/>
      </w:pPr>
      <w:r w:rsidRPr="007B21A1">
        <w:t xml:space="preserve">Maximum percentage limits of each constituent </w:t>
      </w:r>
      <w:r w:rsidR="00772508" w:rsidRPr="007B21A1">
        <w:t xml:space="preserve">in recycled material blends </w:t>
      </w:r>
      <w:r w:rsidR="75CFC3D6" w:rsidRPr="007B21A1">
        <w:t xml:space="preserve">contained in </w:t>
      </w:r>
      <w:r w:rsidR="37E61871" w:rsidRPr="007B21A1">
        <w:t>Table</w:t>
      </w:r>
      <w:r w:rsidR="00767E2D" w:rsidRPr="007B21A1">
        <w:t> </w:t>
      </w:r>
      <w:r w:rsidR="37E61871" w:rsidRPr="007B21A1">
        <w:t>7.2.1 – Constituents in Type</w:t>
      </w:r>
      <w:r w:rsidR="0087117A" w:rsidRPr="007B21A1">
        <w:t> </w:t>
      </w:r>
      <w:r w:rsidR="37E61871" w:rsidRPr="007B21A1">
        <w:t>2 materials of</w:t>
      </w:r>
      <w:r w:rsidR="0087117A" w:rsidRPr="007B21A1">
        <w:t xml:space="preserve"> </w:t>
      </w:r>
      <w:r w:rsidR="00AD3434" w:rsidRPr="007B21A1">
        <w:t xml:space="preserve">Queensland Department of Transport and Main Roads Specification </w:t>
      </w:r>
      <w:r w:rsidR="00AD3434" w:rsidRPr="007B21A1">
        <w:rPr>
          <w:i/>
        </w:rPr>
        <w:t>MRTS</w:t>
      </w:r>
      <w:r w:rsidR="00AD3434" w:rsidRPr="007B21A1">
        <w:t> </w:t>
      </w:r>
      <w:r w:rsidR="40086C57" w:rsidRPr="007B21A1">
        <w:rPr>
          <w:i/>
          <w:iCs/>
        </w:rPr>
        <w:t>0</w:t>
      </w:r>
      <w:r w:rsidR="00AD3434" w:rsidRPr="007B21A1">
        <w:rPr>
          <w:i/>
          <w:iCs/>
        </w:rPr>
        <w:t>5</w:t>
      </w:r>
      <w:r w:rsidR="00AD3434" w:rsidRPr="007B21A1">
        <w:t xml:space="preserve"> </w:t>
      </w:r>
      <w:r w:rsidR="00AD3434" w:rsidRPr="007B21A1">
        <w:rPr>
          <w:i/>
        </w:rPr>
        <w:t xml:space="preserve">– </w:t>
      </w:r>
      <w:r w:rsidR="6ABF04C0" w:rsidRPr="007B21A1">
        <w:rPr>
          <w:i/>
          <w:iCs/>
        </w:rPr>
        <w:t>Unbound</w:t>
      </w:r>
      <w:r w:rsidR="00AD3434" w:rsidRPr="007B21A1">
        <w:rPr>
          <w:i/>
        </w:rPr>
        <w:t xml:space="preserve"> Pavements</w:t>
      </w:r>
      <w:r w:rsidR="00AD3434" w:rsidRPr="007B21A1">
        <w:t xml:space="preserve"> </w:t>
      </w:r>
      <w:r w:rsidR="004223FF" w:rsidRPr="007B21A1">
        <w:t>may be varied subject to evidence of acceptable performance of the proposed blend.</w:t>
      </w:r>
      <w:permStart w:id="103832158" w:edGrp="everyone"/>
      <w:permEnd w:id="103832158"/>
    </w:p>
    <w:p w14:paraId="33F89B9B" w14:textId="4C30F483" w:rsidR="007D4BEE" w:rsidRPr="00A92376" w:rsidRDefault="00A92376" w:rsidP="00A92376">
      <w:pPr>
        <w:pStyle w:val="Heading3"/>
      </w:pPr>
      <w:bookmarkStart w:id="24" w:name="_Toc517431357"/>
      <w:bookmarkStart w:id="25" w:name="_Toc76045707"/>
      <w:r w:rsidRPr="00A92376">
        <w:t>Granulated glass aggregate</w:t>
      </w:r>
      <w:bookmarkEnd w:id="24"/>
      <w:bookmarkEnd w:id="25"/>
    </w:p>
    <w:p w14:paraId="63766684" w14:textId="77777777" w:rsidR="007D4BEE" w:rsidRPr="00AA35C5" w:rsidRDefault="007D4BEE" w:rsidP="007D4BEE">
      <w:pPr>
        <w:pStyle w:val="BodyTextIndent"/>
      </w:pPr>
      <w:r w:rsidRPr="00AA35C5">
        <w:t xml:space="preserve">Requirement: Granulated glass aggregate means recycled glass cullet that has been processed and crushed to produce a ‘sand-like’ cubical glass material with a particle size diameter generally passing the 4.75 mm AS sieve, and that contains at least 98% recovered glass.  </w:t>
      </w:r>
    </w:p>
    <w:p w14:paraId="5047D4A8" w14:textId="77777777" w:rsidR="007D4BEE" w:rsidRPr="00AA35C5" w:rsidRDefault="007D4BEE" w:rsidP="007D4BEE">
      <w:pPr>
        <w:pStyle w:val="BodyTextIndent"/>
      </w:pPr>
      <w:r w:rsidRPr="00AA35C5">
        <w:t>Glass cullet shall be primarily container glass and shall not include glass from ceramics, cathode ray tubes, fluorescent light fittings and laboratory glassware.  It shall be cubical in shape, not sharp edged or elongated.</w:t>
      </w:r>
    </w:p>
    <w:p w14:paraId="6EB610C9" w14:textId="77777777" w:rsidR="007D4BEE" w:rsidRDefault="007D4BEE" w:rsidP="007D4BEE">
      <w:pPr>
        <w:pStyle w:val="BodyTextIndent"/>
      </w:pPr>
      <w:r w:rsidRPr="00AA35C5">
        <w:lastRenderedPageBreak/>
        <w:t>Foreign material: Granulated glass aggregate shall be generally free of contaminants such as paper, corks, metals, and other harmful materials (maximum limit of 2% by mass).  It must be washed and free of any putrid odour.</w:t>
      </w:r>
    </w:p>
    <w:sectPr w:rsidR="007D4BEE" w:rsidSect="00D80BBA">
      <w:footerReference w:type="default" r:id="rId19"/>
      <w:pgSz w:w="11906" w:h="16838" w:code="9"/>
      <w:pgMar w:top="1134" w:right="1418" w:bottom="992" w:left="1418"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4E105" w14:textId="77777777" w:rsidR="00E72240" w:rsidRDefault="00E72240">
      <w:r>
        <w:separator/>
      </w:r>
    </w:p>
  </w:endnote>
  <w:endnote w:type="continuationSeparator" w:id="0">
    <w:p w14:paraId="3048E8DD" w14:textId="77777777" w:rsidR="00E72240" w:rsidRDefault="00E72240">
      <w:r>
        <w:continuationSeparator/>
      </w:r>
    </w:p>
  </w:endnote>
  <w:endnote w:type="continuationNotice" w:id="1">
    <w:p w14:paraId="1FF5D600" w14:textId="77777777" w:rsidR="00E72240" w:rsidRDefault="00E722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E140" w14:textId="77957E6C" w:rsidR="00B94EDA" w:rsidRPr="00041DA0" w:rsidRDefault="00B94EDA" w:rsidP="00041DA0">
    <w:pPr>
      <w:pStyle w:val="Footer"/>
    </w:pPr>
    <w:r w:rsidRPr="00041DA0">
      <w:t xml:space="preserve">Revision </w:t>
    </w:r>
    <w:r w:rsidR="00711534">
      <w:t>5</w:t>
    </w:r>
    <w:r w:rsidRPr="008D292F">
      <w:t xml:space="preserve">.0 – </w:t>
    </w:r>
    <w:bookmarkStart w:id="4" w:name="_Hlk68687220"/>
    <w:r w:rsidR="00E578E5">
      <w:t>March 2021</w:t>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CD9E" w14:textId="77777777" w:rsidR="007447A0" w:rsidRDefault="007447A0">
    <w:pPr>
      <w:pStyle w:val="Footer"/>
    </w:pPr>
    <w:r>
      <w:rPr>
        <w:noProof/>
      </w:rPr>
      <mc:AlternateContent>
        <mc:Choice Requires="wps">
          <w:drawing>
            <wp:anchor distT="0" distB="0" distL="114300" distR="114300" simplePos="0" relativeHeight="251658247" behindDoc="0" locked="0" layoutInCell="1" allowOverlap="1" wp14:anchorId="68F8EB3A" wp14:editId="30650410">
              <wp:simplePos x="0" y="0"/>
              <wp:positionH relativeFrom="page">
                <wp:posOffset>4250877</wp:posOffset>
              </wp:positionH>
              <wp:positionV relativeFrom="page">
                <wp:posOffset>6788149</wp:posOffset>
              </wp:positionV>
              <wp:extent cx="5835432" cy="359315"/>
              <wp:effectExtent l="2661920" t="0" r="26562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35432" cy="35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1081DC" w14:textId="77777777" w:rsidR="007447A0" w:rsidRPr="00D93AC1" w:rsidRDefault="007447A0" w:rsidP="007447A0">
                          <w:pPr>
                            <w:pStyle w:val="NormalWeb"/>
                            <w:rPr>
                              <w:rFonts w:ascii="Arial Bold" w:hAnsi="Arial Bold"/>
                              <w:sz w:val="28"/>
                              <w:szCs w:val="28"/>
                            </w:rPr>
                          </w:pPr>
                          <w:r w:rsidRPr="00092590">
                            <w:rPr>
                              <w:rFonts w:ascii="Arial Bold" w:hAnsi="Arial Bold" w:cs="Arial"/>
                              <w:b/>
                              <w:bCs/>
                              <w:i/>
                              <w:iCs/>
                              <w:sz w:val="28"/>
                              <w:szCs w:val="28"/>
                            </w:rPr>
                            <w:t xml:space="preserve">S300 </w:t>
                          </w:r>
                          <w:r>
                            <w:rPr>
                              <w:rFonts w:ascii="Arial Bold" w:hAnsi="Arial Bold" w:cs="Arial"/>
                              <w:b/>
                              <w:bCs/>
                              <w:i/>
                              <w:iCs/>
                              <w:sz w:val="28"/>
                              <w:szCs w:val="28"/>
                            </w:rPr>
                            <w:t xml:space="preserve"> </w:t>
                          </w:r>
                          <w:r w:rsidRPr="00092590">
                            <w:rPr>
                              <w:rFonts w:ascii="Arial Bold" w:hAnsi="Arial Bold" w:cs="Arial"/>
                              <w:b/>
                              <w:bCs/>
                              <w:i/>
                              <w:iCs/>
                              <w:sz w:val="28"/>
                              <w:szCs w:val="28"/>
                            </w:rPr>
                            <w:t>QUARRY PRODUCTS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8EB3A" id="_x0000_t202" coordsize="21600,21600" o:spt="202" path="m,l,21600r21600,l21600,xe">
              <v:stroke joinstyle="miter"/>
              <v:path gradientshapeok="t" o:connecttype="rect"/>
            </v:shapetype>
            <v:shape id="Text Box 11" o:spid="_x0000_s1027" type="#_x0000_t202" style="position:absolute;left:0;text-align:left;margin-left:334.7pt;margin-top:534.5pt;width:459.5pt;height:28.3pt;rotation:-5921140fd;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" filled="f" stroked="f">
              <v:stroke joinstyle="round"/>
              <o:lock v:ext="edit" shapetype="t"/>
              <v:textbox style="layout-flow:vertical;mso-layout-flow-alt:bottom-to-top">
                <w:txbxContent>
                  <w:p w14:paraId="671081DC" w14:textId="77777777" w:rsidR="007447A0" w:rsidRPr="00D93AC1" w:rsidRDefault="007447A0" w:rsidP="007447A0">
                    <w:pPr>
                      <w:pStyle w:val="NormalWeb"/>
                      <w:rPr>
                        <w:rFonts w:ascii="Arial Bold" w:hAnsi="Arial Bold"/>
                        <w:sz w:val="28"/>
                        <w:szCs w:val="28"/>
                      </w:rPr>
                    </w:pPr>
                    <w:r w:rsidRPr="00092590">
                      <w:rPr>
                        <w:rFonts w:ascii="Arial Bold" w:hAnsi="Arial Bold" w:cs="Arial"/>
                        <w:b/>
                        <w:bCs/>
                        <w:i/>
                        <w:iCs/>
                        <w:sz w:val="28"/>
                        <w:szCs w:val="28"/>
                      </w:rPr>
                      <w:t xml:space="preserve">S300 </w:t>
                    </w:r>
                    <w:r>
                      <w:rPr>
                        <w:rFonts w:ascii="Arial Bold" w:hAnsi="Arial Bold" w:cs="Arial"/>
                        <w:b/>
                        <w:bCs/>
                        <w:i/>
                        <w:iCs/>
                        <w:sz w:val="28"/>
                        <w:szCs w:val="28"/>
                      </w:rPr>
                      <w:t xml:space="preserve"> </w:t>
                    </w:r>
                    <w:r w:rsidRPr="00092590">
                      <w:rPr>
                        <w:rFonts w:ascii="Arial Bold" w:hAnsi="Arial Bold" w:cs="Arial"/>
                        <w:b/>
                        <w:bCs/>
                        <w:i/>
                        <w:iCs/>
                        <w:sz w:val="28"/>
                        <w:szCs w:val="28"/>
                      </w:rPr>
                      <w:t>QUARRY PRODUCTS</w:t>
                    </w:r>
                  </w:p>
                </w:txbxContent>
              </v:textbox>
              <w10:wrap anchorx="page" anchory="page"/>
            </v:shape>
          </w:pict>
        </mc:Fallback>
      </mc:AlternateContent>
    </w:r>
    <w:r w:rsidRPr="00041DA0">
      <w:t xml:space="preserve">Revision </w:t>
    </w:r>
    <w:r>
      <w:t>5</w:t>
    </w:r>
    <w:r w:rsidRPr="008D292F">
      <w:t xml:space="preserve">.0 – </w:t>
    </w:r>
    <w:r w:rsidRPr="00B86696">
      <w:t xml:space="preserve">November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E417" w14:textId="77777777" w:rsidR="00497ED9" w:rsidRPr="00041DA0" w:rsidRDefault="00497ED9" w:rsidP="00041DA0">
    <w:pPr>
      <w:pStyle w:val="Footer"/>
    </w:pPr>
    <w:r>
      <w:rPr>
        <w:noProof/>
      </w:rPr>
      <mc:AlternateContent>
        <mc:Choice Requires="wps">
          <w:drawing>
            <wp:anchor distT="0" distB="0" distL="114300" distR="114300" simplePos="0" relativeHeight="251662343" behindDoc="0" locked="0" layoutInCell="1" allowOverlap="1" wp14:anchorId="3B41285D" wp14:editId="4DB641BD">
              <wp:simplePos x="0" y="0"/>
              <wp:positionH relativeFrom="page">
                <wp:posOffset>4250877</wp:posOffset>
              </wp:positionH>
              <wp:positionV relativeFrom="page">
                <wp:posOffset>6788149</wp:posOffset>
              </wp:positionV>
              <wp:extent cx="5835432" cy="359315"/>
              <wp:effectExtent l="2661920" t="0" r="26562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35432" cy="35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3FDDFE" w14:textId="77777777" w:rsidR="00497ED9" w:rsidRPr="00D93AC1" w:rsidRDefault="00497ED9" w:rsidP="00711534">
                          <w:pPr>
                            <w:pStyle w:val="NormalWeb"/>
                            <w:rPr>
                              <w:rFonts w:ascii="Arial Bold" w:hAnsi="Arial Bold"/>
                              <w:sz w:val="28"/>
                              <w:szCs w:val="28"/>
                            </w:rPr>
                          </w:pPr>
                          <w:r w:rsidRPr="00092590">
                            <w:rPr>
                              <w:rFonts w:ascii="Arial Bold" w:hAnsi="Arial Bold" w:cs="Arial"/>
                              <w:b/>
                              <w:bCs/>
                              <w:i/>
                              <w:iCs/>
                              <w:sz w:val="28"/>
                              <w:szCs w:val="28"/>
                            </w:rPr>
                            <w:t>S300QUARRY PRODUCTS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285D" id="_x0000_t202" coordsize="21600,21600" o:spt="202" path="m,l,21600r21600,l21600,xe">
              <v:stroke joinstyle="miter"/>
              <v:path gradientshapeok="t" o:connecttype="rect"/>
            </v:shapetype>
            <v:shape id="Text Box 2" o:spid="_x0000_s1028" type="#_x0000_t202" style="position:absolute;left:0;text-align:left;margin-left:334.7pt;margin-top:534.5pt;width:459.5pt;height:28.3pt;rotation:-5921140fd;z-index:251662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" filled="f" stroked="f">
              <v:stroke joinstyle="round"/>
              <o:lock v:ext="edit" shapetype="t"/>
              <v:textbox style="layout-flow:vertical;mso-layout-flow-alt:bottom-to-top">
                <w:txbxContent>
                  <w:p w14:paraId="723FDDFE" w14:textId="77777777" w:rsidR="00497ED9" w:rsidRPr="00D93AC1" w:rsidRDefault="00497ED9" w:rsidP="00711534">
                    <w:pPr>
                      <w:pStyle w:val="NormalWeb"/>
                      <w:rPr>
                        <w:rFonts w:ascii="Arial Bold" w:hAnsi="Arial Bold"/>
                        <w:sz w:val="28"/>
                        <w:szCs w:val="28"/>
                      </w:rPr>
                    </w:pPr>
                    <w:r w:rsidRPr="00092590">
                      <w:rPr>
                        <w:rFonts w:ascii="Arial Bold" w:hAnsi="Arial Bold" w:cs="Arial"/>
                        <w:b/>
                        <w:bCs/>
                        <w:i/>
                        <w:iCs/>
                        <w:sz w:val="28"/>
                        <w:szCs w:val="28"/>
                      </w:rPr>
                      <w:t>S300QUARRY PRODUCTS</w:t>
                    </w:r>
                  </w:p>
                </w:txbxContent>
              </v:textbox>
              <w10:wrap anchorx="page" anchory="page"/>
            </v:shape>
          </w:pict>
        </mc:Fallback>
      </mc:AlternateContent>
    </w:r>
    <w:r w:rsidRPr="00041DA0">
      <w:t xml:space="preserve">Revision </w:t>
    </w:r>
    <w:r>
      <w:t>5</w:t>
    </w:r>
    <w:r w:rsidRPr="008D292F">
      <w:t xml:space="preserve">.0 – </w:t>
    </w:r>
    <w:r>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437B" w14:textId="47D2BAF7" w:rsidR="00711534" w:rsidRDefault="00711534" w:rsidP="00041DA0">
    <w:pPr>
      <w:pStyle w:val="Footer"/>
    </w:pPr>
    <w:r>
      <w:rPr>
        <w:noProof/>
      </w:rPr>
      <mc:AlternateContent>
        <mc:Choice Requires="wps">
          <w:drawing>
            <wp:anchor distT="0" distB="0" distL="114300" distR="114300" simplePos="0" relativeHeight="251658243" behindDoc="0" locked="0" layoutInCell="1" allowOverlap="1" wp14:anchorId="54F82BEA" wp14:editId="4FB9A0B3">
              <wp:simplePos x="0" y="0"/>
              <wp:positionH relativeFrom="page">
                <wp:posOffset>4250877</wp:posOffset>
              </wp:positionH>
              <wp:positionV relativeFrom="page">
                <wp:posOffset>6788149</wp:posOffset>
              </wp:positionV>
              <wp:extent cx="5835432" cy="359315"/>
              <wp:effectExtent l="2661920" t="0" r="26562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35432" cy="35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B0DEC69" w14:textId="5205B29D" w:rsidR="00711534" w:rsidRPr="00D93AC1" w:rsidRDefault="00711534" w:rsidP="00711534">
                          <w:pPr>
                            <w:pStyle w:val="NormalWeb"/>
                            <w:rPr>
                              <w:rFonts w:ascii="Arial Bold" w:hAnsi="Arial Bold"/>
                              <w:sz w:val="28"/>
                              <w:szCs w:val="28"/>
                            </w:rPr>
                          </w:pPr>
                          <w:r w:rsidRPr="00092590">
                            <w:rPr>
                              <w:rFonts w:ascii="Arial Bold" w:hAnsi="Arial Bold" w:cs="Arial"/>
                              <w:b/>
                              <w:bCs/>
                              <w:i/>
                              <w:iCs/>
                              <w:sz w:val="28"/>
                              <w:szCs w:val="28"/>
                            </w:rPr>
                            <w:t>S300 QUARRY PRODUCTS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2BEA" id="_x0000_t202" coordsize="21600,21600" o:spt="202" path="m,l,21600r21600,l21600,xe">
              <v:stroke joinstyle="miter"/>
              <v:path gradientshapeok="t" o:connecttype="rect"/>
            </v:shapetype>
            <v:shape id="Text Box 6" o:spid="_x0000_s1029" type="#_x0000_t202" style="position:absolute;left:0;text-align:left;margin-left:334.7pt;margin-top:534.5pt;width:459.5pt;height:28.3pt;rotation:-5921140fd;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" filled="f" stroked="f">
              <v:stroke joinstyle="round"/>
              <o:lock v:ext="edit" shapetype="t"/>
              <v:textbox style="layout-flow:vertical;mso-layout-flow-alt:bottom-to-top">
                <w:txbxContent>
                  <w:p w14:paraId="7B0DEC69" w14:textId="5205B29D" w:rsidR="00711534" w:rsidRPr="00D93AC1" w:rsidRDefault="00711534" w:rsidP="00711534">
                    <w:pPr>
                      <w:pStyle w:val="NormalWeb"/>
                      <w:rPr>
                        <w:rFonts w:ascii="Arial Bold" w:hAnsi="Arial Bold"/>
                        <w:sz w:val="28"/>
                        <w:szCs w:val="28"/>
                      </w:rPr>
                    </w:pPr>
                    <w:r w:rsidRPr="00092590">
                      <w:rPr>
                        <w:rFonts w:ascii="Arial Bold" w:hAnsi="Arial Bold" w:cs="Arial"/>
                        <w:b/>
                        <w:bCs/>
                        <w:i/>
                        <w:iCs/>
                        <w:sz w:val="28"/>
                        <w:szCs w:val="28"/>
                      </w:rPr>
                      <w:t>S300 QUARRY PRODUCTS</w:t>
                    </w:r>
                  </w:p>
                </w:txbxContent>
              </v:textbox>
              <w10:wrap anchorx="page" anchory="page"/>
            </v:shape>
          </w:pict>
        </mc:Fallback>
      </mc:AlternateContent>
    </w:r>
    <w:r w:rsidRPr="00041DA0">
      <w:t xml:space="preserve">Revision </w:t>
    </w:r>
    <w:r>
      <w:t>5</w:t>
    </w:r>
    <w:r w:rsidRPr="008D292F">
      <w:t xml:space="preserve">.0 – </w:t>
    </w:r>
    <w:r w:rsidR="00E578E5" w:rsidRPr="00E578E5">
      <w:t>March 2021</w:t>
    </w:r>
  </w:p>
  <w:p w14:paraId="2F6FB088" w14:textId="77777777" w:rsidR="00711534" w:rsidRPr="00041DA0" w:rsidRDefault="00711534" w:rsidP="00041DA0">
    <w:pPr>
      <w:pStyle w:val="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273F" w14:textId="55CF4180" w:rsidR="00711534" w:rsidRPr="00041DA0" w:rsidRDefault="00711534" w:rsidP="00041DA0">
    <w:pPr>
      <w:pStyle w:val="Footer"/>
    </w:pPr>
    <w:r>
      <w:rPr>
        <w:noProof/>
      </w:rPr>
      <mc:AlternateContent>
        <mc:Choice Requires="wps">
          <w:drawing>
            <wp:anchor distT="0" distB="0" distL="114300" distR="114300" simplePos="0" relativeHeight="251658245" behindDoc="0" locked="0" layoutInCell="1" allowOverlap="1" wp14:anchorId="1F56D410" wp14:editId="611225E7">
              <wp:simplePos x="0" y="0"/>
              <wp:positionH relativeFrom="page">
                <wp:posOffset>4250877</wp:posOffset>
              </wp:positionH>
              <wp:positionV relativeFrom="page">
                <wp:posOffset>6788149</wp:posOffset>
              </wp:positionV>
              <wp:extent cx="5835432" cy="359315"/>
              <wp:effectExtent l="2661920" t="0" r="26562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35432" cy="35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071B38" w14:textId="3FA216B7" w:rsidR="00711534" w:rsidRPr="00D93AC1" w:rsidRDefault="00711534" w:rsidP="00711534">
                          <w:pPr>
                            <w:pStyle w:val="NormalWeb"/>
                            <w:rPr>
                              <w:rFonts w:ascii="Arial Bold" w:hAnsi="Arial Bold"/>
                              <w:sz w:val="28"/>
                              <w:szCs w:val="28"/>
                            </w:rPr>
                          </w:pPr>
                          <w:r w:rsidRPr="00092590">
                            <w:rPr>
                              <w:rFonts w:ascii="Arial Bold" w:hAnsi="Arial Bold" w:cs="Arial"/>
                              <w:b/>
                              <w:bCs/>
                              <w:i/>
                              <w:iCs/>
                              <w:sz w:val="28"/>
                              <w:szCs w:val="28"/>
                            </w:rPr>
                            <w:t>S300</w:t>
                          </w:r>
                          <w:r>
                            <w:rPr>
                              <w:rFonts w:ascii="Arial Bold" w:hAnsi="Arial Bold" w:cs="Arial"/>
                              <w:b/>
                              <w:bCs/>
                              <w:i/>
                              <w:iCs/>
                              <w:sz w:val="28"/>
                              <w:szCs w:val="28"/>
                            </w:rPr>
                            <w:t xml:space="preserve"> </w:t>
                          </w:r>
                          <w:r w:rsidRPr="00092590">
                            <w:rPr>
                              <w:rFonts w:ascii="Arial Bold" w:hAnsi="Arial Bold" w:cs="Arial"/>
                              <w:b/>
                              <w:bCs/>
                              <w:i/>
                              <w:iCs/>
                              <w:sz w:val="28"/>
                              <w:szCs w:val="28"/>
                            </w:rPr>
                            <w:t>QUARRY PRODUCTS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6D410" id="_x0000_t202" coordsize="21600,21600" o:spt="202" path="m,l,21600r21600,l21600,xe">
              <v:stroke joinstyle="miter"/>
              <v:path gradientshapeok="t" o:connecttype="rect"/>
            </v:shapetype>
            <v:shape id="Text Box 9" o:spid="_x0000_s1030" type="#_x0000_t202" style="position:absolute;left:0;text-align:left;margin-left:334.7pt;margin-top:534.5pt;width:459.5pt;height:28.3pt;rotation:-5921140fd;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" filled="f" stroked="f">
              <v:stroke joinstyle="round"/>
              <o:lock v:ext="edit" shapetype="t"/>
              <v:textbox style="layout-flow:vertical;mso-layout-flow-alt:bottom-to-top">
                <w:txbxContent>
                  <w:p w14:paraId="32071B38" w14:textId="3FA216B7" w:rsidR="00711534" w:rsidRPr="00D93AC1" w:rsidRDefault="00711534" w:rsidP="00711534">
                    <w:pPr>
                      <w:pStyle w:val="NormalWeb"/>
                      <w:rPr>
                        <w:rFonts w:ascii="Arial Bold" w:hAnsi="Arial Bold"/>
                        <w:sz w:val="28"/>
                        <w:szCs w:val="28"/>
                      </w:rPr>
                    </w:pPr>
                    <w:r w:rsidRPr="00092590">
                      <w:rPr>
                        <w:rFonts w:ascii="Arial Bold" w:hAnsi="Arial Bold" w:cs="Arial"/>
                        <w:b/>
                        <w:bCs/>
                        <w:i/>
                        <w:iCs/>
                        <w:sz w:val="28"/>
                        <w:szCs w:val="28"/>
                      </w:rPr>
                      <w:t>S300</w:t>
                    </w:r>
                    <w:r>
                      <w:rPr>
                        <w:rFonts w:ascii="Arial Bold" w:hAnsi="Arial Bold" w:cs="Arial"/>
                        <w:b/>
                        <w:bCs/>
                        <w:i/>
                        <w:iCs/>
                        <w:sz w:val="28"/>
                        <w:szCs w:val="28"/>
                      </w:rPr>
                      <w:t xml:space="preserve"> </w:t>
                    </w:r>
                    <w:r w:rsidRPr="00092590">
                      <w:rPr>
                        <w:rFonts w:ascii="Arial Bold" w:hAnsi="Arial Bold" w:cs="Arial"/>
                        <w:b/>
                        <w:bCs/>
                        <w:i/>
                        <w:iCs/>
                        <w:sz w:val="28"/>
                        <w:szCs w:val="28"/>
                      </w:rPr>
                      <w:t>QUARRY PRODUCTS</w:t>
                    </w:r>
                  </w:p>
                </w:txbxContent>
              </v:textbox>
              <w10:wrap anchorx="page" anchory="page"/>
            </v:shape>
          </w:pict>
        </mc:Fallback>
      </mc:AlternateContent>
    </w:r>
    <w:r w:rsidRPr="00041DA0">
      <w:t xml:space="preserve">Revision </w:t>
    </w:r>
    <w:r>
      <w:t>5</w:t>
    </w:r>
    <w:r w:rsidRPr="008D292F">
      <w:t xml:space="preserve">.0 – </w:t>
    </w:r>
    <w:r w:rsidR="00E578E5" w:rsidRPr="00E578E5">
      <w:t>March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DF65" w14:textId="5276144E" w:rsidR="00711534" w:rsidRPr="00041DA0" w:rsidRDefault="00711534" w:rsidP="00041DA0">
    <w:pPr>
      <w:pStyle w:val="Footer"/>
    </w:pPr>
    <w:r>
      <w:rPr>
        <w:noProof/>
      </w:rPr>
      <mc:AlternateContent>
        <mc:Choice Requires="wps">
          <w:drawing>
            <wp:anchor distT="0" distB="0" distL="114300" distR="114300" simplePos="0" relativeHeight="251658244" behindDoc="0" locked="0" layoutInCell="1" allowOverlap="1" wp14:anchorId="104502AF" wp14:editId="4284BF67">
              <wp:simplePos x="0" y="0"/>
              <wp:positionH relativeFrom="page">
                <wp:posOffset>4250877</wp:posOffset>
              </wp:positionH>
              <wp:positionV relativeFrom="page">
                <wp:posOffset>6788149</wp:posOffset>
              </wp:positionV>
              <wp:extent cx="5835432" cy="359315"/>
              <wp:effectExtent l="2661920" t="0" r="26562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35432" cy="35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496B4D7" w14:textId="484E309D" w:rsidR="00711534" w:rsidRPr="00D93AC1" w:rsidRDefault="00711534" w:rsidP="00711534">
                          <w:pPr>
                            <w:pStyle w:val="NormalWeb"/>
                            <w:rPr>
                              <w:rFonts w:ascii="Arial Bold" w:hAnsi="Arial Bold"/>
                              <w:sz w:val="28"/>
                              <w:szCs w:val="28"/>
                            </w:rPr>
                          </w:pPr>
                          <w:r w:rsidRPr="00092590">
                            <w:rPr>
                              <w:rFonts w:ascii="Arial Bold" w:hAnsi="Arial Bold" w:cs="Arial"/>
                              <w:b/>
                              <w:bCs/>
                              <w:i/>
                              <w:iCs/>
                              <w:sz w:val="28"/>
                              <w:szCs w:val="28"/>
                            </w:rPr>
                            <w:t>S300 QUARRY PRODUCTS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02AF" id="_x0000_t202" coordsize="21600,21600" o:spt="202" path="m,l,21600r21600,l21600,xe">
              <v:stroke joinstyle="miter"/>
              <v:path gradientshapeok="t" o:connecttype="rect"/>
            </v:shapetype>
            <v:shape id="Text Box 8" o:spid="_x0000_s1031" type="#_x0000_t202" style="position:absolute;left:0;text-align:left;margin-left:334.7pt;margin-top:534.5pt;width:459.5pt;height:28.3pt;rotation:-5921140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" filled="f" stroked="f">
              <v:stroke joinstyle="round"/>
              <o:lock v:ext="edit" shapetype="t"/>
              <v:textbox style="layout-flow:vertical;mso-layout-flow-alt:bottom-to-top">
                <w:txbxContent>
                  <w:p w14:paraId="4496B4D7" w14:textId="484E309D" w:rsidR="00711534" w:rsidRPr="00D93AC1" w:rsidRDefault="00711534" w:rsidP="00711534">
                    <w:pPr>
                      <w:pStyle w:val="NormalWeb"/>
                      <w:rPr>
                        <w:rFonts w:ascii="Arial Bold" w:hAnsi="Arial Bold"/>
                        <w:sz w:val="28"/>
                        <w:szCs w:val="28"/>
                      </w:rPr>
                    </w:pPr>
                    <w:r w:rsidRPr="00092590">
                      <w:rPr>
                        <w:rFonts w:ascii="Arial Bold" w:hAnsi="Arial Bold" w:cs="Arial"/>
                        <w:b/>
                        <w:bCs/>
                        <w:i/>
                        <w:iCs/>
                        <w:sz w:val="28"/>
                        <w:szCs w:val="28"/>
                      </w:rPr>
                      <w:t>S300 QUARRY PRODUCTS</w:t>
                    </w:r>
                  </w:p>
                </w:txbxContent>
              </v:textbox>
              <w10:wrap anchorx="page" anchory="page"/>
            </v:shape>
          </w:pict>
        </mc:Fallback>
      </mc:AlternateContent>
    </w:r>
    <w:r w:rsidRPr="00041DA0">
      <w:t xml:space="preserve">Revision </w:t>
    </w:r>
    <w:r>
      <w:t>5</w:t>
    </w:r>
    <w:r w:rsidRPr="008D292F">
      <w:t xml:space="preserve">.0 – </w:t>
    </w:r>
    <w:r w:rsidR="00E578E5" w:rsidRPr="00E578E5">
      <w:t>March 2021</w:t>
    </w:r>
    <w:r w:rsidR="00D54DA5">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2DA6" w14:textId="77777777" w:rsidR="00E72240" w:rsidRDefault="00E72240">
      <w:r>
        <w:separator/>
      </w:r>
    </w:p>
  </w:footnote>
  <w:footnote w:type="continuationSeparator" w:id="0">
    <w:p w14:paraId="7426187D" w14:textId="77777777" w:rsidR="00E72240" w:rsidRDefault="00E72240">
      <w:r>
        <w:continuationSeparator/>
      </w:r>
    </w:p>
  </w:footnote>
  <w:footnote w:type="continuationNotice" w:id="1">
    <w:p w14:paraId="6225A133" w14:textId="77777777" w:rsidR="00E72240" w:rsidRDefault="00E722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4CC5" w14:textId="77777777" w:rsidR="00B94EDA" w:rsidRDefault="00B94EDA">
    <w:pPr>
      <w:pStyle w:val="Header"/>
    </w:pPr>
    <w:r>
      <w:rPr>
        <w:noProof/>
      </w:rPr>
      <mc:AlternateContent>
        <mc:Choice Requires="wps">
          <w:drawing>
            <wp:anchor distT="0" distB="0" distL="114300" distR="114300" simplePos="0" relativeHeight="251658240" behindDoc="0" locked="0" layoutInCell="0" allowOverlap="1" wp14:anchorId="3F7F192D" wp14:editId="09F596F0">
              <wp:simplePos x="0" y="0"/>
              <wp:positionH relativeFrom="column">
                <wp:posOffset>3848100</wp:posOffset>
              </wp:positionH>
              <wp:positionV relativeFrom="paragraph">
                <wp:posOffset>3780790</wp:posOffset>
              </wp:positionV>
              <wp:extent cx="419100" cy="54292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79AFA55C" w14:textId="77777777" w:rsidR="00B94EDA" w:rsidRDefault="00B94EDA" w:rsidP="009D2A10">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7F192D"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7/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i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6GjO/w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79AFA55C" w14:textId="77777777" w:rsidR="00B94EDA" w:rsidRDefault="00B94EDA" w:rsidP="009D2A10">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1ED8" w14:textId="50CE635D" w:rsidR="00B94EDA" w:rsidRDefault="00B94EDA" w:rsidP="008C1C96">
    <w:pPr>
      <w:pStyle w:val="Header"/>
    </w:pPr>
    <w:r>
      <w:rPr>
        <w:noProof/>
      </w:rPr>
      <w:drawing>
        <wp:inline distT="0" distB="0" distL="0" distR="0" wp14:anchorId="2DAC2285" wp14:editId="1877990C">
          <wp:extent cx="1382365" cy="720000"/>
          <wp:effectExtent l="0" t="0" r="8890" b="4445"/>
          <wp:docPr id="31" name="Picture 31"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65"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F07C" w14:textId="7F2F3D82" w:rsidR="00497ED9" w:rsidRDefault="00497ED9" w:rsidP="008C1C96">
    <w:pPr>
      <w:pStyle w:val="Header"/>
    </w:pPr>
    <w:r w:rsidRPr="008C1C96">
      <w:t>Brisbane City Council</w:t>
    </w:r>
    <w:r w:rsidR="001F5C7B">
      <w:tab/>
    </w:r>
    <w:r w:rsidRPr="007B21A1">
      <w:t>Reference Specifications for Engineering Work</w:t>
    </w:r>
    <w:r w:rsidR="001F5C7B">
      <w:t xml:space="preserve"> </w:t>
    </w:r>
    <w:r w:rsidRPr="008C1C96">
      <w:t>S300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6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460AFC"/>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41EC8"/>
    <w:multiLevelType w:val="multilevel"/>
    <w:tmpl w:val="0E54E9B4"/>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E9E3DDB"/>
    <w:multiLevelType w:val="hybridMultilevel"/>
    <w:tmpl w:val="B1849C22"/>
    <w:lvl w:ilvl="0" w:tplc="9CB6697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5" w15:restartNumberingAfterBreak="0">
    <w:nsid w:val="2DFF48FD"/>
    <w:multiLevelType w:val="singleLevel"/>
    <w:tmpl w:val="B53E85BC"/>
    <w:lvl w:ilvl="0">
      <w:start w:val="1"/>
      <w:numFmt w:val="bullet"/>
      <w:pStyle w:val="bullets"/>
      <w:lvlText w:val=""/>
      <w:lvlJc w:val="left"/>
      <w:pPr>
        <w:tabs>
          <w:tab w:val="num" w:pos="360"/>
        </w:tabs>
        <w:ind w:left="360" w:hanging="360"/>
      </w:pPr>
      <w:rPr>
        <w:rFonts w:ascii="Wingdings" w:hAnsi="Wingdings" w:hint="default"/>
      </w:rPr>
    </w:lvl>
  </w:abstractNum>
  <w:abstractNum w:abstractNumId="6" w15:restartNumberingAfterBreak="0">
    <w:nsid w:val="30B37B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B42251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3653143"/>
    <w:multiLevelType w:val="hybridMultilevel"/>
    <w:tmpl w:val="068477C8"/>
    <w:lvl w:ilvl="0" w:tplc="3B9AFD44">
      <w:start w:val="1"/>
      <w:numFmt w:val="bullet"/>
      <w:lvlText w:val=""/>
      <w:lvlJc w:val="left"/>
      <w:pPr>
        <w:tabs>
          <w:tab w:val="num" w:pos="1145"/>
        </w:tabs>
        <w:ind w:left="114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E90C85"/>
    <w:multiLevelType w:val="hybridMultilevel"/>
    <w:tmpl w:val="0C090005"/>
    <w:lvl w:ilvl="0" w:tplc="60CE15AC">
      <w:start w:val="1"/>
      <w:numFmt w:val="bullet"/>
      <w:lvlText w:val=""/>
      <w:lvlJc w:val="left"/>
      <w:pPr>
        <w:tabs>
          <w:tab w:val="num" w:pos="360"/>
        </w:tabs>
        <w:ind w:left="360" w:hanging="360"/>
      </w:pPr>
      <w:rPr>
        <w:rFonts w:ascii="Wingdings" w:hAnsi="Wingdings" w:hint="default"/>
      </w:rPr>
    </w:lvl>
    <w:lvl w:ilvl="1" w:tplc="D0BC7244">
      <w:numFmt w:val="decimal"/>
      <w:lvlText w:val=""/>
      <w:lvlJc w:val="left"/>
    </w:lvl>
    <w:lvl w:ilvl="2" w:tplc="1578FF04">
      <w:numFmt w:val="decimal"/>
      <w:lvlText w:val=""/>
      <w:lvlJc w:val="left"/>
    </w:lvl>
    <w:lvl w:ilvl="3" w:tplc="FFEEF590">
      <w:numFmt w:val="decimal"/>
      <w:lvlText w:val=""/>
      <w:lvlJc w:val="left"/>
    </w:lvl>
    <w:lvl w:ilvl="4" w:tplc="26808640">
      <w:numFmt w:val="decimal"/>
      <w:lvlText w:val=""/>
      <w:lvlJc w:val="left"/>
    </w:lvl>
    <w:lvl w:ilvl="5" w:tplc="CFE2CBDE">
      <w:numFmt w:val="decimal"/>
      <w:lvlText w:val=""/>
      <w:lvlJc w:val="left"/>
    </w:lvl>
    <w:lvl w:ilvl="6" w:tplc="986C056A">
      <w:numFmt w:val="decimal"/>
      <w:lvlText w:val=""/>
      <w:lvlJc w:val="left"/>
    </w:lvl>
    <w:lvl w:ilvl="7" w:tplc="FF7E13F0">
      <w:numFmt w:val="decimal"/>
      <w:lvlText w:val=""/>
      <w:lvlJc w:val="left"/>
    </w:lvl>
    <w:lvl w:ilvl="8" w:tplc="38744038">
      <w:numFmt w:val="decimal"/>
      <w:lvlText w:val=""/>
      <w:lvlJc w:val="left"/>
    </w:lvl>
  </w:abstractNum>
  <w:abstractNum w:abstractNumId="10" w15:restartNumberingAfterBreak="0">
    <w:nsid w:val="574B1EE8"/>
    <w:multiLevelType w:val="multilevel"/>
    <w:tmpl w:val="068477C8"/>
    <w:lvl w:ilvl="0">
      <w:start w:val="1"/>
      <w:numFmt w:val="bullet"/>
      <w:lvlText w:val=""/>
      <w:lvlJc w:val="left"/>
      <w:pPr>
        <w:tabs>
          <w:tab w:val="num" w:pos="1145"/>
        </w:tabs>
        <w:ind w:left="1145" w:hanging="425"/>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E67955"/>
    <w:multiLevelType w:val="hybridMultilevel"/>
    <w:tmpl w:val="5BCE7DA8"/>
    <w:lvl w:ilvl="0" w:tplc="48520150">
      <w:start w:val="1"/>
      <w:numFmt w:val="bullet"/>
      <w:pStyle w:val="BodyTextIndentDot"/>
      <w:lvlText w:val=""/>
      <w:lvlJc w:val="left"/>
      <w:pPr>
        <w:tabs>
          <w:tab w:val="num" w:pos="992"/>
        </w:tabs>
        <w:ind w:left="992" w:hanging="283"/>
      </w:pPr>
      <w:rPr>
        <w:rFonts w:ascii="Wingdings" w:hAnsi="Wingdings" w:hint="default"/>
      </w:rPr>
    </w:lvl>
    <w:lvl w:ilvl="1" w:tplc="B7748EDE">
      <w:numFmt w:val="decimal"/>
      <w:lvlText w:val=""/>
      <w:lvlJc w:val="left"/>
    </w:lvl>
    <w:lvl w:ilvl="2" w:tplc="87C2B010">
      <w:numFmt w:val="decimal"/>
      <w:lvlText w:val=""/>
      <w:lvlJc w:val="left"/>
    </w:lvl>
    <w:lvl w:ilvl="3" w:tplc="CADE4566">
      <w:numFmt w:val="decimal"/>
      <w:lvlText w:val=""/>
      <w:lvlJc w:val="left"/>
    </w:lvl>
    <w:lvl w:ilvl="4" w:tplc="A8323824">
      <w:numFmt w:val="decimal"/>
      <w:lvlText w:val=""/>
      <w:lvlJc w:val="left"/>
    </w:lvl>
    <w:lvl w:ilvl="5" w:tplc="319809C4">
      <w:numFmt w:val="decimal"/>
      <w:lvlText w:val=""/>
      <w:lvlJc w:val="left"/>
    </w:lvl>
    <w:lvl w:ilvl="6" w:tplc="1A4AC7D8">
      <w:numFmt w:val="decimal"/>
      <w:lvlText w:val=""/>
      <w:lvlJc w:val="left"/>
    </w:lvl>
    <w:lvl w:ilvl="7" w:tplc="239C6510">
      <w:numFmt w:val="decimal"/>
      <w:lvlText w:val=""/>
      <w:lvlJc w:val="left"/>
    </w:lvl>
    <w:lvl w:ilvl="8" w:tplc="74DC8D42">
      <w:numFmt w:val="decimal"/>
      <w:lvlText w:val=""/>
      <w:lvlJc w:val="left"/>
    </w:lvl>
  </w:abstractNum>
  <w:abstractNum w:abstractNumId="12" w15:restartNumberingAfterBreak="0">
    <w:nsid w:val="71033D1F"/>
    <w:multiLevelType w:val="hybridMultilevel"/>
    <w:tmpl w:val="A022CDD2"/>
    <w:lvl w:ilvl="0" w:tplc="7602C04A">
      <w:start w:val="1"/>
      <w:numFmt w:val="bullet"/>
      <w:pStyle w:val="BodyTextIndentDot1"/>
      <w:lvlText w:val=""/>
      <w:lvlJc w:val="left"/>
      <w:pPr>
        <w:tabs>
          <w:tab w:val="num" w:pos="425"/>
        </w:tabs>
        <w:ind w:left="42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652722"/>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13"/>
  </w:num>
  <w:num w:numId="6">
    <w:abstractNumId w:val="1"/>
  </w:num>
  <w:num w:numId="7">
    <w:abstractNumId w:val="0"/>
  </w:num>
  <w:num w:numId="8">
    <w:abstractNumId w:val="4"/>
  </w:num>
  <w:num w:numId="9">
    <w:abstractNumId w:val="8"/>
  </w:num>
  <w:num w:numId="10">
    <w:abstractNumId w:val="10"/>
  </w:num>
  <w:num w:numId="11">
    <w:abstractNumId w:val="12"/>
  </w:num>
  <w:num w:numId="12">
    <w:abstractNumId w:val="11"/>
  </w:num>
  <w:num w:numId="13">
    <w:abstractNumId w:val="6"/>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09"/>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68"/>
    <w:rsid w:val="000026EF"/>
    <w:rsid w:val="00021151"/>
    <w:rsid w:val="00041DA0"/>
    <w:rsid w:val="000567A1"/>
    <w:rsid w:val="00065E03"/>
    <w:rsid w:val="00085839"/>
    <w:rsid w:val="000A019D"/>
    <w:rsid w:val="000C763A"/>
    <w:rsid w:val="001041E5"/>
    <w:rsid w:val="00114863"/>
    <w:rsid w:val="00120054"/>
    <w:rsid w:val="00163043"/>
    <w:rsid w:val="00167D84"/>
    <w:rsid w:val="00173035"/>
    <w:rsid w:val="001D2C31"/>
    <w:rsid w:val="001F0BF2"/>
    <w:rsid w:val="001F315E"/>
    <w:rsid w:val="001F5C7B"/>
    <w:rsid w:val="001F732E"/>
    <w:rsid w:val="00217EDD"/>
    <w:rsid w:val="00227389"/>
    <w:rsid w:val="0024417B"/>
    <w:rsid w:val="0025017E"/>
    <w:rsid w:val="00252F5A"/>
    <w:rsid w:val="002644C3"/>
    <w:rsid w:val="00265264"/>
    <w:rsid w:val="0027082B"/>
    <w:rsid w:val="002C3ED4"/>
    <w:rsid w:val="002E0893"/>
    <w:rsid w:val="003279C0"/>
    <w:rsid w:val="0034433C"/>
    <w:rsid w:val="0035511E"/>
    <w:rsid w:val="00362CFD"/>
    <w:rsid w:val="00373FD7"/>
    <w:rsid w:val="00374386"/>
    <w:rsid w:val="00374EA4"/>
    <w:rsid w:val="00385259"/>
    <w:rsid w:val="003A2E97"/>
    <w:rsid w:val="003B794D"/>
    <w:rsid w:val="003C7FE6"/>
    <w:rsid w:val="003D23FC"/>
    <w:rsid w:val="003E783F"/>
    <w:rsid w:val="003F3964"/>
    <w:rsid w:val="003F700F"/>
    <w:rsid w:val="0041550E"/>
    <w:rsid w:val="004223FF"/>
    <w:rsid w:val="00431246"/>
    <w:rsid w:val="004327AC"/>
    <w:rsid w:val="00460AFA"/>
    <w:rsid w:val="0047380C"/>
    <w:rsid w:val="00474F91"/>
    <w:rsid w:val="00497ED9"/>
    <w:rsid w:val="004A0B26"/>
    <w:rsid w:val="004C03A1"/>
    <w:rsid w:val="004C44DD"/>
    <w:rsid w:val="004E7C47"/>
    <w:rsid w:val="004F55C9"/>
    <w:rsid w:val="00537CDD"/>
    <w:rsid w:val="00541BD6"/>
    <w:rsid w:val="00547BA3"/>
    <w:rsid w:val="00553914"/>
    <w:rsid w:val="0055570F"/>
    <w:rsid w:val="0056179C"/>
    <w:rsid w:val="00571D47"/>
    <w:rsid w:val="00586ED6"/>
    <w:rsid w:val="00587E75"/>
    <w:rsid w:val="005A4F0B"/>
    <w:rsid w:val="005A6F3B"/>
    <w:rsid w:val="005C04A6"/>
    <w:rsid w:val="005C055F"/>
    <w:rsid w:val="00603B0B"/>
    <w:rsid w:val="00613D26"/>
    <w:rsid w:val="00645DD8"/>
    <w:rsid w:val="0069627E"/>
    <w:rsid w:val="006A0897"/>
    <w:rsid w:val="006C452D"/>
    <w:rsid w:val="006C6F82"/>
    <w:rsid w:val="006E40C4"/>
    <w:rsid w:val="006F20FD"/>
    <w:rsid w:val="00707A08"/>
    <w:rsid w:val="00711534"/>
    <w:rsid w:val="00721A2D"/>
    <w:rsid w:val="00722E9B"/>
    <w:rsid w:val="00744425"/>
    <w:rsid w:val="007447A0"/>
    <w:rsid w:val="0074583F"/>
    <w:rsid w:val="00763433"/>
    <w:rsid w:val="00767E2D"/>
    <w:rsid w:val="00772508"/>
    <w:rsid w:val="0078192C"/>
    <w:rsid w:val="0078655C"/>
    <w:rsid w:val="00793413"/>
    <w:rsid w:val="007938EB"/>
    <w:rsid w:val="007B21A1"/>
    <w:rsid w:val="007D3747"/>
    <w:rsid w:val="007D4BEE"/>
    <w:rsid w:val="007E4568"/>
    <w:rsid w:val="00810D50"/>
    <w:rsid w:val="00826996"/>
    <w:rsid w:val="0083110B"/>
    <w:rsid w:val="00851E42"/>
    <w:rsid w:val="0085682F"/>
    <w:rsid w:val="008604C7"/>
    <w:rsid w:val="00870FF6"/>
    <w:rsid w:val="0087117A"/>
    <w:rsid w:val="00874616"/>
    <w:rsid w:val="00877DEA"/>
    <w:rsid w:val="00886460"/>
    <w:rsid w:val="008A0C53"/>
    <w:rsid w:val="008A25B0"/>
    <w:rsid w:val="008C1C96"/>
    <w:rsid w:val="008D292F"/>
    <w:rsid w:val="008E0ED9"/>
    <w:rsid w:val="009259A7"/>
    <w:rsid w:val="00955652"/>
    <w:rsid w:val="00961B1E"/>
    <w:rsid w:val="0096235E"/>
    <w:rsid w:val="009762E6"/>
    <w:rsid w:val="00987106"/>
    <w:rsid w:val="009B0A07"/>
    <w:rsid w:val="009B6A2E"/>
    <w:rsid w:val="009C44D1"/>
    <w:rsid w:val="009C4D89"/>
    <w:rsid w:val="009D2A10"/>
    <w:rsid w:val="00A32222"/>
    <w:rsid w:val="00A420D5"/>
    <w:rsid w:val="00A63138"/>
    <w:rsid w:val="00A65E0E"/>
    <w:rsid w:val="00A67AAE"/>
    <w:rsid w:val="00A7506E"/>
    <w:rsid w:val="00A75A85"/>
    <w:rsid w:val="00A87F71"/>
    <w:rsid w:val="00A92376"/>
    <w:rsid w:val="00AA35C5"/>
    <w:rsid w:val="00AA4EC0"/>
    <w:rsid w:val="00AA6747"/>
    <w:rsid w:val="00AB7452"/>
    <w:rsid w:val="00AD11DE"/>
    <w:rsid w:val="00AD1CB7"/>
    <w:rsid w:val="00AD3434"/>
    <w:rsid w:val="00AF4989"/>
    <w:rsid w:val="00B14456"/>
    <w:rsid w:val="00B24FDD"/>
    <w:rsid w:val="00B25A02"/>
    <w:rsid w:val="00B30DB2"/>
    <w:rsid w:val="00B555B2"/>
    <w:rsid w:val="00B77123"/>
    <w:rsid w:val="00B86696"/>
    <w:rsid w:val="00B941B7"/>
    <w:rsid w:val="00B94EDA"/>
    <w:rsid w:val="00BA084C"/>
    <w:rsid w:val="00BC45EB"/>
    <w:rsid w:val="00BC5C00"/>
    <w:rsid w:val="00BC5E92"/>
    <w:rsid w:val="00BD28A7"/>
    <w:rsid w:val="00BD596C"/>
    <w:rsid w:val="00BE205A"/>
    <w:rsid w:val="00C50675"/>
    <w:rsid w:val="00C81A28"/>
    <w:rsid w:val="00C9197C"/>
    <w:rsid w:val="00CE19AE"/>
    <w:rsid w:val="00D23064"/>
    <w:rsid w:val="00D3059C"/>
    <w:rsid w:val="00D41C98"/>
    <w:rsid w:val="00D54DA5"/>
    <w:rsid w:val="00D80BBA"/>
    <w:rsid w:val="00D9073E"/>
    <w:rsid w:val="00D96D9B"/>
    <w:rsid w:val="00DC21CB"/>
    <w:rsid w:val="00DC5656"/>
    <w:rsid w:val="00DD04E3"/>
    <w:rsid w:val="00DE0D64"/>
    <w:rsid w:val="00DF5B4A"/>
    <w:rsid w:val="00E12845"/>
    <w:rsid w:val="00E15922"/>
    <w:rsid w:val="00E36628"/>
    <w:rsid w:val="00E42D09"/>
    <w:rsid w:val="00E578E5"/>
    <w:rsid w:val="00E643C5"/>
    <w:rsid w:val="00E720E1"/>
    <w:rsid w:val="00E72240"/>
    <w:rsid w:val="00E75DDC"/>
    <w:rsid w:val="00E8396A"/>
    <w:rsid w:val="00E85372"/>
    <w:rsid w:val="00E85F23"/>
    <w:rsid w:val="00EB341D"/>
    <w:rsid w:val="00EE0A6D"/>
    <w:rsid w:val="00EE4FB6"/>
    <w:rsid w:val="00F0232B"/>
    <w:rsid w:val="00F27678"/>
    <w:rsid w:val="00F37EA3"/>
    <w:rsid w:val="00F46CBF"/>
    <w:rsid w:val="00FA5714"/>
    <w:rsid w:val="00FF5D4E"/>
    <w:rsid w:val="062C39F8"/>
    <w:rsid w:val="0D48B3FC"/>
    <w:rsid w:val="10399754"/>
    <w:rsid w:val="12DA2816"/>
    <w:rsid w:val="150D0877"/>
    <w:rsid w:val="1611C8D8"/>
    <w:rsid w:val="17852F3E"/>
    <w:rsid w:val="197CF2E1"/>
    <w:rsid w:val="1BC8BE36"/>
    <w:rsid w:val="1BF0697B"/>
    <w:rsid w:val="1CA0646F"/>
    <w:rsid w:val="1CD9A49A"/>
    <w:rsid w:val="229B8673"/>
    <w:rsid w:val="232F844D"/>
    <w:rsid w:val="23871E77"/>
    <w:rsid w:val="25C8C42E"/>
    <w:rsid w:val="29573C32"/>
    <w:rsid w:val="2AA3B2CA"/>
    <w:rsid w:val="2B352F68"/>
    <w:rsid w:val="2B36D492"/>
    <w:rsid w:val="2B5E7FD7"/>
    <w:rsid w:val="2B7E7916"/>
    <w:rsid w:val="2DDDFBB1"/>
    <w:rsid w:val="2EB8D3B0"/>
    <w:rsid w:val="2FF11D58"/>
    <w:rsid w:val="325A05B9"/>
    <w:rsid w:val="32CD83FF"/>
    <w:rsid w:val="34557A75"/>
    <w:rsid w:val="3574896F"/>
    <w:rsid w:val="36B9FDF4"/>
    <w:rsid w:val="36F9F7EC"/>
    <w:rsid w:val="37E61871"/>
    <w:rsid w:val="390FB0EA"/>
    <w:rsid w:val="398AAE8D"/>
    <w:rsid w:val="3A8BC291"/>
    <w:rsid w:val="3C668AC8"/>
    <w:rsid w:val="3CCFA060"/>
    <w:rsid w:val="40086C57"/>
    <w:rsid w:val="427DAC19"/>
    <w:rsid w:val="44962B90"/>
    <w:rsid w:val="473216C0"/>
    <w:rsid w:val="4B056D14"/>
    <w:rsid w:val="4C248E5F"/>
    <w:rsid w:val="53A75190"/>
    <w:rsid w:val="541B7110"/>
    <w:rsid w:val="572441CF"/>
    <w:rsid w:val="58A1B07D"/>
    <w:rsid w:val="5CD281DA"/>
    <w:rsid w:val="5DF01B21"/>
    <w:rsid w:val="64DCA07E"/>
    <w:rsid w:val="664D08AE"/>
    <w:rsid w:val="669FACDA"/>
    <w:rsid w:val="694633AE"/>
    <w:rsid w:val="6ABF04C0"/>
    <w:rsid w:val="6B50F890"/>
    <w:rsid w:val="6D06433E"/>
    <w:rsid w:val="6DB42BBB"/>
    <w:rsid w:val="704EE217"/>
    <w:rsid w:val="75BB1F0A"/>
    <w:rsid w:val="75CFC3D6"/>
    <w:rsid w:val="76230F3F"/>
    <w:rsid w:val="787610B6"/>
    <w:rsid w:val="79228E8A"/>
    <w:rsid w:val="79260BAA"/>
    <w:rsid w:val="7AFEA6AB"/>
    <w:rsid w:val="7D31EE0E"/>
    <w:rsid w:val="7E11F800"/>
    <w:rsid w:val="7EE55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C72E95"/>
  <w15:docId w15:val="{887538FE-F0A8-4490-A04B-F9B6D6B1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897"/>
    <w:pPr>
      <w:spacing w:before="60" w:after="60"/>
      <w:jc w:val="both"/>
    </w:pPr>
    <w:rPr>
      <w:rFonts w:ascii="Arial" w:hAnsi="Arial"/>
    </w:rPr>
  </w:style>
  <w:style w:type="paragraph" w:styleId="Heading1">
    <w:name w:val="heading 1"/>
    <w:basedOn w:val="Normal"/>
    <w:next w:val="Normal"/>
    <w:qFormat/>
    <w:rsid w:val="005A4F0B"/>
    <w:pPr>
      <w:keepNext/>
      <w:spacing w:before="200" w:after="80"/>
      <w:outlineLvl w:val="0"/>
    </w:pPr>
    <w:rPr>
      <w:b/>
      <w:caps/>
      <w:kern w:val="28"/>
      <w:sz w:val="24"/>
      <w:szCs w:val="18"/>
    </w:rPr>
  </w:style>
  <w:style w:type="paragraph" w:styleId="Heading2">
    <w:name w:val="heading 2"/>
    <w:basedOn w:val="Normal"/>
    <w:next w:val="Normal"/>
    <w:qFormat/>
    <w:rsid w:val="00793413"/>
    <w:pPr>
      <w:keepNext/>
      <w:numPr>
        <w:numId w:val="1"/>
      </w:numPr>
      <w:spacing w:before="160"/>
      <w:outlineLvl w:val="1"/>
    </w:pPr>
    <w:rPr>
      <w:rFonts w:ascii="Arial Bold" w:hAnsi="Arial Bold"/>
      <w:b/>
      <w:caps/>
      <w:sz w:val="28"/>
      <w:szCs w:val="24"/>
    </w:rPr>
  </w:style>
  <w:style w:type="paragraph" w:styleId="Heading3">
    <w:name w:val="heading 3"/>
    <w:basedOn w:val="Heading2"/>
    <w:next w:val="Normal"/>
    <w:qFormat/>
    <w:rsid w:val="00793413"/>
    <w:pPr>
      <w:numPr>
        <w:ilvl w:val="1"/>
      </w:numPr>
      <w:tabs>
        <w:tab w:val="clear" w:pos="1440"/>
        <w:tab w:val="num" w:pos="709"/>
      </w:tabs>
      <w:ind w:left="709" w:hanging="709"/>
      <w:outlineLvl w:val="2"/>
    </w:pPr>
    <w:rPr>
      <w:sz w:val="24"/>
      <w:szCs w:val="20"/>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1F0BF2"/>
    <w:pPr>
      <w:pBdr>
        <w:bottom w:val="single" w:sz="2" w:space="5" w:color="auto"/>
      </w:pBdr>
      <w:tabs>
        <w:tab w:val="right" w:pos="9356"/>
      </w:tabs>
      <w:spacing w:before="20" w:after="20"/>
    </w:pPr>
    <w:rPr>
      <w:i/>
      <w:sz w:val="16"/>
    </w:rPr>
  </w:style>
  <w:style w:type="paragraph" w:styleId="Footer">
    <w:name w:val="footer"/>
    <w:basedOn w:val="Normal"/>
    <w:rsid w:val="00497ED9"/>
    <w:pPr>
      <w:pBdr>
        <w:top w:val="single" w:sz="2" w:space="4" w:color="auto"/>
      </w:pBdr>
      <w:tabs>
        <w:tab w:val="right" w:pos="9356"/>
      </w:tabs>
      <w:spacing w:before="80" w:after="0"/>
      <w:contextualSpacing/>
    </w:pPr>
    <w:rPr>
      <w:b/>
      <w:i/>
      <w:sz w:val="16"/>
    </w:rPr>
  </w:style>
  <w:style w:type="character" w:styleId="PageNumber">
    <w:name w:val="page number"/>
    <w:rPr>
      <w:rFonts w:ascii="Arial" w:hAnsi="Arial"/>
      <w:sz w:val="16"/>
    </w:rPr>
  </w:style>
  <w:style w:type="paragraph" w:styleId="BodyText">
    <w:name w:val="Body Text"/>
    <w:basedOn w:val="Normal"/>
    <w:qFormat/>
    <w:pPr>
      <w:spacing w:line="302" w:lineRule="exact"/>
      <w:ind w:left="737"/>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pPr>
  </w:style>
  <w:style w:type="paragraph" w:styleId="BodyTextIndent">
    <w:name w:val="Body Text Indent"/>
    <w:basedOn w:val="Normal"/>
    <w:link w:val="BodyTextIndentChar"/>
    <w:rsid w:val="00085839"/>
    <w:pPr>
      <w:ind w:left="709"/>
    </w:pPr>
  </w:style>
  <w:style w:type="paragraph" w:styleId="TOC1">
    <w:name w:val="toc 1"/>
    <w:basedOn w:val="Normal"/>
    <w:next w:val="Normal"/>
    <w:autoRedefine/>
    <w:uiPriority w:val="39"/>
    <w:rsid w:val="00F37EA3"/>
    <w:pPr>
      <w:tabs>
        <w:tab w:val="left" w:pos="567"/>
        <w:tab w:val="right" w:leader="dot" w:pos="9072"/>
      </w:tabs>
      <w:spacing w:before="120"/>
      <w:ind w:left="567" w:hanging="567"/>
    </w:pPr>
    <w:rPr>
      <w:rFonts w:cs="Arial"/>
      <w:b/>
      <w:caps/>
      <w:noProof/>
      <w:sz w:val="24"/>
      <w:szCs w:val="22"/>
    </w:rPr>
  </w:style>
  <w:style w:type="paragraph" w:styleId="TOC2">
    <w:name w:val="toc 2"/>
    <w:basedOn w:val="Normal"/>
    <w:next w:val="Normal"/>
    <w:autoRedefine/>
    <w:uiPriority w:val="39"/>
    <w:rsid w:val="00F37EA3"/>
    <w:pPr>
      <w:tabs>
        <w:tab w:val="left" w:pos="1134"/>
        <w:tab w:val="right" w:leader="dot" w:pos="9072"/>
      </w:tabs>
      <w:spacing w:before="20" w:after="20"/>
      <w:ind w:left="1134" w:hanging="567"/>
      <w:contextualSpacing/>
    </w:pPr>
    <w:rPr>
      <w:rFonts w:cs="Arial"/>
      <w:b/>
      <w:smallCaps/>
      <w:noProof/>
      <w:sz w:val="22"/>
      <w:szCs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customStyle="1" w:styleId="a">
    <w:name w:val="_"/>
    <w:basedOn w:val="Normal"/>
    <w:pPr>
      <w:widowControl w:val="0"/>
      <w:spacing w:before="240"/>
      <w:ind w:left="720" w:hanging="720"/>
    </w:pPr>
    <w:rPr>
      <w:rFonts w:ascii="CG Times" w:hAnsi="CG Times"/>
      <w:snapToGrid w:val="0"/>
      <w:sz w:val="24"/>
      <w:lang w:val="en-US" w:eastAsia="en-US"/>
    </w:rPr>
  </w:style>
  <w:style w:type="paragraph" w:styleId="BodyTextIndent2">
    <w:name w:val="Body Text Indent 2"/>
    <w:basedOn w:val="Normal"/>
    <w:pPr>
      <w:spacing w:after="100"/>
      <w:ind w:left="709"/>
    </w:pPr>
  </w:style>
  <w:style w:type="paragraph" w:styleId="BodyTextIndent3">
    <w:name w:val="Body Text Indent 3"/>
    <w:basedOn w:val="Normal"/>
    <w:rsid w:val="003C7FE6"/>
    <w:pPr>
      <w:ind w:left="709"/>
    </w:pPr>
  </w:style>
  <w:style w:type="paragraph" w:customStyle="1" w:styleId="Style1">
    <w:name w:val="Style1"/>
    <w:basedOn w:val="Normal"/>
    <w:rPr>
      <w:lang w:eastAsia="en-US"/>
    </w:rPr>
  </w:style>
  <w:style w:type="paragraph" w:styleId="BalloonText">
    <w:name w:val="Balloon Text"/>
    <w:basedOn w:val="Normal"/>
    <w:semiHidden/>
    <w:rsid w:val="006A0897"/>
    <w:rPr>
      <w:rFonts w:ascii="Tahoma" w:hAnsi="Tahoma" w:cs="Tahoma"/>
      <w:sz w:val="16"/>
      <w:szCs w:val="16"/>
    </w:rPr>
  </w:style>
  <w:style w:type="paragraph" w:customStyle="1" w:styleId="Table">
    <w:name w:val="Table"/>
    <w:basedOn w:val="BodyTextIndent3"/>
    <w:rsid w:val="0024417B"/>
    <w:pPr>
      <w:spacing w:before="50" w:after="50"/>
      <w:ind w:left="0"/>
      <w:jc w:val="left"/>
    </w:pPr>
    <w:rPr>
      <w:snapToGrid w:val="0"/>
      <w:sz w:val="18"/>
      <w:lang w:eastAsia="en-US"/>
    </w:rPr>
  </w:style>
  <w:style w:type="paragraph" w:customStyle="1" w:styleId="TableCen">
    <w:name w:val="Table Cen"/>
    <w:basedOn w:val="Table"/>
    <w:rsid w:val="0024417B"/>
    <w:pPr>
      <w:jc w:val="center"/>
    </w:pPr>
  </w:style>
  <w:style w:type="paragraph" w:customStyle="1" w:styleId="TableHead">
    <w:name w:val="Table Head"/>
    <w:basedOn w:val="BodyTextIndent3"/>
    <w:rsid w:val="00E36628"/>
    <w:pPr>
      <w:ind w:left="0"/>
      <w:jc w:val="left"/>
    </w:pPr>
    <w:rPr>
      <w:b/>
      <w:sz w:val="18"/>
    </w:rPr>
  </w:style>
  <w:style w:type="paragraph" w:customStyle="1" w:styleId="BodyTextIndentDot2">
    <w:name w:val="Body Text Indent Dot2"/>
    <w:basedOn w:val="Normal"/>
    <w:rsid w:val="00DC21CB"/>
    <w:pPr>
      <w:numPr>
        <w:numId w:val="8"/>
      </w:numPr>
      <w:tabs>
        <w:tab w:val="clear" w:pos="360"/>
        <w:tab w:val="num" w:pos="1134"/>
      </w:tabs>
      <w:spacing w:before="40" w:after="40"/>
      <w:ind w:left="1134" w:hanging="425"/>
    </w:pPr>
  </w:style>
  <w:style w:type="paragraph" w:customStyle="1" w:styleId="TableDot1">
    <w:name w:val="Table Dot1"/>
    <w:basedOn w:val="BodyTextIndentDot2"/>
    <w:rsid w:val="00DC21CB"/>
    <w:pPr>
      <w:tabs>
        <w:tab w:val="num" w:pos="459"/>
      </w:tabs>
      <w:spacing w:before="20" w:after="20"/>
      <w:ind w:left="459" w:hanging="283"/>
    </w:pPr>
    <w:rPr>
      <w:sz w:val="18"/>
    </w:rPr>
  </w:style>
  <w:style w:type="character" w:customStyle="1" w:styleId="BodyTextIndentChar">
    <w:name w:val="Body Text Indent Char"/>
    <w:link w:val="BodyTextIndent"/>
    <w:rsid w:val="00085839"/>
    <w:rPr>
      <w:rFonts w:ascii="Arial" w:hAnsi="Arial"/>
    </w:rPr>
  </w:style>
  <w:style w:type="paragraph" w:customStyle="1" w:styleId="TableHeadCen">
    <w:name w:val="Table Head Cen"/>
    <w:basedOn w:val="TableHead"/>
    <w:rsid w:val="00E36628"/>
    <w:pPr>
      <w:jc w:val="center"/>
    </w:pPr>
  </w:style>
  <w:style w:type="paragraph" w:customStyle="1" w:styleId="TableHeadLeft">
    <w:name w:val="Table Head Left"/>
    <w:basedOn w:val="TableHead"/>
    <w:rsid w:val="00E15922"/>
  </w:style>
  <w:style w:type="paragraph" w:customStyle="1" w:styleId="BodyTextIndentBold">
    <w:name w:val="Body Text Indent Bold"/>
    <w:basedOn w:val="BodyTextIndent"/>
    <w:rsid w:val="004F55C9"/>
    <w:pPr>
      <w:spacing w:before="120"/>
    </w:pPr>
    <w:rPr>
      <w:b/>
    </w:rPr>
  </w:style>
  <w:style w:type="paragraph" w:customStyle="1" w:styleId="BodyTextIndentBoldUnderline">
    <w:name w:val="Body Text Indent Bold Underline"/>
    <w:basedOn w:val="BodyTextIndentBold"/>
    <w:qFormat/>
    <w:rsid w:val="00E42D09"/>
    <w:rPr>
      <w:u w:val="single"/>
    </w:rPr>
  </w:style>
  <w:style w:type="paragraph" w:customStyle="1" w:styleId="BodyTextIndentDot1">
    <w:name w:val="Body Text Indent Dot1"/>
    <w:basedOn w:val="BodyTextIndent"/>
    <w:rsid w:val="00E42D09"/>
    <w:pPr>
      <w:numPr>
        <w:numId w:val="11"/>
      </w:numPr>
      <w:tabs>
        <w:tab w:val="clear" w:pos="425"/>
        <w:tab w:val="num" w:pos="1134"/>
      </w:tabs>
      <w:spacing w:before="40" w:after="40"/>
      <w:ind w:left="1134"/>
    </w:pPr>
  </w:style>
  <w:style w:type="paragraph" w:customStyle="1" w:styleId="Amend">
    <w:name w:val="Amend"/>
    <w:basedOn w:val="Normal"/>
    <w:rsid w:val="00851E42"/>
    <w:pPr>
      <w:spacing w:before="0" w:after="0"/>
      <w:jc w:val="right"/>
    </w:pPr>
    <w:rPr>
      <w:sz w:val="16"/>
    </w:rPr>
  </w:style>
  <w:style w:type="paragraph" w:customStyle="1" w:styleId="BodyTextIndentBoldItalicCen">
    <w:name w:val="Body Text Indent Bold Italic Cen"/>
    <w:basedOn w:val="BodyTextIndent"/>
    <w:rsid w:val="00041DA0"/>
    <w:pPr>
      <w:jc w:val="center"/>
    </w:pPr>
    <w:rPr>
      <w:b/>
      <w:i/>
    </w:rPr>
  </w:style>
  <w:style w:type="paragraph" w:customStyle="1" w:styleId="CoverHeading">
    <w:name w:val="Cover Heading"/>
    <w:basedOn w:val="Normal"/>
    <w:rsid w:val="000C763A"/>
    <w:pPr>
      <w:spacing w:before="240" w:after="120"/>
      <w:jc w:val="center"/>
      <w:outlineLvl w:val="0"/>
    </w:pPr>
    <w:rPr>
      <w:b/>
      <w:caps/>
      <w:sz w:val="24"/>
    </w:rPr>
  </w:style>
  <w:style w:type="paragraph" w:customStyle="1" w:styleId="TableIdNum">
    <w:name w:val="Table Id Num"/>
    <w:basedOn w:val="Normal"/>
    <w:qFormat/>
    <w:rsid w:val="00217EDD"/>
    <w:pPr>
      <w:spacing w:before="120"/>
      <w:ind w:left="709"/>
    </w:pPr>
    <w:rPr>
      <w:b/>
      <w:i/>
      <w:sz w:val="18"/>
    </w:rPr>
  </w:style>
  <w:style w:type="paragraph" w:customStyle="1" w:styleId="BodyTextIndentDot">
    <w:name w:val="Body Text Indent Dot"/>
    <w:basedOn w:val="Normal"/>
    <w:qFormat/>
    <w:rsid w:val="00227389"/>
    <w:pPr>
      <w:numPr>
        <w:numId w:val="12"/>
      </w:numPr>
      <w:spacing w:before="40" w:after="20"/>
    </w:pPr>
  </w:style>
  <w:style w:type="paragraph" w:styleId="ListContinue2">
    <w:name w:val="List Continue 2"/>
    <w:basedOn w:val="Normal"/>
    <w:rsid w:val="00541BD6"/>
    <w:pPr>
      <w:spacing w:after="120"/>
      <w:ind w:left="566"/>
      <w:contextualSpacing/>
    </w:pPr>
  </w:style>
  <w:style w:type="paragraph" w:styleId="NormalWeb">
    <w:name w:val="Normal (Web)"/>
    <w:basedOn w:val="Normal"/>
    <w:uiPriority w:val="99"/>
    <w:semiHidden/>
    <w:unhideWhenUsed/>
    <w:rsid w:val="009D2A10"/>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711534"/>
  </w:style>
  <w:style w:type="character" w:customStyle="1" w:styleId="eop">
    <w:name w:val="eop"/>
    <w:basedOn w:val="DefaultParagraphFont"/>
    <w:rsid w:val="0071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9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ac26e5-4c41-468c-83b0-97e8e79a919c">
      <UserInfo>
        <DisplayName>Greg Stephenson</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2C93-8E47-45B3-9379-643BB0AF1449}">
  <ds:schemaRefs>
    <ds:schemaRef ds:uri="http://schemas.microsoft.com/sharepoint/v3/contenttype/forms"/>
  </ds:schemaRefs>
</ds:datastoreItem>
</file>

<file path=customXml/itemProps2.xml><?xml version="1.0" encoding="utf-8"?>
<ds:datastoreItem xmlns:ds="http://schemas.openxmlformats.org/officeDocument/2006/customXml" ds:itemID="{04691034-D34A-4049-8FB0-91EFEBA4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D00E7-4013-4410-8F19-246ECF27769D}">
  <ds:schemaRefs>
    <ds:schemaRef ds:uri="http://purl.org/dc/dcmitype/"/>
    <ds:schemaRef ds:uri="1aac26e5-4c41-468c-83b0-97e8e79a919c"/>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4f40705d-e7da-4f43-bdce-ad8c70b8601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CE61719-4DB1-453F-8FED-FD78A865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2017</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S300 Quarry Products 2004 Edition</dc:subject>
  <dc:creator>Lucy Ting</dc:creator>
  <cp:keywords/>
  <dc:description/>
  <cp:lastModifiedBy>David Brady</cp:lastModifiedBy>
  <cp:revision>40</cp:revision>
  <cp:lastPrinted>2014-04-10T03:40:00Z</cp:lastPrinted>
  <dcterms:created xsi:type="dcterms:W3CDTF">2020-11-23T22:25:00Z</dcterms:created>
  <dcterms:modified xsi:type="dcterms:W3CDTF">2021-11-17T21:22:00Z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