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4F53" w14:textId="3161A6CB" w:rsidR="00205E91" w:rsidRPr="00D65A87" w:rsidRDefault="00CA2DC7" w:rsidP="00D65A87">
      <w:pPr>
        <w:pStyle w:val="Heading1"/>
      </w:pPr>
      <w:bookmarkStart w:id="0" w:name="_Toc334690139"/>
      <w:r w:rsidRPr="00D65A87">
        <w:rPr>
          <w:caps w:val="0"/>
        </w:rPr>
        <w:t>BRISBANE CITY COUNCIL</w:t>
      </w:r>
    </w:p>
    <w:p w14:paraId="6B15E6CF" w14:textId="1C6CBD83" w:rsidR="00205E91" w:rsidRDefault="00CA2DC7" w:rsidP="00D65A87">
      <w:pPr>
        <w:pStyle w:val="Heading1"/>
      </w:pPr>
      <w:r>
        <w:rPr>
          <w:caps w:val="0"/>
        </w:rPr>
        <w:t>REFERENCE SPECIFICATIONS FOR ENGINEERING WORK</w:t>
      </w:r>
    </w:p>
    <w:p w14:paraId="46F21479" w14:textId="61AE3D4F" w:rsidR="00033D0C" w:rsidRDefault="00CA2DC7" w:rsidP="00D65A87">
      <w:pPr>
        <w:pStyle w:val="Heading1"/>
      </w:pPr>
      <w:r>
        <w:rPr>
          <w:caps w:val="0"/>
        </w:rPr>
        <w:t>S310 SUPPLY OF DENSE GRADED ASPHALT</w:t>
      </w:r>
    </w:p>
    <w:p w14:paraId="07BCFDF3" w14:textId="175C31E0" w:rsidR="00205E91" w:rsidRDefault="00205E91" w:rsidP="00205E91">
      <w:pPr>
        <w:pStyle w:val="CoverHeading"/>
        <w:sectPr w:rsidR="00205E91" w:rsidSect="001E6951">
          <w:headerReference w:type="even" r:id="rId11"/>
          <w:headerReference w:type="default" r:id="rId12"/>
          <w:footerReference w:type="default" r:id="rId13"/>
          <w:pgSz w:w="11906" w:h="16838" w:code="9"/>
          <w:pgMar w:top="1134" w:right="1134" w:bottom="992" w:left="1418" w:header="1134" w:footer="851" w:gutter="0"/>
          <w:pgNumType w:fmt="lowerRoman" w:start="1"/>
          <w:cols w:space="720"/>
          <w:docGrid w:linePitch="272"/>
        </w:sectPr>
      </w:pPr>
    </w:p>
    <w:p w14:paraId="63D655AB" w14:textId="099F6201" w:rsidR="00A34A94" w:rsidRDefault="00CA2DC7" w:rsidP="00CA2DC7">
      <w:pPr>
        <w:pStyle w:val="Heading2"/>
        <w:numPr>
          <w:ilvl w:val="0"/>
          <w:numId w:val="0"/>
        </w:numPr>
        <w:ind w:left="720" w:hanging="720"/>
      </w:pPr>
      <w:r>
        <w:lastRenderedPageBreak/>
        <w:t>AMENDMENT REGISTER</w:t>
      </w:r>
      <w:bookmarkEnd w:id="0"/>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5386"/>
        <w:gridCol w:w="1559"/>
      </w:tblGrid>
      <w:tr w:rsidR="00A34A94" w14:paraId="7B737359" w14:textId="77777777" w:rsidTr="00CA2DC7">
        <w:tc>
          <w:tcPr>
            <w:tcW w:w="1242" w:type="dxa"/>
            <w:tcBorders>
              <w:top w:val="single" w:sz="12" w:space="0" w:color="auto"/>
              <w:left w:val="nil"/>
              <w:bottom w:val="single" w:sz="12" w:space="0" w:color="auto"/>
              <w:right w:val="single" w:sz="2" w:space="0" w:color="auto"/>
            </w:tcBorders>
            <w:shd w:val="pct10" w:color="auto" w:fill="auto"/>
            <w:vAlign w:val="center"/>
          </w:tcPr>
          <w:p w14:paraId="30A15EC8" w14:textId="77777777" w:rsidR="00A34A94" w:rsidRDefault="00A34A94" w:rsidP="002C1F8E">
            <w:pPr>
              <w:pStyle w:val="TableHeadCen"/>
            </w:pPr>
            <w:r>
              <w:t>Ed/Rev Number</w:t>
            </w:r>
          </w:p>
        </w:tc>
        <w:tc>
          <w:tcPr>
            <w:tcW w:w="1310" w:type="dxa"/>
            <w:tcBorders>
              <w:top w:val="single" w:sz="12" w:space="0" w:color="auto"/>
              <w:left w:val="single" w:sz="2" w:space="0" w:color="auto"/>
              <w:bottom w:val="single" w:sz="12" w:space="0" w:color="auto"/>
              <w:right w:val="single" w:sz="2" w:space="0" w:color="auto"/>
            </w:tcBorders>
            <w:shd w:val="pct10" w:color="auto" w:fill="auto"/>
            <w:vAlign w:val="center"/>
          </w:tcPr>
          <w:p w14:paraId="39BDFA72" w14:textId="77777777" w:rsidR="00A34A94" w:rsidRDefault="00A34A94" w:rsidP="002C1F8E">
            <w:pPr>
              <w:pStyle w:val="TableHeadCen"/>
            </w:pPr>
            <w:r>
              <w:t>Section Number</w:t>
            </w:r>
          </w:p>
        </w:tc>
        <w:tc>
          <w:tcPr>
            <w:tcW w:w="5386" w:type="dxa"/>
            <w:tcBorders>
              <w:top w:val="single" w:sz="12" w:space="0" w:color="auto"/>
              <w:left w:val="single" w:sz="2" w:space="0" w:color="auto"/>
              <w:bottom w:val="single" w:sz="12" w:space="0" w:color="auto"/>
              <w:right w:val="single" w:sz="2" w:space="0" w:color="auto"/>
            </w:tcBorders>
            <w:shd w:val="pct10" w:color="auto" w:fill="auto"/>
            <w:vAlign w:val="center"/>
          </w:tcPr>
          <w:p w14:paraId="483DAE72" w14:textId="77777777" w:rsidR="00A34A94" w:rsidRDefault="00A34A94" w:rsidP="002C1F8E">
            <w:pPr>
              <w:pStyle w:val="TableHead"/>
            </w:pPr>
            <w:r>
              <w:t>Description</w:t>
            </w:r>
          </w:p>
        </w:tc>
        <w:tc>
          <w:tcPr>
            <w:tcW w:w="1559" w:type="dxa"/>
            <w:tcBorders>
              <w:top w:val="single" w:sz="12" w:space="0" w:color="auto"/>
              <w:left w:val="single" w:sz="2" w:space="0" w:color="auto"/>
              <w:bottom w:val="single" w:sz="12" w:space="0" w:color="auto"/>
              <w:right w:val="nil"/>
            </w:tcBorders>
            <w:shd w:val="pct10" w:color="auto" w:fill="auto"/>
            <w:vAlign w:val="center"/>
          </w:tcPr>
          <w:p w14:paraId="015A2CC0" w14:textId="77777777" w:rsidR="00A34A94" w:rsidRDefault="00A34A94" w:rsidP="002C1F8E">
            <w:pPr>
              <w:pStyle w:val="TableHeadCen"/>
            </w:pPr>
            <w:r>
              <w:t>Date</w:t>
            </w:r>
          </w:p>
        </w:tc>
      </w:tr>
      <w:tr w:rsidR="00A34A94" w14:paraId="45FA1A8B" w14:textId="77777777" w:rsidTr="00CA2DC7">
        <w:trPr>
          <w:trHeight w:val="340"/>
        </w:trPr>
        <w:tc>
          <w:tcPr>
            <w:tcW w:w="1242" w:type="dxa"/>
            <w:tcBorders>
              <w:top w:val="single" w:sz="12" w:space="0" w:color="auto"/>
              <w:left w:val="nil"/>
              <w:bottom w:val="single" w:sz="8" w:space="0" w:color="auto"/>
              <w:right w:val="single" w:sz="2" w:space="0" w:color="auto"/>
            </w:tcBorders>
            <w:vAlign w:val="center"/>
          </w:tcPr>
          <w:p w14:paraId="171D26FB" w14:textId="77777777" w:rsidR="00A34A94" w:rsidRDefault="00A34A94" w:rsidP="002C1F8E">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546D1DC2" w14:textId="77777777" w:rsidR="00A34A94" w:rsidRDefault="00A34A94" w:rsidP="002C1F8E">
            <w:pPr>
              <w:pStyle w:val="TableCen"/>
            </w:pPr>
          </w:p>
        </w:tc>
        <w:tc>
          <w:tcPr>
            <w:tcW w:w="5386" w:type="dxa"/>
            <w:tcBorders>
              <w:top w:val="single" w:sz="12" w:space="0" w:color="auto"/>
              <w:left w:val="single" w:sz="2" w:space="0" w:color="auto"/>
              <w:bottom w:val="single" w:sz="8" w:space="0" w:color="auto"/>
              <w:right w:val="single" w:sz="2" w:space="0" w:color="auto"/>
            </w:tcBorders>
            <w:vAlign w:val="center"/>
          </w:tcPr>
          <w:p w14:paraId="791B8C9D" w14:textId="77777777" w:rsidR="00A34A94" w:rsidRDefault="00A34A94" w:rsidP="002C1F8E">
            <w:pPr>
              <w:pStyle w:val="Table"/>
            </w:pPr>
            <w:r>
              <w:t>Original issue</w:t>
            </w:r>
          </w:p>
        </w:tc>
        <w:tc>
          <w:tcPr>
            <w:tcW w:w="1559" w:type="dxa"/>
            <w:tcBorders>
              <w:top w:val="single" w:sz="12" w:space="0" w:color="auto"/>
              <w:left w:val="single" w:sz="2" w:space="0" w:color="auto"/>
              <w:bottom w:val="single" w:sz="8" w:space="0" w:color="auto"/>
              <w:right w:val="nil"/>
            </w:tcBorders>
            <w:vAlign w:val="center"/>
          </w:tcPr>
          <w:p w14:paraId="30EE6DE1" w14:textId="77777777" w:rsidR="00A34A94" w:rsidRDefault="00A34A94" w:rsidP="002C1F8E">
            <w:pPr>
              <w:pStyle w:val="TableCen"/>
            </w:pPr>
            <w:r>
              <w:t>Oct 2001</w:t>
            </w:r>
          </w:p>
        </w:tc>
      </w:tr>
      <w:tr w:rsidR="00A34A94" w14:paraId="5C5BE1DB" w14:textId="77777777" w:rsidTr="00CA2DC7">
        <w:trPr>
          <w:trHeight w:val="340"/>
        </w:trPr>
        <w:tc>
          <w:tcPr>
            <w:tcW w:w="1242" w:type="dxa"/>
            <w:tcBorders>
              <w:top w:val="single" w:sz="8" w:space="0" w:color="auto"/>
              <w:left w:val="nil"/>
              <w:bottom w:val="single" w:sz="8" w:space="0" w:color="auto"/>
              <w:right w:val="single" w:sz="2" w:space="0" w:color="auto"/>
            </w:tcBorders>
            <w:vAlign w:val="center"/>
          </w:tcPr>
          <w:p w14:paraId="26D91D1D" w14:textId="77777777" w:rsidR="00A34A94" w:rsidRDefault="001F6932" w:rsidP="002C1F8E">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723EBA79" w14:textId="77777777" w:rsidR="00A34A94" w:rsidRDefault="00A34A94" w:rsidP="002C1F8E">
            <w:pPr>
              <w:pStyle w:val="TableCen"/>
            </w:pPr>
          </w:p>
        </w:tc>
        <w:tc>
          <w:tcPr>
            <w:tcW w:w="5386" w:type="dxa"/>
            <w:tcBorders>
              <w:top w:val="single" w:sz="8" w:space="0" w:color="auto"/>
              <w:left w:val="single" w:sz="2" w:space="0" w:color="auto"/>
              <w:bottom w:val="single" w:sz="8" w:space="0" w:color="auto"/>
              <w:right w:val="single" w:sz="2" w:space="0" w:color="auto"/>
            </w:tcBorders>
            <w:vAlign w:val="center"/>
          </w:tcPr>
          <w:p w14:paraId="6B84A519" w14:textId="77777777" w:rsidR="00A34A94" w:rsidRDefault="001F6932" w:rsidP="001F6932">
            <w:pPr>
              <w:pStyle w:val="Table"/>
            </w:pPr>
            <w:r>
              <w:t>Specification reviewed</w:t>
            </w:r>
          </w:p>
        </w:tc>
        <w:tc>
          <w:tcPr>
            <w:tcW w:w="1559" w:type="dxa"/>
            <w:tcBorders>
              <w:top w:val="single" w:sz="8" w:space="0" w:color="auto"/>
              <w:left w:val="single" w:sz="2" w:space="0" w:color="auto"/>
              <w:bottom w:val="single" w:sz="8" w:space="0" w:color="auto"/>
              <w:right w:val="nil"/>
            </w:tcBorders>
            <w:vAlign w:val="center"/>
          </w:tcPr>
          <w:p w14:paraId="5ABE94B6" w14:textId="77777777" w:rsidR="00A34A94" w:rsidRDefault="00A34A94" w:rsidP="002C1F8E">
            <w:pPr>
              <w:pStyle w:val="TableCen"/>
            </w:pPr>
            <w:r>
              <w:t>Apr 2014</w:t>
            </w:r>
          </w:p>
        </w:tc>
      </w:tr>
      <w:tr w:rsidR="00855165" w14:paraId="142C9985" w14:textId="77777777" w:rsidTr="00CA2DC7">
        <w:trPr>
          <w:trHeight w:val="340"/>
        </w:trPr>
        <w:tc>
          <w:tcPr>
            <w:tcW w:w="1242" w:type="dxa"/>
            <w:vMerge w:val="restart"/>
            <w:tcBorders>
              <w:top w:val="single" w:sz="8" w:space="0" w:color="auto"/>
              <w:left w:val="nil"/>
              <w:bottom w:val="single" w:sz="8" w:space="0" w:color="auto"/>
              <w:right w:val="single" w:sz="2" w:space="0" w:color="auto"/>
            </w:tcBorders>
            <w:vAlign w:val="center"/>
          </w:tcPr>
          <w:p w14:paraId="4BF4834C" w14:textId="77777777" w:rsidR="00855165" w:rsidRDefault="00855165" w:rsidP="002C1F8E">
            <w:pPr>
              <w:pStyle w:val="TableCen"/>
            </w:pPr>
            <w:r>
              <w:t>3.0</w:t>
            </w:r>
          </w:p>
        </w:tc>
        <w:tc>
          <w:tcPr>
            <w:tcW w:w="1310" w:type="dxa"/>
            <w:tcBorders>
              <w:top w:val="single" w:sz="8" w:space="0" w:color="auto"/>
              <w:left w:val="single" w:sz="2" w:space="0" w:color="auto"/>
              <w:bottom w:val="single" w:sz="2" w:space="0" w:color="auto"/>
              <w:right w:val="single" w:sz="2" w:space="0" w:color="auto"/>
            </w:tcBorders>
            <w:vAlign w:val="center"/>
          </w:tcPr>
          <w:p w14:paraId="7E5DD44C" w14:textId="77777777" w:rsidR="00855165" w:rsidRDefault="00855165" w:rsidP="002C1F8E">
            <w:pPr>
              <w:pStyle w:val="TableCen"/>
            </w:pPr>
            <w:r>
              <w:t>1.2 and 1.3</w:t>
            </w:r>
          </w:p>
        </w:tc>
        <w:tc>
          <w:tcPr>
            <w:tcW w:w="5386" w:type="dxa"/>
            <w:tcBorders>
              <w:top w:val="single" w:sz="8" w:space="0" w:color="auto"/>
              <w:left w:val="single" w:sz="2" w:space="0" w:color="auto"/>
              <w:bottom w:val="single" w:sz="2" w:space="0" w:color="auto"/>
              <w:right w:val="single" w:sz="2" w:space="0" w:color="auto"/>
            </w:tcBorders>
            <w:vAlign w:val="center"/>
          </w:tcPr>
          <w:p w14:paraId="70A651B5" w14:textId="77777777" w:rsidR="00855165" w:rsidRDefault="00855165" w:rsidP="001F6932">
            <w:pPr>
              <w:pStyle w:val="Table"/>
            </w:pPr>
            <w:r>
              <w:t>References list revised and updated</w:t>
            </w:r>
          </w:p>
        </w:tc>
        <w:tc>
          <w:tcPr>
            <w:tcW w:w="1559" w:type="dxa"/>
            <w:vMerge w:val="restart"/>
            <w:tcBorders>
              <w:top w:val="single" w:sz="8" w:space="0" w:color="auto"/>
              <w:left w:val="single" w:sz="2" w:space="0" w:color="auto"/>
              <w:bottom w:val="single" w:sz="8" w:space="0" w:color="auto"/>
              <w:right w:val="nil"/>
            </w:tcBorders>
            <w:vAlign w:val="center"/>
          </w:tcPr>
          <w:p w14:paraId="37996E63" w14:textId="77777777" w:rsidR="00855165" w:rsidRDefault="00855165" w:rsidP="002C1F8E">
            <w:pPr>
              <w:pStyle w:val="TableCen"/>
            </w:pPr>
            <w:r>
              <w:t>May 2016</w:t>
            </w:r>
          </w:p>
        </w:tc>
      </w:tr>
      <w:tr w:rsidR="00855165" w14:paraId="72F5E00E"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0E0A36B8" w14:textId="77777777" w:rsidR="00855165" w:rsidRDefault="00855165"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38E1FB8C" w14:textId="77777777" w:rsidR="00855165" w:rsidRDefault="00855165" w:rsidP="002C1F8E">
            <w:pPr>
              <w:pStyle w:val="TableCen"/>
            </w:pPr>
            <w:r>
              <w:t>2.4</w:t>
            </w:r>
          </w:p>
        </w:tc>
        <w:tc>
          <w:tcPr>
            <w:tcW w:w="5386" w:type="dxa"/>
            <w:tcBorders>
              <w:top w:val="single" w:sz="2" w:space="0" w:color="auto"/>
              <w:left w:val="single" w:sz="2" w:space="0" w:color="auto"/>
              <w:bottom w:val="single" w:sz="2" w:space="0" w:color="auto"/>
              <w:right w:val="single" w:sz="2" w:space="0" w:color="auto"/>
            </w:tcBorders>
            <w:vAlign w:val="center"/>
          </w:tcPr>
          <w:p w14:paraId="507C075F" w14:textId="77777777" w:rsidR="00855165" w:rsidRDefault="00D5305A" w:rsidP="001F6932">
            <w:pPr>
              <w:pStyle w:val="Table"/>
            </w:pPr>
            <w:r w:rsidRPr="00D5305A">
              <w:t>Fatigue and rutting characteristics</w:t>
            </w:r>
            <w:r>
              <w:t xml:space="preserve"> requirements updated.</w:t>
            </w:r>
          </w:p>
        </w:tc>
        <w:tc>
          <w:tcPr>
            <w:tcW w:w="1559" w:type="dxa"/>
            <w:vMerge/>
            <w:tcBorders>
              <w:top w:val="single" w:sz="12" w:space="0" w:color="auto"/>
              <w:left w:val="single" w:sz="2" w:space="0" w:color="auto"/>
              <w:bottom w:val="single" w:sz="8" w:space="0" w:color="auto"/>
              <w:right w:val="nil"/>
            </w:tcBorders>
            <w:vAlign w:val="center"/>
          </w:tcPr>
          <w:p w14:paraId="4133955D" w14:textId="77777777" w:rsidR="00855165" w:rsidRDefault="00855165" w:rsidP="002C1F8E">
            <w:pPr>
              <w:pStyle w:val="TableCen"/>
            </w:pPr>
          </w:p>
        </w:tc>
      </w:tr>
      <w:tr w:rsidR="00855165" w14:paraId="1F0D2187"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5DA18008" w14:textId="77777777" w:rsidR="00855165" w:rsidRDefault="00855165"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17B991FE" w14:textId="77777777" w:rsidR="00855165" w:rsidRDefault="00855165" w:rsidP="002C1F8E">
            <w:pPr>
              <w:pStyle w:val="TableCen"/>
            </w:pPr>
            <w:r>
              <w:t>3.4</w:t>
            </w:r>
          </w:p>
        </w:tc>
        <w:tc>
          <w:tcPr>
            <w:tcW w:w="5386" w:type="dxa"/>
            <w:tcBorders>
              <w:top w:val="single" w:sz="2" w:space="0" w:color="auto"/>
              <w:left w:val="single" w:sz="2" w:space="0" w:color="auto"/>
              <w:bottom w:val="single" w:sz="2" w:space="0" w:color="auto"/>
              <w:right w:val="single" w:sz="2" w:space="0" w:color="auto"/>
            </w:tcBorders>
            <w:vAlign w:val="center"/>
          </w:tcPr>
          <w:p w14:paraId="45228401" w14:textId="780EC0F2" w:rsidR="00855165" w:rsidRDefault="00855165" w:rsidP="00321E4E">
            <w:pPr>
              <w:pStyle w:val="Table"/>
            </w:pPr>
            <w:r>
              <w:t xml:space="preserve">Requirements for </w:t>
            </w:r>
            <w:r w:rsidR="00D5305A">
              <w:t>multigrade binder updated – Table</w:t>
            </w:r>
            <w:r w:rsidR="000D0FF1" w:rsidRPr="00136A0B">
              <w:t> </w:t>
            </w:r>
            <w:r w:rsidR="00D5305A">
              <w:t>3.2 removed</w:t>
            </w:r>
          </w:p>
        </w:tc>
        <w:tc>
          <w:tcPr>
            <w:tcW w:w="1559" w:type="dxa"/>
            <w:vMerge/>
            <w:tcBorders>
              <w:top w:val="single" w:sz="12" w:space="0" w:color="auto"/>
              <w:left w:val="single" w:sz="2" w:space="0" w:color="auto"/>
              <w:bottom w:val="single" w:sz="8" w:space="0" w:color="auto"/>
              <w:right w:val="nil"/>
            </w:tcBorders>
            <w:vAlign w:val="center"/>
          </w:tcPr>
          <w:p w14:paraId="582F062F" w14:textId="77777777" w:rsidR="00855165" w:rsidRDefault="00855165" w:rsidP="002C1F8E">
            <w:pPr>
              <w:pStyle w:val="TableCen"/>
            </w:pPr>
          </w:p>
        </w:tc>
      </w:tr>
      <w:tr w:rsidR="00855165" w14:paraId="214B4665"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55CBF376" w14:textId="77777777" w:rsidR="00855165" w:rsidRDefault="00855165"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0C47D148" w14:textId="77777777" w:rsidR="00855165" w:rsidRDefault="00855165" w:rsidP="002C1F8E">
            <w:pPr>
              <w:pStyle w:val="TableCen"/>
            </w:pPr>
            <w:r>
              <w:t>4.2</w:t>
            </w:r>
          </w:p>
        </w:tc>
        <w:tc>
          <w:tcPr>
            <w:tcW w:w="5386" w:type="dxa"/>
            <w:tcBorders>
              <w:top w:val="single" w:sz="2" w:space="0" w:color="auto"/>
              <w:left w:val="single" w:sz="2" w:space="0" w:color="auto"/>
              <w:bottom w:val="single" w:sz="2" w:space="0" w:color="auto"/>
              <w:right w:val="single" w:sz="2" w:space="0" w:color="auto"/>
            </w:tcBorders>
            <w:vAlign w:val="center"/>
          </w:tcPr>
          <w:p w14:paraId="3A3481B6" w14:textId="77777777" w:rsidR="00855165" w:rsidRDefault="00855165" w:rsidP="00855165">
            <w:pPr>
              <w:pStyle w:val="Table"/>
            </w:pPr>
            <w:r>
              <w:t>Testing requirement</w:t>
            </w:r>
            <w:r w:rsidR="005E7174">
              <w:t>s for aggregate grading updated</w:t>
            </w:r>
          </w:p>
        </w:tc>
        <w:tc>
          <w:tcPr>
            <w:tcW w:w="1559" w:type="dxa"/>
            <w:vMerge/>
            <w:tcBorders>
              <w:top w:val="single" w:sz="12" w:space="0" w:color="auto"/>
              <w:left w:val="single" w:sz="2" w:space="0" w:color="auto"/>
              <w:bottom w:val="single" w:sz="8" w:space="0" w:color="auto"/>
              <w:right w:val="nil"/>
            </w:tcBorders>
            <w:vAlign w:val="center"/>
          </w:tcPr>
          <w:p w14:paraId="0B60F2B2" w14:textId="77777777" w:rsidR="00855165" w:rsidRDefault="00855165" w:rsidP="002C1F8E">
            <w:pPr>
              <w:pStyle w:val="TableCen"/>
            </w:pPr>
          </w:p>
        </w:tc>
      </w:tr>
      <w:tr w:rsidR="00855165" w14:paraId="5F00F716"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5FD85F37" w14:textId="77777777" w:rsidR="00855165" w:rsidRDefault="00855165"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0AC9A89C" w14:textId="77777777" w:rsidR="00855165" w:rsidRDefault="00855165" w:rsidP="002C1F8E">
            <w:pPr>
              <w:pStyle w:val="TableCen"/>
            </w:pPr>
            <w:r>
              <w:t>4.3</w:t>
            </w:r>
          </w:p>
        </w:tc>
        <w:tc>
          <w:tcPr>
            <w:tcW w:w="5386" w:type="dxa"/>
            <w:tcBorders>
              <w:top w:val="single" w:sz="2" w:space="0" w:color="auto"/>
              <w:left w:val="single" w:sz="2" w:space="0" w:color="auto"/>
              <w:bottom w:val="single" w:sz="2" w:space="0" w:color="auto"/>
              <w:right w:val="single" w:sz="2" w:space="0" w:color="auto"/>
            </w:tcBorders>
            <w:vAlign w:val="center"/>
          </w:tcPr>
          <w:p w14:paraId="75562429" w14:textId="77777777" w:rsidR="00855165" w:rsidRDefault="00855165" w:rsidP="001F6932">
            <w:pPr>
              <w:pStyle w:val="Table"/>
            </w:pPr>
            <w:r>
              <w:t xml:space="preserve">Testing </w:t>
            </w:r>
            <w:r w:rsidR="005E7174">
              <w:t>requirements for binder updated</w:t>
            </w:r>
          </w:p>
        </w:tc>
        <w:tc>
          <w:tcPr>
            <w:tcW w:w="1559" w:type="dxa"/>
            <w:vMerge/>
            <w:tcBorders>
              <w:top w:val="single" w:sz="12" w:space="0" w:color="auto"/>
              <w:left w:val="single" w:sz="2" w:space="0" w:color="auto"/>
              <w:bottom w:val="single" w:sz="8" w:space="0" w:color="auto"/>
              <w:right w:val="nil"/>
            </w:tcBorders>
            <w:vAlign w:val="center"/>
          </w:tcPr>
          <w:p w14:paraId="04B641A5" w14:textId="77777777" w:rsidR="00855165" w:rsidRDefault="00855165" w:rsidP="002C1F8E">
            <w:pPr>
              <w:pStyle w:val="TableCen"/>
            </w:pPr>
          </w:p>
        </w:tc>
      </w:tr>
      <w:tr w:rsidR="00855165" w14:paraId="5DA97FF1"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4313DDE9" w14:textId="77777777" w:rsidR="00855165" w:rsidRDefault="00855165" w:rsidP="002C1F8E">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6C350218" w14:textId="77777777" w:rsidR="00855165" w:rsidRDefault="00855165" w:rsidP="002C1F8E">
            <w:pPr>
              <w:pStyle w:val="TableCen"/>
            </w:pPr>
            <w:r>
              <w:t>4.4</w:t>
            </w:r>
          </w:p>
        </w:tc>
        <w:tc>
          <w:tcPr>
            <w:tcW w:w="5386" w:type="dxa"/>
            <w:tcBorders>
              <w:top w:val="single" w:sz="2" w:space="0" w:color="auto"/>
              <w:left w:val="single" w:sz="2" w:space="0" w:color="auto"/>
              <w:bottom w:val="single" w:sz="8" w:space="0" w:color="auto"/>
              <w:right w:val="single" w:sz="2" w:space="0" w:color="auto"/>
            </w:tcBorders>
            <w:vAlign w:val="center"/>
          </w:tcPr>
          <w:p w14:paraId="489E3360" w14:textId="77777777" w:rsidR="00855165" w:rsidRDefault="00855165" w:rsidP="005E7174">
            <w:pPr>
              <w:pStyle w:val="Table"/>
            </w:pPr>
            <w:r>
              <w:t>First paragraph modified – test requirements removed</w:t>
            </w:r>
          </w:p>
        </w:tc>
        <w:tc>
          <w:tcPr>
            <w:tcW w:w="1559" w:type="dxa"/>
            <w:vMerge/>
            <w:tcBorders>
              <w:top w:val="single" w:sz="12" w:space="0" w:color="auto"/>
              <w:left w:val="single" w:sz="2" w:space="0" w:color="auto"/>
              <w:bottom w:val="single" w:sz="8" w:space="0" w:color="auto"/>
              <w:right w:val="nil"/>
            </w:tcBorders>
            <w:vAlign w:val="center"/>
          </w:tcPr>
          <w:p w14:paraId="7825D000" w14:textId="77777777" w:rsidR="00855165" w:rsidRDefault="00855165" w:rsidP="002C1F8E">
            <w:pPr>
              <w:pStyle w:val="TableCen"/>
            </w:pPr>
          </w:p>
        </w:tc>
      </w:tr>
      <w:tr w:rsidR="00802AAF" w14:paraId="7F279D2F" w14:textId="77777777" w:rsidTr="00CA2DC7">
        <w:trPr>
          <w:trHeight w:val="340"/>
        </w:trPr>
        <w:tc>
          <w:tcPr>
            <w:tcW w:w="1242" w:type="dxa"/>
            <w:vMerge w:val="restart"/>
            <w:tcBorders>
              <w:top w:val="single" w:sz="8" w:space="0" w:color="auto"/>
              <w:left w:val="nil"/>
              <w:bottom w:val="single" w:sz="8" w:space="0" w:color="auto"/>
              <w:right w:val="single" w:sz="2" w:space="0" w:color="auto"/>
            </w:tcBorders>
            <w:vAlign w:val="center"/>
          </w:tcPr>
          <w:p w14:paraId="4A9E28C7" w14:textId="77777777" w:rsidR="00802AAF" w:rsidRDefault="00802AAF" w:rsidP="002C1F8E">
            <w:pPr>
              <w:pStyle w:val="TableCen"/>
            </w:pPr>
            <w:r>
              <w:t>4.0</w:t>
            </w:r>
          </w:p>
        </w:tc>
        <w:tc>
          <w:tcPr>
            <w:tcW w:w="1310" w:type="dxa"/>
            <w:tcBorders>
              <w:top w:val="single" w:sz="8" w:space="0" w:color="auto"/>
              <w:left w:val="single" w:sz="2" w:space="0" w:color="auto"/>
              <w:bottom w:val="single" w:sz="2" w:space="0" w:color="auto"/>
              <w:right w:val="single" w:sz="2" w:space="0" w:color="auto"/>
            </w:tcBorders>
            <w:vAlign w:val="center"/>
          </w:tcPr>
          <w:p w14:paraId="308F272C" w14:textId="77777777" w:rsidR="00802AAF" w:rsidRDefault="00321E4E" w:rsidP="002C1F8E">
            <w:pPr>
              <w:pStyle w:val="TableCen"/>
            </w:pPr>
            <w:r>
              <w:t>1.1</w:t>
            </w:r>
          </w:p>
        </w:tc>
        <w:tc>
          <w:tcPr>
            <w:tcW w:w="5386" w:type="dxa"/>
            <w:tcBorders>
              <w:top w:val="single" w:sz="8" w:space="0" w:color="auto"/>
              <w:left w:val="single" w:sz="2" w:space="0" w:color="auto"/>
              <w:bottom w:val="single" w:sz="2" w:space="0" w:color="auto"/>
              <w:right w:val="single" w:sz="2" w:space="0" w:color="auto"/>
            </w:tcBorders>
            <w:vAlign w:val="center"/>
          </w:tcPr>
          <w:p w14:paraId="7EDE8465" w14:textId="77777777" w:rsidR="00802AAF" w:rsidRDefault="00802AAF" w:rsidP="00802AAF">
            <w:pPr>
              <w:pStyle w:val="Table"/>
            </w:pPr>
            <w:r>
              <w:t>Use of Warm Mix Asphalt permitted for all projects</w:t>
            </w:r>
          </w:p>
        </w:tc>
        <w:tc>
          <w:tcPr>
            <w:tcW w:w="1559" w:type="dxa"/>
            <w:vMerge w:val="restart"/>
            <w:tcBorders>
              <w:top w:val="single" w:sz="8" w:space="0" w:color="auto"/>
              <w:left w:val="single" w:sz="2" w:space="0" w:color="auto"/>
              <w:bottom w:val="single" w:sz="12" w:space="0" w:color="auto"/>
              <w:right w:val="nil"/>
            </w:tcBorders>
            <w:vAlign w:val="center"/>
          </w:tcPr>
          <w:p w14:paraId="398A067C" w14:textId="77777777" w:rsidR="00802AAF" w:rsidRDefault="00802AAF" w:rsidP="002C1F8E">
            <w:pPr>
              <w:pStyle w:val="TableCen"/>
            </w:pPr>
            <w:r>
              <w:t>June 2018</w:t>
            </w:r>
          </w:p>
        </w:tc>
      </w:tr>
      <w:tr w:rsidR="00952F1B" w14:paraId="19BA9331"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2DC6019F" w14:textId="77777777" w:rsidR="00952F1B" w:rsidRDefault="00952F1B"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2038F9D2" w14:textId="77777777" w:rsidR="00952F1B" w:rsidRDefault="00952F1B" w:rsidP="002C1F8E">
            <w:pPr>
              <w:pStyle w:val="TableCen"/>
            </w:pPr>
            <w:r>
              <w:t>1.3</w:t>
            </w:r>
          </w:p>
        </w:tc>
        <w:tc>
          <w:tcPr>
            <w:tcW w:w="5386" w:type="dxa"/>
            <w:tcBorders>
              <w:top w:val="single" w:sz="2" w:space="0" w:color="auto"/>
              <w:left w:val="single" w:sz="2" w:space="0" w:color="auto"/>
              <w:bottom w:val="single" w:sz="2" w:space="0" w:color="auto"/>
              <w:right w:val="single" w:sz="2" w:space="0" w:color="auto"/>
            </w:tcBorders>
            <w:vAlign w:val="center"/>
          </w:tcPr>
          <w:p w14:paraId="44D4A496" w14:textId="77777777" w:rsidR="00952F1B" w:rsidRDefault="00952F1B" w:rsidP="00952F1B">
            <w:pPr>
              <w:pStyle w:val="Table"/>
            </w:pPr>
            <w:r>
              <w:t>Deleted DTMR Test Methods removed</w:t>
            </w:r>
          </w:p>
        </w:tc>
        <w:tc>
          <w:tcPr>
            <w:tcW w:w="1559" w:type="dxa"/>
            <w:vMerge/>
            <w:tcBorders>
              <w:top w:val="single" w:sz="8" w:space="0" w:color="auto"/>
              <w:left w:val="single" w:sz="2" w:space="0" w:color="auto"/>
              <w:bottom w:val="single" w:sz="12" w:space="0" w:color="auto"/>
              <w:right w:val="nil"/>
            </w:tcBorders>
            <w:vAlign w:val="center"/>
          </w:tcPr>
          <w:p w14:paraId="2CBAEA48" w14:textId="77777777" w:rsidR="00952F1B" w:rsidRDefault="00952F1B" w:rsidP="002C1F8E">
            <w:pPr>
              <w:pStyle w:val="TableCen"/>
            </w:pPr>
          </w:p>
        </w:tc>
      </w:tr>
      <w:tr w:rsidR="00952F1B" w14:paraId="571D4C90"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25AD79C5" w14:textId="77777777" w:rsidR="00952F1B" w:rsidRDefault="00952F1B"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0B255289" w14:textId="77777777" w:rsidR="00952F1B" w:rsidRDefault="00952F1B" w:rsidP="002C1F8E">
            <w:pPr>
              <w:pStyle w:val="TableCen"/>
            </w:pPr>
            <w:r>
              <w:t>2.2</w:t>
            </w:r>
          </w:p>
        </w:tc>
        <w:tc>
          <w:tcPr>
            <w:tcW w:w="5386" w:type="dxa"/>
            <w:tcBorders>
              <w:top w:val="single" w:sz="2" w:space="0" w:color="auto"/>
              <w:left w:val="single" w:sz="2" w:space="0" w:color="auto"/>
              <w:bottom w:val="single" w:sz="2" w:space="0" w:color="auto"/>
              <w:right w:val="single" w:sz="2" w:space="0" w:color="auto"/>
            </w:tcBorders>
            <w:vAlign w:val="center"/>
          </w:tcPr>
          <w:p w14:paraId="31DC0EB0" w14:textId="77777777" w:rsidR="00952F1B" w:rsidRDefault="00952F1B" w:rsidP="00802AAF">
            <w:pPr>
              <w:pStyle w:val="Table"/>
            </w:pPr>
            <w:r>
              <w:t>Reference to Austroads Test Methods added</w:t>
            </w:r>
          </w:p>
        </w:tc>
        <w:tc>
          <w:tcPr>
            <w:tcW w:w="1559" w:type="dxa"/>
            <w:vMerge/>
            <w:tcBorders>
              <w:top w:val="single" w:sz="8" w:space="0" w:color="auto"/>
              <w:left w:val="single" w:sz="2" w:space="0" w:color="auto"/>
              <w:bottom w:val="single" w:sz="12" w:space="0" w:color="auto"/>
              <w:right w:val="nil"/>
            </w:tcBorders>
            <w:vAlign w:val="center"/>
          </w:tcPr>
          <w:p w14:paraId="622C4343" w14:textId="77777777" w:rsidR="00952F1B" w:rsidRDefault="00952F1B" w:rsidP="002C1F8E">
            <w:pPr>
              <w:pStyle w:val="TableCen"/>
            </w:pPr>
          </w:p>
        </w:tc>
      </w:tr>
      <w:tr w:rsidR="00575158" w14:paraId="7ED228E2"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1A0F0762" w14:textId="77777777" w:rsidR="00575158" w:rsidRDefault="00575158"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D9AF0A0" w14:textId="77777777" w:rsidR="00575158" w:rsidRDefault="00575158" w:rsidP="002C1F8E">
            <w:pPr>
              <w:pStyle w:val="TableCen"/>
            </w:pPr>
            <w:r>
              <w:t>3.1</w:t>
            </w:r>
          </w:p>
        </w:tc>
        <w:tc>
          <w:tcPr>
            <w:tcW w:w="5386" w:type="dxa"/>
            <w:tcBorders>
              <w:top w:val="single" w:sz="2" w:space="0" w:color="auto"/>
              <w:left w:val="single" w:sz="2" w:space="0" w:color="auto"/>
              <w:bottom w:val="single" w:sz="2" w:space="0" w:color="auto"/>
              <w:right w:val="single" w:sz="2" w:space="0" w:color="auto"/>
            </w:tcBorders>
            <w:vAlign w:val="center"/>
          </w:tcPr>
          <w:p w14:paraId="4C0E028A" w14:textId="6A772991" w:rsidR="00575158" w:rsidRDefault="00575158" w:rsidP="00802AAF">
            <w:pPr>
              <w:pStyle w:val="Table"/>
            </w:pPr>
            <w:r>
              <w:t>Table</w:t>
            </w:r>
            <w:r w:rsidR="00C1023C" w:rsidRPr="00136A0B">
              <w:t> </w:t>
            </w:r>
            <w:r>
              <w:t>3.1 - Deleted DTMR Test Methods removed and guide notes added</w:t>
            </w:r>
          </w:p>
        </w:tc>
        <w:tc>
          <w:tcPr>
            <w:tcW w:w="1559" w:type="dxa"/>
            <w:vMerge/>
            <w:tcBorders>
              <w:top w:val="single" w:sz="8" w:space="0" w:color="auto"/>
              <w:left w:val="single" w:sz="2" w:space="0" w:color="auto"/>
              <w:bottom w:val="single" w:sz="12" w:space="0" w:color="auto"/>
              <w:right w:val="nil"/>
            </w:tcBorders>
            <w:vAlign w:val="center"/>
          </w:tcPr>
          <w:p w14:paraId="50844EDC" w14:textId="77777777" w:rsidR="00575158" w:rsidRDefault="00575158" w:rsidP="002C1F8E">
            <w:pPr>
              <w:pStyle w:val="TableCen"/>
            </w:pPr>
          </w:p>
        </w:tc>
      </w:tr>
      <w:tr w:rsidR="00D42858" w14:paraId="65F23454"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5F775392" w14:textId="77777777" w:rsidR="00D42858" w:rsidRDefault="00D42858"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7FCDF069" w14:textId="77777777" w:rsidR="00D42858" w:rsidRDefault="00D42858" w:rsidP="002C1F8E">
            <w:pPr>
              <w:pStyle w:val="TableCen"/>
            </w:pPr>
            <w:r>
              <w:t>3.3</w:t>
            </w:r>
          </w:p>
        </w:tc>
        <w:tc>
          <w:tcPr>
            <w:tcW w:w="5386" w:type="dxa"/>
            <w:tcBorders>
              <w:top w:val="single" w:sz="2" w:space="0" w:color="auto"/>
              <w:left w:val="single" w:sz="2" w:space="0" w:color="auto"/>
              <w:bottom w:val="single" w:sz="2" w:space="0" w:color="auto"/>
              <w:right w:val="single" w:sz="2" w:space="0" w:color="auto"/>
            </w:tcBorders>
            <w:vAlign w:val="center"/>
          </w:tcPr>
          <w:p w14:paraId="1A8CED53" w14:textId="77777777" w:rsidR="00D42858" w:rsidRDefault="00D42858" w:rsidP="00D42858">
            <w:pPr>
              <w:pStyle w:val="Table"/>
            </w:pPr>
            <w:r>
              <w:t>R</w:t>
            </w:r>
            <w:r w:rsidRPr="00D952E0">
              <w:t>ecycled fines from asphalt plant dust extraction filters</w:t>
            </w:r>
            <w:r>
              <w:t xml:space="preserve"> included as part of the filler</w:t>
            </w:r>
          </w:p>
        </w:tc>
        <w:tc>
          <w:tcPr>
            <w:tcW w:w="1559" w:type="dxa"/>
            <w:vMerge/>
            <w:tcBorders>
              <w:top w:val="single" w:sz="8" w:space="0" w:color="auto"/>
              <w:left w:val="single" w:sz="2" w:space="0" w:color="auto"/>
              <w:bottom w:val="single" w:sz="12" w:space="0" w:color="auto"/>
              <w:right w:val="nil"/>
            </w:tcBorders>
            <w:vAlign w:val="center"/>
          </w:tcPr>
          <w:p w14:paraId="2B794253" w14:textId="77777777" w:rsidR="00D42858" w:rsidRDefault="00D42858" w:rsidP="002C1F8E">
            <w:pPr>
              <w:pStyle w:val="TableCen"/>
            </w:pPr>
          </w:p>
        </w:tc>
      </w:tr>
      <w:tr w:rsidR="00802AAF" w14:paraId="41BACFB5"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17CE73FA" w14:textId="77777777" w:rsidR="00802AAF" w:rsidRDefault="00802AAF"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66440227" w14:textId="77777777" w:rsidR="00802AAF" w:rsidRDefault="00802AAF" w:rsidP="002C1F8E">
            <w:pPr>
              <w:pStyle w:val="TableCen"/>
            </w:pPr>
            <w:r>
              <w:t>3.5</w:t>
            </w:r>
          </w:p>
        </w:tc>
        <w:tc>
          <w:tcPr>
            <w:tcW w:w="5386" w:type="dxa"/>
            <w:tcBorders>
              <w:top w:val="single" w:sz="2" w:space="0" w:color="auto"/>
              <w:left w:val="single" w:sz="2" w:space="0" w:color="auto"/>
              <w:bottom w:val="single" w:sz="2" w:space="0" w:color="auto"/>
              <w:right w:val="single" w:sz="2" w:space="0" w:color="auto"/>
            </w:tcBorders>
            <w:vAlign w:val="center"/>
          </w:tcPr>
          <w:p w14:paraId="5A13852E" w14:textId="77777777" w:rsidR="00802AAF" w:rsidRDefault="00802AAF" w:rsidP="001F6932">
            <w:pPr>
              <w:pStyle w:val="Table"/>
            </w:pPr>
            <w:r>
              <w:t>Section reviewed</w:t>
            </w:r>
          </w:p>
        </w:tc>
        <w:tc>
          <w:tcPr>
            <w:tcW w:w="1559" w:type="dxa"/>
            <w:vMerge/>
            <w:tcBorders>
              <w:top w:val="single" w:sz="8" w:space="0" w:color="auto"/>
              <w:left w:val="single" w:sz="2" w:space="0" w:color="auto"/>
              <w:bottom w:val="single" w:sz="12" w:space="0" w:color="auto"/>
              <w:right w:val="nil"/>
            </w:tcBorders>
            <w:vAlign w:val="center"/>
          </w:tcPr>
          <w:p w14:paraId="39E92EF2" w14:textId="77777777" w:rsidR="00802AAF" w:rsidRDefault="00802AAF" w:rsidP="002C1F8E">
            <w:pPr>
              <w:pStyle w:val="TableCen"/>
            </w:pPr>
          </w:p>
        </w:tc>
      </w:tr>
      <w:tr w:rsidR="00802AAF" w14:paraId="136F9DD0"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36BF2BC5" w14:textId="77777777" w:rsidR="00802AAF" w:rsidRDefault="00802AAF"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5EFEF650" w14:textId="77777777" w:rsidR="00802AAF" w:rsidRDefault="00802AAF" w:rsidP="002C1F8E">
            <w:pPr>
              <w:pStyle w:val="TableCen"/>
            </w:pPr>
            <w:r>
              <w:t>3.6</w:t>
            </w:r>
          </w:p>
        </w:tc>
        <w:tc>
          <w:tcPr>
            <w:tcW w:w="5386" w:type="dxa"/>
            <w:tcBorders>
              <w:top w:val="single" w:sz="2" w:space="0" w:color="auto"/>
              <w:left w:val="single" w:sz="2" w:space="0" w:color="auto"/>
              <w:bottom w:val="single" w:sz="2" w:space="0" w:color="auto"/>
              <w:right w:val="single" w:sz="2" w:space="0" w:color="auto"/>
            </w:tcBorders>
            <w:vAlign w:val="center"/>
          </w:tcPr>
          <w:p w14:paraId="763C3B6B" w14:textId="77777777" w:rsidR="00802AAF" w:rsidRDefault="00802AAF" w:rsidP="001F6932">
            <w:pPr>
              <w:pStyle w:val="Table"/>
            </w:pPr>
            <w:r>
              <w:t>New Section – Granulated Glass Aggregate</w:t>
            </w:r>
          </w:p>
        </w:tc>
        <w:tc>
          <w:tcPr>
            <w:tcW w:w="1559" w:type="dxa"/>
            <w:vMerge/>
            <w:tcBorders>
              <w:top w:val="single" w:sz="8" w:space="0" w:color="auto"/>
              <w:left w:val="single" w:sz="2" w:space="0" w:color="auto"/>
              <w:bottom w:val="single" w:sz="12" w:space="0" w:color="auto"/>
              <w:right w:val="nil"/>
            </w:tcBorders>
            <w:vAlign w:val="center"/>
          </w:tcPr>
          <w:p w14:paraId="7FC06856" w14:textId="77777777" w:rsidR="00802AAF" w:rsidRDefault="00802AAF" w:rsidP="002C1F8E">
            <w:pPr>
              <w:pStyle w:val="TableCen"/>
            </w:pPr>
          </w:p>
        </w:tc>
      </w:tr>
      <w:tr w:rsidR="00802AAF" w14:paraId="650EABF0"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3C05DDB3" w14:textId="77777777" w:rsidR="00802AAF" w:rsidRDefault="00802AAF"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816EB27" w14:textId="77777777" w:rsidR="00802AAF" w:rsidRDefault="00802AAF" w:rsidP="002C1F8E">
            <w:pPr>
              <w:pStyle w:val="TableCen"/>
            </w:pPr>
            <w:r>
              <w:t>3.7</w:t>
            </w:r>
          </w:p>
        </w:tc>
        <w:tc>
          <w:tcPr>
            <w:tcW w:w="5386" w:type="dxa"/>
            <w:tcBorders>
              <w:top w:val="single" w:sz="2" w:space="0" w:color="auto"/>
              <w:left w:val="single" w:sz="2" w:space="0" w:color="auto"/>
              <w:bottom w:val="single" w:sz="2" w:space="0" w:color="auto"/>
              <w:right w:val="single" w:sz="2" w:space="0" w:color="auto"/>
            </w:tcBorders>
            <w:vAlign w:val="center"/>
          </w:tcPr>
          <w:p w14:paraId="324809D1" w14:textId="77777777" w:rsidR="00802AAF" w:rsidRDefault="00802AAF" w:rsidP="001F6932">
            <w:pPr>
              <w:pStyle w:val="Table"/>
            </w:pPr>
            <w:r>
              <w:t>New Section – Warm Mix Asphalt Additive</w:t>
            </w:r>
          </w:p>
        </w:tc>
        <w:tc>
          <w:tcPr>
            <w:tcW w:w="1559" w:type="dxa"/>
            <w:vMerge/>
            <w:tcBorders>
              <w:top w:val="single" w:sz="8" w:space="0" w:color="auto"/>
              <w:left w:val="single" w:sz="2" w:space="0" w:color="auto"/>
              <w:bottom w:val="single" w:sz="12" w:space="0" w:color="auto"/>
              <w:right w:val="nil"/>
            </w:tcBorders>
            <w:vAlign w:val="center"/>
          </w:tcPr>
          <w:p w14:paraId="10AD57D1" w14:textId="77777777" w:rsidR="00802AAF" w:rsidRDefault="00802AAF" w:rsidP="002C1F8E">
            <w:pPr>
              <w:pStyle w:val="TableCen"/>
            </w:pPr>
          </w:p>
        </w:tc>
      </w:tr>
      <w:tr w:rsidR="00A911EE" w14:paraId="527ECD4E"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7EE70D2C" w14:textId="77777777" w:rsidR="00A911EE" w:rsidRDefault="00A911EE"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00F13BE9" w14:textId="77777777" w:rsidR="00A911EE" w:rsidRDefault="00A911EE" w:rsidP="002C1F8E">
            <w:pPr>
              <w:pStyle w:val="TableCen"/>
            </w:pPr>
            <w:r>
              <w:t>4.1</w:t>
            </w:r>
          </w:p>
        </w:tc>
        <w:tc>
          <w:tcPr>
            <w:tcW w:w="5386" w:type="dxa"/>
            <w:tcBorders>
              <w:top w:val="single" w:sz="2" w:space="0" w:color="auto"/>
              <w:left w:val="single" w:sz="2" w:space="0" w:color="auto"/>
              <w:bottom w:val="single" w:sz="2" w:space="0" w:color="auto"/>
              <w:right w:val="single" w:sz="2" w:space="0" w:color="auto"/>
            </w:tcBorders>
            <w:vAlign w:val="center"/>
          </w:tcPr>
          <w:p w14:paraId="419414EA" w14:textId="13B19159" w:rsidR="00A911EE" w:rsidRDefault="00A911EE" w:rsidP="001F6932">
            <w:pPr>
              <w:pStyle w:val="Table"/>
            </w:pPr>
            <w:r>
              <w:t>Table</w:t>
            </w:r>
            <w:r w:rsidR="00C1023C" w:rsidRPr="00136A0B">
              <w:t> </w:t>
            </w:r>
            <w:r>
              <w:t>4.1 – Nominal aggregate size for mix type 3</w:t>
            </w:r>
            <w:r w:rsidR="00D5185B">
              <w:t xml:space="preserve"> changed</w:t>
            </w:r>
            <w:r w:rsidR="00575158">
              <w:t>. Alternative DTMR mix changed to new DTMR classifications.</w:t>
            </w:r>
          </w:p>
        </w:tc>
        <w:tc>
          <w:tcPr>
            <w:tcW w:w="1559" w:type="dxa"/>
            <w:vMerge/>
            <w:tcBorders>
              <w:top w:val="single" w:sz="8" w:space="0" w:color="auto"/>
              <w:left w:val="single" w:sz="2" w:space="0" w:color="auto"/>
              <w:bottom w:val="single" w:sz="12" w:space="0" w:color="auto"/>
              <w:right w:val="nil"/>
            </w:tcBorders>
            <w:vAlign w:val="center"/>
          </w:tcPr>
          <w:p w14:paraId="68F3227C" w14:textId="77777777" w:rsidR="00A911EE" w:rsidRDefault="00A911EE" w:rsidP="002C1F8E">
            <w:pPr>
              <w:pStyle w:val="TableCen"/>
            </w:pPr>
          </w:p>
        </w:tc>
      </w:tr>
      <w:tr w:rsidR="00802AAF" w14:paraId="3520EE95"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65971681" w14:textId="77777777" w:rsidR="00802AAF" w:rsidRDefault="00802AAF"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704745A7" w14:textId="77777777" w:rsidR="00802AAF" w:rsidRDefault="00802AAF" w:rsidP="002C1F8E">
            <w:pPr>
              <w:pStyle w:val="TableCen"/>
            </w:pPr>
            <w:r>
              <w:t>4.2</w:t>
            </w:r>
          </w:p>
        </w:tc>
        <w:tc>
          <w:tcPr>
            <w:tcW w:w="5386" w:type="dxa"/>
            <w:tcBorders>
              <w:top w:val="single" w:sz="2" w:space="0" w:color="auto"/>
              <w:left w:val="single" w:sz="2" w:space="0" w:color="auto"/>
              <w:bottom w:val="single" w:sz="2" w:space="0" w:color="auto"/>
              <w:right w:val="single" w:sz="2" w:space="0" w:color="auto"/>
            </w:tcBorders>
            <w:vAlign w:val="center"/>
          </w:tcPr>
          <w:p w14:paraId="7947FBFE" w14:textId="1E21B649" w:rsidR="00802AAF" w:rsidRDefault="00802AAF" w:rsidP="005E7174">
            <w:pPr>
              <w:pStyle w:val="Table"/>
            </w:pPr>
            <w:r>
              <w:t>Table</w:t>
            </w:r>
            <w:r w:rsidR="00C1023C" w:rsidRPr="00136A0B">
              <w:t> </w:t>
            </w:r>
            <w:r>
              <w:t>4.2 – New grading requirements for mix type 3</w:t>
            </w:r>
          </w:p>
        </w:tc>
        <w:tc>
          <w:tcPr>
            <w:tcW w:w="1559" w:type="dxa"/>
            <w:vMerge/>
            <w:tcBorders>
              <w:top w:val="single" w:sz="8" w:space="0" w:color="auto"/>
              <w:left w:val="single" w:sz="2" w:space="0" w:color="auto"/>
              <w:bottom w:val="single" w:sz="12" w:space="0" w:color="auto"/>
              <w:right w:val="nil"/>
            </w:tcBorders>
            <w:vAlign w:val="center"/>
          </w:tcPr>
          <w:p w14:paraId="599B47DE" w14:textId="77777777" w:rsidR="00802AAF" w:rsidRDefault="00802AAF" w:rsidP="002C1F8E">
            <w:pPr>
              <w:pStyle w:val="TableCen"/>
            </w:pPr>
          </w:p>
        </w:tc>
      </w:tr>
      <w:tr w:rsidR="00802AAF" w14:paraId="636BAF5D"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4B6DA94A" w14:textId="77777777" w:rsidR="00802AAF" w:rsidRDefault="00802AAF"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9044995" w14:textId="77777777" w:rsidR="00802AAF" w:rsidRDefault="00802AAF" w:rsidP="002C1F8E">
            <w:pPr>
              <w:pStyle w:val="TableCen"/>
            </w:pPr>
            <w:r>
              <w:t>4.3</w:t>
            </w:r>
          </w:p>
        </w:tc>
        <w:tc>
          <w:tcPr>
            <w:tcW w:w="5386" w:type="dxa"/>
            <w:tcBorders>
              <w:top w:val="single" w:sz="2" w:space="0" w:color="auto"/>
              <w:left w:val="single" w:sz="2" w:space="0" w:color="auto"/>
              <w:bottom w:val="single" w:sz="2" w:space="0" w:color="auto"/>
              <w:right w:val="single" w:sz="2" w:space="0" w:color="auto"/>
            </w:tcBorders>
            <w:vAlign w:val="center"/>
          </w:tcPr>
          <w:p w14:paraId="4487C0D4" w14:textId="0D2E543A" w:rsidR="00802AAF" w:rsidRDefault="00802AAF" w:rsidP="005E7174">
            <w:pPr>
              <w:pStyle w:val="Table"/>
            </w:pPr>
            <w:r>
              <w:t>Table</w:t>
            </w:r>
            <w:r w:rsidR="00C1023C" w:rsidRPr="00136A0B">
              <w:t> </w:t>
            </w:r>
            <w:r>
              <w:t xml:space="preserve">4.3 – Requirement for mix </w:t>
            </w:r>
            <w:r w:rsidR="00C1023C">
              <w:t>Type</w:t>
            </w:r>
            <w:r w:rsidR="00C1023C" w:rsidRPr="00136A0B">
              <w:t> </w:t>
            </w:r>
            <w:r>
              <w:t>2 must have Class</w:t>
            </w:r>
            <w:r w:rsidR="00C1023C" w:rsidRPr="00136A0B">
              <w:t> </w:t>
            </w:r>
            <w:r>
              <w:t>170 binder if more than 15% RAP is included in the asphalt</w:t>
            </w:r>
          </w:p>
        </w:tc>
        <w:tc>
          <w:tcPr>
            <w:tcW w:w="1559" w:type="dxa"/>
            <w:vMerge/>
            <w:tcBorders>
              <w:top w:val="single" w:sz="8" w:space="0" w:color="auto"/>
              <w:left w:val="single" w:sz="2" w:space="0" w:color="auto"/>
              <w:bottom w:val="single" w:sz="12" w:space="0" w:color="auto"/>
              <w:right w:val="nil"/>
            </w:tcBorders>
            <w:vAlign w:val="center"/>
          </w:tcPr>
          <w:p w14:paraId="26FD6DD8" w14:textId="77777777" w:rsidR="00802AAF" w:rsidRDefault="00802AAF" w:rsidP="002C1F8E">
            <w:pPr>
              <w:pStyle w:val="TableCen"/>
            </w:pPr>
          </w:p>
        </w:tc>
      </w:tr>
      <w:tr w:rsidR="00802AAF" w14:paraId="4322BBB8"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35336FF5" w14:textId="77777777" w:rsidR="00802AAF" w:rsidRDefault="00802AAF"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115AD66F" w14:textId="77777777" w:rsidR="00802AAF" w:rsidRDefault="00802AAF" w:rsidP="002C1F8E">
            <w:pPr>
              <w:pStyle w:val="TableCen"/>
            </w:pPr>
            <w:r>
              <w:t>4.4</w:t>
            </w:r>
          </w:p>
        </w:tc>
        <w:tc>
          <w:tcPr>
            <w:tcW w:w="5386" w:type="dxa"/>
            <w:tcBorders>
              <w:top w:val="single" w:sz="2" w:space="0" w:color="auto"/>
              <w:left w:val="single" w:sz="2" w:space="0" w:color="auto"/>
              <w:bottom w:val="single" w:sz="2" w:space="0" w:color="auto"/>
              <w:right w:val="single" w:sz="2" w:space="0" w:color="auto"/>
            </w:tcBorders>
            <w:vAlign w:val="center"/>
          </w:tcPr>
          <w:p w14:paraId="64E11E4A" w14:textId="119FD162" w:rsidR="00802AAF" w:rsidRDefault="00321E4E" w:rsidP="00321E4E">
            <w:pPr>
              <w:pStyle w:val="Table"/>
            </w:pPr>
            <w:r>
              <w:t xml:space="preserve">Clarify that design mix with tolerances </w:t>
            </w:r>
            <w:r w:rsidR="008402C5">
              <w:t>to</w:t>
            </w:r>
            <w:r>
              <w:t xml:space="preserve"> meet Table</w:t>
            </w:r>
            <w:r w:rsidR="00D42858">
              <w:t>s</w:t>
            </w:r>
            <w:r w:rsidR="0064192A" w:rsidRPr="00136A0B">
              <w:t> </w:t>
            </w:r>
            <w:r>
              <w:t>4.2</w:t>
            </w:r>
            <w:r w:rsidR="00180200" w:rsidRPr="00136A0B">
              <w:t> </w:t>
            </w:r>
            <w:r w:rsidR="00D42858">
              <w:t>&amp;</w:t>
            </w:r>
            <w:r w:rsidR="00180200" w:rsidRPr="00136A0B">
              <w:t> </w:t>
            </w:r>
            <w:r w:rsidR="00D42858">
              <w:t>4.3</w:t>
            </w:r>
          </w:p>
          <w:p w14:paraId="2B53DF0A" w14:textId="47EA1C06" w:rsidR="00E42696" w:rsidRDefault="00E42696" w:rsidP="00321E4E">
            <w:pPr>
              <w:pStyle w:val="Table"/>
            </w:pPr>
            <w:r>
              <w:t>Table</w:t>
            </w:r>
            <w:r w:rsidR="0064192A" w:rsidRPr="00136A0B">
              <w:t> </w:t>
            </w:r>
            <w:r>
              <w:t xml:space="preserve">4.4 – add properties for mix </w:t>
            </w:r>
            <w:r w:rsidR="0064192A">
              <w:t>Type</w:t>
            </w:r>
            <w:r w:rsidR="0064192A" w:rsidRPr="00136A0B">
              <w:t> </w:t>
            </w:r>
            <w:r>
              <w:t>2 with M1000 bitumen.</w:t>
            </w:r>
          </w:p>
          <w:p w14:paraId="4BA05A86" w14:textId="2A7E53B3" w:rsidR="00E42696" w:rsidRDefault="00E42696" w:rsidP="008402C5">
            <w:pPr>
              <w:pStyle w:val="Table"/>
            </w:pPr>
            <w:r>
              <w:t>Table</w:t>
            </w:r>
            <w:r w:rsidR="0064192A" w:rsidRPr="00136A0B">
              <w:t> </w:t>
            </w:r>
            <w:r>
              <w:t xml:space="preserve">4.5 </w:t>
            </w:r>
            <w:r w:rsidR="0064192A">
              <w:t>–</w:t>
            </w:r>
            <w:r>
              <w:t xml:space="preserve"> </w:t>
            </w:r>
            <w:r w:rsidRPr="00E42696">
              <w:t>permitted variation</w:t>
            </w:r>
            <w:r>
              <w:t xml:space="preserve"> increased to reflect industry standards</w:t>
            </w:r>
          </w:p>
        </w:tc>
        <w:tc>
          <w:tcPr>
            <w:tcW w:w="1559" w:type="dxa"/>
            <w:vMerge/>
            <w:tcBorders>
              <w:top w:val="single" w:sz="8" w:space="0" w:color="auto"/>
              <w:left w:val="single" w:sz="2" w:space="0" w:color="auto"/>
              <w:bottom w:val="single" w:sz="12" w:space="0" w:color="auto"/>
              <w:right w:val="nil"/>
            </w:tcBorders>
            <w:vAlign w:val="center"/>
          </w:tcPr>
          <w:p w14:paraId="61BDA2FD" w14:textId="77777777" w:rsidR="00802AAF" w:rsidRDefault="00802AAF" w:rsidP="002C1F8E">
            <w:pPr>
              <w:pStyle w:val="TableCen"/>
            </w:pPr>
          </w:p>
        </w:tc>
      </w:tr>
      <w:tr w:rsidR="00802AAF" w14:paraId="08898A56" w14:textId="77777777" w:rsidTr="00CA2DC7">
        <w:trPr>
          <w:trHeight w:val="340"/>
        </w:trPr>
        <w:tc>
          <w:tcPr>
            <w:tcW w:w="1242" w:type="dxa"/>
            <w:vMerge/>
            <w:tcBorders>
              <w:top w:val="single" w:sz="8" w:space="0" w:color="auto"/>
              <w:left w:val="nil"/>
              <w:bottom w:val="single" w:sz="8" w:space="0" w:color="auto"/>
              <w:right w:val="single" w:sz="2" w:space="0" w:color="auto"/>
            </w:tcBorders>
            <w:vAlign w:val="center"/>
          </w:tcPr>
          <w:p w14:paraId="26886CB2" w14:textId="77777777" w:rsidR="00802AAF" w:rsidRDefault="00802AAF" w:rsidP="002C1F8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5ABE9CE3" w14:textId="77777777" w:rsidR="00802AAF" w:rsidRDefault="00802AAF" w:rsidP="002C1F8E">
            <w:pPr>
              <w:pStyle w:val="TableCen"/>
            </w:pPr>
            <w:r>
              <w:t>5.0</w:t>
            </w:r>
          </w:p>
        </w:tc>
        <w:tc>
          <w:tcPr>
            <w:tcW w:w="5386" w:type="dxa"/>
            <w:tcBorders>
              <w:top w:val="single" w:sz="2" w:space="0" w:color="auto"/>
              <w:left w:val="single" w:sz="2" w:space="0" w:color="auto"/>
              <w:bottom w:val="single" w:sz="2" w:space="0" w:color="auto"/>
              <w:right w:val="single" w:sz="2" w:space="0" w:color="auto"/>
            </w:tcBorders>
            <w:vAlign w:val="center"/>
          </w:tcPr>
          <w:p w14:paraId="5D95A175" w14:textId="77777777" w:rsidR="00802AAF" w:rsidRDefault="00802AAF" w:rsidP="00802AAF">
            <w:pPr>
              <w:pStyle w:val="Table"/>
            </w:pPr>
            <w:r>
              <w:t>Requirements for warm mix asphalt added</w:t>
            </w:r>
          </w:p>
        </w:tc>
        <w:tc>
          <w:tcPr>
            <w:tcW w:w="1559" w:type="dxa"/>
            <w:vMerge/>
            <w:tcBorders>
              <w:top w:val="single" w:sz="8" w:space="0" w:color="auto"/>
              <w:left w:val="single" w:sz="2" w:space="0" w:color="auto"/>
              <w:bottom w:val="single" w:sz="8" w:space="0" w:color="auto"/>
              <w:right w:val="nil"/>
            </w:tcBorders>
            <w:vAlign w:val="center"/>
          </w:tcPr>
          <w:p w14:paraId="505FDC0C" w14:textId="77777777" w:rsidR="00802AAF" w:rsidRDefault="00802AAF" w:rsidP="002C1F8E">
            <w:pPr>
              <w:pStyle w:val="TableCen"/>
            </w:pPr>
          </w:p>
        </w:tc>
      </w:tr>
      <w:tr w:rsidR="00C04174" w14:paraId="5C041486" w14:textId="77777777" w:rsidTr="00CA2DC7">
        <w:trPr>
          <w:trHeight w:val="340"/>
        </w:trPr>
        <w:tc>
          <w:tcPr>
            <w:tcW w:w="1242" w:type="dxa"/>
            <w:vMerge w:val="restart"/>
            <w:tcBorders>
              <w:top w:val="single" w:sz="8" w:space="0" w:color="auto"/>
              <w:left w:val="nil"/>
              <w:right w:val="single" w:sz="2" w:space="0" w:color="auto"/>
            </w:tcBorders>
            <w:vAlign w:val="center"/>
          </w:tcPr>
          <w:p w14:paraId="150CBDAA" w14:textId="5F2407B8" w:rsidR="00C04174" w:rsidRDefault="00C04174" w:rsidP="003F2F15">
            <w:pPr>
              <w:pStyle w:val="TableCen"/>
            </w:pPr>
            <w:r>
              <w:t>5.0</w:t>
            </w:r>
          </w:p>
        </w:tc>
        <w:tc>
          <w:tcPr>
            <w:tcW w:w="1310" w:type="dxa"/>
            <w:tcBorders>
              <w:top w:val="single" w:sz="8" w:space="0" w:color="auto"/>
              <w:left w:val="single" w:sz="2" w:space="0" w:color="auto"/>
              <w:bottom w:val="single" w:sz="2" w:space="0" w:color="auto"/>
              <w:right w:val="single" w:sz="2" w:space="0" w:color="auto"/>
            </w:tcBorders>
            <w:vAlign w:val="center"/>
          </w:tcPr>
          <w:p w14:paraId="24D4DFC0" w14:textId="26EEF6C5" w:rsidR="00C04174" w:rsidRDefault="00C04174" w:rsidP="003F2F15">
            <w:pPr>
              <w:pStyle w:val="TableCen"/>
            </w:pPr>
            <w:r>
              <w:t>General</w:t>
            </w:r>
          </w:p>
        </w:tc>
        <w:tc>
          <w:tcPr>
            <w:tcW w:w="5386" w:type="dxa"/>
            <w:tcBorders>
              <w:top w:val="single" w:sz="8" w:space="0" w:color="auto"/>
              <w:left w:val="single" w:sz="2" w:space="0" w:color="auto"/>
              <w:bottom w:val="single" w:sz="2" w:space="0" w:color="auto"/>
              <w:right w:val="single" w:sz="2" w:space="0" w:color="auto"/>
            </w:tcBorders>
            <w:vAlign w:val="center"/>
          </w:tcPr>
          <w:p w14:paraId="15989D0C" w14:textId="387DBC95" w:rsidR="00C04174" w:rsidRDefault="00C04174" w:rsidP="003F2F15">
            <w:pPr>
              <w:pStyle w:val="Table"/>
            </w:pPr>
            <w:r w:rsidRPr="00AB07DE">
              <w:t>Document name changed from ‘Reference Specifications for Civil Engineering Work’ to ‘Reference Specifications for Engineering Work’</w:t>
            </w:r>
          </w:p>
        </w:tc>
        <w:tc>
          <w:tcPr>
            <w:tcW w:w="1559" w:type="dxa"/>
            <w:vMerge w:val="restart"/>
            <w:tcBorders>
              <w:top w:val="single" w:sz="8" w:space="0" w:color="auto"/>
              <w:left w:val="nil"/>
              <w:right w:val="nil"/>
            </w:tcBorders>
            <w:vAlign w:val="center"/>
          </w:tcPr>
          <w:p w14:paraId="1ACD961A" w14:textId="538AD9C9" w:rsidR="00C04174" w:rsidRDefault="00C04174" w:rsidP="003F2F15">
            <w:pPr>
              <w:pStyle w:val="TableCen"/>
            </w:pPr>
            <w:r>
              <w:t>Ma</w:t>
            </w:r>
            <w:r w:rsidR="00AA6785">
              <w:t>r</w:t>
            </w:r>
            <w:r>
              <w:t xml:space="preserve"> 202</w:t>
            </w:r>
            <w:r w:rsidR="00AA6785">
              <w:t>1</w:t>
            </w:r>
          </w:p>
        </w:tc>
      </w:tr>
      <w:tr w:rsidR="00C04174" w14:paraId="2DF2FE14" w14:textId="77777777" w:rsidTr="00CA2DC7">
        <w:trPr>
          <w:trHeight w:val="340"/>
        </w:trPr>
        <w:tc>
          <w:tcPr>
            <w:tcW w:w="1242" w:type="dxa"/>
            <w:vMerge/>
            <w:tcBorders>
              <w:left w:val="nil"/>
              <w:bottom w:val="single" w:sz="12" w:space="0" w:color="auto"/>
              <w:right w:val="single" w:sz="2" w:space="0" w:color="auto"/>
            </w:tcBorders>
            <w:vAlign w:val="center"/>
          </w:tcPr>
          <w:p w14:paraId="46369919" w14:textId="77777777" w:rsidR="00C04174" w:rsidRDefault="00C04174" w:rsidP="003F2F15">
            <w:pPr>
              <w:pStyle w:val="TableCen"/>
            </w:pPr>
          </w:p>
        </w:tc>
        <w:tc>
          <w:tcPr>
            <w:tcW w:w="1310" w:type="dxa"/>
            <w:tcBorders>
              <w:top w:val="single" w:sz="2" w:space="0" w:color="auto"/>
              <w:left w:val="single" w:sz="2" w:space="0" w:color="auto"/>
              <w:bottom w:val="single" w:sz="12" w:space="0" w:color="auto"/>
              <w:right w:val="single" w:sz="2" w:space="0" w:color="auto"/>
            </w:tcBorders>
            <w:vAlign w:val="center"/>
          </w:tcPr>
          <w:p w14:paraId="379C3890" w14:textId="33CE2A6E" w:rsidR="00C04174" w:rsidRDefault="00C04174" w:rsidP="003F2F15">
            <w:pPr>
              <w:pStyle w:val="TableCen"/>
            </w:pPr>
            <w:r>
              <w:t>2.2</w:t>
            </w:r>
          </w:p>
        </w:tc>
        <w:tc>
          <w:tcPr>
            <w:tcW w:w="5386" w:type="dxa"/>
            <w:tcBorders>
              <w:top w:val="single" w:sz="2" w:space="0" w:color="auto"/>
              <w:left w:val="single" w:sz="2" w:space="0" w:color="auto"/>
              <w:bottom w:val="single" w:sz="12" w:space="0" w:color="auto"/>
              <w:right w:val="single" w:sz="2" w:space="0" w:color="auto"/>
            </w:tcBorders>
            <w:vAlign w:val="center"/>
          </w:tcPr>
          <w:p w14:paraId="7F32B60A" w14:textId="3CBCC61E" w:rsidR="00C04174" w:rsidRPr="00AB07DE" w:rsidRDefault="00C04174" w:rsidP="003F2F15">
            <w:pPr>
              <w:pStyle w:val="Table"/>
            </w:pPr>
            <w:r>
              <w:t>Reference updated</w:t>
            </w:r>
          </w:p>
        </w:tc>
        <w:tc>
          <w:tcPr>
            <w:tcW w:w="1559" w:type="dxa"/>
            <w:vMerge/>
            <w:tcBorders>
              <w:left w:val="nil"/>
              <w:bottom w:val="single" w:sz="12" w:space="0" w:color="auto"/>
              <w:right w:val="nil"/>
            </w:tcBorders>
            <w:vAlign w:val="center"/>
          </w:tcPr>
          <w:p w14:paraId="577E93A5" w14:textId="77777777" w:rsidR="00C04174" w:rsidRDefault="00C04174" w:rsidP="003F2F15">
            <w:pPr>
              <w:pStyle w:val="TableCen"/>
            </w:pPr>
          </w:p>
        </w:tc>
      </w:tr>
    </w:tbl>
    <w:p w14:paraId="1F8CADC8" w14:textId="77777777" w:rsidR="00A34A94" w:rsidRDefault="00A34A94">
      <w:pPr>
        <w:jc w:val="center"/>
      </w:pPr>
    </w:p>
    <w:p w14:paraId="4E731678" w14:textId="77777777" w:rsidR="00A34A94" w:rsidRDefault="00A34A94">
      <w:pPr>
        <w:jc w:val="center"/>
        <w:sectPr w:rsidR="00A34A94" w:rsidSect="001E6951">
          <w:headerReference w:type="default" r:id="rId14"/>
          <w:footerReference w:type="default" r:id="rId15"/>
          <w:pgSz w:w="11906" w:h="16838" w:code="9"/>
          <w:pgMar w:top="1134" w:right="1134" w:bottom="992" w:left="1418" w:header="1134" w:footer="851" w:gutter="0"/>
          <w:pgNumType w:fmt="lowerRoman" w:start="1"/>
          <w:cols w:space="720"/>
          <w:docGrid w:linePitch="272"/>
        </w:sectPr>
      </w:pPr>
    </w:p>
    <w:p w14:paraId="3031EABD" w14:textId="77777777" w:rsidR="002C1F8E" w:rsidRPr="004A2005" w:rsidRDefault="00E71C48" w:rsidP="002C1F8E">
      <w:pPr>
        <w:pStyle w:val="BodyTextIndentBoldItalicCen"/>
      </w:pPr>
      <w:r w:rsidRPr="004A2005">
        <w:lastRenderedPageBreak/>
        <w:t>(</w:t>
      </w:r>
      <w:r w:rsidR="002C1F8E" w:rsidRPr="004A2005">
        <w:t xml:space="preserve">This </w:t>
      </w:r>
      <w:r w:rsidRPr="004A2005">
        <w:t>Page Left Intentionally Blank)</w:t>
      </w:r>
      <w:permStart w:id="1816595208" w:edGrp="everyone"/>
      <w:permEnd w:id="1816595208"/>
    </w:p>
    <w:p w14:paraId="2F5B4E1F" w14:textId="77777777" w:rsidR="00A34A94" w:rsidRDefault="00A34A94">
      <w:pPr>
        <w:jc w:val="center"/>
        <w:sectPr w:rsidR="00A34A94" w:rsidSect="001E6951">
          <w:pgSz w:w="11906" w:h="16838" w:code="9"/>
          <w:pgMar w:top="1134" w:right="1134" w:bottom="992" w:left="1418" w:header="1134" w:footer="851" w:gutter="0"/>
          <w:pgNumType w:fmt="lowerRoman" w:start="1"/>
          <w:cols w:space="720"/>
          <w:vAlign w:val="center"/>
          <w:docGrid w:linePitch="272"/>
        </w:sectPr>
      </w:pPr>
    </w:p>
    <w:p w14:paraId="5CD0D998" w14:textId="77777777" w:rsidR="00355D38" w:rsidRDefault="00355D38" w:rsidP="00CA2DC7">
      <w:pPr>
        <w:pStyle w:val="Heading2"/>
        <w:numPr>
          <w:ilvl w:val="0"/>
          <w:numId w:val="0"/>
        </w:numPr>
        <w:ind w:left="720" w:hanging="720"/>
      </w:pPr>
      <w:r>
        <w:lastRenderedPageBreak/>
        <w:t>TABLE OF CONTENTS</w:t>
      </w:r>
    </w:p>
    <w:p w14:paraId="6F68A36F" w14:textId="0AF5F4E1" w:rsidR="00082B28" w:rsidRDefault="00082B28">
      <w:pPr>
        <w:pStyle w:val="TOC1"/>
        <w:rPr>
          <w:rFonts w:asciiTheme="minorHAnsi" w:eastAsiaTheme="minorEastAsia" w:hAnsiTheme="minorHAnsi" w:cstheme="minorBidi"/>
          <w:b w:val="0"/>
          <w:caps w:val="0"/>
          <w:noProof/>
          <w:szCs w:val="22"/>
        </w:rPr>
      </w:pPr>
      <w:r>
        <w:rPr>
          <w:b w:val="0"/>
          <w:caps w:val="0"/>
        </w:rPr>
        <w:fldChar w:fldCharType="begin"/>
      </w:r>
      <w:r>
        <w:rPr>
          <w:b w:val="0"/>
          <w:caps w:val="0"/>
        </w:rPr>
        <w:instrText xml:space="preserve"> TOC \t "Heading 2,1,Heading 3,2" </w:instrText>
      </w:r>
      <w:r>
        <w:rPr>
          <w:b w:val="0"/>
          <w:caps w:val="0"/>
        </w:rPr>
        <w:fldChar w:fldCharType="separate"/>
      </w:r>
      <w:r>
        <w:rPr>
          <w:noProof/>
        </w:rPr>
        <w:t>1.0</w:t>
      </w:r>
      <w:r>
        <w:rPr>
          <w:rFonts w:asciiTheme="minorHAnsi" w:eastAsiaTheme="minorEastAsia" w:hAnsiTheme="minorHAnsi" w:cstheme="minorBidi"/>
          <w:b w:val="0"/>
          <w:caps w:val="0"/>
          <w:noProof/>
          <w:szCs w:val="22"/>
        </w:rPr>
        <w:tab/>
      </w:r>
      <w:r>
        <w:rPr>
          <w:noProof/>
        </w:rPr>
        <w:t>GENERAL</w:t>
      </w:r>
      <w:r>
        <w:rPr>
          <w:noProof/>
        </w:rPr>
        <w:tab/>
      </w:r>
      <w:r>
        <w:rPr>
          <w:noProof/>
        </w:rPr>
        <w:fldChar w:fldCharType="begin"/>
      </w:r>
      <w:r>
        <w:rPr>
          <w:noProof/>
        </w:rPr>
        <w:instrText xml:space="preserve"> PAGEREF _Toc76046353 \h </w:instrText>
      </w:r>
      <w:r>
        <w:rPr>
          <w:noProof/>
        </w:rPr>
      </w:r>
      <w:r>
        <w:rPr>
          <w:noProof/>
        </w:rPr>
        <w:fldChar w:fldCharType="separate"/>
      </w:r>
      <w:r>
        <w:rPr>
          <w:noProof/>
        </w:rPr>
        <w:t>1</w:t>
      </w:r>
      <w:r>
        <w:rPr>
          <w:noProof/>
        </w:rPr>
        <w:fldChar w:fldCharType="end"/>
      </w:r>
    </w:p>
    <w:p w14:paraId="1C52D602" w14:textId="10283CEA" w:rsidR="00082B28" w:rsidRDefault="00082B28">
      <w:pPr>
        <w:pStyle w:val="TOC2"/>
        <w:rPr>
          <w:rFonts w:asciiTheme="minorHAnsi" w:eastAsiaTheme="minorEastAsia" w:hAnsiTheme="minorHAnsi" w:cstheme="minorBidi"/>
          <w:b w:val="0"/>
          <w:smallCaps w:val="0"/>
          <w:noProof/>
          <w:sz w:val="22"/>
          <w:szCs w:val="22"/>
        </w:rPr>
      </w:pPr>
      <w:r>
        <w:rPr>
          <w:noProof/>
        </w:rPr>
        <w:t>1.1</w:t>
      </w:r>
      <w:r>
        <w:rPr>
          <w:rFonts w:asciiTheme="minorHAnsi" w:eastAsiaTheme="minorEastAsia" w:hAnsiTheme="minorHAnsi" w:cstheme="minorBidi"/>
          <w:b w:val="0"/>
          <w:smallCaps w:val="0"/>
          <w:noProof/>
          <w:sz w:val="22"/>
          <w:szCs w:val="22"/>
        </w:rPr>
        <w:tab/>
      </w:r>
      <w:r>
        <w:rPr>
          <w:noProof/>
        </w:rPr>
        <w:t>Section Content</w:t>
      </w:r>
      <w:r>
        <w:rPr>
          <w:noProof/>
        </w:rPr>
        <w:tab/>
      </w:r>
      <w:r>
        <w:rPr>
          <w:noProof/>
        </w:rPr>
        <w:fldChar w:fldCharType="begin"/>
      </w:r>
      <w:r>
        <w:rPr>
          <w:noProof/>
        </w:rPr>
        <w:instrText xml:space="preserve"> PAGEREF _Toc76046354 \h </w:instrText>
      </w:r>
      <w:r>
        <w:rPr>
          <w:noProof/>
        </w:rPr>
      </w:r>
      <w:r>
        <w:rPr>
          <w:noProof/>
        </w:rPr>
        <w:fldChar w:fldCharType="separate"/>
      </w:r>
      <w:r>
        <w:rPr>
          <w:noProof/>
        </w:rPr>
        <w:t>1</w:t>
      </w:r>
      <w:r>
        <w:rPr>
          <w:noProof/>
        </w:rPr>
        <w:fldChar w:fldCharType="end"/>
      </w:r>
    </w:p>
    <w:p w14:paraId="30E8C7CB" w14:textId="2C988B7B" w:rsidR="00082B28" w:rsidRDefault="00082B28">
      <w:pPr>
        <w:pStyle w:val="TOC2"/>
        <w:rPr>
          <w:rFonts w:asciiTheme="minorHAnsi" w:eastAsiaTheme="minorEastAsia" w:hAnsiTheme="minorHAnsi" w:cstheme="minorBidi"/>
          <w:b w:val="0"/>
          <w:smallCaps w:val="0"/>
          <w:noProof/>
          <w:sz w:val="22"/>
          <w:szCs w:val="22"/>
        </w:rPr>
      </w:pPr>
      <w:r>
        <w:rPr>
          <w:noProof/>
        </w:rPr>
        <w:t>1.2</w:t>
      </w:r>
      <w:r>
        <w:rPr>
          <w:rFonts w:asciiTheme="minorHAnsi" w:eastAsiaTheme="minorEastAsia" w:hAnsiTheme="minorHAnsi" w:cstheme="minorBidi"/>
          <w:b w:val="0"/>
          <w:smallCaps w:val="0"/>
          <w:noProof/>
          <w:sz w:val="22"/>
          <w:szCs w:val="22"/>
        </w:rPr>
        <w:tab/>
      </w:r>
      <w:r>
        <w:rPr>
          <w:noProof/>
        </w:rPr>
        <w:t>Standards</w:t>
      </w:r>
      <w:r>
        <w:rPr>
          <w:noProof/>
        </w:rPr>
        <w:tab/>
      </w:r>
      <w:r>
        <w:rPr>
          <w:noProof/>
        </w:rPr>
        <w:fldChar w:fldCharType="begin"/>
      </w:r>
      <w:r>
        <w:rPr>
          <w:noProof/>
        </w:rPr>
        <w:instrText xml:space="preserve"> PAGEREF _Toc76046355 \h </w:instrText>
      </w:r>
      <w:r>
        <w:rPr>
          <w:noProof/>
        </w:rPr>
      </w:r>
      <w:r>
        <w:rPr>
          <w:noProof/>
        </w:rPr>
        <w:fldChar w:fldCharType="separate"/>
      </w:r>
      <w:r>
        <w:rPr>
          <w:noProof/>
        </w:rPr>
        <w:t>1</w:t>
      </w:r>
      <w:r>
        <w:rPr>
          <w:noProof/>
        </w:rPr>
        <w:fldChar w:fldCharType="end"/>
      </w:r>
    </w:p>
    <w:p w14:paraId="6D459202" w14:textId="658C83CA" w:rsidR="00082B28" w:rsidRDefault="00082B28">
      <w:pPr>
        <w:pStyle w:val="TOC2"/>
        <w:rPr>
          <w:rFonts w:asciiTheme="minorHAnsi" w:eastAsiaTheme="minorEastAsia" w:hAnsiTheme="minorHAnsi" w:cstheme="minorBidi"/>
          <w:b w:val="0"/>
          <w:smallCaps w:val="0"/>
          <w:noProof/>
          <w:sz w:val="22"/>
          <w:szCs w:val="22"/>
        </w:rPr>
      </w:pPr>
      <w:r>
        <w:rPr>
          <w:noProof/>
        </w:rPr>
        <w:t>1.3</w:t>
      </w:r>
      <w:r>
        <w:rPr>
          <w:rFonts w:asciiTheme="minorHAnsi" w:eastAsiaTheme="minorEastAsia" w:hAnsiTheme="minorHAnsi" w:cstheme="minorBidi"/>
          <w:b w:val="0"/>
          <w:smallCaps w:val="0"/>
          <w:noProof/>
          <w:sz w:val="22"/>
          <w:szCs w:val="22"/>
        </w:rPr>
        <w:tab/>
      </w:r>
      <w:r>
        <w:rPr>
          <w:noProof/>
        </w:rPr>
        <w:t>References</w:t>
      </w:r>
      <w:r>
        <w:rPr>
          <w:noProof/>
        </w:rPr>
        <w:tab/>
      </w:r>
      <w:r>
        <w:rPr>
          <w:noProof/>
        </w:rPr>
        <w:fldChar w:fldCharType="begin"/>
      </w:r>
      <w:r>
        <w:rPr>
          <w:noProof/>
        </w:rPr>
        <w:instrText xml:space="preserve"> PAGEREF _Toc76046356 \h </w:instrText>
      </w:r>
      <w:r>
        <w:rPr>
          <w:noProof/>
        </w:rPr>
      </w:r>
      <w:r>
        <w:rPr>
          <w:noProof/>
        </w:rPr>
        <w:fldChar w:fldCharType="separate"/>
      </w:r>
      <w:r>
        <w:rPr>
          <w:noProof/>
        </w:rPr>
        <w:t>2</w:t>
      </w:r>
      <w:r>
        <w:rPr>
          <w:noProof/>
        </w:rPr>
        <w:fldChar w:fldCharType="end"/>
      </w:r>
    </w:p>
    <w:p w14:paraId="20FF39B6" w14:textId="2D60B485" w:rsidR="00082B28" w:rsidRDefault="00082B28">
      <w:pPr>
        <w:pStyle w:val="TOC1"/>
        <w:rPr>
          <w:rFonts w:asciiTheme="minorHAnsi" w:eastAsiaTheme="minorEastAsia" w:hAnsiTheme="minorHAnsi" w:cstheme="minorBidi"/>
          <w:b w:val="0"/>
          <w:caps w:val="0"/>
          <w:noProof/>
          <w:szCs w:val="22"/>
        </w:rPr>
      </w:pPr>
      <w:r>
        <w:rPr>
          <w:noProof/>
        </w:rPr>
        <w:t>2.0</w:t>
      </w:r>
      <w:r>
        <w:rPr>
          <w:rFonts w:asciiTheme="minorHAnsi" w:eastAsiaTheme="minorEastAsia" w:hAnsiTheme="minorHAnsi" w:cstheme="minorBidi"/>
          <w:b w:val="0"/>
          <w:caps w:val="0"/>
          <w:noProof/>
          <w:szCs w:val="22"/>
        </w:rPr>
        <w:tab/>
      </w:r>
      <w:r>
        <w:rPr>
          <w:noProof/>
        </w:rPr>
        <w:t>QUALITY</w:t>
      </w:r>
      <w:r>
        <w:rPr>
          <w:noProof/>
        </w:rPr>
        <w:tab/>
      </w:r>
      <w:r>
        <w:rPr>
          <w:noProof/>
        </w:rPr>
        <w:fldChar w:fldCharType="begin"/>
      </w:r>
      <w:r>
        <w:rPr>
          <w:noProof/>
        </w:rPr>
        <w:instrText xml:space="preserve"> PAGEREF _Toc76046357 \h </w:instrText>
      </w:r>
      <w:r>
        <w:rPr>
          <w:noProof/>
        </w:rPr>
      </w:r>
      <w:r>
        <w:rPr>
          <w:noProof/>
        </w:rPr>
        <w:fldChar w:fldCharType="separate"/>
      </w:r>
      <w:r>
        <w:rPr>
          <w:noProof/>
        </w:rPr>
        <w:t>3</w:t>
      </w:r>
      <w:r>
        <w:rPr>
          <w:noProof/>
        </w:rPr>
        <w:fldChar w:fldCharType="end"/>
      </w:r>
    </w:p>
    <w:p w14:paraId="7A55ACA4" w14:textId="74DF82AE" w:rsidR="00082B28" w:rsidRDefault="00082B28">
      <w:pPr>
        <w:pStyle w:val="TOC2"/>
        <w:rPr>
          <w:rFonts w:asciiTheme="minorHAnsi" w:eastAsiaTheme="minorEastAsia" w:hAnsiTheme="minorHAnsi" w:cstheme="minorBidi"/>
          <w:b w:val="0"/>
          <w:smallCaps w:val="0"/>
          <w:noProof/>
          <w:sz w:val="22"/>
          <w:szCs w:val="22"/>
        </w:rPr>
      </w:pPr>
      <w:r>
        <w:rPr>
          <w:noProof/>
        </w:rPr>
        <w:t>2.1</w:t>
      </w:r>
      <w:r>
        <w:rPr>
          <w:rFonts w:asciiTheme="minorHAnsi" w:eastAsiaTheme="minorEastAsia" w:hAnsiTheme="minorHAnsi" w:cstheme="minorBidi"/>
          <w:b w:val="0"/>
          <w:smallCaps w:val="0"/>
          <w:noProof/>
          <w:sz w:val="22"/>
          <w:szCs w:val="22"/>
        </w:rPr>
        <w:tab/>
      </w:r>
      <w:r>
        <w:rPr>
          <w:noProof/>
        </w:rPr>
        <w:t>Quality System</w:t>
      </w:r>
      <w:r>
        <w:rPr>
          <w:noProof/>
        </w:rPr>
        <w:tab/>
      </w:r>
      <w:r>
        <w:rPr>
          <w:noProof/>
        </w:rPr>
        <w:fldChar w:fldCharType="begin"/>
      </w:r>
      <w:r>
        <w:rPr>
          <w:noProof/>
        </w:rPr>
        <w:instrText xml:space="preserve"> PAGEREF _Toc76046358 \h </w:instrText>
      </w:r>
      <w:r>
        <w:rPr>
          <w:noProof/>
        </w:rPr>
      </w:r>
      <w:r>
        <w:rPr>
          <w:noProof/>
        </w:rPr>
        <w:fldChar w:fldCharType="separate"/>
      </w:r>
      <w:r>
        <w:rPr>
          <w:noProof/>
        </w:rPr>
        <w:t>3</w:t>
      </w:r>
      <w:r>
        <w:rPr>
          <w:noProof/>
        </w:rPr>
        <w:fldChar w:fldCharType="end"/>
      </w:r>
    </w:p>
    <w:p w14:paraId="43CD1241" w14:textId="6FB37D42" w:rsidR="00082B28" w:rsidRDefault="00082B28">
      <w:pPr>
        <w:pStyle w:val="TOC2"/>
        <w:rPr>
          <w:rFonts w:asciiTheme="minorHAnsi" w:eastAsiaTheme="minorEastAsia" w:hAnsiTheme="minorHAnsi" w:cstheme="minorBidi"/>
          <w:b w:val="0"/>
          <w:smallCaps w:val="0"/>
          <w:noProof/>
          <w:sz w:val="22"/>
          <w:szCs w:val="22"/>
        </w:rPr>
      </w:pPr>
      <w:r>
        <w:rPr>
          <w:noProof/>
        </w:rPr>
        <w:t>2.2</w:t>
      </w:r>
      <w:r>
        <w:rPr>
          <w:rFonts w:asciiTheme="minorHAnsi" w:eastAsiaTheme="minorEastAsia" w:hAnsiTheme="minorHAnsi" w:cstheme="minorBidi"/>
          <w:b w:val="0"/>
          <w:smallCaps w:val="0"/>
          <w:noProof/>
          <w:sz w:val="22"/>
          <w:szCs w:val="22"/>
        </w:rPr>
        <w:tab/>
      </w:r>
      <w:r>
        <w:rPr>
          <w:noProof/>
        </w:rPr>
        <w:t>Tests</w:t>
      </w:r>
      <w:r>
        <w:rPr>
          <w:noProof/>
        </w:rPr>
        <w:tab/>
      </w:r>
      <w:r>
        <w:rPr>
          <w:noProof/>
        </w:rPr>
        <w:fldChar w:fldCharType="begin"/>
      </w:r>
      <w:r>
        <w:rPr>
          <w:noProof/>
        </w:rPr>
        <w:instrText xml:space="preserve"> PAGEREF _Toc76046359 \h </w:instrText>
      </w:r>
      <w:r>
        <w:rPr>
          <w:noProof/>
        </w:rPr>
      </w:r>
      <w:r>
        <w:rPr>
          <w:noProof/>
        </w:rPr>
        <w:fldChar w:fldCharType="separate"/>
      </w:r>
      <w:r>
        <w:rPr>
          <w:noProof/>
        </w:rPr>
        <w:t>3</w:t>
      </w:r>
      <w:r>
        <w:rPr>
          <w:noProof/>
        </w:rPr>
        <w:fldChar w:fldCharType="end"/>
      </w:r>
    </w:p>
    <w:p w14:paraId="2D421910" w14:textId="22CCE6F4" w:rsidR="00082B28" w:rsidRDefault="00082B28">
      <w:pPr>
        <w:pStyle w:val="TOC2"/>
        <w:rPr>
          <w:rFonts w:asciiTheme="minorHAnsi" w:eastAsiaTheme="minorEastAsia" w:hAnsiTheme="minorHAnsi" w:cstheme="minorBidi"/>
          <w:b w:val="0"/>
          <w:smallCaps w:val="0"/>
          <w:noProof/>
          <w:sz w:val="22"/>
          <w:szCs w:val="22"/>
        </w:rPr>
      </w:pPr>
      <w:r>
        <w:rPr>
          <w:noProof/>
        </w:rPr>
        <w:t>2.3</w:t>
      </w:r>
      <w:r>
        <w:rPr>
          <w:rFonts w:asciiTheme="minorHAnsi" w:eastAsiaTheme="minorEastAsia" w:hAnsiTheme="minorHAnsi" w:cstheme="minorBidi"/>
          <w:b w:val="0"/>
          <w:smallCaps w:val="0"/>
          <w:noProof/>
          <w:sz w:val="22"/>
          <w:szCs w:val="22"/>
        </w:rPr>
        <w:tab/>
      </w:r>
      <w:r>
        <w:rPr>
          <w:noProof/>
        </w:rPr>
        <w:t>Samples</w:t>
      </w:r>
      <w:r>
        <w:rPr>
          <w:noProof/>
        </w:rPr>
        <w:tab/>
      </w:r>
      <w:r>
        <w:rPr>
          <w:noProof/>
        </w:rPr>
        <w:fldChar w:fldCharType="begin"/>
      </w:r>
      <w:r>
        <w:rPr>
          <w:noProof/>
        </w:rPr>
        <w:instrText xml:space="preserve"> PAGEREF _Toc76046360 \h </w:instrText>
      </w:r>
      <w:r>
        <w:rPr>
          <w:noProof/>
        </w:rPr>
      </w:r>
      <w:r>
        <w:rPr>
          <w:noProof/>
        </w:rPr>
        <w:fldChar w:fldCharType="separate"/>
      </w:r>
      <w:r>
        <w:rPr>
          <w:noProof/>
        </w:rPr>
        <w:t>3</w:t>
      </w:r>
      <w:r>
        <w:rPr>
          <w:noProof/>
        </w:rPr>
        <w:fldChar w:fldCharType="end"/>
      </w:r>
    </w:p>
    <w:p w14:paraId="5BC83F4C" w14:textId="34FAF6DF" w:rsidR="00082B28" w:rsidRDefault="00082B28">
      <w:pPr>
        <w:pStyle w:val="TOC2"/>
        <w:rPr>
          <w:rFonts w:asciiTheme="minorHAnsi" w:eastAsiaTheme="minorEastAsia" w:hAnsiTheme="minorHAnsi" w:cstheme="minorBidi"/>
          <w:b w:val="0"/>
          <w:smallCaps w:val="0"/>
          <w:noProof/>
          <w:sz w:val="22"/>
          <w:szCs w:val="22"/>
        </w:rPr>
      </w:pPr>
      <w:r>
        <w:rPr>
          <w:noProof/>
        </w:rPr>
        <w:t>2.4</w:t>
      </w:r>
      <w:r>
        <w:rPr>
          <w:rFonts w:asciiTheme="minorHAnsi" w:eastAsiaTheme="minorEastAsia" w:hAnsiTheme="minorHAnsi" w:cstheme="minorBidi"/>
          <w:b w:val="0"/>
          <w:smallCaps w:val="0"/>
          <w:noProof/>
          <w:sz w:val="22"/>
          <w:szCs w:val="22"/>
        </w:rPr>
        <w:tab/>
      </w:r>
      <w:r>
        <w:rPr>
          <w:noProof/>
        </w:rPr>
        <w:t>Supplier's Submissions</w:t>
      </w:r>
      <w:r>
        <w:rPr>
          <w:noProof/>
        </w:rPr>
        <w:tab/>
      </w:r>
      <w:r>
        <w:rPr>
          <w:noProof/>
        </w:rPr>
        <w:fldChar w:fldCharType="begin"/>
      </w:r>
      <w:r>
        <w:rPr>
          <w:noProof/>
        </w:rPr>
        <w:instrText xml:space="preserve"> PAGEREF _Toc76046361 \h </w:instrText>
      </w:r>
      <w:r>
        <w:rPr>
          <w:noProof/>
        </w:rPr>
      </w:r>
      <w:r>
        <w:rPr>
          <w:noProof/>
        </w:rPr>
        <w:fldChar w:fldCharType="separate"/>
      </w:r>
      <w:r>
        <w:rPr>
          <w:noProof/>
        </w:rPr>
        <w:t>3</w:t>
      </w:r>
      <w:r>
        <w:rPr>
          <w:noProof/>
        </w:rPr>
        <w:fldChar w:fldCharType="end"/>
      </w:r>
    </w:p>
    <w:p w14:paraId="2C312133" w14:textId="14F4D259" w:rsidR="00082B28" w:rsidRDefault="00082B28">
      <w:pPr>
        <w:pStyle w:val="TOC1"/>
        <w:rPr>
          <w:rFonts w:asciiTheme="minorHAnsi" w:eastAsiaTheme="minorEastAsia" w:hAnsiTheme="minorHAnsi" w:cstheme="minorBidi"/>
          <w:b w:val="0"/>
          <w:caps w:val="0"/>
          <w:noProof/>
          <w:szCs w:val="22"/>
        </w:rPr>
      </w:pPr>
      <w:r>
        <w:rPr>
          <w:noProof/>
        </w:rPr>
        <w:t>3.0</w:t>
      </w:r>
      <w:r>
        <w:rPr>
          <w:rFonts w:asciiTheme="minorHAnsi" w:eastAsiaTheme="minorEastAsia" w:hAnsiTheme="minorHAnsi" w:cstheme="minorBidi"/>
          <w:b w:val="0"/>
          <w:caps w:val="0"/>
          <w:noProof/>
          <w:szCs w:val="22"/>
        </w:rPr>
        <w:tab/>
      </w:r>
      <w:r>
        <w:rPr>
          <w:noProof/>
        </w:rPr>
        <w:t>ASPHALT MATERIALS</w:t>
      </w:r>
      <w:r>
        <w:rPr>
          <w:noProof/>
        </w:rPr>
        <w:tab/>
      </w:r>
      <w:r>
        <w:rPr>
          <w:noProof/>
        </w:rPr>
        <w:fldChar w:fldCharType="begin"/>
      </w:r>
      <w:r>
        <w:rPr>
          <w:noProof/>
        </w:rPr>
        <w:instrText xml:space="preserve"> PAGEREF _Toc76046362 \h </w:instrText>
      </w:r>
      <w:r>
        <w:rPr>
          <w:noProof/>
        </w:rPr>
      </w:r>
      <w:r>
        <w:rPr>
          <w:noProof/>
        </w:rPr>
        <w:fldChar w:fldCharType="separate"/>
      </w:r>
      <w:r>
        <w:rPr>
          <w:noProof/>
        </w:rPr>
        <w:t>4</w:t>
      </w:r>
      <w:r>
        <w:rPr>
          <w:noProof/>
        </w:rPr>
        <w:fldChar w:fldCharType="end"/>
      </w:r>
    </w:p>
    <w:p w14:paraId="73D36C27" w14:textId="382B0F12" w:rsidR="00082B28" w:rsidRDefault="00082B28">
      <w:pPr>
        <w:pStyle w:val="TOC2"/>
        <w:rPr>
          <w:rFonts w:asciiTheme="minorHAnsi" w:eastAsiaTheme="minorEastAsia" w:hAnsiTheme="minorHAnsi" w:cstheme="minorBidi"/>
          <w:b w:val="0"/>
          <w:smallCaps w:val="0"/>
          <w:noProof/>
          <w:sz w:val="22"/>
          <w:szCs w:val="22"/>
        </w:rPr>
      </w:pPr>
      <w:r>
        <w:rPr>
          <w:noProof/>
        </w:rPr>
        <w:t>3.1</w:t>
      </w:r>
      <w:r>
        <w:rPr>
          <w:rFonts w:asciiTheme="minorHAnsi" w:eastAsiaTheme="minorEastAsia" w:hAnsiTheme="minorHAnsi" w:cstheme="minorBidi"/>
          <w:b w:val="0"/>
          <w:smallCaps w:val="0"/>
          <w:noProof/>
          <w:sz w:val="22"/>
          <w:szCs w:val="22"/>
        </w:rPr>
        <w:tab/>
      </w:r>
      <w:r>
        <w:rPr>
          <w:noProof/>
        </w:rPr>
        <w:t>Coarse Aggregate</w:t>
      </w:r>
      <w:r>
        <w:rPr>
          <w:noProof/>
        </w:rPr>
        <w:tab/>
      </w:r>
      <w:r>
        <w:rPr>
          <w:noProof/>
        </w:rPr>
        <w:fldChar w:fldCharType="begin"/>
      </w:r>
      <w:r>
        <w:rPr>
          <w:noProof/>
        </w:rPr>
        <w:instrText xml:space="preserve"> PAGEREF _Toc76046363 \h </w:instrText>
      </w:r>
      <w:r>
        <w:rPr>
          <w:noProof/>
        </w:rPr>
      </w:r>
      <w:r>
        <w:rPr>
          <w:noProof/>
        </w:rPr>
        <w:fldChar w:fldCharType="separate"/>
      </w:r>
      <w:r>
        <w:rPr>
          <w:noProof/>
        </w:rPr>
        <w:t>4</w:t>
      </w:r>
      <w:r>
        <w:rPr>
          <w:noProof/>
        </w:rPr>
        <w:fldChar w:fldCharType="end"/>
      </w:r>
    </w:p>
    <w:p w14:paraId="10E91114" w14:textId="2B53A044" w:rsidR="00082B28" w:rsidRDefault="00082B28">
      <w:pPr>
        <w:pStyle w:val="TOC2"/>
        <w:rPr>
          <w:rFonts w:asciiTheme="minorHAnsi" w:eastAsiaTheme="minorEastAsia" w:hAnsiTheme="minorHAnsi" w:cstheme="minorBidi"/>
          <w:b w:val="0"/>
          <w:smallCaps w:val="0"/>
          <w:noProof/>
          <w:sz w:val="22"/>
          <w:szCs w:val="22"/>
        </w:rPr>
      </w:pPr>
      <w:r>
        <w:rPr>
          <w:noProof/>
        </w:rPr>
        <w:t>3.2</w:t>
      </w:r>
      <w:r>
        <w:rPr>
          <w:rFonts w:asciiTheme="minorHAnsi" w:eastAsiaTheme="minorEastAsia" w:hAnsiTheme="minorHAnsi" w:cstheme="minorBidi"/>
          <w:b w:val="0"/>
          <w:smallCaps w:val="0"/>
          <w:noProof/>
          <w:sz w:val="22"/>
          <w:szCs w:val="22"/>
        </w:rPr>
        <w:tab/>
      </w:r>
      <w:r>
        <w:rPr>
          <w:noProof/>
        </w:rPr>
        <w:t>Fine Aggregate</w:t>
      </w:r>
      <w:r>
        <w:rPr>
          <w:noProof/>
        </w:rPr>
        <w:tab/>
      </w:r>
      <w:r>
        <w:rPr>
          <w:noProof/>
        </w:rPr>
        <w:fldChar w:fldCharType="begin"/>
      </w:r>
      <w:r>
        <w:rPr>
          <w:noProof/>
        </w:rPr>
        <w:instrText xml:space="preserve"> PAGEREF _Toc76046364 \h </w:instrText>
      </w:r>
      <w:r>
        <w:rPr>
          <w:noProof/>
        </w:rPr>
      </w:r>
      <w:r>
        <w:rPr>
          <w:noProof/>
        </w:rPr>
        <w:fldChar w:fldCharType="separate"/>
      </w:r>
      <w:r>
        <w:rPr>
          <w:noProof/>
        </w:rPr>
        <w:t>5</w:t>
      </w:r>
      <w:r>
        <w:rPr>
          <w:noProof/>
        </w:rPr>
        <w:fldChar w:fldCharType="end"/>
      </w:r>
    </w:p>
    <w:p w14:paraId="5840D7F3" w14:textId="6BD4FE20" w:rsidR="00082B28" w:rsidRDefault="00082B28">
      <w:pPr>
        <w:pStyle w:val="TOC2"/>
        <w:rPr>
          <w:rFonts w:asciiTheme="minorHAnsi" w:eastAsiaTheme="minorEastAsia" w:hAnsiTheme="minorHAnsi" w:cstheme="minorBidi"/>
          <w:b w:val="0"/>
          <w:smallCaps w:val="0"/>
          <w:noProof/>
          <w:sz w:val="22"/>
          <w:szCs w:val="22"/>
        </w:rPr>
      </w:pPr>
      <w:r>
        <w:rPr>
          <w:noProof/>
        </w:rPr>
        <w:t>3.3</w:t>
      </w:r>
      <w:r>
        <w:rPr>
          <w:rFonts w:asciiTheme="minorHAnsi" w:eastAsiaTheme="minorEastAsia" w:hAnsiTheme="minorHAnsi" w:cstheme="minorBidi"/>
          <w:b w:val="0"/>
          <w:smallCaps w:val="0"/>
          <w:noProof/>
          <w:sz w:val="22"/>
          <w:szCs w:val="22"/>
        </w:rPr>
        <w:tab/>
      </w:r>
      <w:r>
        <w:rPr>
          <w:noProof/>
        </w:rPr>
        <w:t>Filler</w:t>
      </w:r>
      <w:r>
        <w:rPr>
          <w:noProof/>
        </w:rPr>
        <w:tab/>
      </w:r>
      <w:r>
        <w:rPr>
          <w:noProof/>
        </w:rPr>
        <w:fldChar w:fldCharType="begin"/>
      </w:r>
      <w:r>
        <w:rPr>
          <w:noProof/>
        </w:rPr>
        <w:instrText xml:space="preserve"> PAGEREF _Toc76046365 \h </w:instrText>
      </w:r>
      <w:r>
        <w:rPr>
          <w:noProof/>
        </w:rPr>
      </w:r>
      <w:r>
        <w:rPr>
          <w:noProof/>
        </w:rPr>
        <w:fldChar w:fldCharType="separate"/>
      </w:r>
      <w:r>
        <w:rPr>
          <w:noProof/>
        </w:rPr>
        <w:t>5</w:t>
      </w:r>
      <w:r>
        <w:rPr>
          <w:noProof/>
        </w:rPr>
        <w:fldChar w:fldCharType="end"/>
      </w:r>
    </w:p>
    <w:p w14:paraId="4AA95B25" w14:textId="6B4BE4A6" w:rsidR="00082B28" w:rsidRDefault="00082B28">
      <w:pPr>
        <w:pStyle w:val="TOC2"/>
        <w:rPr>
          <w:rFonts w:asciiTheme="minorHAnsi" w:eastAsiaTheme="minorEastAsia" w:hAnsiTheme="minorHAnsi" w:cstheme="minorBidi"/>
          <w:b w:val="0"/>
          <w:smallCaps w:val="0"/>
          <w:noProof/>
          <w:sz w:val="22"/>
          <w:szCs w:val="22"/>
        </w:rPr>
      </w:pPr>
      <w:r>
        <w:rPr>
          <w:noProof/>
        </w:rPr>
        <w:t>3.4</w:t>
      </w:r>
      <w:r>
        <w:rPr>
          <w:rFonts w:asciiTheme="minorHAnsi" w:eastAsiaTheme="minorEastAsia" w:hAnsiTheme="minorHAnsi" w:cstheme="minorBidi"/>
          <w:b w:val="0"/>
          <w:smallCaps w:val="0"/>
          <w:noProof/>
          <w:sz w:val="22"/>
          <w:szCs w:val="22"/>
        </w:rPr>
        <w:tab/>
      </w:r>
      <w:r>
        <w:rPr>
          <w:noProof/>
        </w:rPr>
        <w:t>Binder</w:t>
      </w:r>
      <w:r>
        <w:rPr>
          <w:noProof/>
        </w:rPr>
        <w:tab/>
      </w:r>
      <w:r>
        <w:rPr>
          <w:noProof/>
        </w:rPr>
        <w:fldChar w:fldCharType="begin"/>
      </w:r>
      <w:r>
        <w:rPr>
          <w:noProof/>
        </w:rPr>
        <w:instrText xml:space="preserve"> PAGEREF _Toc76046366 \h </w:instrText>
      </w:r>
      <w:r>
        <w:rPr>
          <w:noProof/>
        </w:rPr>
      </w:r>
      <w:r>
        <w:rPr>
          <w:noProof/>
        </w:rPr>
        <w:fldChar w:fldCharType="separate"/>
      </w:r>
      <w:r>
        <w:rPr>
          <w:noProof/>
        </w:rPr>
        <w:t>5</w:t>
      </w:r>
      <w:r>
        <w:rPr>
          <w:noProof/>
        </w:rPr>
        <w:fldChar w:fldCharType="end"/>
      </w:r>
    </w:p>
    <w:p w14:paraId="5E1A7A6C" w14:textId="4BA12A20" w:rsidR="00082B28" w:rsidRDefault="00082B28">
      <w:pPr>
        <w:pStyle w:val="TOC2"/>
        <w:rPr>
          <w:rFonts w:asciiTheme="minorHAnsi" w:eastAsiaTheme="minorEastAsia" w:hAnsiTheme="minorHAnsi" w:cstheme="minorBidi"/>
          <w:b w:val="0"/>
          <w:smallCaps w:val="0"/>
          <w:noProof/>
          <w:sz w:val="22"/>
          <w:szCs w:val="22"/>
        </w:rPr>
      </w:pPr>
      <w:r>
        <w:rPr>
          <w:noProof/>
        </w:rPr>
        <w:t>3.5</w:t>
      </w:r>
      <w:r>
        <w:rPr>
          <w:rFonts w:asciiTheme="minorHAnsi" w:eastAsiaTheme="minorEastAsia" w:hAnsiTheme="minorHAnsi" w:cstheme="minorBidi"/>
          <w:b w:val="0"/>
          <w:smallCaps w:val="0"/>
          <w:noProof/>
          <w:sz w:val="22"/>
          <w:szCs w:val="22"/>
        </w:rPr>
        <w:tab/>
      </w:r>
      <w:r>
        <w:rPr>
          <w:noProof/>
        </w:rPr>
        <w:t>Reclaimed Asphalt Pavement (RAP)</w:t>
      </w:r>
      <w:r>
        <w:rPr>
          <w:noProof/>
        </w:rPr>
        <w:tab/>
      </w:r>
      <w:r>
        <w:rPr>
          <w:noProof/>
        </w:rPr>
        <w:fldChar w:fldCharType="begin"/>
      </w:r>
      <w:r>
        <w:rPr>
          <w:noProof/>
        </w:rPr>
        <w:instrText xml:space="preserve"> PAGEREF _Toc76046367 \h </w:instrText>
      </w:r>
      <w:r>
        <w:rPr>
          <w:noProof/>
        </w:rPr>
      </w:r>
      <w:r>
        <w:rPr>
          <w:noProof/>
        </w:rPr>
        <w:fldChar w:fldCharType="separate"/>
      </w:r>
      <w:r>
        <w:rPr>
          <w:noProof/>
        </w:rPr>
        <w:t>5</w:t>
      </w:r>
      <w:r>
        <w:rPr>
          <w:noProof/>
        </w:rPr>
        <w:fldChar w:fldCharType="end"/>
      </w:r>
    </w:p>
    <w:p w14:paraId="38D77539" w14:textId="00B411A2" w:rsidR="00082B28" w:rsidRDefault="00082B28">
      <w:pPr>
        <w:pStyle w:val="TOC2"/>
        <w:rPr>
          <w:rFonts w:asciiTheme="minorHAnsi" w:eastAsiaTheme="minorEastAsia" w:hAnsiTheme="minorHAnsi" w:cstheme="minorBidi"/>
          <w:b w:val="0"/>
          <w:smallCaps w:val="0"/>
          <w:noProof/>
          <w:sz w:val="22"/>
          <w:szCs w:val="22"/>
        </w:rPr>
      </w:pPr>
      <w:r>
        <w:rPr>
          <w:noProof/>
        </w:rPr>
        <w:t>3.6</w:t>
      </w:r>
      <w:r>
        <w:rPr>
          <w:rFonts w:asciiTheme="minorHAnsi" w:eastAsiaTheme="minorEastAsia" w:hAnsiTheme="minorHAnsi" w:cstheme="minorBidi"/>
          <w:b w:val="0"/>
          <w:smallCaps w:val="0"/>
          <w:noProof/>
          <w:sz w:val="22"/>
          <w:szCs w:val="22"/>
        </w:rPr>
        <w:tab/>
      </w:r>
      <w:r>
        <w:rPr>
          <w:noProof/>
        </w:rPr>
        <w:t>Granulated Glass Aggregate</w:t>
      </w:r>
      <w:r>
        <w:rPr>
          <w:noProof/>
        </w:rPr>
        <w:tab/>
      </w:r>
      <w:r>
        <w:rPr>
          <w:noProof/>
        </w:rPr>
        <w:fldChar w:fldCharType="begin"/>
      </w:r>
      <w:r>
        <w:rPr>
          <w:noProof/>
        </w:rPr>
        <w:instrText xml:space="preserve"> PAGEREF _Toc76046368 \h </w:instrText>
      </w:r>
      <w:r>
        <w:rPr>
          <w:noProof/>
        </w:rPr>
      </w:r>
      <w:r>
        <w:rPr>
          <w:noProof/>
        </w:rPr>
        <w:fldChar w:fldCharType="separate"/>
      </w:r>
      <w:r>
        <w:rPr>
          <w:noProof/>
        </w:rPr>
        <w:t>6</w:t>
      </w:r>
      <w:r>
        <w:rPr>
          <w:noProof/>
        </w:rPr>
        <w:fldChar w:fldCharType="end"/>
      </w:r>
    </w:p>
    <w:p w14:paraId="3CB8EC71" w14:textId="2081BC1F" w:rsidR="00082B28" w:rsidRDefault="00082B28">
      <w:pPr>
        <w:pStyle w:val="TOC2"/>
        <w:rPr>
          <w:rFonts w:asciiTheme="minorHAnsi" w:eastAsiaTheme="minorEastAsia" w:hAnsiTheme="minorHAnsi" w:cstheme="minorBidi"/>
          <w:b w:val="0"/>
          <w:smallCaps w:val="0"/>
          <w:noProof/>
          <w:sz w:val="22"/>
          <w:szCs w:val="22"/>
        </w:rPr>
      </w:pPr>
      <w:r>
        <w:rPr>
          <w:noProof/>
        </w:rPr>
        <w:t>3.7</w:t>
      </w:r>
      <w:r>
        <w:rPr>
          <w:rFonts w:asciiTheme="minorHAnsi" w:eastAsiaTheme="minorEastAsia" w:hAnsiTheme="minorHAnsi" w:cstheme="minorBidi"/>
          <w:b w:val="0"/>
          <w:smallCaps w:val="0"/>
          <w:noProof/>
          <w:sz w:val="22"/>
          <w:szCs w:val="22"/>
        </w:rPr>
        <w:tab/>
      </w:r>
      <w:r>
        <w:rPr>
          <w:noProof/>
        </w:rPr>
        <w:t>Warm Mix Asphalt Additive</w:t>
      </w:r>
      <w:r>
        <w:rPr>
          <w:noProof/>
        </w:rPr>
        <w:tab/>
      </w:r>
      <w:r>
        <w:rPr>
          <w:noProof/>
        </w:rPr>
        <w:fldChar w:fldCharType="begin"/>
      </w:r>
      <w:r>
        <w:rPr>
          <w:noProof/>
        </w:rPr>
        <w:instrText xml:space="preserve"> PAGEREF _Toc76046369 \h </w:instrText>
      </w:r>
      <w:r>
        <w:rPr>
          <w:noProof/>
        </w:rPr>
      </w:r>
      <w:r>
        <w:rPr>
          <w:noProof/>
        </w:rPr>
        <w:fldChar w:fldCharType="separate"/>
      </w:r>
      <w:r>
        <w:rPr>
          <w:noProof/>
        </w:rPr>
        <w:t>6</w:t>
      </w:r>
      <w:r>
        <w:rPr>
          <w:noProof/>
        </w:rPr>
        <w:fldChar w:fldCharType="end"/>
      </w:r>
    </w:p>
    <w:p w14:paraId="1D5371A3" w14:textId="6BABD8BE" w:rsidR="00082B28" w:rsidRDefault="00082B28">
      <w:pPr>
        <w:pStyle w:val="TOC1"/>
        <w:rPr>
          <w:rFonts w:asciiTheme="minorHAnsi" w:eastAsiaTheme="minorEastAsia" w:hAnsiTheme="minorHAnsi" w:cstheme="minorBidi"/>
          <w:b w:val="0"/>
          <w:caps w:val="0"/>
          <w:noProof/>
          <w:szCs w:val="22"/>
        </w:rPr>
      </w:pPr>
      <w:r>
        <w:rPr>
          <w:noProof/>
        </w:rPr>
        <w:t>4.0</w:t>
      </w:r>
      <w:r>
        <w:rPr>
          <w:rFonts w:asciiTheme="minorHAnsi" w:eastAsiaTheme="minorEastAsia" w:hAnsiTheme="minorHAnsi" w:cstheme="minorBidi"/>
          <w:b w:val="0"/>
          <w:caps w:val="0"/>
          <w:noProof/>
          <w:szCs w:val="22"/>
        </w:rPr>
        <w:tab/>
      </w:r>
      <w:r>
        <w:rPr>
          <w:noProof/>
        </w:rPr>
        <w:t>ASPHALT Mix design</w:t>
      </w:r>
      <w:r>
        <w:rPr>
          <w:noProof/>
        </w:rPr>
        <w:tab/>
      </w:r>
      <w:r>
        <w:rPr>
          <w:noProof/>
        </w:rPr>
        <w:fldChar w:fldCharType="begin"/>
      </w:r>
      <w:r>
        <w:rPr>
          <w:noProof/>
        </w:rPr>
        <w:instrText xml:space="preserve"> PAGEREF _Toc76046370 \h </w:instrText>
      </w:r>
      <w:r>
        <w:rPr>
          <w:noProof/>
        </w:rPr>
      </w:r>
      <w:r>
        <w:rPr>
          <w:noProof/>
        </w:rPr>
        <w:fldChar w:fldCharType="separate"/>
      </w:r>
      <w:r>
        <w:rPr>
          <w:noProof/>
        </w:rPr>
        <w:t>6</w:t>
      </w:r>
      <w:r>
        <w:rPr>
          <w:noProof/>
        </w:rPr>
        <w:fldChar w:fldCharType="end"/>
      </w:r>
    </w:p>
    <w:p w14:paraId="253B31BD" w14:textId="67170C8B" w:rsidR="00082B28" w:rsidRDefault="00082B28">
      <w:pPr>
        <w:pStyle w:val="TOC2"/>
        <w:rPr>
          <w:rFonts w:asciiTheme="minorHAnsi" w:eastAsiaTheme="minorEastAsia" w:hAnsiTheme="minorHAnsi" w:cstheme="minorBidi"/>
          <w:b w:val="0"/>
          <w:smallCaps w:val="0"/>
          <w:noProof/>
          <w:sz w:val="22"/>
          <w:szCs w:val="22"/>
        </w:rPr>
      </w:pPr>
      <w:r>
        <w:rPr>
          <w:noProof/>
        </w:rPr>
        <w:t>4.1</w:t>
      </w:r>
      <w:r>
        <w:rPr>
          <w:rFonts w:asciiTheme="minorHAnsi" w:eastAsiaTheme="minorEastAsia" w:hAnsiTheme="minorHAnsi" w:cstheme="minorBidi"/>
          <w:b w:val="0"/>
          <w:smallCaps w:val="0"/>
          <w:noProof/>
          <w:sz w:val="22"/>
          <w:szCs w:val="22"/>
        </w:rPr>
        <w:tab/>
      </w:r>
      <w:r>
        <w:rPr>
          <w:noProof/>
        </w:rPr>
        <w:t>General</w:t>
      </w:r>
      <w:r>
        <w:rPr>
          <w:noProof/>
        </w:rPr>
        <w:tab/>
      </w:r>
      <w:r>
        <w:rPr>
          <w:noProof/>
        </w:rPr>
        <w:fldChar w:fldCharType="begin"/>
      </w:r>
      <w:r>
        <w:rPr>
          <w:noProof/>
        </w:rPr>
        <w:instrText xml:space="preserve"> PAGEREF _Toc76046371 \h </w:instrText>
      </w:r>
      <w:r>
        <w:rPr>
          <w:noProof/>
        </w:rPr>
      </w:r>
      <w:r>
        <w:rPr>
          <w:noProof/>
        </w:rPr>
        <w:fldChar w:fldCharType="separate"/>
      </w:r>
      <w:r>
        <w:rPr>
          <w:noProof/>
        </w:rPr>
        <w:t>6</w:t>
      </w:r>
      <w:r>
        <w:rPr>
          <w:noProof/>
        </w:rPr>
        <w:fldChar w:fldCharType="end"/>
      </w:r>
    </w:p>
    <w:p w14:paraId="6AEFE9FD" w14:textId="0F8BFC13" w:rsidR="00082B28" w:rsidRDefault="00082B28">
      <w:pPr>
        <w:pStyle w:val="TOC2"/>
        <w:rPr>
          <w:rFonts w:asciiTheme="minorHAnsi" w:eastAsiaTheme="minorEastAsia" w:hAnsiTheme="minorHAnsi" w:cstheme="minorBidi"/>
          <w:b w:val="0"/>
          <w:smallCaps w:val="0"/>
          <w:noProof/>
          <w:sz w:val="22"/>
          <w:szCs w:val="22"/>
        </w:rPr>
      </w:pPr>
      <w:r>
        <w:rPr>
          <w:noProof/>
        </w:rPr>
        <w:t>4.2</w:t>
      </w:r>
      <w:r>
        <w:rPr>
          <w:rFonts w:asciiTheme="minorHAnsi" w:eastAsiaTheme="minorEastAsia" w:hAnsiTheme="minorHAnsi" w:cstheme="minorBidi"/>
          <w:b w:val="0"/>
          <w:smallCaps w:val="0"/>
          <w:noProof/>
          <w:sz w:val="22"/>
          <w:szCs w:val="22"/>
        </w:rPr>
        <w:tab/>
      </w:r>
      <w:r>
        <w:rPr>
          <w:noProof/>
        </w:rPr>
        <w:t>Grading</w:t>
      </w:r>
      <w:r>
        <w:rPr>
          <w:noProof/>
        </w:rPr>
        <w:tab/>
      </w:r>
      <w:r>
        <w:rPr>
          <w:noProof/>
        </w:rPr>
        <w:fldChar w:fldCharType="begin"/>
      </w:r>
      <w:r>
        <w:rPr>
          <w:noProof/>
        </w:rPr>
        <w:instrText xml:space="preserve"> PAGEREF _Toc76046372 \h </w:instrText>
      </w:r>
      <w:r>
        <w:rPr>
          <w:noProof/>
        </w:rPr>
      </w:r>
      <w:r>
        <w:rPr>
          <w:noProof/>
        </w:rPr>
        <w:fldChar w:fldCharType="separate"/>
      </w:r>
      <w:r>
        <w:rPr>
          <w:noProof/>
        </w:rPr>
        <w:t>7</w:t>
      </w:r>
      <w:r>
        <w:rPr>
          <w:noProof/>
        </w:rPr>
        <w:fldChar w:fldCharType="end"/>
      </w:r>
    </w:p>
    <w:p w14:paraId="10F06FF2" w14:textId="13953346" w:rsidR="00082B28" w:rsidRDefault="00082B28">
      <w:pPr>
        <w:pStyle w:val="TOC2"/>
        <w:rPr>
          <w:rFonts w:asciiTheme="minorHAnsi" w:eastAsiaTheme="minorEastAsia" w:hAnsiTheme="minorHAnsi" w:cstheme="minorBidi"/>
          <w:b w:val="0"/>
          <w:smallCaps w:val="0"/>
          <w:noProof/>
          <w:sz w:val="22"/>
          <w:szCs w:val="22"/>
        </w:rPr>
      </w:pPr>
      <w:r>
        <w:rPr>
          <w:noProof/>
        </w:rPr>
        <w:t>4.3</w:t>
      </w:r>
      <w:r>
        <w:rPr>
          <w:rFonts w:asciiTheme="minorHAnsi" w:eastAsiaTheme="minorEastAsia" w:hAnsiTheme="minorHAnsi" w:cstheme="minorBidi"/>
          <w:b w:val="0"/>
          <w:smallCaps w:val="0"/>
          <w:noProof/>
          <w:sz w:val="22"/>
          <w:szCs w:val="22"/>
        </w:rPr>
        <w:tab/>
      </w:r>
      <w:r>
        <w:rPr>
          <w:noProof/>
        </w:rPr>
        <w:t>Binder Content</w:t>
      </w:r>
      <w:r>
        <w:rPr>
          <w:noProof/>
        </w:rPr>
        <w:tab/>
      </w:r>
      <w:r>
        <w:rPr>
          <w:noProof/>
        </w:rPr>
        <w:fldChar w:fldCharType="begin"/>
      </w:r>
      <w:r>
        <w:rPr>
          <w:noProof/>
        </w:rPr>
        <w:instrText xml:space="preserve"> PAGEREF _Toc76046373 \h </w:instrText>
      </w:r>
      <w:r>
        <w:rPr>
          <w:noProof/>
        </w:rPr>
      </w:r>
      <w:r>
        <w:rPr>
          <w:noProof/>
        </w:rPr>
        <w:fldChar w:fldCharType="separate"/>
      </w:r>
      <w:r>
        <w:rPr>
          <w:noProof/>
        </w:rPr>
        <w:t>7</w:t>
      </w:r>
      <w:r>
        <w:rPr>
          <w:noProof/>
        </w:rPr>
        <w:fldChar w:fldCharType="end"/>
      </w:r>
    </w:p>
    <w:p w14:paraId="73035314" w14:textId="08FD9727" w:rsidR="00082B28" w:rsidRDefault="00082B28">
      <w:pPr>
        <w:pStyle w:val="TOC2"/>
        <w:rPr>
          <w:rFonts w:asciiTheme="minorHAnsi" w:eastAsiaTheme="minorEastAsia" w:hAnsiTheme="minorHAnsi" w:cstheme="minorBidi"/>
          <w:b w:val="0"/>
          <w:smallCaps w:val="0"/>
          <w:noProof/>
          <w:sz w:val="22"/>
          <w:szCs w:val="22"/>
        </w:rPr>
      </w:pPr>
      <w:r>
        <w:rPr>
          <w:noProof/>
        </w:rPr>
        <w:t>4.4</w:t>
      </w:r>
      <w:r>
        <w:rPr>
          <w:rFonts w:asciiTheme="minorHAnsi" w:eastAsiaTheme="minorEastAsia" w:hAnsiTheme="minorHAnsi" w:cstheme="minorBidi"/>
          <w:b w:val="0"/>
          <w:smallCaps w:val="0"/>
          <w:noProof/>
          <w:sz w:val="22"/>
          <w:szCs w:val="22"/>
        </w:rPr>
        <w:tab/>
      </w:r>
      <w:r>
        <w:rPr>
          <w:noProof/>
        </w:rPr>
        <w:t>Mix Properties</w:t>
      </w:r>
      <w:r>
        <w:rPr>
          <w:noProof/>
        </w:rPr>
        <w:tab/>
      </w:r>
      <w:r>
        <w:rPr>
          <w:noProof/>
        </w:rPr>
        <w:fldChar w:fldCharType="begin"/>
      </w:r>
      <w:r>
        <w:rPr>
          <w:noProof/>
        </w:rPr>
        <w:instrText xml:space="preserve"> PAGEREF _Toc76046374 \h </w:instrText>
      </w:r>
      <w:r>
        <w:rPr>
          <w:noProof/>
        </w:rPr>
      </w:r>
      <w:r>
        <w:rPr>
          <w:noProof/>
        </w:rPr>
        <w:fldChar w:fldCharType="separate"/>
      </w:r>
      <w:r>
        <w:rPr>
          <w:noProof/>
        </w:rPr>
        <w:t>8</w:t>
      </w:r>
      <w:r>
        <w:rPr>
          <w:noProof/>
        </w:rPr>
        <w:fldChar w:fldCharType="end"/>
      </w:r>
    </w:p>
    <w:p w14:paraId="619720FF" w14:textId="3FC7A3E7" w:rsidR="00082B28" w:rsidRDefault="00082B28">
      <w:pPr>
        <w:pStyle w:val="TOC1"/>
        <w:rPr>
          <w:rFonts w:asciiTheme="minorHAnsi" w:eastAsiaTheme="minorEastAsia" w:hAnsiTheme="minorHAnsi" w:cstheme="minorBidi"/>
          <w:b w:val="0"/>
          <w:caps w:val="0"/>
          <w:noProof/>
          <w:szCs w:val="22"/>
        </w:rPr>
      </w:pPr>
      <w:r>
        <w:rPr>
          <w:noProof/>
        </w:rPr>
        <w:t>5.0</w:t>
      </w:r>
      <w:r>
        <w:rPr>
          <w:rFonts w:asciiTheme="minorHAnsi" w:eastAsiaTheme="minorEastAsia" w:hAnsiTheme="minorHAnsi" w:cstheme="minorBidi"/>
          <w:b w:val="0"/>
          <w:caps w:val="0"/>
          <w:noProof/>
          <w:szCs w:val="22"/>
        </w:rPr>
        <w:tab/>
      </w:r>
      <w:r>
        <w:rPr>
          <w:noProof/>
        </w:rPr>
        <w:t>ASPHALT MANUFACTURE</w:t>
      </w:r>
      <w:r>
        <w:rPr>
          <w:noProof/>
        </w:rPr>
        <w:tab/>
      </w:r>
      <w:r>
        <w:rPr>
          <w:noProof/>
        </w:rPr>
        <w:fldChar w:fldCharType="begin"/>
      </w:r>
      <w:r>
        <w:rPr>
          <w:noProof/>
        </w:rPr>
        <w:instrText xml:space="preserve"> PAGEREF _Toc76046375 \h </w:instrText>
      </w:r>
      <w:r>
        <w:rPr>
          <w:noProof/>
        </w:rPr>
      </w:r>
      <w:r>
        <w:rPr>
          <w:noProof/>
        </w:rPr>
        <w:fldChar w:fldCharType="separate"/>
      </w:r>
      <w:r>
        <w:rPr>
          <w:noProof/>
        </w:rPr>
        <w:t>8</w:t>
      </w:r>
      <w:r>
        <w:rPr>
          <w:noProof/>
        </w:rPr>
        <w:fldChar w:fldCharType="end"/>
      </w:r>
    </w:p>
    <w:p w14:paraId="79DFC63E" w14:textId="7DD9C4DA" w:rsidR="00355D38" w:rsidRDefault="00082B28">
      <w:pPr>
        <w:jc w:val="both"/>
      </w:pPr>
      <w:r>
        <w:rPr>
          <w:b/>
          <w:caps/>
          <w:sz w:val="22"/>
        </w:rPr>
        <w:fldChar w:fldCharType="end"/>
      </w:r>
    </w:p>
    <w:p w14:paraId="18C527B8" w14:textId="77777777" w:rsidR="00355D38" w:rsidRDefault="00355D38">
      <w:pPr>
        <w:jc w:val="both"/>
      </w:pPr>
    </w:p>
    <w:p w14:paraId="5E918699" w14:textId="77777777" w:rsidR="00355D38" w:rsidRDefault="00355D38">
      <w:pPr>
        <w:jc w:val="both"/>
        <w:sectPr w:rsidR="00355D38" w:rsidSect="001E6951">
          <w:footerReference w:type="default" r:id="rId16"/>
          <w:pgSz w:w="11906" w:h="16838" w:code="9"/>
          <w:pgMar w:top="1134" w:right="1134" w:bottom="992" w:left="1418" w:header="1134" w:footer="851" w:gutter="0"/>
          <w:pgNumType w:fmt="lowerRoman" w:start="1"/>
          <w:cols w:space="720"/>
          <w:docGrid w:linePitch="272"/>
        </w:sectPr>
      </w:pPr>
    </w:p>
    <w:p w14:paraId="0FE583BC" w14:textId="77777777" w:rsidR="00355D38" w:rsidRDefault="00E71C48" w:rsidP="002C1F8E">
      <w:pPr>
        <w:pStyle w:val="BodyTextIndentBoldItalicCen"/>
      </w:pPr>
      <w:bookmarkStart w:id="1" w:name="_Toc493942064"/>
      <w:bookmarkStart w:id="2" w:name="_Toc493986903"/>
      <w:r w:rsidRPr="004A2005">
        <w:lastRenderedPageBreak/>
        <w:t>(</w:t>
      </w:r>
      <w:r w:rsidR="002C1F8E" w:rsidRPr="004A2005">
        <w:t xml:space="preserve">This </w:t>
      </w:r>
      <w:r w:rsidRPr="004A2005">
        <w:t>Page Left Intentionally Blank)</w:t>
      </w:r>
    </w:p>
    <w:p w14:paraId="0E3A9D4C" w14:textId="77777777" w:rsidR="00355D38" w:rsidRDefault="00355D38">
      <w:pPr>
        <w:jc w:val="both"/>
        <w:sectPr w:rsidR="00355D38" w:rsidSect="001E6951">
          <w:footerReference w:type="default" r:id="rId17"/>
          <w:pgSz w:w="11906" w:h="16838" w:code="9"/>
          <w:pgMar w:top="1134" w:right="1134" w:bottom="992" w:left="1418" w:header="1134" w:footer="851" w:gutter="0"/>
          <w:pgNumType w:fmt="lowerRoman" w:start="1"/>
          <w:cols w:space="720"/>
          <w:vAlign w:val="center"/>
          <w:docGrid w:linePitch="272"/>
        </w:sectPr>
      </w:pPr>
    </w:p>
    <w:p w14:paraId="79B12793" w14:textId="77777777" w:rsidR="00355D38" w:rsidRPr="008252DA" w:rsidRDefault="00355D38" w:rsidP="008252DA">
      <w:pPr>
        <w:pStyle w:val="Heading2"/>
      </w:pPr>
      <w:bookmarkStart w:id="3" w:name="_Toc76046353"/>
      <w:bookmarkEnd w:id="1"/>
      <w:bookmarkEnd w:id="2"/>
      <w:r w:rsidRPr="008252DA">
        <w:lastRenderedPageBreak/>
        <w:t>GENERAL</w:t>
      </w:r>
      <w:bookmarkEnd w:id="3"/>
    </w:p>
    <w:p w14:paraId="1C4830BC" w14:textId="77777777" w:rsidR="00355D38" w:rsidRPr="006D57C8" w:rsidRDefault="002C1F8E" w:rsidP="006D57C8">
      <w:pPr>
        <w:pStyle w:val="Heading3"/>
      </w:pPr>
      <w:bookmarkStart w:id="4" w:name="_Toc76046354"/>
      <w:r w:rsidRPr="006D57C8">
        <w:t>Section Content</w:t>
      </w:r>
      <w:bookmarkEnd w:id="4"/>
    </w:p>
    <w:p w14:paraId="1882595E" w14:textId="77777777" w:rsidR="00355D38" w:rsidRDefault="00355D38" w:rsidP="00A34A94">
      <w:pPr>
        <w:pStyle w:val="BodyTextIndent"/>
      </w:pPr>
      <w:r>
        <w:t>Manufacture of dense graded hot mix asphaltic concrete for road and related applications.  Dense graded asphalt is a processed mixture of bituminous binder and mineral aggregate, with or without an added mineral filler.</w:t>
      </w:r>
    </w:p>
    <w:p w14:paraId="5BAB200C" w14:textId="77777777" w:rsidR="00985B23" w:rsidRDefault="00985B23" w:rsidP="00A34A94">
      <w:pPr>
        <w:pStyle w:val="BodyTextIndent"/>
      </w:pPr>
      <w:r w:rsidRPr="00136A0B">
        <w:t>Warm mix asphalt may be used on any project subject to meeting the properties specified for the asphalt mix that does not include warm mix asphalt additive.</w:t>
      </w:r>
    </w:p>
    <w:p w14:paraId="4EF94F57" w14:textId="77777777" w:rsidR="00CB4892" w:rsidRDefault="00CB4892" w:rsidP="006D57C8">
      <w:pPr>
        <w:pStyle w:val="Heading3"/>
      </w:pPr>
      <w:bookmarkStart w:id="5" w:name="_Toc76046355"/>
      <w:r>
        <w:t>Standards</w:t>
      </w:r>
      <w:bookmarkEnd w:id="5"/>
    </w:p>
    <w:tbl>
      <w:tblPr>
        <w:tblW w:w="0" w:type="auto"/>
        <w:tblInd w:w="709" w:type="dxa"/>
        <w:tblLook w:val="0400" w:firstRow="0" w:lastRow="0" w:firstColumn="0" w:lastColumn="0" w:noHBand="0" w:noVBand="1"/>
      </w:tblPr>
      <w:tblGrid>
        <w:gridCol w:w="2303"/>
        <w:gridCol w:w="1677"/>
        <w:gridCol w:w="4557"/>
      </w:tblGrid>
      <w:tr w:rsidR="007423F6" w:rsidRPr="007423F6" w14:paraId="359BC65A" w14:textId="77777777" w:rsidTr="006D57C8">
        <w:trPr>
          <w:trHeight w:val="340"/>
        </w:trPr>
        <w:tc>
          <w:tcPr>
            <w:tcW w:w="2303" w:type="dxa"/>
            <w:vAlign w:val="center"/>
          </w:tcPr>
          <w:p w14:paraId="4D65946C" w14:textId="77777777" w:rsidR="007423F6" w:rsidRPr="007423F6" w:rsidRDefault="007423F6" w:rsidP="007423F6">
            <w:pPr>
              <w:pStyle w:val="Table"/>
            </w:pPr>
            <w:r w:rsidRPr="007423F6">
              <w:t>Australian Standard</w:t>
            </w:r>
          </w:p>
        </w:tc>
        <w:tc>
          <w:tcPr>
            <w:tcW w:w="1677" w:type="dxa"/>
            <w:vAlign w:val="center"/>
          </w:tcPr>
          <w:p w14:paraId="4CFBC894" w14:textId="77777777" w:rsidR="007423F6" w:rsidRPr="007423F6" w:rsidRDefault="007423F6" w:rsidP="007423F6">
            <w:pPr>
              <w:pStyle w:val="TableCen"/>
            </w:pPr>
            <w:r w:rsidRPr="007423F6">
              <w:t>AS 1141.15</w:t>
            </w:r>
          </w:p>
        </w:tc>
        <w:tc>
          <w:tcPr>
            <w:tcW w:w="4557" w:type="dxa"/>
            <w:vAlign w:val="center"/>
          </w:tcPr>
          <w:p w14:paraId="724AAB55" w14:textId="77777777" w:rsidR="007423F6" w:rsidRPr="007423F6" w:rsidRDefault="007423F6" w:rsidP="007423F6">
            <w:pPr>
              <w:pStyle w:val="Table"/>
            </w:pPr>
            <w:r w:rsidRPr="007423F6">
              <w:t>Methods for sampling and testing aggregates – Flakiness index</w:t>
            </w:r>
          </w:p>
        </w:tc>
      </w:tr>
      <w:tr w:rsidR="007423F6" w:rsidRPr="007423F6" w14:paraId="2057C60A" w14:textId="77777777" w:rsidTr="006D57C8">
        <w:trPr>
          <w:trHeight w:val="340"/>
        </w:trPr>
        <w:tc>
          <w:tcPr>
            <w:tcW w:w="2303" w:type="dxa"/>
            <w:vAlign w:val="center"/>
          </w:tcPr>
          <w:p w14:paraId="341548E2" w14:textId="77777777" w:rsidR="007423F6" w:rsidRPr="007423F6" w:rsidRDefault="007423F6" w:rsidP="007423F6">
            <w:pPr>
              <w:pStyle w:val="Table"/>
            </w:pPr>
            <w:r w:rsidRPr="007423F6">
              <w:t>Australian/New Zealand Standard</w:t>
            </w:r>
          </w:p>
        </w:tc>
        <w:tc>
          <w:tcPr>
            <w:tcW w:w="1677" w:type="dxa"/>
            <w:vAlign w:val="center"/>
          </w:tcPr>
          <w:p w14:paraId="2F99C5F1" w14:textId="77777777" w:rsidR="007423F6" w:rsidRPr="007423F6" w:rsidRDefault="007423F6" w:rsidP="007423F6">
            <w:pPr>
              <w:pStyle w:val="TableCen"/>
            </w:pPr>
            <w:r w:rsidRPr="007423F6">
              <w:t>AS/NZS 1141.17</w:t>
            </w:r>
          </w:p>
        </w:tc>
        <w:tc>
          <w:tcPr>
            <w:tcW w:w="4557" w:type="dxa"/>
            <w:vAlign w:val="center"/>
          </w:tcPr>
          <w:p w14:paraId="394B7F19" w14:textId="77777777" w:rsidR="007423F6" w:rsidRPr="007423F6" w:rsidRDefault="007423F6" w:rsidP="007423F6">
            <w:pPr>
              <w:pStyle w:val="Table"/>
            </w:pPr>
            <w:r w:rsidRPr="007423F6">
              <w:t>Methods for sampling and testing aggregates – Voids in dry compacted filler</w:t>
            </w:r>
          </w:p>
        </w:tc>
      </w:tr>
      <w:tr w:rsidR="007423F6" w:rsidRPr="007423F6" w14:paraId="66E24142" w14:textId="77777777" w:rsidTr="006D57C8">
        <w:trPr>
          <w:trHeight w:val="340"/>
        </w:trPr>
        <w:tc>
          <w:tcPr>
            <w:tcW w:w="2303" w:type="dxa"/>
            <w:vAlign w:val="center"/>
          </w:tcPr>
          <w:p w14:paraId="62552CF2" w14:textId="77777777" w:rsidR="007423F6" w:rsidRPr="007423F6" w:rsidRDefault="007423F6" w:rsidP="007423F6">
            <w:pPr>
              <w:pStyle w:val="Table"/>
            </w:pPr>
            <w:r w:rsidRPr="007423F6">
              <w:t>Australian Standard</w:t>
            </w:r>
          </w:p>
        </w:tc>
        <w:tc>
          <w:tcPr>
            <w:tcW w:w="1677" w:type="dxa"/>
            <w:vAlign w:val="center"/>
          </w:tcPr>
          <w:p w14:paraId="78AA2C68" w14:textId="77777777" w:rsidR="007423F6" w:rsidRPr="007423F6" w:rsidRDefault="007423F6" w:rsidP="007423F6">
            <w:pPr>
              <w:pStyle w:val="TableCen"/>
            </w:pPr>
            <w:r w:rsidRPr="007423F6">
              <w:t>AS 1141.18</w:t>
            </w:r>
          </w:p>
        </w:tc>
        <w:tc>
          <w:tcPr>
            <w:tcW w:w="4557" w:type="dxa"/>
            <w:vAlign w:val="center"/>
          </w:tcPr>
          <w:p w14:paraId="33769296" w14:textId="77777777" w:rsidR="007423F6" w:rsidRPr="007423F6" w:rsidRDefault="007423F6" w:rsidP="007423F6">
            <w:pPr>
              <w:pStyle w:val="Table"/>
            </w:pPr>
            <w:r>
              <w:t>Methods for sampling and testing aggregates – Crushed particles in coarse aggregate derived from gravel</w:t>
            </w:r>
          </w:p>
        </w:tc>
      </w:tr>
      <w:tr w:rsidR="007423F6" w:rsidRPr="007423F6" w14:paraId="147119ED" w14:textId="77777777" w:rsidTr="006D57C8">
        <w:trPr>
          <w:trHeight w:val="340"/>
        </w:trPr>
        <w:tc>
          <w:tcPr>
            <w:tcW w:w="2303" w:type="dxa"/>
            <w:vAlign w:val="center"/>
          </w:tcPr>
          <w:p w14:paraId="10EE66BB" w14:textId="77777777" w:rsidR="007423F6" w:rsidRPr="007423F6" w:rsidRDefault="007423F6" w:rsidP="007423F6">
            <w:pPr>
              <w:pStyle w:val="Table"/>
            </w:pPr>
            <w:r w:rsidRPr="007423F6">
              <w:t>Australian Standard</w:t>
            </w:r>
          </w:p>
        </w:tc>
        <w:tc>
          <w:tcPr>
            <w:tcW w:w="1677" w:type="dxa"/>
            <w:vAlign w:val="center"/>
          </w:tcPr>
          <w:p w14:paraId="24E7E109" w14:textId="77777777" w:rsidR="007423F6" w:rsidRPr="007423F6" w:rsidRDefault="007423F6" w:rsidP="007423F6">
            <w:pPr>
              <w:pStyle w:val="TableCen"/>
            </w:pPr>
            <w:r w:rsidRPr="00373FD7">
              <w:t>AS </w:t>
            </w:r>
            <w:r>
              <w:t>1141.22</w:t>
            </w:r>
          </w:p>
        </w:tc>
        <w:tc>
          <w:tcPr>
            <w:tcW w:w="4557" w:type="dxa"/>
            <w:vAlign w:val="center"/>
          </w:tcPr>
          <w:p w14:paraId="6EB0EC96" w14:textId="77777777" w:rsidR="007423F6" w:rsidRPr="007423F6" w:rsidRDefault="007423F6" w:rsidP="007423F6">
            <w:pPr>
              <w:pStyle w:val="Table"/>
            </w:pPr>
            <w:r>
              <w:t>Methods for sampling and testing aggregates – Wet/dry strength variation</w:t>
            </w:r>
          </w:p>
        </w:tc>
      </w:tr>
      <w:tr w:rsidR="007423F6" w:rsidRPr="007423F6" w14:paraId="4F0CD687" w14:textId="77777777" w:rsidTr="006D57C8">
        <w:trPr>
          <w:trHeight w:val="340"/>
        </w:trPr>
        <w:tc>
          <w:tcPr>
            <w:tcW w:w="2303" w:type="dxa"/>
            <w:vAlign w:val="center"/>
          </w:tcPr>
          <w:p w14:paraId="51FC4E12" w14:textId="77777777" w:rsidR="007423F6" w:rsidRPr="007423F6" w:rsidRDefault="007423F6" w:rsidP="007423F6">
            <w:pPr>
              <w:pStyle w:val="Table"/>
            </w:pPr>
            <w:r w:rsidRPr="007423F6">
              <w:t>Australian Standard</w:t>
            </w:r>
          </w:p>
        </w:tc>
        <w:tc>
          <w:tcPr>
            <w:tcW w:w="1677" w:type="dxa"/>
            <w:vAlign w:val="center"/>
          </w:tcPr>
          <w:p w14:paraId="574BF27D" w14:textId="77777777" w:rsidR="007423F6" w:rsidRPr="007423F6" w:rsidRDefault="007423F6" w:rsidP="007423F6">
            <w:pPr>
              <w:pStyle w:val="TableCen"/>
            </w:pPr>
            <w:r w:rsidRPr="00373FD7">
              <w:t>AS </w:t>
            </w:r>
            <w:r>
              <w:t>1141.32</w:t>
            </w:r>
          </w:p>
        </w:tc>
        <w:tc>
          <w:tcPr>
            <w:tcW w:w="4557" w:type="dxa"/>
            <w:vAlign w:val="center"/>
          </w:tcPr>
          <w:p w14:paraId="17A2791C" w14:textId="77777777" w:rsidR="007423F6" w:rsidRPr="007423F6" w:rsidRDefault="007423F6" w:rsidP="007423F6">
            <w:pPr>
              <w:pStyle w:val="Table"/>
            </w:pPr>
            <w:r>
              <w:t>Methods for sampling and testing aggregates – Weak particles (including clay lumps, soft and friable particles) in coarse aggregates</w:t>
            </w:r>
          </w:p>
        </w:tc>
      </w:tr>
      <w:tr w:rsidR="007423F6" w:rsidRPr="007423F6" w14:paraId="20FD54EE" w14:textId="77777777" w:rsidTr="006D57C8">
        <w:trPr>
          <w:trHeight w:val="340"/>
        </w:trPr>
        <w:tc>
          <w:tcPr>
            <w:tcW w:w="2303" w:type="dxa"/>
            <w:vAlign w:val="center"/>
          </w:tcPr>
          <w:p w14:paraId="3A8ECB17" w14:textId="77777777" w:rsidR="007423F6" w:rsidRPr="007423F6" w:rsidRDefault="007423F6" w:rsidP="007423F6">
            <w:pPr>
              <w:pStyle w:val="Table"/>
            </w:pPr>
            <w:r w:rsidRPr="007423F6">
              <w:t>Australian Standard</w:t>
            </w:r>
          </w:p>
        </w:tc>
        <w:tc>
          <w:tcPr>
            <w:tcW w:w="1677" w:type="dxa"/>
            <w:vAlign w:val="center"/>
          </w:tcPr>
          <w:p w14:paraId="1312073A" w14:textId="77777777" w:rsidR="007423F6" w:rsidRPr="007423F6" w:rsidRDefault="007423F6" w:rsidP="007423F6">
            <w:pPr>
              <w:pStyle w:val="TableCen"/>
            </w:pPr>
            <w:r w:rsidRPr="00373FD7">
              <w:t>AS </w:t>
            </w:r>
            <w:r>
              <w:t>1141.42</w:t>
            </w:r>
          </w:p>
        </w:tc>
        <w:tc>
          <w:tcPr>
            <w:tcW w:w="4557" w:type="dxa"/>
            <w:vAlign w:val="center"/>
          </w:tcPr>
          <w:p w14:paraId="35ABF5B1" w14:textId="77777777" w:rsidR="007423F6" w:rsidRPr="007423F6" w:rsidRDefault="007423F6" w:rsidP="007423F6">
            <w:pPr>
              <w:pStyle w:val="Table"/>
            </w:pPr>
            <w:r>
              <w:t>Methods for sampling and testing aggregates – Pendulum friction test</w:t>
            </w:r>
          </w:p>
        </w:tc>
      </w:tr>
      <w:tr w:rsidR="007423F6" w:rsidRPr="007423F6" w14:paraId="5F5CF7F1" w14:textId="77777777" w:rsidTr="006D57C8">
        <w:trPr>
          <w:trHeight w:val="340"/>
        </w:trPr>
        <w:tc>
          <w:tcPr>
            <w:tcW w:w="2303" w:type="dxa"/>
            <w:vAlign w:val="center"/>
          </w:tcPr>
          <w:p w14:paraId="31AFE8D5" w14:textId="77777777" w:rsidR="007423F6" w:rsidRPr="007423F6" w:rsidRDefault="007423F6" w:rsidP="007423F6">
            <w:pPr>
              <w:pStyle w:val="Table"/>
            </w:pPr>
            <w:r w:rsidRPr="007423F6">
              <w:t>Australian Standard</w:t>
            </w:r>
          </w:p>
        </w:tc>
        <w:tc>
          <w:tcPr>
            <w:tcW w:w="1677" w:type="dxa"/>
            <w:vAlign w:val="center"/>
          </w:tcPr>
          <w:p w14:paraId="4483F9F6" w14:textId="77777777" w:rsidR="007423F6" w:rsidRPr="007423F6" w:rsidRDefault="007423F6" w:rsidP="007423F6">
            <w:pPr>
              <w:pStyle w:val="TableCen"/>
            </w:pPr>
            <w:r w:rsidRPr="00373FD7">
              <w:t>AS </w:t>
            </w:r>
            <w:r>
              <w:t>1141.5</w:t>
            </w:r>
          </w:p>
        </w:tc>
        <w:tc>
          <w:tcPr>
            <w:tcW w:w="4557" w:type="dxa"/>
            <w:vAlign w:val="center"/>
          </w:tcPr>
          <w:p w14:paraId="16193041" w14:textId="77777777" w:rsidR="007423F6" w:rsidRPr="007423F6" w:rsidRDefault="007423F6" w:rsidP="007423F6">
            <w:pPr>
              <w:pStyle w:val="Table"/>
            </w:pPr>
            <w:r>
              <w:t>Methods for sampling and testing aggregates – Particle density and water absorption of fine aggregate</w:t>
            </w:r>
          </w:p>
        </w:tc>
      </w:tr>
      <w:tr w:rsidR="007423F6" w:rsidRPr="007423F6" w14:paraId="15B8EB06" w14:textId="77777777" w:rsidTr="006D57C8">
        <w:trPr>
          <w:trHeight w:val="340"/>
        </w:trPr>
        <w:tc>
          <w:tcPr>
            <w:tcW w:w="2303" w:type="dxa"/>
            <w:vAlign w:val="center"/>
          </w:tcPr>
          <w:p w14:paraId="0CA0B996" w14:textId="77777777" w:rsidR="007423F6" w:rsidRPr="007423F6" w:rsidRDefault="007423F6" w:rsidP="007423F6">
            <w:pPr>
              <w:pStyle w:val="Table"/>
            </w:pPr>
            <w:r w:rsidRPr="007423F6">
              <w:t>Australian Standard</w:t>
            </w:r>
          </w:p>
        </w:tc>
        <w:tc>
          <w:tcPr>
            <w:tcW w:w="1677" w:type="dxa"/>
            <w:vAlign w:val="center"/>
          </w:tcPr>
          <w:p w14:paraId="0CFC6B97" w14:textId="77777777" w:rsidR="007423F6" w:rsidRPr="007423F6" w:rsidRDefault="007423F6" w:rsidP="007423F6">
            <w:pPr>
              <w:pStyle w:val="TableCen"/>
            </w:pPr>
            <w:r w:rsidRPr="00373FD7">
              <w:t>AS </w:t>
            </w:r>
            <w:r>
              <w:t>1141.66</w:t>
            </w:r>
          </w:p>
        </w:tc>
        <w:tc>
          <w:tcPr>
            <w:tcW w:w="4557" w:type="dxa"/>
            <w:vAlign w:val="center"/>
          </w:tcPr>
          <w:p w14:paraId="4AB826E5" w14:textId="77777777" w:rsidR="007423F6" w:rsidRPr="007423F6" w:rsidRDefault="007423F6" w:rsidP="007423F6">
            <w:pPr>
              <w:pStyle w:val="Table"/>
            </w:pPr>
            <w:r>
              <w:t>Methods for sampling and testing aggregates-Methylene blue adsorption value of fine aggregate and mineral fillers</w:t>
            </w:r>
          </w:p>
        </w:tc>
      </w:tr>
      <w:tr w:rsidR="007423F6" w:rsidRPr="007423F6" w14:paraId="561243F8" w14:textId="77777777" w:rsidTr="006D57C8">
        <w:trPr>
          <w:trHeight w:val="340"/>
        </w:trPr>
        <w:tc>
          <w:tcPr>
            <w:tcW w:w="2303" w:type="dxa"/>
            <w:vAlign w:val="center"/>
          </w:tcPr>
          <w:p w14:paraId="721CF1C2" w14:textId="77777777" w:rsidR="007423F6" w:rsidRPr="007423F6" w:rsidRDefault="007423F6" w:rsidP="007423F6">
            <w:pPr>
              <w:pStyle w:val="Table"/>
            </w:pPr>
            <w:r w:rsidRPr="007423F6">
              <w:t>Australian Standard</w:t>
            </w:r>
          </w:p>
        </w:tc>
        <w:tc>
          <w:tcPr>
            <w:tcW w:w="1677" w:type="dxa"/>
            <w:vAlign w:val="center"/>
          </w:tcPr>
          <w:p w14:paraId="5B73A29A" w14:textId="77777777" w:rsidR="007423F6" w:rsidRPr="007423F6" w:rsidRDefault="007423F6" w:rsidP="007423F6">
            <w:pPr>
              <w:pStyle w:val="TableCen"/>
            </w:pPr>
            <w:r w:rsidRPr="00373FD7">
              <w:t>AS </w:t>
            </w:r>
            <w:r>
              <w:t>1672.1</w:t>
            </w:r>
          </w:p>
        </w:tc>
        <w:tc>
          <w:tcPr>
            <w:tcW w:w="4557" w:type="dxa"/>
            <w:vAlign w:val="center"/>
          </w:tcPr>
          <w:p w14:paraId="7E31C2FC" w14:textId="77777777" w:rsidR="007423F6" w:rsidRPr="007423F6" w:rsidRDefault="007423F6" w:rsidP="007423F6">
            <w:pPr>
              <w:pStyle w:val="Table"/>
            </w:pPr>
            <w:r>
              <w:t>Limes and limestones – Limes for building</w:t>
            </w:r>
          </w:p>
        </w:tc>
      </w:tr>
      <w:tr w:rsidR="007423F6" w:rsidRPr="007423F6" w14:paraId="00CF6C8F" w14:textId="77777777" w:rsidTr="006D57C8">
        <w:trPr>
          <w:trHeight w:val="340"/>
        </w:trPr>
        <w:tc>
          <w:tcPr>
            <w:tcW w:w="2303" w:type="dxa"/>
            <w:vAlign w:val="center"/>
          </w:tcPr>
          <w:p w14:paraId="15C655D7" w14:textId="77777777" w:rsidR="007423F6" w:rsidRPr="007423F6" w:rsidRDefault="007423F6" w:rsidP="007423F6">
            <w:pPr>
              <w:pStyle w:val="Table"/>
            </w:pPr>
            <w:r w:rsidRPr="007423F6">
              <w:t>Australian Standard</w:t>
            </w:r>
          </w:p>
        </w:tc>
        <w:tc>
          <w:tcPr>
            <w:tcW w:w="1677" w:type="dxa"/>
            <w:vAlign w:val="center"/>
          </w:tcPr>
          <w:p w14:paraId="74D7DD4A" w14:textId="77777777" w:rsidR="007423F6" w:rsidRPr="007423F6" w:rsidRDefault="007423F6" w:rsidP="007423F6">
            <w:pPr>
              <w:pStyle w:val="TableCen"/>
            </w:pPr>
            <w:r w:rsidRPr="00373FD7">
              <w:t>AS </w:t>
            </w:r>
            <w:r>
              <w:t>2008</w:t>
            </w:r>
          </w:p>
        </w:tc>
        <w:tc>
          <w:tcPr>
            <w:tcW w:w="4557" w:type="dxa"/>
            <w:vAlign w:val="center"/>
          </w:tcPr>
          <w:p w14:paraId="185144F7" w14:textId="77777777" w:rsidR="007423F6" w:rsidRPr="007423F6" w:rsidRDefault="007423F6" w:rsidP="007423F6">
            <w:pPr>
              <w:pStyle w:val="Table"/>
            </w:pPr>
            <w:r>
              <w:t>Bitumen for pavements</w:t>
            </w:r>
          </w:p>
        </w:tc>
      </w:tr>
      <w:tr w:rsidR="007423F6" w:rsidRPr="007423F6" w14:paraId="2FF588B9" w14:textId="77777777" w:rsidTr="006D57C8">
        <w:trPr>
          <w:trHeight w:val="340"/>
        </w:trPr>
        <w:tc>
          <w:tcPr>
            <w:tcW w:w="2303" w:type="dxa"/>
            <w:vAlign w:val="center"/>
          </w:tcPr>
          <w:p w14:paraId="30845F99" w14:textId="77777777" w:rsidR="007423F6" w:rsidRPr="007423F6" w:rsidRDefault="007423F6" w:rsidP="007423F6">
            <w:pPr>
              <w:pStyle w:val="Table"/>
            </w:pPr>
            <w:r w:rsidRPr="007423F6">
              <w:t>Australian Standard</w:t>
            </w:r>
          </w:p>
        </w:tc>
        <w:tc>
          <w:tcPr>
            <w:tcW w:w="1677" w:type="dxa"/>
            <w:vAlign w:val="center"/>
          </w:tcPr>
          <w:p w14:paraId="61544C85" w14:textId="77777777" w:rsidR="007423F6" w:rsidRPr="007423F6" w:rsidRDefault="007423F6" w:rsidP="007423F6">
            <w:pPr>
              <w:pStyle w:val="TableCen"/>
            </w:pPr>
            <w:r w:rsidRPr="00373FD7">
              <w:t>AS </w:t>
            </w:r>
            <w:r>
              <w:t>2150</w:t>
            </w:r>
          </w:p>
        </w:tc>
        <w:tc>
          <w:tcPr>
            <w:tcW w:w="4557" w:type="dxa"/>
            <w:vAlign w:val="center"/>
          </w:tcPr>
          <w:p w14:paraId="7A086AC9" w14:textId="77777777" w:rsidR="007423F6" w:rsidRPr="007423F6" w:rsidRDefault="007423F6" w:rsidP="007423F6">
            <w:pPr>
              <w:pStyle w:val="Table"/>
            </w:pPr>
            <w:r>
              <w:t>Hot mix asphalt – A guide to good practice</w:t>
            </w:r>
          </w:p>
        </w:tc>
      </w:tr>
      <w:tr w:rsidR="007423F6" w:rsidRPr="007423F6" w14:paraId="3FED8350" w14:textId="77777777" w:rsidTr="006D57C8">
        <w:trPr>
          <w:trHeight w:val="340"/>
        </w:trPr>
        <w:tc>
          <w:tcPr>
            <w:tcW w:w="2303" w:type="dxa"/>
            <w:vAlign w:val="center"/>
          </w:tcPr>
          <w:p w14:paraId="798AE3AA" w14:textId="77777777" w:rsidR="007423F6" w:rsidRPr="007423F6" w:rsidRDefault="007423F6" w:rsidP="007423F6">
            <w:pPr>
              <w:pStyle w:val="Table"/>
            </w:pPr>
            <w:r w:rsidRPr="007423F6">
              <w:t>Australian/New Zealand Standard</w:t>
            </w:r>
          </w:p>
        </w:tc>
        <w:tc>
          <w:tcPr>
            <w:tcW w:w="1677" w:type="dxa"/>
            <w:vAlign w:val="center"/>
          </w:tcPr>
          <w:p w14:paraId="604CF561" w14:textId="77777777" w:rsidR="007423F6" w:rsidRPr="007423F6" w:rsidRDefault="007423F6" w:rsidP="007423F6">
            <w:pPr>
              <w:pStyle w:val="TableCen"/>
            </w:pPr>
            <w:r>
              <w:t>AS/NZS</w:t>
            </w:r>
            <w:r w:rsidRPr="00373FD7">
              <w:t> </w:t>
            </w:r>
            <w:r>
              <w:t>2341.2</w:t>
            </w:r>
          </w:p>
        </w:tc>
        <w:tc>
          <w:tcPr>
            <w:tcW w:w="4557" w:type="dxa"/>
            <w:vAlign w:val="center"/>
          </w:tcPr>
          <w:p w14:paraId="036E7790" w14:textId="77777777" w:rsidR="007423F6" w:rsidRPr="007423F6" w:rsidRDefault="007423F6" w:rsidP="007423F6">
            <w:pPr>
              <w:pStyle w:val="Table"/>
            </w:pPr>
            <w:r>
              <w:t>Methods of testing bitumen and related roadmaking products – Determination of dynamic viscosity by vacuum capillary viscometer</w:t>
            </w:r>
          </w:p>
        </w:tc>
      </w:tr>
      <w:tr w:rsidR="007423F6" w:rsidRPr="007423F6" w14:paraId="3D813F45" w14:textId="77777777" w:rsidTr="006D57C8">
        <w:trPr>
          <w:trHeight w:val="340"/>
        </w:trPr>
        <w:tc>
          <w:tcPr>
            <w:tcW w:w="2303" w:type="dxa"/>
            <w:vAlign w:val="center"/>
          </w:tcPr>
          <w:p w14:paraId="15D37027" w14:textId="77777777" w:rsidR="007423F6" w:rsidRPr="007423F6" w:rsidRDefault="007423F6" w:rsidP="007423F6">
            <w:pPr>
              <w:pStyle w:val="Table"/>
            </w:pPr>
            <w:r w:rsidRPr="007423F6">
              <w:t>Australian/New Zealand Standard</w:t>
            </w:r>
          </w:p>
        </w:tc>
        <w:tc>
          <w:tcPr>
            <w:tcW w:w="1677" w:type="dxa"/>
            <w:vAlign w:val="center"/>
          </w:tcPr>
          <w:p w14:paraId="6B8244B5" w14:textId="77777777" w:rsidR="007423F6" w:rsidRPr="007423F6" w:rsidRDefault="007423F6" w:rsidP="007423F6">
            <w:pPr>
              <w:pStyle w:val="TableCen"/>
            </w:pPr>
            <w:r>
              <w:t>AS/NZS</w:t>
            </w:r>
            <w:r w:rsidRPr="005E1144">
              <w:rPr>
                <w:i/>
              </w:rPr>
              <w:t> </w:t>
            </w:r>
            <w:r>
              <w:t>2341.10</w:t>
            </w:r>
          </w:p>
        </w:tc>
        <w:tc>
          <w:tcPr>
            <w:tcW w:w="4557" w:type="dxa"/>
            <w:vAlign w:val="center"/>
          </w:tcPr>
          <w:p w14:paraId="7F92CAF6" w14:textId="77777777" w:rsidR="007423F6" w:rsidRPr="007423F6" w:rsidRDefault="007423F6" w:rsidP="007423F6">
            <w:pPr>
              <w:pStyle w:val="Table"/>
            </w:pPr>
            <w:r w:rsidRPr="005E1144">
              <w:t xml:space="preserve">Methods of testing bitumen and related roadmaking products </w:t>
            </w:r>
            <w:r>
              <w:t>–</w:t>
            </w:r>
            <w:r w:rsidRPr="005E1144">
              <w:t xml:space="preserve"> Determination of the effect of heat and air on a moving film of bitumen (roll</w:t>
            </w:r>
            <w:r>
              <w:t>ing thin film oven (RTFO) test)</w:t>
            </w:r>
          </w:p>
        </w:tc>
      </w:tr>
      <w:tr w:rsidR="007423F6" w:rsidRPr="007423F6" w14:paraId="2B75E59F" w14:textId="77777777" w:rsidTr="006D57C8">
        <w:trPr>
          <w:trHeight w:val="340"/>
        </w:trPr>
        <w:tc>
          <w:tcPr>
            <w:tcW w:w="2303" w:type="dxa"/>
            <w:vAlign w:val="center"/>
          </w:tcPr>
          <w:p w14:paraId="2265164E" w14:textId="77777777" w:rsidR="007423F6" w:rsidRPr="007423F6" w:rsidRDefault="007423F6" w:rsidP="007423F6">
            <w:pPr>
              <w:pStyle w:val="Table"/>
            </w:pPr>
            <w:r w:rsidRPr="007423F6">
              <w:t>Australian Standard</w:t>
            </w:r>
          </w:p>
        </w:tc>
        <w:tc>
          <w:tcPr>
            <w:tcW w:w="1677" w:type="dxa"/>
            <w:vAlign w:val="center"/>
          </w:tcPr>
          <w:p w14:paraId="1B1578D1" w14:textId="77777777" w:rsidR="007423F6" w:rsidRPr="007423F6" w:rsidRDefault="007423F6" w:rsidP="007423F6">
            <w:pPr>
              <w:pStyle w:val="TableCen"/>
            </w:pPr>
            <w:r w:rsidRPr="00373FD7">
              <w:t>AS </w:t>
            </w:r>
            <w:r>
              <w:t>2341.14</w:t>
            </w:r>
          </w:p>
        </w:tc>
        <w:tc>
          <w:tcPr>
            <w:tcW w:w="4557" w:type="dxa"/>
            <w:vAlign w:val="center"/>
          </w:tcPr>
          <w:p w14:paraId="21C8B289" w14:textId="77777777" w:rsidR="007423F6" w:rsidRPr="007423F6" w:rsidRDefault="007423F6" w:rsidP="007423F6">
            <w:pPr>
              <w:pStyle w:val="Table"/>
            </w:pPr>
            <w:r>
              <w:t>Methods of testing bitumen and related roadmaking products – Determination of flashpoint of bitumen</w:t>
            </w:r>
          </w:p>
        </w:tc>
      </w:tr>
      <w:tr w:rsidR="007423F6" w:rsidRPr="007423F6" w14:paraId="5B55050D" w14:textId="77777777" w:rsidTr="006D57C8">
        <w:trPr>
          <w:trHeight w:val="340"/>
        </w:trPr>
        <w:tc>
          <w:tcPr>
            <w:tcW w:w="2303" w:type="dxa"/>
            <w:vAlign w:val="center"/>
          </w:tcPr>
          <w:p w14:paraId="64F6D2E9" w14:textId="77777777" w:rsidR="007423F6" w:rsidRPr="007423F6" w:rsidRDefault="007423F6" w:rsidP="007423F6">
            <w:pPr>
              <w:pStyle w:val="Table"/>
            </w:pPr>
            <w:r w:rsidRPr="007423F6">
              <w:t>Australian/New Zealand Standard</w:t>
            </w:r>
          </w:p>
        </w:tc>
        <w:tc>
          <w:tcPr>
            <w:tcW w:w="1677" w:type="dxa"/>
            <w:vAlign w:val="center"/>
          </w:tcPr>
          <w:p w14:paraId="6C061FCA" w14:textId="77777777" w:rsidR="007423F6" w:rsidRPr="007423F6" w:rsidRDefault="007423F6" w:rsidP="007423F6">
            <w:pPr>
              <w:pStyle w:val="TableCen"/>
            </w:pPr>
            <w:r>
              <w:t>AS/NZS</w:t>
            </w:r>
            <w:r w:rsidRPr="005E1144">
              <w:rPr>
                <w:i/>
              </w:rPr>
              <w:t> </w:t>
            </w:r>
            <w:r>
              <w:t>2341.20</w:t>
            </w:r>
          </w:p>
        </w:tc>
        <w:tc>
          <w:tcPr>
            <w:tcW w:w="4557" w:type="dxa"/>
            <w:vAlign w:val="center"/>
          </w:tcPr>
          <w:p w14:paraId="41FE7ED8" w14:textId="77777777" w:rsidR="007423F6" w:rsidRPr="007423F6" w:rsidRDefault="007423F6" w:rsidP="007423F6">
            <w:pPr>
              <w:pStyle w:val="Table"/>
            </w:pPr>
            <w:r>
              <w:t>Methods of testing bitumen and related roadmarking products – Determination of sieve residue for bituminous materials</w:t>
            </w:r>
          </w:p>
        </w:tc>
      </w:tr>
      <w:tr w:rsidR="007423F6" w:rsidRPr="007423F6" w14:paraId="10F56D68" w14:textId="77777777" w:rsidTr="006D57C8">
        <w:trPr>
          <w:trHeight w:val="340"/>
        </w:trPr>
        <w:tc>
          <w:tcPr>
            <w:tcW w:w="2303" w:type="dxa"/>
            <w:vAlign w:val="center"/>
          </w:tcPr>
          <w:p w14:paraId="67AFA2BB" w14:textId="77777777" w:rsidR="007423F6" w:rsidRPr="007423F6" w:rsidRDefault="007423F6" w:rsidP="007423F6">
            <w:pPr>
              <w:pStyle w:val="Table"/>
            </w:pPr>
            <w:r w:rsidRPr="007423F6">
              <w:t>Australian Standard</w:t>
            </w:r>
          </w:p>
        </w:tc>
        <w:tc>
          <w:tcPr>
            <w:tcW w:w="1677" w:type="dxa"/>
            <w:vAlign w:val="center"/>
          </w:tcPr>
          <w:p w14:paraId="5802C60F" w14:textId="77777777" w:rsidR="007423F6" w:rsidRPr="007423F6" w:rsidRDefault="007423F6" w:rsidP="007423F6">
            <w:pPr>
              <w:pStyle w:val="TableCen"/>
            </w:pPr>
            <w:r w:rsidRPr="00373FD7">
              <w:t>AS </w:t>
            </w:r>
            <w:r>
              <w:t>2341.7</w:t>
            </w:r>
          </w:p>
        </w:tc>
        <w:tc>
          <w:tcPr>
            <w:tcW w:w="4557" w:type="dxa"/>
            <w:vAlign w:val="center"/>
          </w:tcPr>
          <w:p w14:paraId="7D751D63" w14:textId="77777777" w:rsidR="007423F6" w:rsidRPr="007423F6" w:rsidRDefault="007423F6" w:rsidP="007423F6">
            <w:pPr>
              <w:pStyle w:val="Table"/>
            </w:pPr>
            <w:r>
              <w:t>Methods of testing bitumen and related roadmaking products – Determination of density using a density bottle</w:t>
            </w:r>
          </w:p>
        </w:tc>
      </w:tr>
      <w:tr w:rsidR="007423F6" w:rsidRPr="007423F6" w14:paraId="237D7631" w14:textId="77777777" w:rsidTr="006D57C8">
        <w:trPr>
          <w:trHeight w:val="340"/>
        </w:trPr>
        <w:tc>
          <w:tcPr>
            <w:tcW w:w="2303" w:type="dxa"/>
            <w:vAlign w:val="center"/>
          </w:tcPr>
          <w:p w14:paraId="3272EDCC" w14:textId="77777777" w:rsidR="007423F6" w:rsidRPr="007423F6" w:rsidRDefault="007423F6" w:rsidP="007423F6">
            <w:pPr>
              <w:pStyle w:val="Table"/>
            </w:pPr>
            <w:r w:rsidRPr="007423F6">
              <w:t>Australian/New Zealand Standard</w:t>
            </w:r>
          </w:p>
        </w:tc>
        <w:tc>
          <w:tcPr>
            <w:tcW w:w="1677" w:type="dxa"/>
            <w:vAlign w:val="center"/>
          </w:tcPr>
          <w:p w14:paraId="7E197BBB" w14:textId="77777777" w:rsidR="007423F6" w:rsidRPr="007423F6" w:rsidRDefault="007423F6" w:rsidP="007423F6">
            <w:pPr>
              <w:pStyle w:val="TableCen"/>
            </w:pPr>
            <w:r>
              <w:t>AS/NZS</w:t>
            </w:r>
            <w:r w:rsidRPr="00373FD7">
              <w:t> </w:t>
            </w:r>
            <w:r>
              <w:t>2341.8</w:t>
            </w:r>
          </w:p>
        </w:tc>
        <w:tc>
          <w:tcPr>
            <w:tcW w:w="4557" w:type="dxa"/>
            <w:vAlign w:val="center"/>
          </w:tcPr>
          <w:p w14:paraId="32AC9FDB" w14:textId="77777777" w:rsidR="007423F6" w:rsidRPr="007423F6" w:rsidRDefault="007423F6" w:rsidP="007423F6">
            <w:pPr>
              <w:pStyle w:val="Table"/>
            </w:pPr>
            <w:r>
              <w:t>Methods of testing bitumen and related roadmaking products – Determination of matter insoluble in toluene</w:t>
            </w:r>
          </w:p>
        </w:tc>
      </w:tr>
      <w:tr w:rsidR="007423F6" w:rsidRPr="007423F6" w14:paraId="523DF859" w14:textId="77777777" w:rsidTr="006D57C8">
        <w:trPr>
          <w:trHeight w:val="340"/>
        </w:trPr>
        <w:tc>
          <w:tcPr>
            <w:tcW w:w="2303" w:type="dxa"/>
            <w:vAlign w:val="center"/>
          </w:tcPr>
          <w:p w14:paraId="1F2C0347" w14:textId="77777777" w:rsidR="007423F6" w:rsidRPr="007423F6" w:rsidRDefault="007423F6" w:rsidP="007423F6">
            <w:pPr>
              <w:pStyle w:val="Table"/>
            </w:pPr>
            <w:r w:rsidRPr="007423F6">
              <w:t>Australian Standard</w:t>
            </w:r>
          </w:p>
        </w:tc>
        <w:tc>
          <w:tcPr>
            <w:tcW w:w="1677" w:type="dxa"/>
            <w:vAlign w:val="center"/>
          </w:tcPr>
          <w:p w14:paraId="76868D96" w14:textId="77777777" w:rsidR="007423F6" w:rsidRPr="007423F6" w:rsidRDefault="007423F6" w:rsidP="007423F6">
            <w:pPr>
              <w:pStyle w:val="TableCen"/>
            </w:pPr>
            <w:r w:rsidRPr="00373FD7">
              <w:t>AS </w:t>
            </w:r>
            <w:r>
              <w:t>2891.13.1</w:t>
            </w:r>
          </w:p>
        </w:tc>
        <w:tc>
          <w:tcPr>
            <w:tcW w:w="4557" w:type="dxa"/>
            <w:vAlign w:val="center"/>
          </w:tcPr>
          <w:p w14:paraId="22F2A8AF" w14:textId="77777777" w:rsidR="007423F6" w:rsidRPr="007423F6" w:rsidRDefault="007423F6" w:rsidP="007423F6">
            <w:pPr>
              <w:pStyle w:val="Table"/>
            </w:pPr>
            <w:r>
              <w:t>Methods of sampling and testing asphalt – Determination of the resilient modulus of asphalt – Indirect tensile method</w:t>
            </w:r>
          </w:p>
        </w:tc>
      </w:tr>
      <w:tr w:rsidR="007423F6" w:rsidRPr="007423F6" w14:paraId="36469D8C" w14:textId="77777777" w:rsidTr="006D57C8">
        <w:trPr>
          <w:trHeight w:val="340"/>
        </w:trPr>
        <w:tc>
          <w:tcPr>
            <w:tcW w:w="2303" w:type="dxa"/>
            <w:vAlign w:val="center"/>
          </w:tcPr>
          <w:p w14:paraId="2E6D3FB5" w14:textId="77777777" w:rsidR="007423F6" w:rsidRPr="007423F6" w:rsidRDefault="007423F6" w:rsidP="007423F6">
            <w:pPr>
              <w:pStyle w:val="Table"/>
            </w:pPr>
            <w:r w:rsidRPr="007423F6">
              <w:lastRenderedPageBreak/>
              <w:t>Australian/New Zealand Standard</w:t>
            </w:r>
          </w:p>
        </w:tc>
        <w:tc>
          <w:tcPr>
            <w:tcW w:w="1677" w:type="dxa"/>
            <w:vAlign w:val="center"/>
          </w:tcPr>
          <w:p w14:paraId="3031C045" w14:textId="77777777" w:rsidR="007423F6" w:rsidRPr="007423F6" w:rsidRDefault="007423F6" w:rsidP="007423F6">
            <w:pPr>
              <w:pStyle w:val="TableCen"/>
            </w:pPr>
            <w:r>
              <w:t>AS/NZS</w:t>
            </w:r>
            <w:r w:rsidRPr="00866ED0">
              <w:rPr>
                <w:i/>
              </w:rPr>
              <w:t> </w:t>
            </w:r>
            <w:r>
              <w:t>2891.3.1</w:t>
            </w:r>
          </w:p>
        </w:tc>
        <w:tc>
          <w:tcPr>
            <w:tcW w:w="4557" w:type="dxa"/>
            <w:vAlign w:val="center"/>
          </w:tcPr>
          <w:p w14:paraId="7FA9F5C6" w14:textId="77777777" w:rsidR="007423F6" w:rsidRPr="007423F6" w:rsidRDefault="007423F6" w:rsidP="007423F6">
            <w:pPr>
              <w:pStyle w:val="Table"/>
            </w:pPr>
            <w:r>
              <w:t>Methods of sampling and testing asphalt - Binder content and aggregate grading – Reflux method</w:t>
            </w:r>
          </w:p>
        </w:tc>
      </w:tr>
      <w:tr w:rsidR="007423F6" w:rsidRPr="007423F6" w14:paraId="658DA8E8" w14:textId="77777777" w:rsidTr="006D57C8">
        <w:trPr>
          <w:trHeight w:val="340"/>
        </w:trPr>
        <w:tc>
          <w:tcPr>
            <w:tcW w:w="2303" w:type="dxa"/>
            <w:vAlign w:val="center"/>
          </w:tcPr>
          <w:p w14:paraId="4E16DDFF" w14:textId="77777777" w:rsidR="007423F6" w:rsidRPr="007423F6" w:rsidRDefault="007423F6" w:rsidP="007423F6">
            <w:pPr>
              <w:pStyle w:val="Table"/>
            </w:pPr>
            <w:r w:rsidRPr="007423F6">
              <w:t>Australian Standard</w:t>
            </w:r>
          </w:p>
        </w:tc>
        <w:tc>
          <w:tcPr>
            <w:tcW w:w="1677" w:type="dxa"/>
            <w:vAlign w:val="center"/>
          </w:tcPr>
          <w:p w14:paraId="5E4F6D2E" w14:textId="77777777" w:rsidR="007423F6" w:rsidRPr="007423F6" w:rsidRDefault="007423F6" w:rsidP="007423F6">
            <w:pPr>
              <w:pStyle w:val="TableCen"/>
            </w:pPr>
            <w:r w:rsidRPr="00373FD7">
              <w:t>AS </w:t>
            </w:r>
            <w:r>
              <w:t>2891.5</w:t>
            </w:r>
          </w:p>
        </w:tc>
        <w:tc>
          <w:tcPr>
            <w:tcW w:w="4557" w:type="dxa"/>
            <w:vAlign w:val="center"/>
          </w:tcPr>
          <w:p w14:paraId="281C6CFB" w14:textId="77777777" w:rsidR="007423F6" w:rsidRPr="007423F6" w:rsidRDefault="007423F6" w:rsidP="007423F6">
            <w:pPr>
              <w:pStyle w:val="Table"/>
            </w:pPr>
            <w:r>
              <w:t>Methods of sampling and testing asphalt – Compaction of asphalt by Marshall method and determination of stability and flow – Marshall procedure</w:t>
            </w:r>
          </w:p>
        </w:tc>
      </w:tr>
      <w:tr w:rsidR="007423F6" w:rsidRPr="007423F6" w14:paraId="00F94DC9" w14:textId="77777777" w:rsidTr="006D57C8">
        <w:trPr>
          <w:trHeight w:val="340"/>
        </w:trPr>
        <w:tc>
          <w:tcPr>
            <w:tcW w:w="2303" w:type="dxa"/>
            <w:vAlign w:val="center"/>
          </w:tcPr>
          <w:p w14:paraId="0695B050" w14:textId="77777777" w:rsidR="007423F6" w:rsidRPr="007423F6" w:rsidRDefault="007423F6" w:rsidP="007423F6">
            <w:pPr>
              <w:pStyle w:val="Table"/>
            </w:pPr>
            <w:r>
              <w:t>Australian/New Zealand</w:t>
            </w:r>
            <w:r w:rsidRPr="00EF0D7A">
              <w:t xml:space="preserve"> </w:t>
            </w:r>
            <w:r>
              <w:t>Standard</w:t>
            </w:r>
          </w:p>
        </w:tc>
        <w:tc>
          <w:tcPr>
            <w:tcW w:w="1677" w:type="dxa"/>
            <w:vAlign w:val="center"/>
          </w:tcPr>
          <w:p w14:paraId="3799B359" w14:textId="77777777" w:rsidR="007423F6" w:rsidRPr="007423F6" w:rsidRDefault="007423F6" w:rsidP="007423F6">
            <w:pPr>
              <w:pStyle w:val="TableCen"/>
            </w:pPr>
            <w:r>
              <w:t>AS/NZS</w:t>
            </w:r>
            <w:r w:rsidRPr="00866ED0">
              <w:rPr>
                <w:i/>
              </w:rPr>
              <w:t> </w:t>
            </w:r>
            <w:r>
              <w:t>2891.7.1</w:t>
            </w:r>
          </w:p>
        </w:tc>
        <w:tc>
          <w:tcPr>
            <w:tcW w:w="4557" w:type="dxa"/>
            <w:vAlign w:val="center"/>
          </w:tcPr>
          <w:p w14:paraId="1E821F59" w14:textId="77777777" w:rsidR="007423F6" w:rsidRPr="007423F6" w:rsidRDefault="007423F6" w:rsidP="007423F6">
            <w:pPr>
              <w:pStyle w:val="Table"/>
            </w:pPr>
            <w:r>
              <w:t>Methods of sampling and testing asphalt – Determination of maximum density of asphalt – Water displacement method</w:t>
            </w:r>
          </w:p>
        </w:tc>
      </w:tr>
      <w:tr w:rsidR="007423F6" w:rsidRPr="007423F6" w14:paraId="7B08E892" w14:textId="77777777" w:rsidTr="006D57C8">
        <w:trPr>
          <w:trHeight w:val="340"/>
        </w:trPr>
        <w:tc>
          <w:tcPr>
            <w:tcW w:w="2303" w:type="dxa"/>
            <w:vAlign w:val="center"/>
          </w:tcPr>
          <w:p w14:paraId="7729D130" w14:textId="77777777" w:rsidR="007423F6" w:rsidRPr="007423F6" w:rsidRDefault="007423F6" w:rsidP="007423F6">
            <w:pPr>
              <w:pStyle w:val="Table"/>
            </w:pPr>
            <w:r>
              <w:t>Australian/New Zealand</w:t>
            </w:r>
            <w:r w:rsidRPr="00EF0D7A">
              <w:t xml:space="preserve"> </w:t>
            </w:r>
            <w:r>
              <w:t>Standard</w:t>
            </w:r>
          </w:p>
        </w:tc>
        <w:tc>
          <w:tcPr>
            <w:tcW w:w="1677" w:type="dxa"/>
            <w:vAlign w:val="center"/>
          </w:tcPr>
          <w:p w14:paraId="1A4B0EFC" w14:textId="77777777" w:rsidR="007423F6" w:rsidRPr="007423F6" w:rsidRDefault="007423F6" w:rsidP="007423F6">
            <w:pPr>
              <w:pStyle w:val="TableCen"/>
            </w:pPr>
            <w:r>
              <w:t>AS/NZS</w:t>
            </w:r>
            <w:r w:rsidRPr="00866ED0">
              <w:rPr>
                <w:i/>
              </w:rPr>
              <w:t> </w:t>
            </w:r>
            <w:r>
              <w:t>2891.8</w:t>
            </w:r>
          </w:p>
        </w:tc>
        <w:tc>
          <w:tcPr>
            <w:tcW w:w="4557" w:type="dxa"/>
            <w:vAlign w:val="center"/>
          </w:tcPr>
          <w:p w14:paraId="4C8A91D1" w14:textId="77777777" w:rsidR="007423F6" w:rsidRPr="007423F6" w:rsidRDefault="007423F6" w:rsidP="007423F6">
            <w:pPr>
              <w:pStyle w:val="Table"/>
            </w:pPr>
            <w:r>
              <w:t>Methods of sampling and testing asphalt – Voids and volumetric properties of compacted asphalt mixes</w:t>
            </w:r>
          </w:p>
        </w:tc>
      </w:tr>
      <w:tr w:rsidR="007423F6" w:rsidRPr="007423F6" w14:paraId="611C0F76" w14:textId="77777777" w:rsidTr="006D57C8">
        <w:trPr>
          <w:trHeight w:val="340"/>
        </w:trPr>
        <w:tc>
          <w:tcPr>
            <w:tcW w:w="2303" w:type="dxa"/>
            <w:vAlign w:val="center"/>
          </w:tcPr>
          <w:p w14:paraId="1FCF2D97" w14:textId="77777777" w:rsidR="007423F6" w:rsidRPr="007423F6" w:rsidRDefault="007423F6" w:rsidP="007423F6">
            <w:pPr>
              <w:pStyle w:val="Table"/>
            </w:pPr>
            <w:r>
              <w:t>Australian/New Zealand</w:t>
            </w:r>
            <w:r w:rsidRPr="00EF0D7A">
              <w:t xml:space="preserve"> </w:t>
            </w:r>
            <w:r>
              <w:t>Standard</w:t>
            </w:r>
          </w:p>
        </w:tc>
        <w:tc>
          <w:tcPr>
            <w:tcW w:w="1677" w:type="dxa"/>
            <w:vAlign w:val="center"/>
          </w:tcPr>
          <w:p w14:paraId="6A14B9C4" w14:textId="77777777" w:rsidR="007423F6" w:rsidRPr="007423F6" w:rsidRDefault="007423F6" w:rsidP="007423F6">
            <w:pPr>
              <w:pStyle w:val="TableCen"/>
            </w:pPr>
            <w:r>
              <w:t>AS/NZS</w:t>
            </w:r>
            <w:r w:rsidRPr="00866ED0">
              <w:rPr>
                <w:i/>
              </w:rPr>
              <w:t> </w:t>
            </w:r>
            <w:r>
              <w:t>2891.9.1</w:t>
            </w:r>
          </w:p>
        </w:tc>
        <w:tc>
          <w:tcPr>
            <w:tcW w:w="4557" w:type="dxa"/>
            <w:vAlign w:val="center"/>
          </w:tcPr>
          <w:p w14:paraId="38279215" w14:textId="77777777" w:rsidR="007423F6" w:rsidRPr="007423F6" w:rsidRDefault="007423F6" w:rsidP="007423F6">
            <w:pPr>
              <w:pStyle w:val="Table"/>
            </w:pPr>
            <w:r>
              <w:t>Methods of sampling and testing asphalt – Determination of bulk density of compacted asphalt – Waxing procedure</w:t>
            </w:r>
          </w:p>
        </w:tc>
      </w:tr>
      <w:tr w:rsidR="007423F6" w:rsidRPr="007423F6" w14:paraId="6D4A9F2F" w14:textId="77777777" w:rsidTr="006D57C8">
        <w:trPr>
          <w:trHeight w:val="340"/>
        </w:trPr>
        <w:tc>
          <w:tcPr>
            <w:tcW w:w="2303" w:type="dxa"/>
            <w:vAlign w:val="center"/>
          </w:tcPr>
          <w:p w14:paraId="0C8A07EC" w14:textId="77777777" w:rsidR="007423F6" w:rsidRPr="007423F6" w:rsidRDefault="007423F6" w:rsidP="007423F6">
            <w:pPr>
              <w:pStyle w:val="Table"/>
            </w:pPr>
            <w:r>
              <w:t>Australian/New Zealand</w:t>
            </w:r>
            <w:r w:rsidRPr="00EF0D7A">
              <w:t xml:space="preserve"> </w:t>
            </w:r>
            <w:r>
              <w:t>Standard</w:t>
            </w:r>
          </w:p>
        </w:tc>
        <w:tc>
          <w:tcPr>
            <w:tcW w:w="1677" w:type="dxa"/>
            <w:vAlign w:val="center"/>
          </w:tcPr>
          <w:p w14:paraId="265EAB59" w14:textId="77777777" w:rsidR="007423F6" w:rsidRPr="007423F6" w:rsidRDefault="007423F6" w:rsidP="007423F6">
            <w:pPr>
              <w:pStyle w:val="TableCen"/>
            </w:pPr>
            <w:r>
              <w:t>AS/NZS</w:t>
            </w:r>
            <w:r w:rsidRPr="00866ED0">
              <w:rPr>
                <w:i/>
              </w:rPr>
              <w:t> </w:t>
            </w:r>
            <w:r>
              <w:t>2891.9.2</w:t>
            </w:r>
          </w:p>
        </w:tc>
        <w:tc>
          <w:tcPr>
            <w:tcW w:w="4557" w:type="dxa"/>
            <w:vAlign w:val="center"/>
          </w:tcPr>
          <w:p w14:paraId="18E03B2B" w14:textId="77777777" w:rsidR="007423F6" w:rsidRPr="007423F6" w:rsidRDefault="007423F6" w:rsidP="007423F6">
            <w:pPr>
              <w:pStyle w:val="Table"/>
            </w:pPr>
            <w:r>
              <w:t>Methods of sampling and testing asphalt – Determination of bulk density of compacted asphalt – Presaturation method</w:t>
            </w:r>
          </w:p>
        </w:tc>
      </w:tr>
      <w:tr w:rsidR="007423F6" w:rsidRPr="007423F6" w14:paraId="74F69CA6" w14:textId="77777777" w:rsidTr="006D57C8">
        <w:trPr>
          <w:trHeight w:val="340"/>
        </w:trPr>
        <w:tc>
          <w:tcPr>
            <w:tcW w:w="2303" w:type="dxa"/>
            <w:vAlign w:val="center"/>
          </w:tcPr>
          <w:p w14:paraId="62C9C19D" w14:textId="77777777" w:rsidR="007423F6" w:rsidRPr="007423F6" w:rsidRDefault="007423F6" w:rsidP="007423F6">
            <w:pPr>
              <w:pStyle w:val="Table"/>
            </w:pPr>
            <w:r>
              <w:t>Australian/New Zealand</w:t>
            </w:r>
            <w:r w:rsidRPr="00EF0D7A">
              <w:t xml:space="preserve"> </w:t>
            </w:r>
            <w:r>
              <w:t>Standard</w:t>
            </w:r>
          </w:p>
        </w:tc>
        <w:tc>
          <w:tcPr>
            <w:tcW w:w="1677" w:type="dxa"/>
            <w:vAlign w:val="center"/>
          </w:tcPr>
          <w:p w14:paraId="71158178" w14:textId="77777777" w:rsidR="007423F6" w:rsidRPr="007423F6" w:rsidRDefault="007423F6" w:rsidP="007423F6">
            <w:pPr>
              <w:pStyle w:val="TableCen"/>
            </w:pPr>
            <w:r>
              <w:t>AS/NZS</w:t>
            </w:r>
            <w:r w:rsidRPr="00866ED0">
              <w:rPr>
                <w:i/>
              </w:rPr>
              <w:t> </w:t>
            </w:r>
            <w:r>
              <w:t>3582.1</w:t>
            </w:r>
          </w:p>
        </w:tc>
        <w:tc>
          <w:tcPr>
            <w:tcW w:w="4557" w:type="dxa"/>
            <w:vAlign w:val="center"/>
          </w:tcPr>
          <w:p w14:paraId="6114C5D6" w14:textId="77777777" w:rsidR="007423F6" w:rsidRPr="007423F6" w:rsidRDefault="007423F6" w:rsidP="007423F6">
            <w:pPr>
              <w:pStyle w:val="Table"/>
            </w:pPr>
            <w:r>
              <w:t>Supplementary cementitious materials – Fly ash</w:t>
            </w:r>
          </w:p>
        </w:tc>
      </w:tr>
      <w:tr w:rsidR="007423F6" w:rsidRPr="007423F6" w14:paraId="1044DD0F" w14:textId="77777777" w:rsidTr="006D57C8">
        <w:trPr>
          <w:trHeight w:val="340"/>
        </w:trPr>
        <w:tc>
          <w:tcPr>
            <w:tcW w:w="2303" w:type="dxa"/>
            <w:vAlign w:val="center"/>
          </w:tcPr>
          <w:p w14:paraId="33E47A73" w14:textId="77777777" w:rsidR="007423F6" w:rsidRPr="007423F6" w:rsidRDefault="007423F6" w:rsidP="007423F6">
            <w:pPr>
              <w:pStyle w:val="Table"/>
            </w:pPr>
            <w:r w:rsidRPr="007423F6">
              <w:t>Australian Standard</w:t>
            </w:r>
          </w:p>
        </w:tc>
        <w:tc>
          <w:tcPr>
            <w:tcW w:w="1677" w:type="dxa"/>
            <w:vAlign w:val="center"/>
          </w:tcPr>
          <w:p w14:paraId="5F3A6837" w14:textId="77777777" w:rsidR="007423F6" w:rsidRPr="007423F6" w:rsidRDefault="007423F6" w:rsidP="007423F6">
            <w:pPr>
              <w:pStyle w:val="TableCen"/>
            </w:pPr>
            <w:r w:rsidRPr="00373FD7">
              <w:t>AS </w:t>
            </w:r>
            <w:r>
              <w:t>3582.2</w:t>
            </w:r>
          </w:p>
        </w:tc>
        <w:tc>
          <w:tcPr>
            <w:tcW w:w="4557" w:type="dxa"/>
            <w:vAlign w:val="center"/>
          </w:tcPr>
          <w:p w14:paraId="5EBCE909" w14:textId="77777777" w:rsidR="007423F6" w:rsidRPr="007423F6" w:rsidRDefault="007423F6" w:rsidP="007423F6">
            <w:pPr>
              <w:pStyle w:val="Table"/>
            </w:pPr>
            <w:r>
              <w:t>Supplementary cementitious materials for use with portland and blended cement – Slag – Ground granulated iron blast-furnace</w:t>
            </w:r>
          </w:p>
        </w:tc>
      </w:tr>
      <w:tr w:rsidR="007423F6" w:rsidRPr="007423F6" w14:paraId="027387EA" w14:textId="77777777" w:rsidTr="006D57C8">
        <w:trPr>
          <w:trHeight w:val="340"/>
        </w:trPr>
        <w:tc>
          <w:tcPr>
            <w:tcW w:w="2303" w:type="dxa"/>
            <w:vAlign w:val="center"/>
          </w:tcPr>
          <w:p w14:paraId="3CE1334F" w14:textId="77777777" w:rsidR="007423F6" w:rsidRPr="007423F6" w:rsidRDefault="007423F6" w:rsidP="007423F6">
            <w:pPr>
              <w:pStyle w:val="Table"/>
            </w:pPr>
            <w:r w:rsidRPr="007423F6">
              <w:t>Australian Standard</w:t>
            </w:r>
          </w:p>
        </w:tc>
        <w:tc>
          <w:tcPr>
            <w:tcW w:w="1677" w:type="dxa"/>
            <w:vAlign w:val="center"/>
          </w:tcPr>
          <w:p w14:paraId="267A33A5" w14:textId="77777777" w:rsidR="007423F6" w:rsidRPr="007423F6" w:rsidRDefault="007423F6" w:rsidP="007423F6">
            <w:pPr>
              <w:pStyle w:val="TableCen"/>
            </w:pPr>
            <w:r w:rsidRPr="00373FD7">
              <w:t>AS </w:t>
            </w:r>
            <w:r>
              <w:t>3972</w:t>
            </w:r>
          </w:p>
        </w:tc>
        <w:tc>
          <w:tcPr>
            <w:tcW w:w="4557" w:type="dxa"/>
            <w:vAlign w:val="center"/>
          </w:tcPr>
          <w:p w14:paraId="391C0188" w14:textId="77777777" w:rsidR="007423F6" w:rsidRPr="007423F6" w:rsidRDefault="007423F6" w:rsidP="007423F6">
            <w:pPr>
              <w:pStyle w:val="Table"/>
            </w:pPr>
            <w:r>
              <w:t>General purpose and blended cements</w:t>
            </w:r>
          </w:p>
        </w:tc>
      </w:tr>
      <w:tr w:rsidR="007423F6" w:rsidRPr="007423F6" w14:paraId="10D004FE" w14:textId="77777777" w:rsidTr="006D57C8">
        <w:trPr>
          <w:trHeight w:val="340"/>
        </w:trPr>
        <w:tc>
          <w:tcPr>
            <w:tcW w:w="2303" w:type="dxa"/>
            <w:vAlign w:val="center"/>
          </w:tcPr>
          <w:p w14:paraId="2531D6C1" w14:textId="77777777" w:rsidR="007423F6" w:rsidRPr="007423F6" w:rsidRDefault="007423F6" w:rsidP="007423F6">
            <w:pPr>
              <w:pStyle w:val="Table"/>
            </w:pPr>
            <w:r w:rsidRPr="00EF0D7A">
              <w:t>Australian/New Zealand Standard, International Standards Organization</w:t>
            </w:r>
          </w:p>
        </w:tc>
        <w:tc>
          <w:tcPr>
            <w:tcW w:w="1677" w:type="dxa"/>
            <w:vAlign w:val="center"/>
          </w:tcPr>
          <w:p w14:paraId="04086D2E" w14:textId="77777777" w:rsidR="007423F6" w:rsidRPr="007423F6" w:rsidRDefault="007423F6" w:rsidP="007423F6">
            <w:pPr>
              <w:pStyle w:val="TableCen"/>
            </w:pPr>
            <w:r w:rsidRPr="00EF0D7A">
              <w:t>AS/NZS</w:t>
            </w:r>
            <w:r w:rsidRPr="00373FD7">
              <w:t> </w:t>
            </w:r>
            <w:r w:rsidRPr="00EF0D7A">
              <w:t>ISO</w:t>
            </w:r>
            <w:r w:rsidRPr="00373FD7">
              <w:t> </w:t>
            </w:r>
            <w:r w:rsidRPr="00EF0D7A">
              <w:t>9001</w:t>
            </w:r>
          </w:p>
        </w:tc>
        <w:tc>
          <w:tcPr>
            <w:tcW w:w="4557" w:type="dxa"/>
            <w:vAlign w:val="center"/>
          </w:tcPr>
          <w:p w14:paraId="525137A1" w14:textId="77777777" w:rsidR="007423F6" w:rsidRPr="007423F6" w:rsidRDefault="007423F6" w:rsidP="007423F6">
            <w:pPr>
              <w:pStyle w:val="Table"/>
            </w:pPr>
            <w:r w:rsidRPr="00EF0D7A">
              <w:t>Quality management systems – Requirements</w:t>
            </w:r>
          </w:p>
        </w:tc>
      </w:tr>
    </w:tbl>
    <w:p w14:paraId="175C2E29" w14:textId="77777777" w:rsidR="00355D38" w:rsidRDefault="002C1F8E" w:rsidP="006D57C8">
      <w:pPr>
        <w:pStyle w:val="Heading3"/>
      </w:pPr>
      <w:bookmarkStart w:id="6" w:name="_Toc76046356"/>
      <w:r w:rsidRPr="002C1F8E">
        <w:t>References</w:t>
      </w:r>
      <w:bookmarkEnd w:id="6"/>
    </w:p>
    <w:tbl>
      <w:tblPr>
        <w:tblW w:w="8789" w:type="dxa"/>
        <w:tblInd w:w="709" w:type="dxa"/>
        <w:tblLayout w:type="fixed"/>
        <w:tblLook w:val="0400" w:firstRow="0" w:lastRow="0" w:firstColumn="0" w:lastColumn="0" w:noHBand="0" w:noVBand="1"/>
      </w:tblPr>
      <w:tblGrid>
        <w:gridCol w:w="2410"/>
        <w:gridCol w:w="1417"/>
        <w:gridCol w:w="1276"/>
        <w:gridCol w:w="3686"/>
      </w:tblGrid>
      <w:tr w:rsidR="003C4F63" w:rsidRPr="007423F6" w14:paraId="280B1DBB" w14:textId="77777777" w:rsidTr="006D57C8">
        <w:trPr>
          <w:trHeight w:val="340"/>
        </w:trPr>
        <w:tc>
          <w:tcPr>
            <w:tcW w:w="2410" w:type="dxa"/>
            <w:vAlign w:val="center"/>
          </w:tcPr>
          <w:p w14:paraId="4663A2FA" w14:textId="77777777" w:rsidR="003C4F63" w:rsidRPr="007423F6" w:rsidRDefault="003C4F63" w:rsidP="003C4F63">
            <w:pPr>
              <w:pStyle w:val="Table"/>
            </w:pPr>
            <w:r>
              <w:t>Austroads</w:t>
            </w:r>
          </w:p>
        </w:tc>
        <w:tc>
          <w:tcPr>
            <w:tcW w:w="1417" w:type="dxa"/>
            <w:vAlign w:val="center"/>
          </w:tcPr>
          <w:p w14:paraId="7770209E" w14:textId="77777777" w:rsidR="003C4F63" w:rsidRPr="007423F6" w:rsidRDefault="003C4F63" w:rsidP="003C4F63">
            <w:pPr>
              <w:pStyle w:val="TableCen"/>
            </w:pPr>
            <w:r>
              <w:t>Pavement Test Method</w:t>
            </w:r>
          </w:p>
        </w:tc>
        <w:tc>
          <w:tcPr>
            <w:tcW w:w="1276" w:type="dxa"/>
            <w:vAlign w:val="center"/>
          </w:tcPr>
          <w:p w14:paraId="23A03866" w14:textId="77777777" w:rsidR="003C4F63" w:rsidRDefault="003C4F63" w:rsidP="003C4F63">
            <w:pPr>
              <w:pStyle w:val="TableCen"/>
            </w:pPr>
            <w:r>
              <w:t>AGPT/T103</w:t>
            </w:r>
          </w:p>
        </w:tc>
        <w:tc>
          <w:tcPr>
            <w:tcW w:w="3686" w:type="dxa"/>
            <w:vAlign w:val="center"/>
          </w:tcPr>
          <w:p w14:paraId="54A06337" w14:textId="77777777" w:rsidR="003C4F63" w:rsidRDefault="003C4F63" w:rsidP="003C4F63">
            <w:pPr>
              <w:pStyle w:val="Table"/>
            </w:pPr>
            <w:r w:rsidRPr="002E6395">
              <w:t>Pre-treatment and loss on heating of bitumen multigrade and polymer binders (rolling thin film oven [RTFO] test)</w:t>
            </w:r>
          </w:p>
        </w:tc>
      </w:tr>
      <w:tr w:rsidR="003C4F63" w:rsidRPr="007423F6" w14:paraId="3AB4E7CD" w14:textId="77777777" w:rsidTr="006D57C8">
        <w:trPr>
          <w:trHeight w:val="340"/>
        </w:trPr>
        <w:tc>
          <w:tcPr>
            <w:tcW w:w="2410" w:type="dxa"/>
            <w:vAlign w:val="center"/>
          </w:tcPr>
          <w:p w14:paraId="4D806639" w14:textId="77777777" w:rsidR="003C4F63" w:rsidRPr="007423F6" w:rsidRDefault="003C4F63" w:rsidP="003C4F63">
            <w:pPr>
              <w:pStyle w:val="Table"/>
            </w:pPr>
            <w:r>
              <w:t>Austroads</w:t>
            </w:r>
          </w:p>
        </w:tc>
        <w:tc>
          <w:tcPr>
            <w:tcW w:w="1417" w:type="dxa"/>
            <w:vAlign w:val="center"/>
          </w:tcPr>
          <w:p w14:paraId="51DE89FF" w14:textId="77777777" w:rsidR="003C4F63" w:rsidRPr="007423F6" w:rsidRDefault="003C4F63" w:rsidP="003C4F63">
            <w:pPr>
              <w:pStyle w:val="TableCen"/>
            </w:pPr>
            <w:r>
              <w:t>Pavement Test Method</w:t>
            </w:r>
          </w:p>
        </w:tc>
        <w:tc>
          <w:tcPr>
            <w:tcW w:w="1276" w:type="dxa"/>
            <w:vAlign w:val="center"/>
          </w:tcPr>
          <w:p w14:paraId="6160EE0D" w14:textId="77777777" w:rsidR="003C4F63" w:rsidRDefault="003C4F63" w:rsidP="003C4F63">
            <w:pPr>
              <w:pStyle w:val="TableCen"/>
            </w:pPr>
            <w:r>
              <w:t>AGPT/T231:</w:t>
            </w:r>
          </w:p>
        </w:tc>
        <w:tc>
          <w:tcPr>
            <w:tcW w:w="3686" w:type="dxa"/>
            <w:vAlign w:val="center"/>
          </w:tcPr>
          <w:p w14:paraId="5E995092" w14:textId="77777777" w:rsidR="003C4F63" w:rsidRDefault="003C4F63" w:rsidP="003C4F63">
            <w:pPr>
              <w:pStyle w:val="Table"/>
            </w:pPr>
            <w:r w:rsidRPr="002E6395">
              <w:t>Deformation resistance of asphalt mixtures by the wheel tracking test</w:t>
            </w:r>
          </w:p>
        </w:tc>
      </w:tr>
      <w:tr w:rsidR="003C4F63" w:rsidRPr="007423F6" w14:paraId="2BDDA502" w14:textId="77777777" w:rsidTr="006D57C8">
        <w:trPr>
          <w:trHeight w:val="340"/>
        </w:trPr>
        <w:tc>
          <w:tcPr>
            <w:tcW w:w="2410" w:type="dxa"/>
            <w:vAlign w:val="center"/>
          </w:tcPr>
          <w:p w14:paraId="492D797D" w14:textId="77777777" w:rsidR="003C4F63" w:rsidRPr="007423F6" w:rsidRDefault="003C4F63" w:rsidP="003C4F63">
            <w:pPr>
              <w:pStyle w:val="Table"/>
            </w:pPr>
            <w:r>
              <w:t>Austroads</w:t>
            </w:r>
          </w:p>
        </w:tc>
        <w:tc>
          <w:tcPr>
            <w:tcW w:w="1417" w:type="dxa"/>
            <w:vAlign w:val="center"/>
          </w:tcPr>
          <w:p w14:paraId="709A9E54" w14:textId="77777777" w:rsidR="003C4F63" w:rsidRPr="007423F6" w:rsidRDefault="003C4F63" w:rsidP="003C4F63">
            <w:pPr>
              <w:pStyle w:val="TableCen"/>
            </w:pPr>
            <w:r>
              <w:t>Pavement Test Method</w:t>
            </w:r>
          </w:p>
        </w:tc>
        <w:tc>
          <w:tcPr>
            <w:tcW w:w="1276" w:type="dxa"/>
            <w:vAlign w:val="center"/>
          </w:tcPr>
          <w:p w14:paraId="76B8E842" w14:textId="77777777" w:rsidR="003C4F63" w:rsidRDefault="003C4F63" w:rsidP="003C4F63">
            <w:pPr>
              <w:pStyle w:val="TableCen"/>
            </w:pPr>
            <w:r>
              <w:t>AGPT/T234</w:t>
            </w:r>
          </w:p>
        </w:tc>
        <w:tc>
          <w:tcPr>
            <w:tcW w:w="3686" w:type="dxa"/>
            <w:vAlign w:val="center"/>
          </w:tcPr>
          <w:p w14:paraId="2EB333F9" w14:textId="77777777" w:rsidR="003C4F63" w:rsidRPr="002E6395" w:rsidRDefault="003C4F63" w:rsidP="003C4F63">
            <w:pPr>
              <w:pStyle w:val="Table"/>
            </w:pPr>
            <w:r>
              <w:t>Asphalt binder content (ignition oven method)</w:t>
            </w:r>
          </w:p>
        </w:tc>
      </w:tr>
      <w:tr w:rsidR="003C4F63" w:rsidRPr="007423F6" w14:paraId="2238759A" w14:textId="77777777" w:rsidTr="006D57C8">
        <w:trPr>
          <w:trHeight w:val="340"/>
        </w:trPr>
        <w:tc>
          <w:tcPr>
            <w:tcW w:w="2410" w:type="dxa"/>
            <w:vAlign w:val="center"/>
          </w:tcPr>
          <w:p w14:paraId="7110177D" w14:textId="77777777" w:rsidR="003C4F63" w:rsidRPr="007423F6" w:rsidRDefault="003C4F63" w:rsidP="003C4F63">
            <w:pPr>
              <w:pStyle w:val="Table"/>
            </w:pPr>
            <w:r>
              <w:t>Austroads</w:t>
            </w:r>
          </w:p>
        </w:tc>
        <w:tc>
          <w:tcPr>
            <w:tcW w:w="1417" w:type="dxa"/>
            <w:vAlign w:val="center"/>
          </w:tcPr>
          <w:p w14:paraId="1162077B" w14:textId="77777777" w:rsidR="003C4F63" w:rsidRPr="007423F6" w:rsidRDefault="003C4F63" w:rsidP="003C4F63">
            <w:pPr>
              <w:pStyle w:val="TableCen"/>
            </w:pPr>
            <w:r>
              <w:t>Pavement Test Method</w:t>
            </w:r>
          </w:p>
        </w:tc>
        <w:tc>
          <w:tcPr>
            <w:tcW w:w="1276" w:type="dxa"/>
            <w:vAlign w:val="center"/>
          </w:tcPr>
          <w:p w14:paraId="78C5B0E7" w14:textId="77777777" w:rsidR="003C4F63" w:rsidRDefault="003C4F63" w:rsidP="003C4F63">
            <w:pPr>
              <w:pStyle w:val="TableCen"/>
            </w:pPr>
            <w:r w:rsidRPr="002E6395">
              <w:t>AGPT/T274</w:t>
            </w:r>
          </w:p>
        </w:tc>
        <w:tc>
          <w:tcPr>
            <w:tcW w:w="3686" w:type="dxa"/>
            <w:vAlign w:val="center"/>
          </w:tcPr>
          <w:p w14:paraId="53208919" w14:textId="77777777" w:rsidR="003C4F63" w:rsidRDefault="003C4F63" w:rsidP="003C4F63">
            <w:pPr>
              <w:pStyle w:val="Table"/>
            </w:pPr>
            <w:r w:rsidRPr="00DC1D49">
              <w:t>Characterisation of Flexural Stiffness and Fatigue Performance of Bituminous Mixes</w:t>
            </w:r>
          </w:p>
        </w:tc>
      </w:tr>
      <w:tr w:rsidR="003C4F63" w:rsidRPr="007423F6" w14:paraId="7F6D38D0" w14:textId="77777777" w:rsidTr="006D57C8">
        <w:trPr>
          <w:trHeight w:val="340"/>
        </w:trPr>
        <w:tc>
          <w:tcPr>
            <w:tcW w:w="2410" w:type="dxa"/>
            <w:vAlign w:val="center"/>
          </w:tcPr>
          <w:p w14:paraId="6B044F89" w14:textId="77777777" w:rsidR="003C4F63" w:rsidRPr="007423F6" w:rsidRDefault="003C4F63" w:rsidP="003C4F63">
            <w:pPr>
              <w:pStyle w:val="Table"/>
            </w:pPr>
            <w:r w:rsidRPr="007423F6">
              <w:t>Queensland Department of Transport and Main Roads</w:t>
            </w:r>
          </w:p>
        </w:tc>
        <w:tc>
          <w:tcPr>
            <w:tcW w:w="1417" w:type="dxa"/>
            <w:vAlign w:val="center"/>
          </w:tcPr>
          <w:p w14:paraId="1F6C3C9F" w14:textId="77777777" w:rsidR="003C4F63" w:rsidRPr="007423F6" w:rsidRDefault="003C4F63" w:rsidP="003C4F63">
            <w:pPr>
              <w:pStyle w:val="TableCen"/>
            </w:pPr>
            <w:r w:rsidRPr="007423F6">
              <w:t>Test Method</w:t>
            </w:r>
          </w:p>
        </w:tc>
        <w:tc>
          <w:tcPr>
            <w:tcW w:w="1276" w:type="dxa"/>
            <w:vAlign w:val="center"/>
          </w:tcPr>
          <w:p w14:paraId="165E715D" w14:textId="77777777" w:rsidR="003C4F63" w:rsidRPr="007423F6" w:rsidRDefault="003C4F63" w:rsidP="003C4F63">
            <w:pPr>
              <w:pStyle w:val="TableCen"/>
            </w:pPr>
            <w:r>
              <w:t>Q129</w:t>
            </w:r>
          </w:p>
        </w:tc>
        <w:tc>
          <w:tcPr>
            <w:tcW w:w="3686" w:type="dxa"/>
            <w:vAlign w:val="center"/>
          </w:tcPr>
          <w:p w14:paraId="402FA8D8" w14:textId="77777777" w:rsidR="003C4F63" w:rsidRPr="007423F6" w:rsidRDefault="003C4F63" w:rsidP="003C4F63">
            <w:pPr>
              <w:pStyle w:val="Table"/>
            </w:pPr>
            <w:r>
              <w:t>Clay index of soils, crushed rock and filler</w:t>
            </w:r>
          </w:p>
        </w:tc>
      </w:tr>
      <w:tr w:rsidR="003C4F63" w:rsidRPr="007423F6" w14:paraId="1418BFA6" w14:textId="77777777" w:rsidTr="006D57C8">
        <w:trPr>
          <w:trHeight w:val="340"/>
        </w:trPr>
        <w:tc>
          <w:tcPr>
            <w:tcW w:w="2410" w:type="dxa"/>
            <w:vAlign w:val="center"/>
          </w:tcPr>
          <w:p w14:paraId="1C29754E" w14:textId="77777777" w:rsidR="003C4F63" w:rsidRPr="007423F6" w:rsidRDefault="003C4F63" w:rsidP="003C4F63">
            <w:pPr>
              <w:pStyle w:val="Table"/>
            </w:pPr>
            <w:r w:rsidRPr="007423F6">
              <w:t>Queensland Department of Transport and Main Roads</w:t>
            </w:r>
          </w:p>
        </w:tc>
        <w:tc>
          <w:tcPr>
            <w:tcW w:w="1417" w:type="dxa"/>
            <w:vAlign w:val="center"/>
          </w:tcPr>
          <w:p w14:paraId="7D8600FB" w14:textId="77777777" w:rsidR="003C4F63" w:rsidRPr="007423F6" w:rsidRDefault="003C4F63" w:rsidP="003C4F63">
            <w:pPr>
              <w:pStyle w:val="TableCen"/>
            </w:pPr>
            <w:r w:rsidRPr="007423F6">
              <w:t>Test Method</w:t>
            </w:r>
          </w:p>
        </w:tc>
        <w:tc>
          <w:tcPr>
            <w:tcW w:w="1276" w:type="dxa"/>
            <w:vAlign w:val="center"/>
          </w:tcPr>
          <w:p w14:paraId="18E0A09C" w14:textId="77777777" w:rsidR="003C4F63" w:rsidRDefault="003C4F63" w:rsidP="003C4F63">
            <w:pPr>
              <w:pStyle w:val="TableCen"/>
            </w:pPr>
            <w:r>
              <w:t>Q201</w:t>
            </w:r>
          </w:p>
        </w:tc>
        <w:tc>
          <w:tcPr>
            <w:tcW w:w="3686" w:type="dxa"/>
            <w:vAlign w:val="center"/>
          </w:tcPr>
          <w:p w14:paraId="7C7E4B39" w14:textId="77777777" w:rsidR="003C4F63" w:rsidRDefault="003C4F63" w:rsidP="003C4F63">
            <w:pPr>
              <w:pStyle w:val="Table"/>
            </w:pPr>
            <w:r>
              <w:t>Flakiness index of aggregate</w:t>
            </w:r>
          </w:p>
        </w:tc>
      </w:tr>
      <w:tr w:rsidR="003C4F63" w:rsidRPr="007423F6" w14:paraId="607BDE44" w14:textId="77777777" w:rsidTr="006D57C8">
        <w:trPr>
          <w:trHeight w:val="340"/>
        </w:trPr>
        <w:tc>
          <w:tcPr>
            <w:tcW w:w="2410" w:type="dxa"/>
            <w:vAlign w:val="center"/>
          </w:tcPr>
          <w:p w14:paraId="147CF330" w14:textId="77777777" w:rsidR="003C4F63" w:rsidRPr="007423F6" w:rsidRDefault="003C4F63" w:rsidP="003C4F63">
            <w:pPr>
              <w:pStyle w:val="Table"/>
            </w:pPr>
            <w:r w:rsidRPr="007423F6">
              <w:t>Queensland Department of Transport and Main Roads</w:t>
            </w:r>
          </w:p>
        </w:tc>
        <w:tc>
          <w:tcPr>
            <w:tcW w:w="1417" w:type="dxa"/>
            <w:vAlign w:val="center"/>
          </w:tcPr>
          <w:p w14:paraId="188A2E8A" w14:textId="77777777" w:rsidR="003C4F63" w:rsidRPr="007423F6" w:rsidRDefault="003C4F63" w:rsidP="003C4F63">
            <w:pPr>
              <w:pStyle w:val="TableCen"/>
            </w:pPr>
            <w:r w:rsidRPr="007423F6">
              <w:t>Test Method</w:t>
            </w:r>
          </w:p>
        </w:tc>
        <w:tc>
          <w:tcPr>
            <w:tcW w:w="1276" w:type="dxa"/>
            <w:vAlign w:val="center"/>
          </w:tcPr>
          <w:p w14:paraId="08281D28" w14:textId="77777777" w:rsidR="003C4F63" w:rsidRDefault="003C4F63" w:rsidP="003C4F63">
            <w:pPr>
              <w:pStyle w:val="TableCen"/>
            </w:pPr>
            <w:r>
              <w:t>Q203</w:t>
            </w:r>
          </w:p>
        </w:tc>
        <w:tc>
          <w:tcPr>
            <w:tcW w:w="3686" w:type="dxa"/>
            <w:vAlign w:val="center"/>
          </w:tcPr>
          <w:p w14:paraId="05F343C7" w14:textId="77777777" w:rsidR="003C4F63" w:rsidRDefault="003C4F63" w:rsidP="003C4F63">
            <w:pPr>
              <w:pStyle w:val="Table"/>
            </w:pPr>
            <w:r>
              <w:t>Polished aggregate friction value</w:t>
            </w:r>
          </w:p>
        </w:tc>
      </w:tr>
      <w:tr w:rsidR="003C4F63" w:rsidRPr="007423F6" w14:paraId="610B3D96" w14:textId="77777777" w:rsidTr="006D57C8">
        <w:trPr>
          <w:trHeight w:val="340"/>
        </w:trPr>
        <w:tc>
          <w:tcPr>
            <w:tcW w:w="2410" w:type="dxa"/>
            <w:vAlign w:val="center"/>
          </w:tcPr>
          <w:p w14:paraId="0B0AC0A8" w14:textId="77777777" w:rsidR="003C4F63" w:rsidRPr="007423F6" w:rsidRDefault="003C4F63" w:rsidP="003C4F63">
            <w:pPr>
              <w:pStyle w:val="Table"/>
            </w:pPr>
            <w:r w:rsidRPr="007423F6">
              <w:t>Queensland Department of Transport and Main Roads</w:t>
            </w:r>
          </w:p>
        </w:tc>
        <w:tc>
          <w:tcPr>
            <w:tcW w:w="1417" w:type="dxa"/>
            <w:vAlign w:val="center"/>
          </w:tcPr>
          <w:p w14:paraId="368D9A5D" w14:textId="77777777" w:rsidR="003C4F63" w:rsidRPr="007423F6" w:rsidRDefault="003C4F63" w:rsidP="003C4F63">
            <w:pPr>
              <w:pStyle w:val="TableCen"/>
            </w:pPr>
            <w:r w:rsidRPr="007423F6">
              <w:t>Test Method</w:t>
            </w:r>
          </w:p>
        </w:tc>
        <w:tc>
          <w:tcPr>
            <w:tcW w:w="1276" w:type="dxa"/>
            <w:vAlign w:val="center"/>
          </w:tcPr>
          <w:p w14:paraId="7167B780" w14:textId="77777777" w:rsidR="003C4F63" w:rsidRDefault="003C4F63" w:rsidP="003C4F63">
            <w:pPr>
              <w:pStyle w:val="TableCen"/>
            </w:pPr>
            <w:r>
              <w:t>Q214B</w:t>
            </w:r>
          </w:p>
        </w:tc>
        <w:tc>
          <w:tcPr>
            <w:tcW w:w="3686" w:type="dxa"/>
            <w:vAlign w:val="center"/>
          </w:tcPr>
          <w:p w14:paraId="32F7A1E9" w14:textId="77777777" w:rsidR="003C4F63" w:rsidRDefault="003C4F63" w:rsidP="003C4F63">
            <w:pPr>
              <w:pStyle w:val="Table"/>
            </w:pPr>
            <w:r>
              <w:t>Particle density and water absorption of aggregate – coarse fraction</w:t>
            </w:r>
          </w:p>
        </w:tc>
      </w:tr>
      <w:tr w:rsidR="003C4F63" w:rsidRPr="007423F6" w14:paraId="42610DAB" w14:textId="77777777" w:rsidTr="006D57C8">
        <w:trPr>
          <w:trHeight w:val="340"/>
        </w:trPr>
        <w:tc>
          <w:tcPr>
            <w:tcW w:w="2410" w:type="dxa"/>
            <w:vAlign w:val="center"/>
          </w:tcPr>
          <w:p w14:paraId="07468A73" w14:textId="77777777" w:rsidR="003C4F63" w:rsidRPr="007423F6" w:rsidRDefault="003C4F63" w:rsidP="003C4F63">
            <w:pPr>
              <w:pStyle w:val="Table"/>
            </w:pPr>
            <w:r w:rsidRPr="007423F6">
              <w:t>Queensland Department of Transport and Main Roads</w:t>
            </w:r>
          </w:p>
        </w:tc>
        <w:tc>
          <w:tcPr>
            <w:tcW w:w="1417" w:type="dxa"/>
            <w:vAlign w:val="center"/>
          </w:tcPr>
          <w:p w14:paraId="383A00EB" w14:textId="77777777" w:rsidR="003C4F63" w:rsidRPr="007423F6" w:rsidRDefault="003C4F63" w:rsidP="003C4F63">
            <w:pPr>
              <w:pStyle w:val="TableCen"/>
            </w:pPr>
            <w:r w:rsidRPr="007423F6">
              <w:t>Test Method</w:t>
            </w:r>
          </w:p>
        </w:tc>
        <w:tc>
          <w:tcPr>
            <w:tcW w:w="1276" w:type="dxa"/>
            <w:vAlign w:val="center"/>
          </w:tcPr>
          <w:p w14:paraId="2442187B" w14:textId="77777777" w:rsidR="003C4F63" w:rsidRDefault="003C4F63" w:rsidP="003C4F63">
            <w:pPr>
              <w:pStyle w:val="TableCen"/>
            </w:pPr>
            <w:r>
              <w:t>Q305</w:t>
            </w:r>
          </w:p>
        </w:tc>
        <w:tc>
          <w:tcPr>
            <w:tcW w:w="3686" w:type="dxa"/>
            <w:vAlign w:val="center"/>
          </w:tcPr>
          <w:p w14:paraId="16B1E9BF" w14:textId="77777777" w:rsidR="003C4F63" w:rsidRDefault="003C4F63" w:rsidP="003C4F63">
            <w:pPr>
              <w:pStyle w:val="Table"/>
            </w:pPr>
            <w:r>
              <w:t>Stability, flow and stiffness of asphalt – Marshall</w:t>
            </w:r>
          </w:p>
        </w:tc>
      </w:tr>
      <w:tr w:rsidR="003C4F63" w:rsidRPr="007423F6" w14:paraId="689BC660" w14:textId="77777777" w:rsidTr="006D57C8">
        <w:trPr>
          <w:trHeight w:val="340"/>
        </w:trPr>
        <w:tc>
          <w:tcPr>
            <w:tcW w:w="2410" w:type="dxa"/>
            <w:vAlign w:val="center"/>
          </w:tcPr>
          <w:p w14:paraId="20562553" w14:textId="77777777" w:rsidR="003C4F63" w:rsidRPr="007423F6" w:rsidRDefault="003C4F63" w:rsidP="003C4F63">
            <w:pPr>
              <w:pStyle w:val="Table"/>
            </w:pPr>
            <w:r w:rsidRPr="007423F6">
              <w:t>Queensland Department of Transport and Main Roads</w:t>
            </w:r>
          </w:p>
        </w:tc>
        <w:tc>
          <w:tcPr>
            <w:tcW w:w="1417" w:type="dxa"/>
            <w:vAlign w:val="center"/>
          </w:tcPr>
          <w:p w14:paraId="23E2B094" w14:textId="77777777" w:rsidR="003C4F63" w:rsidRPr="007423F6" w:rsidRDefault="003C4F63" w:rsidP="003C4F63">
            <w:pPr>
              <w:pStyle w:val="TableCen"/>
            </w:pPr>
            <w:r w:rsidRPr="007423F6">
              <w:t>Test Method</w:t>
            </w:r>
          </w:p>
        </w:tc>
        <w:tc>
          <w:tcPr>
            <w:tcW w:w="1276" w:type="dxa"/>
            <w:vAlign w:val="center"/>
          </w:tcPr>
          <w:p w14:paraId="4A9CE5EC" w14:textId="77777777" w:rsidR="003C4F63" w:rsidRDefault="003C4F63" w:rsidP="003C4F63">
            <w:pPr>
              <w:pStyle w:val="TableCen"/>
            </w:pPr>
            <w:r w:rsidRPr="00E76AA8">
              <w:t>Q308A</w:t>
            </w:r>
          </w:p>
        </w:tc>
        <w:tc>
          <w:tcPr>
            <w:tcW w:w="3686" w:type="dxa"/>
            <w:vAlign w:val="center"/>
          </w:tcPr>
          <w:p w14:paraId="002D6581" w14:textId="77777777" w:rsidR="003C4F63" w:rsidRDefault="003C4F63" w:rsidP="003C4F63">
            <w:pPr>
              <w:pStyle w:val="Table"/>
            </w:pPr>
            <w:r w:rsidRPr="00E76AA8">
              <w:t xml:space="preserve">Binder content and </w:t>
            </w:r>
            <w:r>
              <w:t>aggregate grading of asphalt – R</w:t>
            </w:r>
            <w:r w:rsidRPr="00E76AA8">
              <w:t>eflux method</w:t>
            </w:r>
          </w:p>
        </w:tc>
      </w:tr>
      <w:tr w:rsidR="003C4F63" w:rsidRPr="007423F6" w14:paraId="50820F33" w14:textId="77777777" w:rsidTr="006D57C8">
        <w:trPr>
          <w:trHeight w:val="340"/>
        </w:trPr>
        <w:tc>
          <w:tcPr>
            <w:tcW w:w="2410" w:type="dxa"/>
            <w:vAlign w:val="center"/>
          </w:tcPr>
          <w:p w14:paraId="3B1639C7" w14:textId="77777777" w:rsidR="003C4F63" w:rsidRPr="007423F6" w:rsidRDefault="003C4F63" w:rsidP="003C4F63">
            <w:pPr>
              <w:pStyle w:val="Table"/>
            </w:pPr>
            <w:r w:rsidRPr="007423F6">
              <w:t>Queensland Department of Transport and Main Roads</w:t>
            </w:r>
          </w:p>
        </w:tc>
        <w:tc>
          <w:tcPr>
            <w:tcW w:w="1417" w:type="dxa"/>
            <w:vAlign w:val="center"/>
          </w:tcPr>
          <w:p w14:paraId="5EB3548B" w14:textId="77777777" w:rsidR="003C4F63" w:rsidRPr="007423F6" w:rsidRDefault="003C4F63" w:rsidP="003C4F63">
            <w:pPr>
              <w:pStyle w:val="TableCen"/>
            </w:pPr>
            <w:r w:rsidRPr="007423F6">
              <w:t>Test Method</w:t>
            </w:r>
          </w:p>
        </w:tc>
        <w:tc>
          <w:tcPr>
            <w:tcW w:w="1276" w:type="dxa"/>
            <w:vAlign w:val="center"/>
          </w:tcPr>
          <w:p w14:paraId="20BF3CC1" w14:textId="77777777" w:rsidR="003C4F63" w:rsidRDefault="003C4F63" w:rsidP="003C4F63">
            <w:pPr>
              <w:pStyle w:val="TableCen"/>
            </w:pPr>
            <w:r w:rsidRPr="00E76AA8">
              <w:t>Q308D</w:t>
            </w:r>
          </w:p>
        </w:tc>
        <w:tc>
          <w:tcPr>
            <w:tcW w:w="3686" w:type="dxa"/>
            <w:vAlign w:val="center"/>
          </w:tcPr>
          <w:p w14:paraId="638A6CF0" w14:textId="77777777" w:rsidR="003C4F63" w:rsidRDefault="003C4F63" w:rsidP="003C4F63">
            <w:pPr>
              <w:pStyle w:val="Table"/>
            </w:pPr>
            <w:r w:rsidRPr="00E76AA8">
              <w:t xml:space="preserve">Binder content and </w:t>
            </w:r>
            <w:r>
              <w:t>aggregate grading of asphalt – I</w:t>
            </w:r>
            <w:r w:rsidRPr="00E76AA8">
              <w:t>gnition oven</w:t>
            </w:r>
          </w:p>
        </w:tc>
      </w:tr>
      <w:tr w:rsidR="003C4F63" w:rsidRPr="007423F6" w14:paraId="3CAABCC6" w14:textId="77777777" w:rsidTr="006D57C8">
        <w:trPr>
          <w:trHeight w:val="340"/>
        </w:trPr>
        <w:tc>
          <w:tcPr>
            <w:tcW w:w="2410" w:type="dxa"/>
            <w:vAlign w:val="center"/>
          </w:tcPr>
          <w:p w14:paraId="288DF377" w14:textId="77777777" w:rsidR="003C4F63" w:rsidRPr="007423F6" w:rsidRDefault="003C4F63" w:rsidP="003C4F63">
            <w:pPr>
              <w:pStyle w:val="Table"/>
            </w:pPr>
            <w:r w:rsidRPr="007423F6">
              <w:t>Queensland Department of Transport and Main Roads</w:t>
            </w:r>
          </w:p>
        </w:tc>
        <w:tc>
          <w:tcPr>
            <w:tcW w:w="1417" w:type="dxa"/>
            <w:vAlign w:val="center"/>
          </w:tcPr>
          <w:p w14:paraId="68C1F132" w14:textId="77777777" w:rsidR="003C4F63" w:rsidRPr="007423F6" w:rsidRDefault="003C4F63" w:rsidP="003C4F63">
            <w:pPr>
              <w:pStyle w:val="TableCen"/>
            </w:pPr>
            <w:r w:rsidRPr="007423F6">
              <w:t>Test Method</w:t>
            </w:r>
          </w:p>
        </w:tc>
        <w:tc>
          <w:tcPr>
            <w:tcW w:w="1276" w:type="dxa"/>
            <w:vAlign w:val="center"/>
          </w:tcPr>
          <w:p w14:paraId="734F0A9D" w14:textId="77777777" w:rsidR="003C4F63" w:rsidRDefault="003C4F63" w:rsidP="003C4F63">
            <w:pPr>
              <w:pStyle w:val="TableCen"/>
            </w:pPr>
            <w:r>
              <w:t>Q311</w:t>
            </w:r>
          </w:p>
        </w:tc>
        <w:tc>
          <w:tcPr>
            <w:tcW w:w="3686" w:type="dxa"/>
            <w:vAlign w:val="center"/>
          </w:tcPr>
          <w:p w14:paraId="3A57281D" w14:textId="77777777" w:rsidR="003C4F63" w:rsidRDefault="003C4F63" w:rsidP="003C4F63">
            <w:pPr>
              <w:pStyle w:val="Table"/>
            </w:pPr>
            <w:r>
              <w:t>Voids properties for compacted asphalt</w:t>
            </w:r>
          </w:p>
        </w:tc>
      </w:tr>
      <w:tr w:rsidR="00EA4929" w:rsidRPr="007423F6" w14:paraId="7097C6C6" w14:textId="77777777" w:rsidTr="006D57C8">
        <w:trPr>
          <w:trHeight w:val="340"/>
        </w:trPr>
        <w:tc>
          <w:tcPr>
            <w:tcW w:w="2410" w:type="dxa"/>
            <w:vAlign w:val="center"/>
          </w:tcPr>
          <w:p w14:paraId="7D18C268" w14:textId="77777777" w:rsidR="00EA4929" w:rsidRPr="007423F6" w:rsidRDefault="00EA4929" w:rsidP="003C4F63">
            <w:pPr>
              <w:pStyle w:val="Table"/>
            </w:pPr>
            <w:r w:rsidRPr="00EA4929">
              <w:t>Australian Asphalt Pavement Association</w:t>
            </w:r>
          </w:p>
        </w:tc>
        <w:tc>
          <w:tcPr>
            <w:tcW w:w="1417" w:type="dxa"/>
            <w:vAlign w:val="center"/>
          </w:tcPr>
          <w:p w14:paraId="39E6FEC0" w14:textId="77777777" w:rsidR="00EA4929" w:rsidRPr="007423F6" w:rsidRDefault="00BF0188" w:rsidP="003C4F63">
            <w:pPr>
              <w:pStyle w:val="TableCen"/>
            </w:pPr>
            <w:r>
              <w:t>Guide Document</w:t>
            </w:r>
          </w:p>
        </w:tc>
        <w:tc>
          <w:tcPr>
            <w:tcW w:w="1276" w:type="dxa"/>
            <w:vAlign w:val="center"/>
          </w:tcPr>
          <w:p w14:paraId="6DC7E609" w14:textId="77777777" w:rsidR="00EA4929" w:rsidRDefault="00EA4929" w:rsidP="003C4F63">
            <w:pPr>
              <w:pStyle w:val="TableCen"/>
            </w:pPr>
          </w:p>
        </w:tc>
        <w:tc>
          <w:tcPr>
            <w:tcW w:w="3686" w:type="dxa"/>
            <w:vAlign w:val="center"/>
          </w:tcPr>
          <w:p w14:paraId="28D0E2C1" w14:textId="77777777" w:rsidR="00EA4929" w:rsidRDefault="00EA4929" w:rsidP="00EA4929">
            <w:pPr>
              <w:pStyle w:val="Table"/>
            </w:pPr>
            <w:r>
              <w:t>Reclaimed Asphalt Pavement (RAP) Management Plan</w:t>
            </w:r>
          </w:p>
        </w:tc>
      </w:tr>
    </w:tbl>
    <w:p w14:paraId="09B190C5" w14:textId="2877411E" w:rsidR="00355D38" w:rsidRDefault="00355D38" w:rsidP="00A34A94">
      <w:pPr>
        <w:pStyle w:val="BodyText"/>
      </w:pPr>
      <w:r w:rsidRPr="00AA6785">
        <w:t>Refer to the following other Reference Specifications</w:t>
      </w:r>
      <w:r w:rsidR="00E76AA8" w:rsidRPr="00AA6785">
        <w:t xml:space="preserve"> for Engineering Work</w:t>
      </w:r>
      <w:r w:rsidRPr="00AA6785">
        <w:t>:</w:t>
      </w:r>
    </w:p>
    <w:tbl>
      <w:tblPr>
        <w:tblW w:w="8789" w:type="dxa"/>
        <w:tblInd w:w="709" w:type="dxa"/>
        <w:tblLook w:val="0400" w:firstRow="0" w:lastRow="0" w:firstColumn="0" w:lastColumn="0" w:noHBand="0" w:noVBand="1"/>
      </w:tblPr>
      <w:tblGrid>
        <w:gridCol w:w="973"/>
        <w:gridCol w:w="7816"/>
      </w:tblGrid>
      <w:tr w:rsidR="00C71F8C" w:rsidRPr="00C71F8C" w14:paraId="295F78DA" w14:textId="77777777" w:rsidTr="006D57C8">
        <w:trPr>
          <w:trHeight w:val="340"/>
        </w:trPr>
        <w:tc>
          <w:tcPr>
            <w:tcW w:w="973" w:type="dxa"/>
            <w:vAlign w:val="center"/>
          </w:tcPr>
          <w:p w14:paraId="7C0B8C56" w14:textId="77777777" w:rsidR="00C71F8C" w:rsidRPr="00C71F8C" w:rsidRDefault="00C71F8C" w:rsidP="00C71F8C">
            <w:pPr>
              <w:pStyle w:val="TableCen"/>
            </w:pPr>
            <w:r w:rsidRPr="00C71F8C">
              <w:t>S110</w:t>
            </w:r>
          </w:p>
        </w:tc>
        <w:tc>
          <w:tcPr>
            <w:tcW w:w="7816" w:type="dxa"/>
            <w:vAlign w:val="center"/>
          </w:tcPr>
          <w:p w14:paraId="6213B6FA" w14:textId="77777777" w:rsidR="00C71F8C" w:rsidRPr="00C71F8C" w:rsidRDefault="00C71F8C" w:rsidP="00C71F8C">
            <w:pPr>
              <w:pStyle w:val="Table"/>
            </w:pPr>
            <w:r w:rsidRPr="00C71F8C">
              <w:t>General Requirements</w:t>
            </w:r>
          </w:p>
        </w:tc>
      </w:tr>
      <w:tr w:rsidR="00C71F8C" w:rsidRPr="00C71F8C" w14:paraId="1554087B" w14:textId="77777777" w:rsidTr="006D57C8">
        <w:trPr>
          <w:trHeight w:val="340"/>
        </w:trPr>
        <w:tc>
          <w:tcPr>
            <w:tcW w:w="973" w:type="dxa"/>
            <w:vAlign w:val="center"/>
          </w:tcPr>
          <w:p w14:paraId="4EAC097A" w14:textId="77777777" w:rsidR="00C71F8C" w:rsidRPr="00C71F8C" w:rsidRDefault="00C71F8C" w:rsidP="00C71F8C">
            <w:pPr>
              <w:pStyle w:val="TableCen"/>
            </w:pPr>
            <w:r w:rsidRPr="00C71F8C">
              <w:lastRenderedPageBreak/>
              <w:t>S120</w:t>
            </w:r>
          </w:p>
        </w:tc>
        <w:tc>
          <w:tcPr>
            <w:tcW w:w="7816" w:type="dxa"/>
            <w:vAlign w:val="center"/>
          </w:tcPr>
          <w:p w14:paraId="38F475B2" w14:textId="77777777" w:rsidR="00C71F8C" w:rsidRPr="00C71F8C" w:rsidRDefault="00C71F8C" w:rsidP="00C71F8C">
            <w:pPr>
              <w:pStyle w:val="Table"/>
            </w:pPr>
            <w:r w:rsidRPr="00C71F8C">
              <w:t>Quality: Quality control testing</w:t>
            </w:r>
          </w:p>
        </w:tc>
      </w:tr>
      <w:tr w:rsidR="00C71F8C" w:rsidRPr="00C71F8C" w14:paraId="4CE13BC1" w14:textId="77777777" w:rsidTr="006D57C8">
        <w:trPr>
          <w:trHeight w:val="340"/>
        </w:trPr>
        <w:tc>
          <w:tcPr>
            <w:tcW w:w="973" w:type="dxa"/>
            <w:vAlign w:val="center"/>
          </w:tcPr>
          <w:p w14:paraId="53D60FDA" w14:textId="77777777" w:rsidR="00C71F8C" w:rsidRPr="00C71F8C" w:rsidRDefault="00C71F8C" w:rsidP="00C71F8C">
            <w:pPr>
              <w:pStyle w:val="TableCen"/>
            </w:pPr>
            <w:r w:rsidRPr="00C71F8C">
              <w:t>S150</w:t>
            </w:r>
          </w:p>
        </w:tc>
        <w:tc>
          <w:tcPr>
            <w:tcW w:w="7816" w:type="dxa"/>
            <w:vAlign w:val="center"/>
          </w:tcPr>
          <w:p w14:paraId="562B0EBD" w14:textId="77777777" w:rsidR="00C71F8C" w:rsidRPr="00C71F8C" w:rsidRDefault="00C71F8C" w:rsidP="00C71F8C">
            <w:pPr>
              <w:pStyle w:val="Table"/>
            </w:pPr>
            <w:r w:rsidRPr="00C71F8C">
              <w:t>Roadworks</w:t>
            </w:r>
          </w:p>
        </w:tc>
      </w:tr>
      <w:tr w:rsidR="008402C5" w:rsidRPr="00C71F8C" w14:paraId="793355EC" w14:textId="77777777" w:rsidTr="006D57C8">
        <w:trPr>
          <w:trHeight w:val="340"/>
        </w:trPr>
        <w:tc>
          <w:tcPr>
            <w:tcW w:w="973" w:type="dxa"/>
            <w:vAlign w:val="center"/>
          </w:tcPr>
          <w:p w14:paraId="77BE45CF" w14:textId="77777777" w:rsidR="008402C5" w:rsidRPr="00C71F8C" w:rsidRDefault="008402C5" w:rsidP="00C71F8C">
            <w:pPr>
              <w:pStyle w:val="TableCen"/>
            </w:pPr>
            <w:r>
              <w:t>S320</w:t>
            </w:r>
          </w:p>
        </w:tc>
        <w:tc>
          <w:tcPr>
            <w:tcW w:w="7816" w:type="dxa"/>
            <w:vAlign w:val="center"/>
          </w:tcPr>
          <w:p w14:paraId="59890937" w14:textId="77777777" w:rsidR="008402C5" w:rsidRPr="00C71F8C" w:rsidRDefault="00D36941" w:rsidP="00C71F8C">
            <w:pPr>
              <w:pStyle w:val="Table"/>
            </w:pPr>
            <w:r>
              <w:t>Laying of asphalt</w:t>
            </w:r>
          </w:p>
        </w:tc>
      </w:tr>
    </w:tbl>
    <w:p w14:paraId="417441DC" w14:textId="77777777" w:rsidR="00355D38" w:rsidRDefault="00355D38" w:rsidP="006D57C8">
      <w:pPr>
        <w:pStyle w:val="Heading2"/>
      </w:pPr>
      <w:bookmarkStart w:id="7" w:name="_Toc76046357"/>
      <w:r>
        <w:t>QUALITY</w:t>
      </w:r>
      <w:bookmarkEnd w:id="7"/>
    </w:p>
    <w:p w14:paraId="240F69F8" w14:textId="77777777" w:rsidR="00355D38" w:rsidRPr="002C1F8E" w:rsidRDefault="002C1F8E" w:rsidP="006D57C8">
      <w:pPr>
        <w:pStyle w:val="Heading3"/>
      </w:pPr>
      <w:bookmarkStart w:id="8" w:name="_Toc76046358"/>
      <w:r w:rsidRPr="002C1F8E">
        <w:t>Quality System</w:t>
      </w:r>
      <w:bookmarkEnd w:id="8"/>
    </w:p>
    <w:p w14:paraId="7E6108C9" w14:textId="77777777" w:rsidR="00355D38" w:rsidRDefault="00355D38" w:rsidP="00A34A94">
      <w:pPr>
        <w:pStyle w:val="BodyTextIndent"/>
      </w:pPr>
      <w:r>
        <w:t xml:space="preserve">The asphalt supplier must maintain a Quality Assurance System with third party accreditation to </w:t>
      </w:r>
      <w:r w:rsidRPr="00A34A94">
        <w:rPr>
          <w:i/>
        </w:rPr>
        <w:t>AS/NZS</w:t>
      </w:r>
      <w:r w:rsidR="005E1144" w:rsidRPr="00A34A94">
        <w:rPr>
          <w:i/>
        </w:rPr>
        <w:t> </w:t>
      </w:r>
      <w:r w:rsidRPr="00A34A94">
        <w:rPr>
          <w:i/>
        </w:rPr>
        <w:t>ISO 9002</w:t>
      </w:r>
      <w:r>
        <w:t>.  The supplier must notify the Contractor or Superintendent within two days of becoming aware that process control tests relevant to the material supplied have fallen outside the specified limits.</w:t>
      </w:r>
    </w:p>
    <w:p w14:paraId="6B9B01F9" w14:textId="77777777" w:rsidR="00355D38" w:rsidRPr="002C1F8E" w:rsidRDefault="002C1F8E" w:rsidP="006D57C8">
      <w:pPr>
        <w:pStyle w:val="Heading3"/>
      </w:pPr>
      <w:bookmarkStart w:id="9" w:name="_Toc76046359"/>
      <w:r w:rsidRPr="002C1F8E">
        <w:t>Tests</w:t>
      </w:r>
      <w:bookmarkEnd w:id="9"/>
    </w:p>
    <w:p w14:paraId="34A7B082" w14:textId="77777777" w:rsidR="00355D38" w:rsidRDefault="00355D38" w:rsidP="00A34A94">
      <w:pPr>
        <w:pStyle w:val="BodyTextBoldUnderline"/>
        <w:rPr>
          <w:snapToGrid w:val="0"/>
        </w:rPr>
      </w:pPr>
      <w:r>
        <w:t>General</w:t>
      </w:r>
    </w:p>
    <w:p w14:paraId="202B393B" w14:textId="29386523" w:rsidR="00355D38" w:rsidRDefault="00355D38" w:rsidP="00A34A94">
      <w:pPr>
        <w:pStyle w:val="BodyTextIndent"/>
      </w:pPr>
      <w:r w:rsidRPr="00AA6785">
        <w:rPr>
          <w:snapToGrid w:val="0"/>
          <w:u w:val="single"/>
        </w:rPr>
        <w:t>Methods</w:t>
      </w:r>
      <w:r w:rsidRPr="00AA6785">
        <w:t>: Use the specified Australian Standard</w:t>
      </w:r>
      <w:r w:rsidR="00952F1B" w:rsidRPr="00AA6785">
        <w:t>, Austroads</w:t>
      </w:r>
      <w:r w:rsidRPr="00AA6785">
        <w:t xml:space="preserve"> or Queensland Department of </w:t>
      </w:r>
      <w:r w:rsidR="001566AD" w:rsidRPr="00AA6785">
        <w:t xml:space="preserve">Transport and </w:t>
      </w:r>
      <w:r w:rsidRPr="00AA6785">
        <w:t>Main Roads test methods.</w:t>
      </w:r>
      <w:permStart w:id="1120614244" w:edGrp="everyone"/>
      <w:permEnd w:id="1120614244"/>
    </w:p>
    <w:p w14:paraId="353F4348" w14:textId="77777777" w:rsidR="00355D38" w:rsidRDefault="00355D38" w:rsidP="00A34A94">
      <w:pPr>
        <w:pStyle w:val="BodyTextIndent"/>
      </w:pPr>
      <w:r w:rsidRPr="0083782B">
        <w:rPr>
          <w:snapToGrid w:val="0"/>
          <w:u w:val="single"/>
        </w:rPr>
        <w:t>Testing authority</w:t>
      </w:r>
      <w:r>
        <w:t>: Use a testing facility registered by NATA for the test required.</w:t>
      </w:r>
    </w:p>
    <w:p w14:paraId="5704F97F" w14:textId="77777777" w:rsidR="00355D38" w:rsidRDefault="00355D38" w:rsidP="00A34A94">
      <w:pPr>
        <w:pStyle w:val="BodyTextBoldUnderline"/>
      </w:pPr>
      <w:r>
        <w:t>Process control tests</w:t>
      </w:r>
    </w:p>
    <w:p w14:paraId="74E45CE4" w14:textId="77777777" w:rsidR="00355D38" w:rsidRDefault="00355D38" w:rsidP="00A34A94">
      <w:pPr>
        <w:pStyle w:val="BodyText"/>
      </w:pPr>
      <w:r>
        <w:t xml:space="preserve">Perform tests of the type and frequency necessary to adequately control the materials, and the combination of these materials in the final product.  The minimum sampling and testing requirements for the asphalt production are specified in </w:t>
      </w:r>
      <w:r w:rsidR="008940AC" w:rsidRPr="008940AC">
        <w:rPr>
          <w:i/>
        </w:rPr>
        <w:t>Reference Specification</w:t>
      </w:r>
      <w:r w:rsidR="008940AC">
        <w:t xml:space="preserve"> </w:t>
      </w:r>
      <w:r>
        <w:rPr>
          <w:i/>
        </w:rPr>
        <w:t xml:space="preserve">S120 Quality </w:t>
      </w:r>
      <w:r w:rsidR="008940AC">
        <w:rPr>
          <w:i/>
        </w:rPr>
        <w:t xml:space="preserve">– </w:t>
      </w:r>
      <w:r>
        <w:rPr>
          <w:i/>
        </w:rPr>
        <w:t>Clause 7.1</w:t>
      </w:r>
      <w:r>
        <w:t xml:space="preserve">.  </w:t>
      </w:r>
      <w:r>
        <w:rPr>
          <w:i/>
        </w:rPr>
        <w:t>Refer annexure</w:t>
      </w:r>
      <w:r>
        <w:t>.</w:t>
      </w:r>
    </w:p>
    <w:p w14:paraId="77CC9C46" w14:textId="77777777" w:rsidR="00355D38" w:rsidRDefault="00355D38" w:rsidP="00A34A94">
      <w:pPr>
        <w:pStyle w:val="BodyTextBoldUnderline"/>
      </w:pPr>
      <w:r>
        <w:t>Compliance assessment tests</w:t>
      </w:r>
    </w:p>
    <w:p w14:paraId="7F941699" w14:textId="77777777" w:rsidR="00355D38" w:rsidRDefault="00355D38" w:rsidP="00A34A94">
      <w:pPr>
        <w:pStyle w:val="BodyTextIndent"/>
      </w:pPr>
      <w:r>
        <w:t xml:space="preserve">Comply with conformance criteria specified in </w:t>
      </w:r>
      <w:r w:rsidR="008940AC" w:rsidRPr="008940AC">
        <w:rPr>
          <w:i/>
        </w:rPr>
        <w:t>Reference Specification</w:t>
      </w:r>
      <w:r w:rsidR="008940AC">
        <w:t xml:space="preserve"> </w:t>
      </w:r>
      <w:r>
        <w:rPr>
          <w:i/>
        </w:rPr>
        <w:t xml:space="preserve">S120 Quality </w:t>
      </w:r>
      <w:r w:rsidR="008940AC">
        <w:rPr>
          <w:i/>
        </w:rPr>
        <w:t xml:space="preserve">– </w:t>
      </w:r>
      <w:r>
        <w:rPr>
          <w:i/>
        </w:rPr>
        <w:t>Clause 7.1</w:t>
      </w:r>
      <w:r>
        <w:t>.  The Contractor or Superintendent may carry out compliance assessment testing using a testing laboratory registered with NATA for the particular test.</w:t>
      </w:r>
    </w:p>
    <w:p w14:paraId="6F33DE72" w14:textId="77777777" w:rsidR="00355D38" w:rsidRPr="002C1F8E" w:rsidRDefault="002C1F8E" w:rsidP="006D57C8">
      <w:pPr>
        <w:pStyle w:val="Heading3"/>
      </w:pPr>
      <w:bookmarkStart w:id="10" w:name="_Toc76046360"/>
      <w:r w:rsidRPr="002C1F8E">
        <w:t>Samples</w:t>
      </w:r>
      <w:bookmarkEnd w:id="10"/>
    </w:p>
    <w:p w14:paraId="33E9A6CA" w14:textId="77777777" w:rsidR="00355D38" w:rsidRDefault="00355D38" w:rsidP="00A34A94">
      <w:pPr>
        <w:pStyle w:val="BodyTextBoldUnderline"/>
      </w:pPr>
      <w:r>
        <w:t>General</w:t>
      </w:r>
    </w:p>
    <w:p w14:paraId="25B0521A" w14:textId="77777777" w:rsidR="00355D38" w:rsidRDefault="00355D38" w:rsidP="00A34A94">
      <w:pPr>
        <w:pStyle w:val="BodyTextIndent"/>
      </w:pPr>
      <w:r>
        <w:t xml:space="preserve">On request, submit samples of each proposed constituent material.  </w:t>
      </w:r>
      <w:r>
        <w:rPr>
          <w:i/>
        </w:rPr>
        <w:t>Refer annexure</w:t>
      </w:r>
      <w:r>
        <w:t>.</w:t>
      </w:r>
    </w:p>
    <w:p w14:paraId="784A6431" w14:textId="77777777" w:rsidR="00355D38" w:rsidRDefault="00355D38" w:rsidP="00A34A94">
      <w:pPr>
        <w:pStyle w:val="BodyTextIndentDot"/>
      </w:pPr>
      <w:r>
        <w:t>Each coarse and fine aggregate component: 50 kg.</w:t>
      </w:r>
    </w:p>
    <w:p w14:paraId="58F2A735" w14:textId="77777777" w:rsidR="00355D38" w:rsidRDefault="00355D38" w:rsidP="00A34A94">
      <w:pPr>
        <w:pStyle w:val="BodyTextIndentDot"/>
      </w:pPr>
      <w:r>
        <w:t>Reclaimed asphalt pavement (if used): 50 kg.</w:t>
      </w:r>
    </w:p>
    <w:p w14:paraId="70057C62" w14:textId="77777777" w:rsidR="00851772" w:rsidRDefault="00851772" w:rsidP="00851772">
      <w:pPr>
        <w:pStyle w:val="BodyTextIndentDot"/>
      </w:pPr>
      <w:r w:rsidRPr="00F65EF2">
        <w:t>G</w:t>
      </w:r>
      <w:r>
        <w:t>ranulated glass aggregate (if used): 5 kg.</w:t>
      </w:r>
    </w:p>
    <w:p w14:paraId="1D81BD88" w14:textId="77777777" w:rsidR="00355D38" w:rsidRDefault="00355D38" w:rsidP="00A34A94">
      <w:pPr>
        <w:pStyle w:val="BodyTextIndentDot"/>
      </w:pPr>
      <w:r>
        <w:t>Added filler: 5 kg.</w:t>
      </w:r>
    </w:p>
    <w:p w14:paraId="1550BCB0" w14:textId="77777777" w:rsidR="00355D38" w:rsidRDefault="00355D38" w:rsidP="00A34A94">
      <w:pPr>
        <w:pStyle w:val="BodyTextIndentDot"/>
      </w:pPr>
      <w:r>
        <w:t>Binder: 8</w:t>
      </w:r>
      <w:r w:rsidR="00374CDC">
        <w:t> </w:t>
      </w:r>
      <w:r>
        <w:t>litres.</w:t>
      </w:r>
    </w:p>
    <w:p w14:paraId="55635AD7" w14:textId="77777777" w:rsidR="00355D38" w:rsidRDefault="00355D38" w:rsidP="00A34A94">
      <w:pPr>
        <w:pStyle w:val="BodyTextIndentDot"/>
      </w:pPr>
      <w:r>
        <w:t>Additives: As appropriate.</w:t>
      </w:r>
    </w:p>
    <w:p w14:paraId="5FA0DF11" w14:textId="334D2C93" w:rsidR="00355D38" w:rsidRDefault="00355D38" w:rsidP="00A34A94">
      <w:pPr>
        <w:pStyle w:val="BodyTextBoldUnderline"/>
      </w:pPr>
      <w:r>
        <w:t>Identification</w:t>
      </w:r>
    </w:p>
    <w:p w14:paraId="399A7DC5" w14:textId="77777777" w:rsidR="00355D38" w:rsidRDefault="00355D38" w:rsidP="00A34A94">
      <w:pPr>
        <w:pStyle w:val="BodyTextIndent"/>
      </w:pPr>
      <w:r>
        <w:t>Attach a tag to each sample showing relevant information including description, source, nominal size of material, date sampled, and by whom.</w:t>
      </w:r>
    </w:p>
    <w:p w14:paraId="76D7CC4C" w14:textId="77777777" w:rsidR="00355D38" w:rsidRPr="002C1F8E" w:rsidRDefault="002C1F8E" w:rsidP="003D0FCD">
      <w:pPr>
        <w:pStyle w:val="Heading3"/>
      </w:pPr>
      <w:bookmarkStart w:id="11" w:name="_Toc76046361"/>
      <w:r w:rsidRPr="002C1F8E">
        <w:t xml:space="preserve">Supplier's </w:t>
      </w:r>
      <w:r w:rsidRPr="003D0FCD">
        <w:t>Submissions</w:t>
      </w:r>
      <w:bookmarkEnd w:id="11"/>
    </w:p>
    <w:p w14:paraId="4FC588BA" w14:textId="77777777" w:rsidR="00355D38" w:rsidRDefault="00355D38" w:rsidP="00A34A94">
      <w:pPr>
        <w:pStyle w:val="BodyTextBoldUnderline"/>
      </w:pPr>
      <w:r>
        <w:t>Test program</w:t>
      </w:r>
    </w:p>
    <w:p w14:paraId="681B30FE" w14:textId="77777777" w:rsidR="00355D38" w:rsidRDefault="00355D38" w:rsidP="00A34A94">
      <w:pPr>
        <w:pStyle w:val="BodyTextIndent"/>
      </w:pPr>
      <w:r>
        <w:t xml:space="preserve">On request, submit details of the supplier's inspection and test program covering all specified properties of the constituent materials.  On request, submit details of recent test results demonstrating sustained compliance of the constituent materials with the required properties.  </w:t>
      </w:r>
      <w:r>
        <w:rPr>
          <w:i/>
        </w:rPr>
        <w:t>Refer annexure</w:t>
      </w:r>
      <w:r>
        <w:t>.</w:t>
      </w:r>
    </w:p>
    <w:p w14:paraId="1B1C15B3" w14:textId="77777777" w:rsidR="003D0FCD" w:rsidRDefault="003D0FCD" w:rsidP="003D0FCD">
      <w:pPr>
        <w:pStyle w:val="BodyText"/>
        <w:rPr>
          <w:u w:val="single"/>
        </w:rPr>
      </w:pPr>
      <w:r>
        <w:br w:type="page"/>
      </w:r>
    </w:p>
    <w:p w14:paraId="76336FEA" w14:textId="2031371D" w:rsidR="00355D38" w:rsidRDefault="00355D38" w:rsidP="00A34A94">
      <w:pPr>
        <w:pStyle w:val="BodyTextBoldUnderline"/>
      </w:pPr>
      <w:r>
        <w:lastRenderedPageBreak/>
        <w:t>Material details</w:t>
      </w:r>
    </w:p>
    <w:p w14:paraId="2E595693" w14:textId="77777777" w:rsidR="00355D38" w:rsidRDefault="00355D38" w:rsidP="00A34A94">
      <w:pPr>
        <w:pStyle w:val="BodyTextIndent"/>
      </w:pPr>
      <w:r>
        <w:t>Submit the following details for the proposed design mix (job mix) and the tolerance mixes before commencing production:</w:t>
      </w:r>
    </w:p>
    <w:p w14:paraId="345B14E7" w14:textId="77777777" w:rsidR="00355D38" w:rsidRDefault="00355D38" w:rsidP="00A34A94">
      <w:pPr>
        <w:pStyle w:val="BodyTextIndentDot"/>
      </w:pPr>
      <w:r>
        <w:t>Method of production (batch or continuous).</w:t>
      </w:r>
    </w:p>
    <w:p w14:paraId="253DB10B" w14:textId="77777777" w:rsidR="00355D38" w:rsidRDefault="00355D38" w:rsidP="00A34A94">
      <w:pPr>
        <w:pStyle w:val="BodyTextIndentDot"/>
      </w:pPr>
      <w:r>
        <w:t>Source quarry for the aggregates and geology of the rock.</w:t>
      </w:r>
    </w:p>
    <w:p w14:paraId="4ABDC5A4" w14:textId="77777777" w:rsidR="00355D38" w:rsidRDefault="00355D38" w:rsidP="00A34A94">
      <w:pPr>
        <w:pStyle w:val="BodyTextIndentDot"/>
      </w:pPr>
      <w:r>
        <w:t>Combined aggregate particle size distribution.</w:t>
      </w:r>
    </w:p>
    <w:p w14:paraId="6D540BD4" w14:textId="77777777" w:rsidR="00355D38" w:rsidRDefault="00355D38" w:rsidP="00A34A94">
      <w:pPr>
        <w:pStyle w:val="BodyTextIndentDot"/>
      </w:pPr>
      <w:r>
        <w:t>Binder content expressed as a percentage by mass of the total mix.</w:t>
      </w:r>
    </w:p>
    <w:p w14:paraId="4C56A965" w14:textId="77777777" w:rsidR="00355D38" w:rsidRDefault="00355D38" w:rsidP="00A34A94">
      <w:pPr>
        <w:pStyle w:val="BodyTextIndentDot"/>
      </w:pPr>
      <w:r>
        <w:t>The added filler content expressed as a percentage by mass of the combined aggregates (if applicable).</w:t>
      </w:r>
    </w:p>
    <w:p w14:paraId="33AD5864" w14:textId="77777777" w:rsidR="00355D38" w:rsidRDefault="00355D38" w:rsidP="00A34A94">
      <w:pPr>
        <w:pStyle w:val="BodyTextIndentDot"/>
      </w:pPr>
      <w:r>
        <w:t>The asphalt mix properties.</w:t>
      </w:r>
    </w:p>
    <w:p w14:paraId="1C24BFDC" w14:textId="77777777" w:rsidR="00355D38" w:rsidRDefault="00355D38" w:rsidP="00A34A94">
      <w:pPr>
        <w:pStyle w:val="BodyTextIndentDot"/>
      </w:pPr>
      <w:r>
        <w:t>The proposed mixing temperature.</w:t>
      </w:r>
    </w:p>
    <w:p w14:paraId="48E111FE" w14:textId="77777777" w:rsidR="00355D38" w:rsidRDefault="00355D38" w:rsidP="00A34A94">
      <w:pPr>
        <w:pStyle w:val="BodyTextIndentDot"/>
      </w:pPr>
      <w:r>
        <w:t xml:space="preserve">Resilient modulus value determined in accordance with </w:t>
      </w:r>
      <w:r w:rsidRPr="00A34A94">
        <w:rPr>
          <w:i/>
        </w:rPr>
        <w:t>AS 2891.13.1</w:t>
      </w:r>
      <w:r w:rsidR="00A56CC7">
        <w:t xml:space="preserve"> </w:t>
      </w:r>
      <w:r w:rsidR="00A56CC7" w:rsidRPr="009828C1">
        <w:t>(if directed).</w:t>
      </w:r>
    </w:p>
    <w:p w14:paraId="7D7C2A84" w14:textId="77777777" w:rsidR="00355D38" w:rsidRPr="009828C1" w:rsidRDefault="00355D38" w:rsidP="00017429">
      <w:pPr>
        <w:pStyle w:val="BodyTextIndentDot"/>
      </w:pPr>
      <w:r w:rsidRPr="009828C1">
        <w:t>Fatigue and rutting characteristics determined in accordance with</w:t>
      </w:r>
      <w:r w:rsidR="009828C1" w:rsidRPr="009828C1">
        <w:t xml:space="preserve"> </w:t>
      </w:r>
      <w:r w:rsidR="00374CDC" w:rsidRPr="00A34A94">
        <w:rPr>
          <w:i/>
        </w:rPr>
        <w:t>AGPT</w:t>
      </w:r>
      <w:r w:rsidR="00374CDC">
        <w:rPr>
          <w:i/>
        </w:rPr>
        <w:t>/</w:t>
      </w:r>
      <w:r w:rsidR="00374CDC" w:rsidRPr="00A34A94">
        <w:rPr>
          <w:i/>
        </w:rPr>
        <w:t>T231</w:t>
      </w:r>
      <w:r w:rsidR="00017429" w:rsidRPr="00017429">
        <w:rPr>
          <w:i/>
        </w:rPr>
        <w:t xml:space="preserve"> </w:t>
      </w:r>
      <w:r w:rsidR="009828C1" w:rsidRPr="009828C1">
        <w:t xml:space="preserve">and </w:t>
      </w:r>
      <w:r w:rsidR="00374CDC" w:rsidRPr="00017429">
        <w:rPr>
          <w:i/>
        </w:rPr>
        <w:t>AGPT/T274</w:t>
      </w:r>
      <w:r w:rsidR="00374CDC">
        <w:rPr>
          <w:i/>
        </w:rPr>
        <w:t xml:space="preserve"> </w:t>
      </w:r>
      <w:r w:rsidRPr="009828C1">
        <w:t>(if directed).</w:t>
      </w:r>
    </w:p>
    <w:p w14:paraId="1F7803B7" w14:textId="77777777" w:rsidR="00355D38" w:rsidRDefault="00355D38" w:rsidP="00A34A94">
      <w:pPr>
        <w:pStyle w:val="BodyTextIndentDot"/>
      </w:pPr>
      <w:r>
        <w:t>Maximum RAP content expressed as a percentage by mass of the total mix (if applicable).</w:t>
      </w:r>
    </w:p>
    <w:p w14:paraId="5A333D66" w14:textId="77777777" w:rsidR="007E64F9" w:rsidRDefault="006F4FDA" w:rsidP="006F4FDA">
      <w:pPr>
        <w:pStyle w:val="BodyTextIndentDot"/>
      </w:pPr>
      <w:r>
        <w:t>Maximum g</w:t>
      </w:r>
      <w:r w:rsidRPr="006F4FDA">
        <w:t>ranulated</w:t>
      </w:r>
      <w:r>
        <w:t xml:space="preserve"> recycled</w:t>
      </w:r>
      <w:r w:rsidRPr="006F4FDA">
        <w:t xml:space="preserve"> glass aggregate</w:t>
      </w:r>
      <w:r>
        <w:t xml:space="preserve"> content expressed as a percentage by mass of the total mix (if applicable).  T</w:t>
      </w:r>
      <w:r w:rsidR="007E64F9" w:rsidRPr="007E64F9">
        <w:t>he type, source and manufacturer’s recommendations</w:t>
      </w:r>
      <w:r>
        <w:t xml:space="preserve"> for g</w:t>
      </w:r>
      <w:r w:rsidRPr="006F4FDA">
        <w:t>ranulated</w:t>
      </w:r>
      <w:r>
        <w:t xml:space="preserve"> </w:t>
      </w:r>
      <w:r w:rsidRPr="006F4FDA">
        <w:t>glass aggregate</w:t>
      </w:r>
      <w:r w:rsidR="007E64F9" w:rsidRPr="007E64F9">
        <w:t>.</w:t>
      </w:r>
    </w:p>
    <w:p w14:paraId="7AC75B8D" w14:textId="77777777" w:rsidR="00985B23" w:rsidRDefault="00985B23" w:rsidP="00985B23">
      <w:pPr>
        <w:pStyle w:val="BodyTextIndentDot"/>
      </w:pPr>
      <w:r>
        <w:t>T</w:t>
      </w:r>
      <w:r w:rsidRPr="00985B23">
        <w:t xml:space="preserve">he </w:t>
      </w:r>
      <w:r>
        <w:t xml:space="preserve">type and quantity </w:t>
      </w:r>
      <w:r w:rsidRPr="00985B23">
        <w:t>of warm mix asphalt additive</w:t>
      </w:r>
      <w:r>
        <w:t xml:space="preserve"> (if applicable).</w:t>
      </w:r>
    </w:p>
    <w:p w14:paraId="7FAEA7E5" w14:textId="77777777" w:rsidR="00355D38" w:rsidRDefault="00355D38" w:rsidP="003D0FCD">
      <w:pPr>
        <w:pStyle w:val="Heading2"/>
      </w:pPr>
      <w:bookmarkStart w:id="12" w:name="_Toc76046362"/>
      <w:r>
        <w:t>ASPHALT MATERIALS</w:t>
      </w:r>
      <w:bookmarkEnd w:id="12"/>
    </w:p>
    <w:p w14:paraId="6A6BF952" w14:textId="77777777" w:rsidR="00355D38" w:rsidRPr="002C1F8E" w:rsidRDefault="002C1F8E" w:rsidP="003D0FCD">
      <w:pPr>
        <w:pStyle w:val="Heading3"/>
      </w:pPr>
      <w:bookmarkStart w:id="13" w:name="_Toc76046363"/>
      <w:r w:rsidRPr="002C1F8E">
        <w:t>Coarse Aggregate</w:t>
      </w:r>
      <w:bookmarkEnd w:id="13"/>
    </w:p>
    <w:p w14:paraId="4B48A5D1" w14:textId="77777777" w:rsidR="00355D38" w:rsidRDefault="00355D38" w:rsidP="00A34A94">
      <w:pPr>
        <w:pStyle w:val="BodyTextIndent2"/>
        <w:spacing w:after="120"/>
      </w:pPr>
      <w:r w:rsidRPr="0009186F">
        <w:rPr>
          <w:u w:val="single"/>
        </w:rPr>
        <w:t>Material type</w:t>
      </w:r>
      <w:r>
        <w:t xml:space="preserve">: Crushed rock or crushed gravel particles that are retained on the 4.75 mm sieve.  </w:t>
      </w:r>
      <w:r>
        <w:rPr>
          <w:i/>
        </w:rPr>
        <w:t>Refer annexure</w:t>
      </w:r>
      <w:r>
        <w:t>.</w:t>
      </w:r>
    </w:p>
    <w:p w14:paraId="3D0E1366" w14:textId="77777777" w:rsidR="00355D38" w:rsidRDefault="00355D38" w:rsidP="00A34A94">
      <w:pPr>
        <w:pStyle w:val="BodyTextIndent"/>
      </w:pPr>
      <w:r w:rsidRPr="0009186F">
        <w:rPr>
          <w:u w:val="single"/>
        </w:rPr>
        <w:t>Material properties</w:t>
      </w:r>
      <w:r>
        <w:t xml:space="preserve">: Comply with Table 3.1.  </w:t>
      </w:r>
      <w:r>
        <w:rPr>
          <w:i/>
        </w:rPr>
        <w:t>Refer annexure</w:t>
      </w:r>
      <w:r>
        <w:t>.</w:t>
      </w:r>
    </w:p>
    <w:p w14:paraId="600B0D0A" w14:textId="73F77CCA" w:rsidR="00355D38" w:rsidRDefault="00355D38" w:rsidP="00A34A94">
      <w:pPr>
        <w:pStyle w:val="TableIDNum"/>
      </w:pPr>
      <w:r>
        <w:t>Table</w:t>
      </w:r>
      <w:r w:rsidR="000D7213">
        <w:t> </w:t>
      </w:r>
      <w:r>
        <w:t xml:space="preserve">3.1 </w:t>
      </w:r>
      <w:r w:rsidR="001F6932">
        <w:t>–</w:t>
      </w:r>
      <w:r>
        <w:t xml:space="preserve"> Coarse aggregate properties</w:t>
      </w:r>
    </w:p>
    <w:tbl>
      <w:tblPr>
        <w:tblW w:w="8789" w:type="dxa"/>
        <w:tblInd w:w="70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2551"/>
        <w:gridCol w:w="2079"/>
        <w:gridCol w:w="2079"/>
        <w:gridCol w:w="2080"/>
      </w:tblGrid>
      <w:tr w:rsidR="00355D38" w14:paraId="22454415" w14:textId="77777777" w:rsidTr="00E51447">
        <w:trPr>
          <w:cantSplit/>
          <w:trHeight w:val="397"/>
          <w:tblHeader/>
        </w:trPr>
        <w:tc>
          <w:tcPr>
            <w:tcW w:w="2551" w:type="dxa"/>
            <w:tcBorders>
              <w:top w:val="single" w:sz="12" w:space="0" w:color="000000"/>
              <w:left w:val="nil"/>
              <w:bottom w:val="single" w:sz="12" w:space="0" w:color="000000"/>
              <w:right w:val="nil"/>
            </w:tcBorders>
            <w:shd w:val="pct10" w:color="auto" w:fill="auto"/>
            <w:vAlign w:val="center"/>
          </w:tcPr>
          <w:p w14:paraId="2300226F" w14:textId="77777777" w:rsidR="00355D38" w:rsidRDefault="00355D38" w:rsidP="001F6932">
            <w:pPr>
              <w:pStyle w:val="TableHead"/>
            </w:pPr>
            <w:r>
              <w:t>Property</w:t>
            </w:r>
          </w:p>
        </w:tc>
        <w:tc>
          <w:tcPr>
            <w:tcW w:w="2079" w:type="dxa"/>
            <w:tcBorders>
              <w:top w:val="single" w:sz="12" w:space="0" w:color="000000"/>
              <w:left w:val="nil"/>
              <w:bottom w:val="single" w:sz="12" w:space="0" w:color="000000"/>
              <w:right w:val="nil"/>
            </w:tcBorders>
            <w:shd w:val="pct10" w:color="auto" w:fill="auto"/>
            <w:vAlign w:val="center"/>
          </w:tcPr>
          <w:p w14:paraId="5735C215" w14:textId="3C493F0D" w:rsidR="00355D38" w:rsidRPr="009D2B31" w:rsidRDefault="00355D38" w:rsidP="009D2B31">
            <w:pPr>
              <w:pStyle w:val="TableHeadCen"/>
            </w:pPr>
            <w:r w:rsidRPr="009D2B31">
              <w:t xml:space="preserve">Mix </w:t>
            </w:r>
            <w:r w:rsidR="000846CC" w:rsidRPr="009D2B31">
              <w:t>Type</w:t>
            </w:r>
            <w:r w:rsidR="0009186F">
              <w:t>s</w:t>
            </w:r>
            <w:r w:rsidR="000846CC" w:rsidRPr="009D2B31">
              <w:t xml:space="preserve"> </w:t>
            </w:r>
            <w:r w:rsidRPr="009D2B31">
              <w:t>3</w:t>
            </w:r>
            <w:r w:rsidR="009D2B31" w:rsidRPr="0009186F">
              <w:t> </w:t>
            </w:r>
            <w:r w:rsidR="00D77A31">
              <w:t>and</w:t>
            </w:r>
            <w:r w:rsidR="00D77A31" w:rsidRPr="0009186F">
              <w:t> </w:t>
            </w:r>
            <w:r w:rsidRPr="009D2B31">
              <w:t>4</w:t>
            </w:r>
          </w:p>
        </w:tc>
        <w:tc>
          <w:tcPr>
            <w:tcW w:w="2079" w:type="dxa"/>
            <w:tcBorders>
              <w:top w:val="single" w:sz="12" w:space="0" w:color="000000"/>
              <w:left w:val="nil"/>
              <w:bottom w:val="single" w:sz="12" w:space="0" w:color="000000"/>
              <w:right w:val="nil"/>
            </w:tcBorders>
            <w:shd w:val="pct10" w:color="auto" w:fill="auto"/>
            <w:vAlign w:val="center"/>
          </w:tcPr>
          <w:p w14:paraId="44637D97" w14:textId="10ECB6F8" w:rsidR="00355D38" w:rsidRPr="009D2B31" w:rsidRDefault="00355D38" w:rsidP="009D2B31">
            <w:pPr>
              <w:pStyle w:val="TableHeadCen"/>
            </w:pPr>
            <w:r w:rsidRPr="009D2B31">
              <w:t xml:space="preserve">Mix </w:t>
            </w:r>
            <w:r w:rsidR="000846CC" w:rsidRPr="009D2B31">
              <w:t>Type</w:t>
            </w:r>
            <w:r w:rsidR="0009186F">
              <w:t>s</w:t>
            </w:r>
            <w:r w:rsidR="000846CC" w:rsidRPr="009D2B31">
              <w:t xml:space="preserve"> </w:t>
            </w:r>
            <w:r w:rsidRPr="009D2B31">
              <w:t>1</w:t>
            </w:r>
            <w:r w:rsidR="000846CC" w:rsidRPr="0009186F">
              <w:t> </w:t>
            </w:r>
            <w:r w:rsidR="00D77A31">
              <w:t>and</w:t>
            </w:r>
            <w:r w:rsidR="00D77A31" w:rsidRPr="0009186F">
              <w:t> </w:t>
            </w:r>
            <w:r w:rsidRPr="009D2B31">
              <w:t>2</w:t>
            </w:r>
          </w:p>
        </w:tc>
        <w:tc>
          <w:tcPr>
            <w:tcW w:w="2080" w:type="dxa"/>
            <w:tcBorders>
              <w:top w:val="single" w:sz="12" w:space="0" w:color="000000"/>
              <w:left w:val="nil"/>
              <w:bottom w:val="single" w:sz="12" w:space="0" w:color="000000"/>
              <w:right w:val="nil"/>
            </w:tcBorders>
            <w:shd w:val="pct10" w:color="auto" w:fill="auto"/>
            <w:vAlign w:val="center"/>
          </w:tcPr>
          <w:p w14:paraId="37D5DB27" w14:textId="77777777" w:rsidR="00355D38" w:rsidRDefault="00355D38" w:rsidP="001F6932">
            <w:pPr>
              <w:pStyle w:val="TableHeadCen"/>
            </w:pPr>
            <w:r>
              <w:t>Test procedure</w:t>
            </w:r>
          </w:p>
        </w:tc>
      </w:tr>
      <w:tr w:rsidR="00355D38" w:rsidRPr="00D373AD" w14:paraId="3CF35305" w14:textId="77777777" w:rsidTr="00E51447">
        <w:trPr>
          <w:cantSplit/>
          <w:trHeight w:val="340"/>
        </w:trPr>
        <w:tc>
          <w:tcPr>
            <w:tcW w:w="2551" w:type="dxa"/>
            <w:tcBorders>
              <w:top w:val="nil"/>
              <w:bottom w:val="single" w:sz="6" w:space="0" w:color="000000"/>
            </w:tcBorders>
            <w:vAlign w:val="center"/>
          </w:tcPr>
          <w:p w14:paraId="56519618" w14:textId="77777777" w:rsidR="00355D38" w:rsidRDefault="00355D38" w:rsidP="001F6932">
            <w:pPr>
              <w:pStyle w:val="Table"/>
            </w:pPr>
            <w:r>
              <w:t>Flakiness index</w:t>
            </w:r>
          </w:p>
        </w:tc>
        <w:tc>
          <w:tcPr>
            <w:tcW w:w="2079" w:type="dxa"/>
            <w:tcBorders>
              <w:top w:val="nil"/>
              <w:bottom w:val="single" w:sz="6" w:space="0" w:color="000000"/>
            </w:tcBorders>
            <w:vAlign w:val="center"/>
          </w:tcPr>
          <w:p w14:paraId="12F806F7" w14:textId="77777777" w:rsidR="00355D38" w:rsidRDefault="00355D38" w:rsidP="001F6932">
            <w:pPr>
              <w:pStyle w:val="TableCen"/>
            </w:pPr>
            <w:r>
              <w:t>30% maximum</w:t>
            </w:r>
          </w:p>
        </w:tc>
        <w:tc>
          <w:tcPr>
            <w:tcW w:w="2079" w:type="dxa"/>
            <w:tcBorders>
              <w:top w:val="nil"/>
              <w:bottom w:val="single" w:sz="6" w:space="0" w:color="000000"/>
            </w:tcBorders>
            <w:vAlign w:val="center"/>
          </w:tcPr>
          <w:p w14:paraId="502FE8F4" w14:textId="77777777" w:rsidR="00355D38" w:rsidRDefault="00355D38" w:rsidP="001F6932">
            <w:pPr>
              <w:pStyle w:val="TableCen"/>
            </w:pPr>
            <w:r>
              <w:t>30% maximum</w:t>
            </w:r>
          </w:p>
        </w:tc>
        <w:tc>
          <w:tcPr>
            <w:tcW w:w="2080" w:type="dxa"/>
            <w:tcBorders>
              <w:top w:val="nil"/>
              <w:bottom w:val="single" w:sz="6" w:space="0" w:color="000000"/>
            </w:tcBorders>
            <w:vAlign w:val="center"/>
          </w:tcPr>
          <w:p w14:paraId="5908AD75" w14:textId="77777777" w:rsidR="00355D38" w:rsidRPr="00D373AD" w:rsidRDefault="00355D38" w:rsidP="00A56CC7">
            <w:pPr>
              <w:pStyle w:val="TableCen"/>
              <w:rPr>
                <w:i/>
              </w:rPr>
            </w:pPr>
            <w:r w:rsidRPr="00D373AD">
              <w:rPr>
                <w:i/>
              </w:rPr>
              <w:t xml:space="preserve">AS 1141.15 </w:t>
            </w:r>
            <w:r w:rsidRPr="00D373AD">
              <w:t>or</w:t>
            </w:r>
            <w:r w:rsidRPr="00D373AD">
              <w:rPr>
                <w:i/>
              </w:rPr>
              <w:t xml:space="preserve"> </w:t>
            </w:r>
            <w:r w:rsidR="00731489" w:rsidRPr="00731489">
              <w:rPr>
                <w:i/>
              </w:rPr>
              <w:t>DTMR</w:t>
            </w:r>
            <w:r w:rsidR="00731489" w:rsidRPr="00D373AD">
              <w:rPr>
                <w:i/>
              </w:rPr>
              <w:t> </w:t>
            </w:r>
            <w:r w:rsidRPr="00D373AD">
              <w:rPr>
                <w:i/>
              </w:rPr>
              <w:t>Q201</w:t>
            </w:r>
          </w:p>
        </w:tc>
      </w:tr>
      <w:tr w:rsidR="00355D38" w:rsidRPr="00136A0B" w14:paraId="76291BE8" w14:textId="77777777" w:rsidTr="00E51447">
        <w:trPr>
          <w:cantSplit/>
          <w:trHeight w:val="340"/>
        </w:trPr>
        <w:tc>
          <w:tcPr>
            <w:tcW w:w="2551" w:type="dxa"/>
            <w:tcBorders>
              <w:top w:val="single" w:sz="6" w:space="0" w:color="000000"/>
              <w:bottom w:val="single" w:sz="6" w:space="0" w:color="000000"/>
            </w:tcBorders>
            <w:vAlign w:val="center"/>
          </w:tcPr>
          <w:p w14:paraId="5DC4C7C6" w14:textId="77777777" w:rsidR="00355D38" w:rsidRPr="00136A0B" w:rsidRDefault="00355D38" w:rsidP="001F6932">
            <w:pPr>
              <w:pStyle w:val="Table"/>
            </w:pPr>
            <w:r w:rsidRPr="00136A0B">
              <w:t>Weak particles</w:t>
            </w:r>
          </w:p>
        </w:tc>
        <w:tc>
          <w:tcPr>
            <w:tcW w:w="2079" w:type="dxa"/>
            <w:tcBorders>
              <w:top w:val="single" w:sz="6" w:space="0" w:color="000000"/>
              <w:bottom w:val="single" w:sz="6" w:space="0" w:color="000000"/>
            </w:tcBorders>
            <w:vAlign w:val="center"/>
          </w:tcPr>
          <w:p w14:paraId="6130D26A" w14:textId="77777777" w:rsidR="00355D38" w:rsidRPr="00136A0B" w:rsidRDefault="00355D38" w:rsidP="001F6932">
            <w:pPr>
              <w:pStyle w:val="TableCen"/>
            </w:pPr>
            <w:r w:rsidRPr="00136A0B">
              <w:t>1% maximum</w:t>
            </w:r>
          </w:p>
        </w:tc>
        <w:tc>
          <w:tcPr>
            <w:tcW w:w="2079" w:type="dxa"/>
            <w:tcBorders>
              <w:top w:val="single" w:sz="6" w:space="0" w:color="000000"/>
              <w:bottom w:val="single" w:sz="6" w:space="0" w:color="000000"/>
            </w:tcBorders>
            <w:vAlign w:val="center"/>
          </w:tcPr>
          <w:p w14:paraId="29052465" w14:textId="77777777" w:rsidR="00355D38" w:rsidRPr="00136A0B" w:rsidRDefault="00355D38" w:rsidP="001F6932">
            <w:pPr>
              <w:pStyle w:val="TableCen"/>
            </w:pPr>
            <w:r w:rsidRPr="00136A0B">
              <w:t>1% maximum</w:t>
            </w:r>
          </w:p>
        </w:tc>
        <w:tc>
          <w:tcPr>
            <w:tcW w:w="2080" w:type="dxa"/>
            <w:tcBorders>
              <w:top w:val="single" w:sz="6" w:space="0" w:color="000000"/>
              <w:bottom w:val="single" w:sz="6" w:space="0" w:color="000000"/>
            </w:tcBorders>
            <w:vAlign w:val="center"/>
          </w:tcPr>
          <w:p w14:paraId="45520225" w14:textId="77777777" w:rsidR="00355D38" w:rsidRPr="00136A0B" w:rsidRDefault="00A56CC7" w:rsidP="00A56CC7">
            <w:pPr>
              <w:pStyle w:val="TableCen"/>
              <w:rPr>
                <w:i/>
              </w:rPr>
            </w:pPr>
            <w:r w:rsidRPr="00136A0B">
              <w:rPr>
                <w:i/>
              </w:rPr>
              <w:t>AS 1141.32</w:t>
            </w:r>
          </w:p>
        </w:tc>
      </w:tr>
      <w:tr w:rsidR="00355D38" w:rsidRPr="00136A0B" w14:paraId="48A95813" w14:textId="77777777" w:rsidTr="00E51447">
        <w:trPr>
          <w:cantSplit/>
          <w:trHeight w:val="340"/>
        </w:trPr>
        <w:tc>
          <w:tcPr>
            <w:tcW w:w="2551" w:type="dxa"/>
            <w:tcBorders>
              <w:top w:val="single" w:sz="6" w:space="0" w:color="000000"/>
              <w:bottom w:val="single" w:sz="6" w:space="0" w:color="000000"/>
            </w:tcBorders>
            <w:vAlign w:val="center"/>
          </w:tcPr>
          <w:p w14:paraId="222084A6" w14:textId="77777777" w:rsidR="00355D38" w:rsidRPr="00136A0B" w:rsidRDefault="00355D38" w:rsidP="001F6932">
            <w:pPr>
              <w:pStyle w:val="Table"/>
            </w:pPr>
            <w:r w:rsidRPr="00136A0B">
              <w:t>Water absorption</w:t>
            </w:r>
          </w:p>
        </w:tc>
        <w:tc>
          <w:tcPr>
            <w:tcW w:w="2079" w:type="dxa"/>
            <w:tcBorders>
              <w:top w:val="single" w:sz="6" w:space="0" w:color="000000"/>
              <w:bottom w:val="single" w:sz="6" w:space="0" w:color="000000"/>
            </w:tcBorders>
            <w:vAlign w:val="center"/>
          </w:tcPr>
          <w:p w14:paraId="548DA766" w14:textId="77777777" w:rsidR="00355D38" w:rsidRPr="00136A0B" w:rsidRDefault="00355D38" w:rsidP="00A56CC7">
            <w:pPr>
              <w:pStyle w:val="TableCen"/>
            </w:pPr>
            <w:r w:rsidRPr="00136A0B">
              <w:t>2% maximum</w:t>
            </w:r>
            <w:r w:rsidR="00A56CC7" w:rsidRPr="0064234A">
              <w:rPr>
                <w:i/>
                <w:iCs/>
                <w:vertAlign w:val="superscript"/>
              </w:rPr>
              <w:t>(1)</w:t>
            </w:r>
          </w:p>
        </w:tc>
        <w:tc>
          <w:tcPr>
            <w:tcW w:w="2079" w:type="dxa"/>
            <w:tcBorders>
              <w:top w:val="single" w:sz="6" w:space="0" w:color="000000"/>
              <w:bottom w:val="single" w:sz="6" w:space="0" w:color="000000"/>
            </w:tcBorders>
            <w:vAlign w:val="center"/>
          </w:tcPr>
          <w:p w14:paraId="595BDEC0" w14:textId="77777777" w:rsidR="00355D38" w:rsidRPr="00136A0B" w:rsidRDefault="00355D38" w:rsidP="001F6932">
            <w:pPr>
              <w:pStyle w:val="TableCen"/>
            </w:pPr>
            <w:r w:rsidRPr="00136A0B">
              <w:t>2% maximum</w:t>
            </w:r>
            <w:r w:rsidR="00A56CC7" w:rsidRPr="0064234A">
              <w:rPr>
                <w:i/>
                <w:iCs/>
                <w:vertAlign w:val="superscript"/>
              </w:rPr>
              <w:t>(1)</w:t>
            </w:r>
          </w:p>
        </w:tc>
        <w:tc>
          <w:tcPr>
            <w:tcW w:w="2080" w:type="dxa"/>
            <w:tcBorders>
              <w:top w:val="single" w:sz="6" w:space="0" w:color="000000"/>
              <w:bottom w:val="single" w:sz="6" w:space="0" w:color="000000"/>
            </w:tcBorders>
            <w:vAlign w:val="center"/>
          </w:tcPr>
          <w:p w14:paraId="347D5EC4" w14:textId="77777777" w:rsidR="00355D38" w:rsidRPr="00136A0B" w:rsidRDefault="00355D38" w:rsidP="00731489">
            <w:pPr>
              <w:pStyle w:val="TableCen"/>
              <w:rPr>
                <w:i/>
              </w:rPr>
            </w:pPr>
            <w:r w:rsidRPr="00136A0B">
              <w:rPr>
                <w:i/>
              </w:rPr>
              <w:t xml:space="preserve">AS 1141.5 </w:t>
            </w:r>
            <w:r w:rsidRPr="00136A0B">
              <w:t>or</w:t>
            </w:r>
            <w:r w:rsidRPr="00136A0B">
              <w:rPr>
                <w:i/>
              </w:rPr>
              <w:t xml:space="preserve"> </w:t>
            </w:r>
            <w:r w:rsidR="00731489" w:rsidRPr="00136A0B">
              <w:rPr>
                <w:i/>
              </w:rPr>
              <w:t>DTMR </w:t>
            </w:r>
            <w:r w:rsidRPr="00136A0B">
              <w:rPr>
                <w:i/>
              </w:rPr>
              <w:t>Q214B</w:t>
            </w:r>
          </w:p>
        </w:tc>
      </w:tr>
      <w:tr w:rsidR="00355D38" w:rsidRPr="00136A0B" w14:paraId="1B4B97C3" w14:textId="77777777" w:rsidTr="00E51447">
        <w:trPr>
          <w:cantSplit/>
          <w:trHeight w:val="340"/>
        </w:trPr>
        <w:tc>
          <w:tcPr>
            <w:tcW w:w="2551" w:type="dxa"/>
            <w:tcBorders>
              <w:top w:val="single" w:sz="6" w:space="0" w:color="000000"/>
            </w:tcBorders>
            <w:vAlign w:val="center"/>
          </w:tcPr>
          <w:p w14:paraId="23A4A6B3" w14:textId="77777777" w:rsidR="00355D38" w:rsidRPr="00136A0B" w:rsidRDefault="00355D38" w:rsidP="001F6932">
            <w:pPr>
              <w:pStyle w:val="Table"/>
            </w:pPr>
            <w:r w:rsidRPr="00136A0B">
              <w:t>Polished aggregate friction value (wearing course only)</w:t>
            </w:r>
          </w:p>
        </w:tc>
        <w:tc>
          <w:tcPr>
            <w:tcW w:w="2079" w:type="dxa"/>
            <w:tcBorders>
              <w:top w:val="single" w:sz="6" w:space="0" w:color="000000"/>
            </w:tcBorders>
            <w:vAlign w:val="center"/>
          </w:tcPr>
          <w:p w14:paraId="7E9BD3AD" w14:textId="77777777" w:rsidR="00355D38" w:rsidRPr="00136A0B" w:rsidRDefault="00355D38" w:rsidP="001F6932">
            <w:pPr>
              <w:pStyle w:val="TableCen"/>
            </w:pPr>
            <w:r w:rsidRPr="00136A0B">
              <w:t>45% minimum</w:t>
            </w:r>
          </w:p>
        </w:tc>
        <w:tc>
          <w:tcPr>
            <w:tcW w:w="2079" w:type="dxa"/>
            <w:tcBorders>
              <w:top w:val="single" w:sz="6" w:space="0" w:color="000000"/>
            </w:tcBorders>
            <w:vAlign w:val="center"/>
          </w:tcPr>
          <w:p w14:paraId="3B148BF5" w14:textId="77777777" w:rsidR="00355D38" w:rsidRPr="00136A0B" w:rsidRDefault="00355D38" w:rsidP="001F6932">
            <w:pPr>
              <w:pStyle w:val="TableCen"/>
            </w:pPr>
            <w:r w:rsidRPr="00136A0B">
              <w:t>40% minimum</w:t>
            </w:r>
          </w:p>
        </w:tc>
        <w:tc>
          <w:tcPr>
            <w:tcW w:w="2080" w:type="dxa"/>
            <w:tcBorders>
              <w:top w:val="single" w:sz="6" w:space="0" w:color="000000"/>
            </w:tcBorders>
            <w:vAlign w:val="center"/>
          </w:tcPr>
          <w:p w14:paraId="1E4A1670" w14:textId="77777777" w:rsidR="00355D38" w:rsidRPr="00136A0B" w:rsidRDefault="00355D38" w:rsidP="001F6932">
            <w:pPr>
              <w:pStyle w:val="TableCen"/>
              <w:rPr>
                <w:i/>
              </w:rPr>
            </w:pPr>
            <w:r w:rsidRPr="00136A0B">
              <w:rPr>
                <w:i/>
              </w:rPr>
              <w:t xml:space="preserve">AS 1141.42 </w:t>
            </w:r>
            <w:r w:rsidRPr="00136A0B">
              <w:t>or</w:t>
            </w:r>
            <w:r w:rsidRPr="00136A0B">
              <w:rPr>
                <w:i/>
              </w:rPr>
              <w:t xml:space="preserve"> </w:t>
            </w:r>
            <w:r w:rsidR="00731489" w:rsidRPr="00136A0B">
              <w:rPr>
                <w:i/>
              </w:rPr>
              <w:t>DTMR </w:t>
            </w:r>
            <w:r w:rsidRPr="00136A0B">
              <w:rPr>
                <w:i/>
              </w:rPr>
              <w:t>Q203</w:t>
            </w:r>
          </w:p>
        </w:tc>
      </w:tr>
      <w:tr w:rsidR="00355D38" w:rsidRPr="00136A0B" w14:paraId="784821EE" w14:textId="77777777" w:rsidTr="00E51447">
        <w:trPr>
          <w:cantSplit/>
          <w:trHeight w:val="340"/>
        </w:trPr>
        <w:tc>
          <w:tcPr>
            <w:tcW w:w="2551" w:type="dxa"/>
            <w:tcBorders>
              <w:top w:val="single" w:sz="6" w:space="0" w:color="000000"/>
            </w:tcBorders>
            <w:vAlign w:val="center"/>
          </w:tcPr>
          <w:p w14:paraId="3E09DBD9" w14:textId="77777777" w:rsidR="00355D38" w:rsidRPr="00136A0B" w:rsidRDefault="00355D38" w:rsidP="001F6932">
            <w:pPr>
              <w:pStyle w:val="Table"/>
            </w:pPr>
            <w:r w:rsidRPr="00136A0B">
              <w:t>Ten percent fines value (wet)</w:t>
            </w:r>
          </w:p>
        </w:tc>
        <w:tc>
          <w:tcPr>
            <w:tcW w:w="2079" w:type="dxa"/>
            <w:tcBorders>
              <w:top w:val="single" w:sz="6" w:space="0" w:color="000000"/>
            </w:tcBorders>
            <w:vAlign w:val="center"/>
          </w:tcPr>
          <w:p w14:paraId="1B43DCAA" w14:textId="77777777" w:rsidR="00355D38" w:rsidRPr="00136A0B" w:rsidRDefault="00355D38" w:rsidP="001F6932">
            <w:pPr>
              <w:pStyle w:val="TableCen"/>
            </w:pPr>
            <w:r w:rsidRPr="00136A0B">
              <w:t>150 kN minimum</w:t>
            </w:r>
          </w:p>
        </w:tc>
        <w:tc>
          <w:tcPr>
            <w:tcW w:w="2079" w:type="dxa"/>
            <w:tcBorders>
              <w:top w:val="single" w:sz="6" w:space="0" w:color="000000"/>
            </w:tcBorders>
            <w:vAlign w:val="center"/>
          </w:tcPr>
          <w:p w14:paraId="15752E84" w14:textId="77777777" w:rsidR="00355D38" w:rsidRPr="00136A0B" w:rsidRDefault="00355D38" w:rsidP="001F6932">
            <w:pPr>
              <w:pStyle w:val="TableCen"/>
            </w:pPr>
            <w:r w:rsidRPr="00136A0B">
              <w:t>150 kN minimum</w:t>
            </w:r>
          </w:p>
        </w:tc>
        <w:tc>
          <w:tcPr>
            <w:tcW w:w="2080" w:type="dxa"/>
            <w:tcBorders>
              <w:top w:val="single" w:sz="6" w:space="0" w:color="000000"/>
            </w:tcBorders>
            <w:vAlign w:val="center"/>
          </w:tcPr>
          <w:p w14:paraId="4B863FBD" w14:textId="77777777" w:rsidR="00355D38" w:rsidRPr="00136A0B" w:rsidRDefault="00A56CC7" w:rsidP="00A56CC7">
            <w:pPr>
              <w:pStyle w:val="TableCen"/>
              <w:rPr>
                <w:i/>
              </w:rPr>
            </w:pPr>
            <w:r w:rsidRPr="00136A0B">
              <w:rPr>
                <w:i/>
              </w:rPr>
              <w:t>AS 1141.22</w:t>
            </w:r>
          </w:p>
        </w:tc>
      </w:tr>
      <w:tr w:rsidR="00355D38" w:rsidRPr="00136A0B" w14:paraId="422AE3EE" w14:textId="77777777" w:rsidTr="00E51447">
        <w:trPr>
          <w:cantSplit/>
          <w:trHeight w:val="340"/>
        </w:trPr>
        <w:tc>
          <w:tcPr>
            <w:tcW w:w="2551" w:type="dxa"/>
            <w:tcBorders>
              <w:top w:val="single" w:sz="6" w:space="0" w:color="000000"/>
            </w:tcBorders>
            <w:vAlign w:val="center"/>
          </w:tcPr>
          <w:p w14:paraId="024A935D" w14:textId="77777777" w:rsidR="00355D38" w:rsidRPr="00136A0B" w:rsidRDefault="00355D38" w:rsidP="001F6932">
            <w:pPr>
              <w:pStyle w:val="Table"/>
            </w:pPr>
            <w:r w:rsidRPr="00136A0B">
              <w:t>Wet/dry strength variation</w:t>
            </w:r>
          </w:p>
        </w:tc>
        <w:tc>
          <w:tcPr>
            <w:tcW w:w="2079" w:type="dxa"/>
            <w:tcBorders>
              <w:top w:val="single" w:sz="6" w:space="0" w:color="000000"/>
            </w:tcBorders>
            <w:vAlign w:val="center"/>
          </w:tcPr>
          <w:p w14:paraId="0203F97B" w14:textId="77777777" w:rsidR="00355D38" w:rsidRPr="00136A0B" w:rsidRDefault="00355D38" w:rsidP="00137961">
            <w:pPr>
              <w:pStyle w:val="TableCen"/>
            </w:pPr>
            <w:r w:rsidRPr="00136A0B">
              <w:t>35% maximum</w:t>
            </w:r>
            <w:r w:rsidR="00137961" w:rsidRPr="0064234A">
              <w:rPr>
                <w:i/>
                <w:iCs/>
                <w:vertAlign w:val="superscript"/>
              </w:rPr>
              <w:t>(2)</w:t>
            </w:r>
          </w:p>
        </w:tc>
        <w:tc>
          <w:tcPr>
            <w:tcW w:w="2079" w:type="dxa"/>
            <w:tcBorders>
              <w:top w:val="single" w:sz="6" w:space="0" w:color="000000"/>
            </w:tcBorders>
            <w:vAlign w:val="center"/>
          </w:tcPr>
          <w:p w14:paraId="6D869AFB" w14:textId="77777777" w:rsidR="00355D38" w:rsidRPr="00136A0B" w:rsidRDefault="00355D38" w:rsidP="00137961">
            <w:pPr>
              <w:pStyle w:val="TableCen"/>
            </w:pPr>
            <w:r w:rsidRPr="00136A0B">
              <w:t>35% maximum</w:t>
            </w:r>
            <w:r w:rsidR="00137961" w:rsidRPr="0064234A">
              <w:rPr>
                <w:i/>
                <w:iCs/>
                <w:vertAlign w:val="superscript"/>
              </w:rPr>
              <w:t>(2)</w:t>
            </w:r>
          </w:p>
        </w:tc>
        <w:tc>
          <w:tcPr>
            <w:tcW w:w="2080" w:type="dxa"/>
            <w:tcBorders>
              <w:top w:val="single" w:sz="6" w:space="0" w:color="000000"/>
            </w:tcBorders>
            <w:vAlign w:val="center"/>
          </w:tcPr>
          <w:p w14:paraId="5FF481F8" w14:textId="77777777" w:rsidR="00355D38" w:rsidRPr="00136A0B" w:rsidRDefault="00355D38" w:rsidP="00A56CC7">
            <w:pPr>
              <w:pStyle w:val="TableCen"/>
              <w:rPr>
                <w:i/>
              </w:rPr>
            </w:pPr>
            <w:r w:rsidRPr="00136A0B">
              <w:rPr>
                <w:i/>
              </w:rPr>
              <w:t>AS 1141.22</w:t>
            </w:r>
          </w:p>
        </w:tc>
      </w:tr>
      <w:tr w:rsidR="00355D38" w:rsidRPr="00136A0B" w14:paraId="011CA2D3" w14:textId="77777777" w:rsidTr="00E51447">
        <w:trPr>
          <w:cantSplit/>
          <w:trHeight w:val="340"/>
        </w:trPr>
        <w:tc>
          <w:tcPr>
            <w:tcW w:w="2551" w:type="dxa"/>
            <w:tcBorders>
              <w:top w:val="single" w:sz="6" w:space="0" w:color="000000"/>
            </w:tcBorders>
            <w:vAlign w:val="center"/>
          </w:tcPr>
          <w:p w14:paraId="0276FD54" w14:textId="77777777" w:rsidR="00355D38" w:rsidRPr="00136A0B" w:rsidRDefault="00355D38" w:rsidP="001F6932">
            <w:pPr>
              <w:pStyle w:val="Table"/>
            </w:pPr>
            <w:r w:rsidRPr="00136A0B">
              <w:t>Crushed faces</w:t>
            </w:r>
          </w:p>
        </w:tc>
        <w:tc>
          <w:tcPr>
            <w:tcW w:w="2079" w:type="dxa"/>
            <w:tcBorders>
              <w:top w:val="single" w:sz="6" w:space="0" w:color="000000"/>
            </w:tcBorders>
            <w:vAlign w:val="center"/>
          </w:tcPr>
          <w:p w14:paraId="29E12728" w14:textId="77777777" w:rsidR="00355D38" w:rsidRPr="00136A0B" w:rsidRDefault="00355D38" w:rsidP="00137961">
            <w:pPr>
              <w:pStyle w:val="TableCen"/>
            </w:pPr>
            <w:r w:rsidRPr="00136A0B">
              <w:t>80% minimum</w:t>
            </w:r>
            <w:r w:rsidR="00137961" w:rsidRPr="0064234A">
              <w:rPr>
                <w:i/>
                <w:iCs/>
                <w:vertAlign w:val="superscript"/>
              </w:rPr>
              <w:t>(3)</w:t>
            </w:r>
          </w:p>
        </w:tc>
        <w:tc>
          <w:tcPr>
            <w:tcW w:w="2079" w:type="dxa"/>
            <w:tcBorders>
              <w:top w:val="single" w:sz="6" w:space="0" w:color="000000"/>
            </w:tcBorders>
            <w:vAlign w:val="center"/>
          </w:tcPr>
          <w:p w14:paraId="3DA7E062" w14:textId="77777777" w:rsidR="00355D38" w:rsidRPr="00136A0B" w:rsidRDefault="00355D38" w:rsidP="00137961">
            <w:pPr>
              <w:pStyle w:val="TableCen"/>
            </w:pPr>
            <w:r w:rsidRPr="00136A0B">
              <w:t>80% minimum</w:t>
            </w:r>
            <w:r w:rsidR="00137961" w:rsidRPr="0064234A">
              <w:rPr>
                <w:i/>
                <w:iCs/>
                <w:vertAlign w:val="superscript"/>
              </w:rPr>
              <w:t>(3)</w:t>
            </w:r>
          </w:p>
        </w:tc>
        <w:tc>
          <w:tcPr>
            <w:tcW w:w="2080" w:type="dxa"/>
            <w:tcBorders>
              <w:top w:val="single" w:sz="6" w:space="0" w:color="000000"/>
            </w:tcBorders>
            <w:vAlign w:val="center"/>
          </w:tcPr>
          <w:p w14:paraId="6C57D894" w14:textId="77777777" w:rsidR="00355D38" w:rsidRPr="00136A0B" w:rsidRDefault="00A56CC7" w:rsidP="00A56CC7">
            <w:pPr>
              <w:pStyle w:val="TableCen"/>
              <w:rPr>
                <w:i/>
              </w:rPr>
            </w:pPr>
            <w:r w:rsidRPr="00136A0B">
              <w:rPr>
                <w:i/>
              </w:rPr>
              <w:t>AS 1141.18</w:t>
            </w:r>
          </w:p>
        </w:tc>
      </w:tr>
    </w:tbl>
    <w:p w14:paraId="429F3246" w14:textId="77777777" w:rsidR="00355D38" w:rsidRPr="00136A0B" w:rsidRDefault="00355D38" w:rsidP="00A56CC7">
      <w:pPr>
        <w:pStyle w:val="TableNote"/>
        <w:numPr>
          <w:ilvl w:val="0"/>
          <w:numId w:val="11"/>
        </w:numPr>
      </w:pPr>
      <w:r w:rsidRPr="00136A0B">
        <w:t>For aggregate with water absorption between 2% and 2.5%, project specific approval may be granted, provided that a history of satisfactory performance has been demonstrated and suitable adjustments to the mix properties have been made.</w:t>
      </w:r>
    </w:p>
    <w:p w14:paraId="7058750E" w14:textId="5C3EE5C6" w:rsidR="00A56CC7" w:rsidRPr="00136A0B" w:rsidRDefault="007E4464" w:rsidP="00137961">
      <w:pPr>
        <w:pStyle w:val="TableNote"/>
        <w:numPr>
          <w:ilvl w:val="0"/>
          <w:numId w:val="11"/>
        </w:numPr>
      </w:pPr>
      <w:r w:rsidRPr="00136A0B">
        <w:t>F</w:t>
      </w:r>
      <w:r w:rsidR="00137961" w:rsidRPr="00136A0B">
        <w:t xml:space="preserve">or Greenstone aggregate only, the stated maximum wet/dry strength variation </w:t>
      </w:r>
      <w:r w:rsidRPr="00136A0B">
        <w:t>does not apply</w:t>
      </w:r>
      <w:r w:rsidR="00137961" w:rsidRPr="00136A0B">
        <w:t xml:space="preserve"> provided</w:t>
      </w:r>
      <w:r w:rsidRPr="00136A0B">
        <w:t xml:space="preserve"> </w:t>
      </w:r>
      <w:r w:rsidR="00137961" w:rsidRPr="00136A0B">
        <w:t xml:space="preserve">that the wet ten percent fines value is at least </w:t>
      </w:r>
      <w:r w:rsidR="00137961" w:rsidRPr="00CB6B2A">
        <w:t>210</w:t>
      </w:r>
      <w:r w:rsidR="00D77A31" w:rsidRPr="00CB6B2A">
        <w:t> </w:t>
      </w:r>
      <w:r w:rsidR="00137961" w:rsidRPr="00CB6B2A">
        <w:t>k</w:t>
      </w:r>
      <w:r w:rsidR="00137961" w:rsidRPr="00136A0B">
        <w:t>N</w:t>
      </w:r>
      <w:r w:rsidRPr="00136A0B">
        <w:t>.</w:t>
      </w:r>
    </w:p>
    <w:p w14:paraId="0C8F8649" w14:textId="77777777" w:rsidR="00137961" w:rsidRPr="00136A0B" w:rsidRDefault="007E4464" w:rsidP="007E4464">
      <w:pPr>
        <w:pStyle w:val="TableNote"/>
        <w:numPr>
          <w:ilvl w:val="0"/>
          <w:numId w:val="11"/>
        </w:numPr>
      </w:pPr>
      <w:r w:rsidRPr="00136A0B">
        <w:t>Testing only required when aggregate is not obtained from a blasted face in a quarry.</w:t>
      </w:r>
    </w:p>
    <w:p w14:paraId="16C40D56" w14:textId="77777777" w:rsidR="003D0FCD" w:rsidRDefault="003D0FCD" w:rsidP="003D0FCD">
      <w:pPr>
        <w:pStyle w:val="BodyText"/>
        <w:rPr>
          <w:sz w:val="24"/>
        </w:rPr>
      </w:pPr>
      <w:r>
        <w:br w:type="page"/>
      </w:r>
    </w:p>
    <w:p w14:paraId="791F5D15" w14:textId="31EE1C65" w:rsidR="00355D38" w:rsidRPr="00136A0B" w:rsidRDefault="002C1F8E" w:rsidP="003D0FCD">
      <w:pPr>
        <w:pStyle w:val="Heading3"/>
      </w:pPr>
      <w:bookmarkStart w:id="14" w:name="_Toc76046364"/>
      <w:r w:rsidRPr="00136A0B">
        <w:lastRenderedPageBreak/>
        <w:t>Fine Aggregate</w:t>
      </w:r>
      <w:bookmarkEnd w:id="14"/>
    </w:p>
    <w:p w14:paraId="4342E22B" w14:textId="77777777" w:rsidR="00355D38" w:rsidRDefault="00355D38" w:rsidP="001F6932">
      <w:pPr>
        <w:pStyle w:val="BodyTextIndent"/>
      </w:pPr>
      <w:r w:rsidRPr="00215A04">
        <w:rPr>
          <w:u w:val="single"/>
        </w:rPr>
        <w:t>Material type</w:t>
      </w:r>
      <w:r>
        <w:t xml:space="preserve">: Natural sand and/or crushed rock or crushed gravel particles passing the 4.75 mm sieve.  </w:t>
      </w:r>
      <w:r>
        <w:rPr>
          <w:i/>
        </w:rPr>
        <w:t>Refer annexure</w:t>
      </w:r>
      <w:r>
        <w:t>.</w:t>
      </w:r>
    </w:p>
    <w:p w14:paraId="77EB690E" w14:textId="77777777" w:rsidR="00355D38" w:rsidRDefault="00355D38" w:rsidP="001F6932">
      <w:pPr>
        <w:pStyle w:val="BodyTextIndent"/>
      </w:pPr>
      <w:r w:rsidRPr="00215A04">
        <w:rPr>
          <w:u w:val="single"/>
        </w:rPr>
        <w:t>Material properties</w:t>
      </w:r>
      <w:r>
        <w:t>: The fine aggregate must be clean, hard, durable and free from clay (plasticity index of not more than 3%) and aggregations of fine materials, soil, organic matter and any other deleterious material.</w:t>
      </w:r>
      <w:r w:rsidR="004E3085">
        <w:t xml:space="preserve">  </w:t>
      </w:r>
      <w:r w:rsidR="00C73932">
        <w:t xml:space="preserve">The quantity of expansive clay minerals in the natural fines should be tested according to </w:t>
      </w:r>
      <w:r w:rsidR="00731489" w:rsidRPr="00731489">
        <w:rPr>
          <w:i/>
        </w:rPr>
        <w:t>DTMR</w:t>
      </w:r>
      <w:r w:rsidR="00731489" w:rsidRPr="00D373AD">
        <w:rPr>
          <w:i/>
        </w:rPr>
        <w:t> </w:t>
      </w:r>
      <w:r w:rsidR="00C73932" w:rsidRPr="001F6932">
        <w:rPr>
          <w:i/>
        </w:rPr>
        <w:t>Q129</w:t>
      </w:r>
      <w:r w:rsidR="00C73932">
        <w:t>, or a</w:t>
      </w:r>
      <w:r w:rsidR="004E3085">
        <w:t xml:space="preserve">lternatively </w:t>
      </w:r>
      <w:r w:rsidR="00C73932" w:rsidRPr="001F6932">
        <w:rPr>
          <w:i/>
        </w:rPr>
        <w:t>AS</w:t>
      </w:r>
      <w:r w:rsidR="00731489" w:rsidRPr="00D373AD">
        <w:rPr>
          <w:i/>
        </w:rPr>
        <w:t> </w:t>
      </w:r>
      <w:r w:rsidR="00C73932" w:rsidRPr="001F6932">
        <w:rPr>
          <w:i/>
        </w:rPr>
        <w:t>1141.66</w:t>
      </w:r>
      <w:r w:rsidR="004E3085">
        <w:t>.</w:t>
      </w:r>
      <w:r w:rsidR="00FC0E2C">
        <w:t xml:space="preserve">  The clay index value shall not exceed 2.2.</w:t>
      </w:r>
      <w:r>
        <w:t xml:space="preserve"> </w:t>
      </w:r>
      <w:r>
        <w:rPr>
          <w:i/>
        </w:rPr>
        <w:t xml:space="preserve"> Refer annexure</w:t>
      </w:r>
      <w:r>
        <w:t>.</w:t>
      </w:r>
    </w:p>
    <w:p w14:paraId="1D2A2B55" w14:textId="77777777" w:rsidR="00355D38" w:rsidRPr="002C1F8E" w:rsidRDefault="002C1F8E" w:rsidP="003D0FCD">
      <w:pPr>
        <w:pStyle w:val="Heading3"/>
      </w:pPr>
      <w:bookmarkStart w:id="15" w:name="_Toc76046365"/>
      <w:r w:rsidRPr="002C1F8E">
        <w:t>Filler</w:t>
      </w:r>
      <w:bookmarkEnd w:id="15"/>
    </w:p>
    <w:p w14:paraId="75CD2F6C" w14:textId="77777777" w:rsidR="00355D38" w:rsidRDefault="00355D38" w:rsidP="001F6932">
      <w:pPr>
        <w:pStyle w:val="BodyTextIndent"/>
      </w:pPr>
      <w:r w:rsidRPr="00215A04">
        <w:rPr>
          <w:u w:val="single"/>
        </w:rPr>
        <w:t>Material type</w:t>
      </w:r>
      <w:r w:rsidRPr="00136A0B">
        <w:t xml:space="preserve">: </w:t>
      </w:r>
      <w:r w:rsidR="00EB58AE" w:rsidRPr="00136A0B">
        <w:t>Combinations of n</w:t>
      </w:r>
      <w:r w:rsidRPr="00136A0B">
        <w:t>atural sand</w:t>
      </w:r>
      <w:r w:rsidR="00EB58AE" w:rsidRPr="00136A0B">
        <w:t>,</w:t>
      </w:r>
      <w:r w:rsidRPr="00136A0B">
        <w:t xml:space="preserve"> crushed rock</w:t>
      </w:r>
      <w:r w:rsidR="00EB58AE" w:rsidRPr="00136A0B">
        <w:t xml:space="preserve">, </w:t>
      </w:r>
      <w:r w:rsidRPr="00136A0B">
        <w:t>crushed gravel particles</w:t>
      </w:r>
      <w:r w:rsidR="00EB58AE" w:rsidRPr="00136A0B">
        <w:t xml:space="preserve">, any added recycled fines from asphalt plant dust extraction filters </w:t>
      </w:r>
      <w:r w:rsidRPr="00136A0B">
        <w:t xml:space="preserve">and added filler, with particle size smaller than 0.075 mm. </w:t>
      </w:r>
      <w:r w:rsidRPr="00136A0B">
        <w:rPr>
          <w:i/>
        </w:rPr>
        <w:t xml:space="preserve"> Refer annexure</w:t>
      </w:r>
      <w:r w:rsidRPr="00136A0B">
        <w:t>.</w:t>
      </w:r>
    </w:p>
    <w:p w14:paraId="5BA13061" w14:textId="77777777" w:rsidR="00355D38" w:rsidRDefault="00355D38" w:rsidP="001F6932">
      <w:pPr>
        <w:pStyle w:val="BodyTextIndent"/>
      </w:pPr>
      <w:r w:rsidRPr="00215A04">
        <w:rPr>
          <w:u w:val="single"/>
        </w:rPr>
        <w:t>Material properties</w:t>
      </w:r>
      <w:r>
        <w:t xml:space="preserve">: The filler mix must comply with the requirements of </w:t>
      </w:r>
      <w:r w:rsidR="001229BE" w:rsidRPr="001F6932">
        <w:rPr>
          <w:i/>
        </w:rPr>
        <w:t>AS 2150</w:t>
      </w:r>
      <w:r w:rsidR="001229BE">
        <w:t xml:space="preserve"> </w:t>
      </w:r>
      <w:r>
        <w:t>as appropriate.  Filler must be free from lumps, clay, organic matter and any other deleterious material.  The combined filler</w:t>
      </w:r>
      <w:r w:rsidR="0072027E">
        <w:t xml:space="preserve">, tested according to </w:t>
      </w:r>
      <w:r w:rsidR="0072027E" w:rsidRPr="001F6932">
        <w:rPr>
          <w:i/>
        </w:rPr>
        <w:t>AS 1141.17</w:t>
      </w:r>
      <w:r>
        <w:t xml:space="preserve"> must exhibit voids in the dry compacted filler of not less than 38%</w:t>
      </w:r>
      <w:r w:rsidR="001229BE">
        <w:t>; the material passing the 0.075</w:t>
      </w:r>
      <w:r w:rsidR="008940AC" w:rsidRPr="001F6932">
        <w:rPr>
          <w:i/>
        </w:rPr>
        <w:t> </w:t>
      </w:r>
      <w:r w:rsidR="001229BE">
        <w:t>mm sieve should be used</w:t>
      </w:r>
      <w:r w:rsidR="0072027E">
        <w:t xml:space="preserve"> for this test</w:t>
      </w:r>
      <w:r>
        <w:t>.</w:t>
      </w:r>
      <w:r w:rsidR="00C73932">
        <w:t xml:space="preserve">  The quantity of expansive clay minerals in the natural fines should be tested </w:t>
      </w:r>
      <w:r w:rsidR="00FC0E2C">
        <w:t xml:space="preserve">monthly </w:t>
      </w:r>
      <w:r w:rsidR="00C73932">
        <w:t xml:space="preserve">according to </w:t>
      </w:r>
      <w:r w:rsidR="00731489" w:rsidRPr="00731489">
        <w:rPr>
          <w:i/>
        </w:rPr>
        <w:t>DTMR</w:t>
      </w:r>
      <w:r w:rsidR="00731489" w:rsidRPr="00D373AD">
        <w:rPr>
          <w:i/>
        </w:rPr>
        <w:t> </w:t>
      </w:r>
      <w:r w:rsidR="00C73932" w:rsidRPr="001F6932">
        <w:rPr>
          <w:i/>
        </w:rPr>
        <w:t>Q129</w:t>
      </w:r>
      <w:r w:rsidR="00C73932">
        <w:t xml:space="preserve">, or alternatively </w:t>
      </w:r>
      <w:r w:rsidR="00C73932" w:rsidRPr="001F6932">
        <w:rPr>
          <w:i/>
        </w:rPr>
        <w:t>AS</w:t>
      </w:r>
      <w:r w:rsidR="00741A57" w:rsidRPr="001F6932">
        <w:rPr>
          <w:i/>
        </w:rPr>
        <w:t> </w:t>
      </w:r>
      <w:r w:rsidR="00C73932" w:rsidRPr="001F6932">
        <w:rPr>
          <w:i/>
        </w:rPr>
        <w:t>1141.66</w:t>
      </w:r>
      <w:r w:rsidR="00C73932">
        <w:t>.</w:t>
      </w:r>
      <w:r w:rsidR="00FC0E2C">
        <w:t xml:space="preserve">  The clay index value shall not exceed 2.2</w:t>
      </w:r>
      <w:r w:rsidR="001F6932">
        <w:t>.</w:t>
      </w:r>
      <w:r>
        <w:t xml:space="preserve"> </w:t>
      </w:r>
      <w:r>
        <w:rPr>
          <w:i/>
        </w:rPr>
        <w:t xml:space="preserve"> Refer annexure</w:t>
      </w:r>
      <w:r>
        <w:t>.</w:t>
      </w:r>
    </w:p>
    <w:p w14:paraId="51C9D3AD" w14:textId="77777777" w:rsidR="00355D38" w:rsidRDefault="00355D38" w:rsidP="001F6932">
      <w:pPr>
        <w:pStyle w:val="BodyTextIndent"/>
      </w:pPr>
      <w:r w:rsidRPr="00215A04">
        <w:rPr>
          <w:u w:val="single"/>
        </w:rPr>
        <w:t>Added filler</w:t>
      </w:r>
      <w:r>
        <w:t>: Material not derived from the aggregate components.</w:t>
      </w:r>
      <w:r w:rsidR="00581CC9">
        <w:t xml:space="preserve">  The use of added filler should be carefully considered in the mix design by assessing the stiffening effect of the different filler types.</w:t>
      </w:r>
      <w:r>
        <w:t xml:space="preserve"> </w:t>
      </w:r>
      <w:r>
        <w:rPr>
          <w:i/>
        </w:rPr>
        <w:t xml:space="preserve"> Refer annexure</w:t>
      </w:r>
      <w:r>
        <w:t>.</w:t>
      </w:r>
    </w:p>
    <w:p w14:paraId="46CA76E7" w14:textId="77777777" w:rsidR="00355D38" w:rsidRDefault="00355D38" w:rsidP="001F6932">
      <w:pPr>
        <w:pStyle w:val="BodyTextIndentDot"/>
      </w:pPr>
      <w:r>
        <w:t xml:space="preserve">Hydrated lime to </w:t>
      </w:r>
      <w:r w:rsidRPr="0089661D">
        <w:rPr>
          <w:i/>
        </w:rPr>
        <w:t>AS 1672.1</w:t>
      </w:r>
      <w:r>
        <w:t>.  Moisture content 3% maximum.</w:t>
      </w:r>
    </w:p>
    <w:p w14:paraId="60405AB3" w14:textId="77777777" w:rsidR="00355D38" w:rsidRDefault="00355D38" w:rsidP="001F6932">
      <w:pPr>
        <w:pStyle w:val="BodyTextIndentDot"/>
      </w:pPr>
      <w:r>
        <w:t xml:space="preserve">Fine grade fly ash to </w:t>
      </w:r>
      <w:r w:rsidRPr="0089661D">
        <w:rPr>
          <w:i/>
        </w:rPr>
        <w:t>AS 3582.1</w:t>
      </w:r>
      <w:r>
        <w:t>.  Moisture content 3% maximum, loss on ignition 4% maximum.</w:t>
      </w:r>
    </w:p>
    <w:p w14:paraId="1FE47C9D" w14:textId="77777777" w:rsidR="00355D38" w:rsidRDefault="00355D38" w:rsidP="001F6932">
      <w:pPr>
        <w:pStyle w:val="BodyTextIndentDot"/>
      </w:pPr>
      <w:r>
        <w:t>Cement kiln dust comprising solid material extracted from flue gases in the manufacture of Portland cement.  Moisture content 3% maximum, water soluble fraction maximum 20% by mass.</w:t>
      </w:r>
    </w:p>
    <w:p w14:paraId="1B8D68FB" w14:textId="77777777" w:rsidR="00355D38" w:rsidRDefault="00355D38" w:rsidP="001F6932">
      <w:pPr>
        <w:pStyle w:val="BodyTextIndentDot"/>
      </w:pPr>
      <w:r>
        <w:t xml:space="preserve">Slag to </w:t>
      </w:r>
      <w:r w:rsidRPr="0089661D">
        <w:rPr>
          <w:i/>
        </w:rPr>
        <w:t>AS 3582.2</w:t>
      </w:r>
      <w:r>
        <w:t>.  Moisture content 3% maximum.</w:t>
      </w:r>
    </w:p>
    <w:p w14:paraId="1B0125C6" w14:textId="77777777" w:rsidR="00355D38" w:rsidRDefault="00355D38" w:rsidP="001F6932">
      <w:pPr>
        <w:pStyle w:val="BodyTextIndentDot"/>
      </w:pPr>
      <w:r>
        <w:t>Ground limestone consisting of rock dust derived from the grinding of sound limestone.  Moisture content 3% maximum.</w:t>
      </w:r>
    </w:p>
    <w:p w14:paraId="1612E670" w14:textId="77777777" w:rsidR="00355D38" w:rsidRDefault="00355D38" w:rsidP="001F6932">
      <w:pPr>
        <w:pStyle w:val="BodyTextIndentDot"/>
      </w:pPr>
      <w:r>
        <w:t xml:space="preserve">Cement to </w:t>
      </w:r>
      <w:r w:rsidRPr="0089661D">
        <w:rPr>
          <w:i/>
        </w:rPr>
        <w:t>AS 3972</w:t>
      </w:r>
      <w:r>
        <w:t>.  Moisture content 3% maximum.</w:t>
      </w:r>
    </w:p>
    <w:p w14:paraId="6E1F116E" w14:textId="77777777" w:rsidR="00355D38" w:rsidRDefault="001F6932" w:rsidP="003D0FCD">
      <w:pPr>
        <w:pStyle w:val="Heading3"/>
      </w:pPr>
      <w:bookmarkStart w:id="16" w:name="_Toc76046366"/>
      <w:r>
        <w:t>B</w:t>
      </w:r>
      <w:r w:rsidR="00355D38">
        <w:t>inder</w:t>
      </w:r>
      <w:bookmarkEnd w:id="16"/>
    </w:p>
    <w:p w14:paraId="38EC9263" w14:textId="04B06A87" w:rsidR="00355D38" w:rsidRDefault="00355D38" w:rsidP="001F6932">
      <w:pPr>
        <w:pStyle w:val="BodyTextIndent"/>
      </w:pPr>
      <w:r w:rsidRPr="00215A04">
        <w:rPr>
          <w:u w:val="single"/>
        </w:rPr>
        <w:t>Types</w:t>
      </w:r>
      <w:r>
        <w:t>: Class</w:t>
      </w:r>
      <w:r w:rsidR="00A04827">
        <w:t> </w:t>
      </w:r>
      <w:r>
        <w:t>170 residual bitumen or Class 320 residual bitumen or Class </w:t>
      </w:r>
      <w:r w:rsidR="000F64E0">
        <w:t>M</w:t>
      </w:r>
      <w:r>
        <w:t>1000</w:t>
      </w:r>
      <w:r w:rsidR="00731489">
        <w:t xml:space="preserve"> </w:t>
      </w:r>
      <w:r>
        <w:t xml:space="preserve">multigrade, as nominated in Table 4.3.  </w:t>
      </w:r>
      <w:r>
        <w:rPr>
          <w:i/>
        </w:rPr>
        <w:t>Refer annexure</w:t>
      </w:r>
      <w:r>
        <w:t>.</w:t>
      </w:r>
    </w:p>
    <w:p w14:paraId="66B8A951" w14:textId="77777777" w:rsidR="00355D38" w:rsidRDefault="00355D38" w:rsidP="001F6932">
      <w:pPr>
        <w:pStyle w:val="BodyTextIndent"/>
      </w:pPr>
      <w:r w:rsidRPr="00215A04">
        <w:rPr>
          <w:u w:val="single"/>
        </w:rPr>
        <w:t>Residual bitumen</w:t>
      </w:r>
      <w:r>
        <w:t xml:space="preserve">: Conform to the requirements of </w:t>
      </w:r>
      <w:r w:rsidRPr="001F6932">
        <w:rPr>
          <w:i/>
        </w:rPr>
        <w:t>AS 2008</w:t>
      </w:r>
      <w:r>
        <w:t>.</w:t>
      </w:r>
    </w:p>
    <w:p w14:paraId="554481F5" w14:textId="38937004" w:rsidR="00017429" w:rsidRDefault="00017429" w:rsidP="001F6932">
      <w:pPr>
        <w:pStyle w:val="BodyTextIndent"/>
      </w:pPr>
      <w:r w:rsidRPr="00215A04">
        <w:rPr>
          <w:u w:val="single"/>
        </w:rPr>
        <w:t>Multigrade binder</w:t>
      </w:r>
      <w:r w:rsidRPr="00017429">
        <w:t xml:space="preserve">: Conform to the requirements of </w:t>
      </w:r>
      <w:r w:rsidRPr="00017429">
        <w:rPr>
          <w:i/>
        </w:rPr>
        <w:t>AS 2008 Table 3.2</w:t>
      </w:r>
      <w:r w:rsidRPr="00017429">
        <w:t>.  Viscosity at 60</w:t>
      </w:r>
      <w:r w:rsidR="00CB6B2A">
        <w:rPr>
          <w:rFonts w:cs="Arial"/>
        </w:rPr>
        <w:t>°</w:t>
      </w:r>
      <w:r w:rsidRPr="00017429">
        <w:t>C (</w:t>
      </w:r>
      <w:r w:rsidR="000D4C25" w:rsidRPr="000D4C25">
        <w:rPr>
          <w:i/>
        </w:rPr>
        <w:t>AS/NZS 2341.2</w:t>
      </w:r>
      <w:r w:rsidRPr="00017429">
        <w:t xml:space="preserve"> or other agreed method) after RTFOT test (</w:t>
      </w:r>
      <w:r w:rsidRPr="00017429">
        <w:rPr>
          <w:i/>
        </w:rPr>
        <w:t>AS/NZS 2341.10</w:t>
      </w:r>
      <w:r w:rsidRPr="00017429">
        <w:t>) shall be between 3,500</w:t>
      </w:r>
      <w:bookmarkStart w:id="17" w:name="_Hlk41895580"/>
      <w:r w:rsidRPr="00017429">
        <w:rPr>
          <w:i/>
        </w:rPr>
        <w:t> </w:t>
      </w:r>
      <w:bookmarkEnd w:id="17"/>
      <w:r w:rsidRPr="00017429">
        <w:t>Pas and 6,500</w:t>
      </w:r>
      <w:r w:rsidRPr="00017429">
        <w:rPr>
          <w:i/>
        </w:rPr>
        <w:t> </w:t>
      </w:r>
      <w:r w:rsidRPr="00017429">
        <w:t>Pas.</w:t>
      </w:r>
    </w:p>
    <w:p w14:paraId="403A85AC" w14:textId="77777777" w:rsidR="00355D38" w:rsidRDefault="000F64E0" w:rsidP="001F6932">
      <w:pPr>
        <w:pStyle w:val="BodyTextIndent"/>
      </w:pPr>
      <w:r>
        <w:t>Minimum testing frequencies</w:t>
      </w:r>
      <w:r w:rsidR="001932DA">
        <w:t xml:space="preserve"> should be</w:t>
      </w:r>
      <w:r>
        <w:t xml:space="preserve"> determined as follow</w:t>
      </w:r>
      <w:r w:rsidR="00E96D45">
        <w:t>s</w:t>
      </w:r>
      <w:r w:rsidR="001932DA">
        <w:t>:</w:t>
      </w:r>
    </w:p>
    <w:p w14:paraId="2026E004" w14:textId="77777777" w:rsidR="001932DA" w:rsidRDefault="001932DA" w:rsidP="001F6932">
      <w:pPr>
        <w:pStyle w:val="BodyTextIndentDot"/>
      </w:pPr>
      <w:r>
        <w:t>annually: flash point, loss on heating</w:t>
      </w:r>
    </w:p>
    <w:p w14:paraId="0E6CCCB4" w14:textId="0B3D13C9" w:rsidR="001932DA" w:rsidRDefault="001932DA" w:rsidP="001F6932">
      <w:pPr>
        <w:pStyle w:val="BodyTextIndentDot"/>
      </w:pPr>
      <w:r>
        <w:t xml:space="preserve">each batch: penetration at </w:t>
      </w:r>
      <w:r w:rsidRPr="001932DA">
        <w:t>25</w:t>
      </w:r>
      <w:r w:rsidR="00CB6B2A">
        <w:rPr>
          <w:rFonts w:cs="Arial"/>
        </w:rPr>
        <w:t>°</w:t>
      </w:r>
      <w:r w:rsidRPr="001932DA">
        <w:t>C</w:t>
      </w:r>
    </w:p>
    <w:p w14:paraId="7EF5C14C" w14:textId="77777777" w:rsidR="001932DA" w:rsidRDefault="001932DA" w:rsidP="001F6932">
      <w:pPr>
        <w:pStyle w:val="BodyTextIndentDot"/>
      </w:pPr>
      <w:r>
        <w:t>3-monthly: all other properties</w:t>
      </w:r>
      <w:r w:rsidR="00741A57">
        <w:t xml:space="preserve"> according to </w:t>
      </w:r>
      <w:r w:rsidR="000D4C25" w:rsidRPr="000D4C25">
        <w:rPr>
          <w:i/>
        </w:rPr>
        <w:t>Table 2.2 of AS 2008</w:t>
      </w:r>
      <w:r>
        <w:t>.</w:t>
      </w:r>
    </w:p>
    <w:p w14:paraId="35056B62" w14:textId="77777777" w:rsidR="00355D38" w:rsidRPr="00136A0B" w:rsidRDefault="002C1F8E" w:rsidP="003D0FCD">
      <w:pPr>
        <w:pStyle w:val="Heading3"/>
      </w:pPr>
      <w:bookmarkStart w:id="18" w:name="_Toc76046367"/>
      <w:r w:rsidRPr="00136A0B">
        <w:t>Reclaimed Asphalt Pavement</w:t>
      </w:r>
      <w:r w:rsidR="00C75A3C" w:rsidRPr="00136A0B">
        <w:t xml:space="preserve"> (RAP)</w:t>
      </w:r>
      <w:bookmarkEnd w:id="18"/>
    </w:p>
    <w:p w14:paraId="7FC8D353" w14:textId="2079D27A" w:rsidR="00BF0188" w:rsidRPr="00136A0B" w:rsidRDefault="00BF0188" w:rsidP="00BF0188">
      <w:pPr>
        <w:pStyle w:val="BodyTextIndent"/>
      </w:pPr>
      <w:r w:rsidRPr="00215A04">
        <w:rPr>
          <w:u w:val="single"/>
        </w:rPr>
        <w:t>General</w:t>
      </w:r>
      <w:r w:rsidRPr="00136A0B">
        <w:t xml:space="preserve">: Obtain RAP from milling and excavation of existing asphalt layers.  RAP must be </w:t>
      </w:r>
      <w:r w:rsidR="00E228A5" w:rsidRPr="00136A0B">
        <w:t>process</w:t>
      </w:r>
      <w:r w:rsidR="006C53DF" w:rsidRPr="00136A0B">
        <w:t>sed</w:t>
      </w:r>
      <w:r w:rsidRPr="00136A0B">
        <w:t xml:space="preserve"> before incorporation in the asphalt mix.  It must be a well graded, free flowing, consistent product with maximum particle size appropriate to the required asphalt grading.  Australian Asphalt Pavement Association’s </w:t>
      </w:r>
      <w:r w:rsidRPr="00136A0B">
        <w:rPr>
          <w:i/>
        </w:rPr>
        <w:t>Reclaimed Asphalt Pavement (RAP) Management Plan</w:t>
      </w:r>
      <w:r w:rsidRPr="00136A0B">
        <w:t xml:space="preserve"> provides guidance</w:t>
      </w:r>
      <w:r w:rsidR="00C75A3C" w:rsidRPr="00136A0B">
        <w:t xml:space="preserve"> on processing RAP.</w:t>
      </w:r>
    </w:p>
    <w:p w14:paraId="56600F90" w14:textId="6CE90264" w:rsidR="00355D38" w:rsidRPr="00136A0B" w:rsidRDefault="00355D38" w:rsidP="00DE5B45">
      <w:pPr>
        <w:pStyle w:val="BodyTextIndent"/>
      </w:pPr>
      <w:r w:rsidRPr="00215A04">
        <w:rPr>
          <w:u w:val="single"/>
        </w:rPr>
        <w:lastRenderedPageBreak/>
        <w:t>Requirement</w:t>
      </w:r>
      <w:r w:rsidRPr="00136A0B">
        <w:t xml:space="preserve">: </w:t>
      </w:r>
      <w:r w:rsidR="002A0A1E">
        <w:t>R</w:t>
      </w:r>
      <w:r w:rsidR="002A0A1E" w:rsidRPr="00136A0B">
        <w:t xml:space="preserve">eclaimed </w:t>
      </w:r>
      <w:r w:rsidRPr="00136A0B">
        <w:t xml:space="preserve">asphalt pavement (RAP) may be used as part of the materials for the asphalt manufacture, subject to meeting all the requirements of this clause.  Do not incorporate RAP in asphalt mix unless the Superintendent gives approval in writing.  A maximum of 20% (by weight) RAP may be used.  The properties of the combined mix must conform to those specified for the </w:t>
      </w:r>
      <w:r w:rsidR="002E6395" w:rsidRPr="00136A0B">
        <w:t xml:space="preserve">asphalt </w:t>
      </w:r>
      <w:r w:rsidRPr="00136A0B">
        <w:t xml:space="preserve">mix that does not have </w:t>
      </w:r>
      <w:r w:rsidR="00C3063A" w:rsidRPr="00136A0B">
        <w:t>RAP</w:t>
      </w:r>
      <w:r w:rsidRPr="00136A0B">
        <w:t xml:space="preserve">.  </w:t>
      </w:r>
      <w:r w:rsidRPr="00136A0B">
        <w:rPr>
          <w:i/>
        </w:rPr>
        <w:t>Refer annexure</w:t>
      </w:r>
      <w:r w:rsidRPr="00136A0B">
        <w:t>.</w:t>
      </w:r>
    </w:p>
    <w:p w14:paraId="3E41DD41" w14:textId="77777777" w:rsidR="00355D38" w:rsidRPr="00136A0B" w:rsidRDefault="00355D38" w:rsidP="00DE5B45">
      <w:pPr>
        <w:pStyle w:val="BodyTextIndent"/>
      </w:pPr>
      <w:r w:rsidRPr="00215A04">
        <w:rPr>
          <w:u w:val="single"/>
        </w:rPr>
        <w:t>Foreign material</w:t>
      </w:r>
      <w:r w:rsidRPr="00136A0B">
        <w:t>: RAP must be free from contamination by foreign materials such as uncoated base course stone, broken concrete, crumbed rubber or clay binder.</w:t>
      </w:r>
    </w:p>
    <w:p w14:paraId="7FD1ED90" w14:textId="77777777" w:rsidR="00F65EF2" w:rsidRPr="00136A0B" w:rsidRDefault="003E6523" w:rsidP="003D0FCD">
      <w:pPr>
        <w:pStyle w:val="Heading3"/>
      </w:pPr>
      <w:bookmarkStart w:id="19" w:name="_Toc76046368"/>
      <w:r w:rsidRPr="00136A0B">
        <w:t>Granulat</w:t>
      </w:r>
      <w:r w:rsidR="009570F0" w:rsidRPr="00136A0B">
        <w:t>e</w:t>
      </w:r>
      <w:r w:rsidRPr="00136A0B">
        <w:t>d Glass Aggregate</w:t>
      </w:r>
      <w:bookmarkEnd w:id="19"/>
    </w:p>
    <w:p w14:paraId="33939D2E" w14:textId="259A61E2" w:rsidR="00483D64" w:rsidRPr="00136A0B" w:rsidRDefault="00F65EF2" w:rsidP="00215A04">
      <w:pPr>
        <w:pStyle w:val="BodyTextdot"/>
      </w:pPr>
      <w:r w:rsidRPr="00215A04">
        <w:rPr>
          <w:u w:val="single"/>
        </w:rPr>
        <w:t>Requirement</w:t>
      </w:r>
      <w:r w:rsidRPr="00136A0B">
        <w:t xml:space="preserve">: Granulated glass aggregate means </w:t>
      </w:r>
      <w:r w:rsidR="004E08D0" w:rsidRPr="00136A0B">
        <w:t>recycled glass cullet</w:t>
      </w:r>
      <w:r w:rsidRPr="00136A0B">
        <w:t xml:space="preserve"> that has been processed </w:t>
      </w:r>
      <w:r w:rsidR="00483D64" w:rsidRPr="00136A0B">
        <w:t xml:space="preserve">and crushed </w:t>
      </w:r>
      <w:r w:rsidRPr="00136A0B">
        <w:t xml:space="preserve">to produce a ‘sand-like’ </w:t>
      </w:r>
      <w:r w:rsidR="004E08D0" w:rsidRPr="00136A0B">
        <w:t xml:space="preserve">cubical </w:t>
      </w:r>
      <w:r w:rsidRPr="00136A0B">
        <w:t xml:space="preserve">glass material with a particle size diameter generally </w:t>
      </w:r>
      <w:r w:rsidR="004E08D0" w:rsidRPr="00136A0B">
        <w:t>passing the 4.75</w:t>
      </w:r>
      <w:r w:rsidR="00BE53D9" w:rsidRPr="00017429">
        <w:t> </w:t>
      </w:r>
      <w:r w:rsidR="004E08D0" w:rsidRPr="00136A0B">
        <w:t>mm AS sieve</w:t>
      </w:r>
      <w:r w:rsidRPr="00136A0B">
        <w:t>, and that contains at least 98% recovered glass.</w:t>
      </w:r>
    </w:p>
    <w:p w14:paraId="4101CEE5" w14:textId="77777777" w:rsidR="00F65EF2" w:rsidRPr="00136A0B" w:rsidRDefault="004E08D0" w:rsidP="004E08D0">
      <w:pPr>
        <w:pStyle w:val="BodyTextIndent"/>
      </w:pPr>
      <w:r w:rsidRPr="00136A0B">
        <w:t>Glass cullet shall be primarily container glass and shall not include glass from ceramics, cathode ray tubes, fluorescent light fittings and laboratory glassware</w:t>
      </w:r>
      <w:r w:rsidR="00483D64" w:rsidRPr="00136A0B">
        <w:t xml:space="preserve">.  It shall be </w:t>
      </w:r>
      <w:r w:rsidRPr="00136A0B">
        <w:t>cubical in shape, not sharp edged or elongated</w:t>
      </w:r>
      <w:r w:rsidR="007E64F9" w:rsidRPr="00136A0B">
        <w:t>.</w:t>
      </w:r>
    </w:p>
    <w:p w14:paraId="7D6AF138" w14:textId="77777777" w:rsidR="006F4FDA" w:rsidRPr="00136A0B" w:rsidRDefault="006F4FDA" w:rsidP="006F4FDA">
      <w:pPr>
        <w:pStyle w:val="BodyTextIndent"/>
      </w:pPr>
      <w:r w:rsidRPr="00215A04">
        <w:rPr>
          <w:u w:val="single"/>
        </w:rPr>
        <w:t>Foreign material</w:t>
      </w:r>
      <w:r w:rsidRPr="00136A0B">
        <w:t>: Granulated glass aggregate shall be generally free of contaminants such as paper, corks, metals, and other harmful materials (maximum limit of 2% by mass).  It must be free of any putrid odour.</w:t>
      </w:r>
    </w:p>
    <w:p w14:paraId="0AB4DCDF" w14:textId="214326A0" w:rsidR="00483D64" w:rsidRPr="00136A0B" w:rsidRDefault="008B277D" w:rsidP="004E08D0">
      <w:pPr>
        <w:pStyle w:val="BodyTextIndent"/>
      </w:pPr>
      <w:r w:rsidRPr="00215A04">
        <w:rPr>
          <w:u w:val="single"/>
        </w:rPr>
        <w:t>Limitation</w:t>
      </w:r>
      <w:r w:rsidRPr="00136A0B">
        <w:t xml:space="preserve">: </w:t>
      </w:r>
      <w:r w:rsidR="007E64F9" w:rsidRPr="00136A0B">
        <w:t xml:space="preserve">Asphalt </w:t>
      </w:r>
      <w:r w:rsidRPr="00136A0B">
        <w:t xml:space="preserve">mix </w:t>
      </w:r>
      <w:r w:rsidR="00E54875">
        <w:t>T</w:t>
      </w:r>
      <w:r w:rsidR="00E54875" w:rsidRPr="00136A0B">
        <w:t>ypes</w:t>
      </w:r>
      <w:r w:rsidR="00F2437F" w:rsidRPr="00136A0B">
        <w:t> </w:t>
      </w:r>
      <w:r w:rsidRPr="00136A0B">
        <w:t xml:space="preserve">1, 2 and 3 </w:t>
      </w:r>
      <w:r w:rsidR="007E64F9" w:rsidRPr="00136A0B">
        <w:t>may contain a proportion of granulated glass aggregate not exceeding 2.5% of the total mix.</w:t>
      </w:r>
      <w:r w:rsidRPr="00136A0B">
        <w:t xml:space="preserve">  Asphalt mix </w:t>
      </w:r>
      <w:r w:rsidR="00E54875">
        <w:t>T</w:t>
      </w:r>
      <w:r w:rsidR="00E54875" w:rsidRPr="00136A0B">
        <w:t>ype</w:t>
      </w:r>
      <w:r w:rsidR="00F2437F" w:rsidRPr="00136A0B">
        <w:t> </w:t>
      </w:r>
      <w:r w:rsidRPr="00136A0B">
        <w:t>4 may contain a proportion of granulated glass aggregate not exceeding 5% of the total mix.</w:t>
      </w:r>
    </w:p>
    <w:p w14:paraId="5789FD4D" w14:textId="77777777" w:rsidR="006550D4" w:rsidRPr="00136A0B" w:rsidRDefault="003E6523" w:rsidP="003D0FCD">
      <w:pPr>
        <w:pStyle w:val="Heading3"/>
      </w:pPr>
      <w:bookmarkStart w:id="20" w:name="_Toc76046369"/>
      <w:r w:rsidRPr="00136A0B">
        <w:t>W</w:t>
      </w:r>
      <w:r w:rsidR="006550D4" w:rsidRPr="00136A0B">
        <w:t xml:space="preserve">arm </w:t>
      </w:r>
      <w:r w:rsidRPr="00136A0B">
        <w:t>M</w:t>
      </w:r>
      <w:r w:rsidR="006550D4" w:rsidRPr="00136A0B">
        <w:t xml:space="preserve">ix </w:t>
      </w:r>
      <w:r w:rsidRPr="00136A0B">
        <w:t>A</w:t>
      </w:r>
      <w:r w:rsidR="006550D4" w:rsidRPr="00136A0B">
        <w:t xml:space="preserve">sphalt </w:t>
      </w:r>
      <w:r w:rsidRPr="00136A0B">
        <w:t>A</w:t>
      </w:r>
      <w:r w:rsidR="006550D4" w:rsidRPr="00136A0B">
        <w:t>dditive</w:t>
      </w:r>
      <w:bookmarkEnd w:id="20"/>
    </w:p>
    <w:p w14:paraId="63C745D7" w14:textId="77777777" w:rsidR="006550D4" w:rsidRPr="00136A0B" w:rsidRDefault="006550D4" w:rsidP="006550D4">
      <w:pPr>
        <w:pStyle w:val="BodyTextIndent"/>
      </w:pPr>
      <w:r w:rsidRPr="00273EA4">
        <w:rPr>
          <w:u w:val="single"/>
        </w:rPr>
        <w:t>General</w:t>
      </w:r>
      <w:r w:rsidRPr="00136A0B">
        <w:t>: Warm mix asphalt additive may be added to asphalt to reduce the asphalt manufacturing temperature and/or to improve workability during the paving and compaction operations</w:t>
      </w:r>
      <w:r w:rsidR="00B55EE4" w:rsidRPr="00136A0B">
        <w:t>.</w:t>
      </w:r>
    </w:p>
    <w:p w14:paraId="6ECF4542" w14:textId="77777777" w:rsidR="006550D4" w:rsidRPr="00136A0B" w:rsidRDefault="006550D4" w:rsidP="006550D4">
      <w:pPr>
        <w:pStyle w:val="BodyTextIndent"/>
      </w:pPr>
      <w:r w:rsidRPr="00273EA4">
        <w:rPr>
          <w:u w:val="single"/>
        </w:rPr>
        <w:t>Requirement</w:t>
      </w:r>
      <w:r w:rsidRPr="00136A0B">
        <w:t xml:space="preserve">: </w:t>
      </w:r>
      <w:r w:rsidR="002163ED" w:rsidRPr="00136A0B">
        <w:t>Provide details of the m</w:t>
      </w:r>
      <w:r w:rsidR="00B55EE4" w:rsidRPr="00136A0B">
        <w:t xml:space="preserve">aximum proportion of additive in warm mix asphalt </w:t>
      </w:r>
      <w:r w:rsidR="002163ED" w:rsidRPr="00136A0B">
        <w:t>and how it is to be incorporated into the asphalt.</w:t>
      </w:r>
    </w:p>
    <w:p w14:paraId="20A0F45B" w14:textId="77777777" w:rsidR="006550D4" w:rsidRPr="00136A0B" w:rsidRDefault="002163ED" w:rsidP="004E08D0">
      <w:pPr>
        <w:pStyle w:val="BodyTextIndent"/>
      </w:pPr>
      <w:r w:rsidRPr="00136A0B">
        <w:t xml:space="preserve">Where a warm mix asphalt additive is included and a lower temperature </w:t>
      </w:r>
      <w:r w:rsidR="00426EB3" w:rsidRPr="00136A0B">
        <w:t>is used for the compaction of laboratory specimens than that specified in Q305</w:t>
      </w:r>
      <w:r w:rsidRPr="00136A0B">
        <w:t xml:space="preserve">, </w:t>
      </w:r>
      <w:r w:rsidR="00426EB3" w:rsidRPr="00136A0B">
        <w:t xml:space="preserve">provide evidence to </w:t>
      </w:r>
      <w:r w:rsidRPr="00136A0B">
        <w:t>demonstrat</w:t>
      </w:r>
      <w:r w:rsidR="00426EB3" w:rsidRPr="00136A0B">
        <w:t>e</w:t>
      </w:r>
      <w:r w:rsidRPr="00136A0B">
        <w:t xml:space="preserve"> the suitability of the temperature adopted. </w:t>
      </w:r>
    </w:p>
    <w:p w14:paraId="59CB18CE" w14:textId="18280036" w:rsidR="00355D38" w:rsidRPr="00136A0B" w:rsidRDefault="00CA2DC7" w:rsidP="003D0FCD">
      <w:pPr>
        <w:pStyle w:val="Heading2"/>
      </w:pPr>
      <w:bookmarkStart w:id="21" w:name="_Toc76046370"/>
      <w:r w:rsidRPr="00136A0B">
        <w:rPr>
          <w:caps w:val="0"/>
        </w:rPr>
        <w:t>ASPHALT MIX DESIGN</w:t>
      </w:r>
      <w:bookmarkEnd w:id="21"/>
    </w:p>
    <w:p w14:paraId="5F837731" w14:textId="77777777" w:rsidR="00355D38" w:rsidRPr="00136A0B" w:rsidRDefault="00E857D4" w:rsidP="003D0FCD">
      <w:pPr>
        <w:pStyle w:val="Heading3"/>
      </w:pPr>
      <w:bookmarkStart w:id="22" w:name="_Toc76046371"/>
      <w:r w:rsidRPr="00136A0B">
        <w:t>General</w:t>
      </w:r>
      <w:bookmarkEnd w:id="22"/>
    </w:p>
    <w:p w14:paraId="51808344" w14:textId="62080D2D" w:rsidR="00355D38" w:rsidRDefault="00355D38" w:rsidP="00DE5B45">
      <w:pPr>
        <w:pStyle w:val="BodyTextIndent"/>
      </w:pPr>
      <w:r w:rsidRPr="00273EA4">
        <w:rPr>
          <w:u w:val="single"/>
        </w:rPr>
        <w:t>Mix design applications</w:t>
      </w:r>
      <w:r w:rsidRPr="00136A0B">
        <w:t>: In accordance with</w:t>
      </w:r>
      <w:r w:rsidRPr="00136A0B">
        <w:rPr>
          <w:i/>
        </w:rPr>
        <w:t xml:space="preserve"> </w:t>
      </w:r>
      <w:r w:rsidR="00E54875">
        <w:rPr>
          <w:i/>
        </w:rPr>
        <w:t>Reference Sp</w:t>
      </w:r>
      <w:r w:rsidR="00C93358">
        <w:rPr>
          <w:i/>
        </w:rPr>
        <w:t xml:space="preserve">ecification </w:t>
      </w:r>
      <w:r w:rsidRPr="00136A0B">
        <w:rPr>
          <w:i/>
        </w:rPr>
        <w:t>S150 Roadworks Clause</w:t>
      </w:r>
      <w:r w:rsidR="00E54875" w:rsidRPr="00017429">
        <w:rPr>
          <w:i/>
        </w:rPr>
        <w:t> </w:t>
      </w:r>
      <w:r w:rsidRPr="00136A0B">
        <w:rPr>
          <w:i/>
        </w:rPr>
        <w:t>4.0</w:t>
      </w:r>
      <w:r w:rsidRPr="00136A0B">
        <w:t xml:space="preserve"> for Brisbane City Council (BCC) mixes.</w:t>
      </w:r>
    </w:p>
    <w:p w14:paraId="4A38BA31" w14:textId="69EE67D0" w:rsidR="00355D38" w:rsidRDefault="00355D38" w:rsidP="00DE5B45">
      <w:pPr>
        <w:pStyle w:val="BodyTextIndent"/>
      </w:pPr>
      <w:r w:rsidRPr="00273EA4">
        <w:rPr>
          <w:u w:val="single"/>
        </w:rPr>
        <w:t>Mix substitution</w:t>
      </w:r>
      <w:r>
        <w:t xml:space="preserve">: Do not substitute </w:t>
      </w:r>
      <w:r w:rsidR="00C93358">
        <w:t xml:space="preserve">Brisbane City Council </w:t>
      </w:r>
      <w:r>
        <w:t xml:space="preserve">mixes with the alternative Queensland Department of </w:t>
      </w:r>
      <w:r w:rsidR="0005234E">
        <w:t xml:space="preserve">Transport and </w:t>
      </w:r>
      <w:r>
        <w:t>Main Roads (</w:t>
      </w:r>
      <w:r w:rsidR="007961EA">
        <w:t>D</w:t>
      </w:r>
      <w:r w:rsidR="0005234E">
        <w:t>T</w:t>
      </w:r>
      <w:r>
        <w:t>MR) dense graded asphalt mixes listed in Table 4.1, unless prior approval is obtained from Brisbane City Council.</w:t>
      </w:r>
      <w:r w:rsidR="00BB6E3D">
        <w:t xml:space="preserve">  The same binder type as the BCC mixes are to used in substitute mixes.</w:t>
      </w:r>
    </w:p>
    <w:p w14:paraId="7D4BD89E" w14:textId="77777777" w:rsidR="00C75A3C" w:rsidRDefault="00C75A3C" w:rsidP="00C75A3C">
      <w:pPr>
        <w:pStyle w:val="BodyTextIndent"/>
      </w:pPr>
      <w:r w:rsidRPr="00273EA4">
        <w:rPr>
          <w:u w:val="single"/>
        </w:rPr>
        <w:t>Alternative DTMR asphalt mix</w:t>
      </w:r>
      <w:r>
        <w:t xml:space="preserve">: Where approval is granted by Brisbane City Council to substitute mix, comply with the requirements of the Queensland Department of Transport and Main Roads standard specification </w:t>
      </w:r>
      <w:r>
        <w:rPr>
          <w:i/>
        </w:rPr>
        <w:t>MRTS30</w:t>
      </w:r>
      <w:r>
        <w:t> </w:t>
      </w:r>
      <w:r>
        <w:rPr>
          <w:i/>
        </w:rPr>
        <w:t xml:space="preserve">Dense Graded and Open Graded Asphalt </w:t>
      </w:r>
      <w:r>
        <w:t>for limits of layer thickness, type and proportions of constituent materials, and mix properties.  Do not use polymer modified binder in the alternative asphalt mix</w:t>
      </w:r>
      <w:r w:rsidR="0099400E">
        <w:t xml:space="preserve"> without written</w:t>
      </w:r>
      <w:r w:rsidR="0099400E" w:rsidRPr="0099400E">
        <w:t xml:space="preserve"> approval </w:t>
      </w:r>
      <w:r w:rsidR="0099400E">
        <w:t>from</w:t>
      </w:r>
      <w:r w:rsidR="0099400E" w:rsidRPr="0099400E">
        <w:t xml:space="preserve"> the Superintendent</w:t>
      </w:r>
      <w:r>
        <w:t>.</w:t>
      </w:r>
    </w:p>
    <w:p w14:paraId="00324017" w14:textId="77777777" w:rsidR="003D0FCD" w:rsidRDefault="003D0FCD" w:rsidP="003D0FCD">
      <w:pPr>
        <w:pStyle w:val="BodyText"/>
        <w:rPr>
          <w:sz w:val="18"/>
        </w:rPr>
      </w:pPr>
      <w:r>
        <w:br w:type="page"/>
      </w:r>
    </w:p>
    <w:p w14:paraId="61C21809" w14:textId="23DD69D8" w:rsidR="00355D38" w:rsidRPr="0083782B" w:rsidRDefault="00355D38" w:rsidP="004A32D0">
      <w:pPr>
        <w:pStyle w:val="TableIDNum"/>
      </w:pPr>
      <w:r w:rsidRPr="004A32D0">
        <w:lastRenderedPageBreak/>
        <w:t>Table</w:t>
      </w:r>
      <w:r w:rsidR="004A32D0" w:rsidRPr="004A32D0">
        <w:t> </w:t>
      </w:r>
      <w:r w:rsidRPr="0083782B">
        <w:t>4.1 - Alternative asphalt mixes</w:t>
      </w:r>
    </w:p>
    <w:tbl>
      <w:tblPr>
        <w:tblW w:w="8789" w:type="dxa"/>
        <w:tblInd w:w="70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2906"/>
        <w:gridCol w:w="2906"/>
        <w:gridCol w:w="2977"/>
      </w:tblGrid>
      <w:tr w:rsidR="00355D38" w14:paraId="29DE66D7" w14:textId="77777777" w:rsidTr="00F21B86">
        <w:trPr>
          <w:cantSplit/>
          <w:trHeight w:val="397"/>
          <w:tblHeader/>
        </w:trPr>
        <w:tc>
          <w:tcPr>
            <w:tcW w:w="5812" w:type="dxa"/>
            <w:gridSpan w:val="2"/>
            <w:tcBorders>
              <w:top w:val="single" w:sz="12" w:space="0" w:color="000000"/>
              <w:left w:val="nil"/>
              <w:bottom w:val="single" w:sz="2" w:space="0" w:color="auto"/>
              <w:right w:val="nil"/>
            </w:tcBorders>
            <w:shd w:val="pct10" w:color="auto" w:fill="auto"/>
            <w:vAlign w:val="center"/>
          </w:tcPr>
          <w:p w14:paraId="6E210E2C" w14:textId="77777777" w:rsidR="00355D38" w:rsidRDefault="00355D38" w:rsidP="00546822">
            <w:pPr>
              <w:pStyle w:val="TableHeadCen"/>
            </w:pPr>
            <w:r>
              <w:t>Brisbane City Council mix</w:t>
            </w:r>
          </w:p>
        </w:tc>
        <w:tc>
          <w:tcPr>
            <w:tcW w:w="2977" w:type="dxa"/>
            <w:vMerge w:val="restart"/>
            <w:tcBorders>
              <w:top w:val="single" w:sz="12" w:space="0" w:color="000000"/>
              <w:left w:val="nil"/>
              <w:bottom w:val="single" w:sz="12" w:space="0" w:color="auto"/>
              <w:right w:val="nil"/>
            </w:tcBorders>
            <w:shd w:val="pct10" w:color="auto" w:fill="auto"/>
            <w:vAlign w:val="center"/>
          </w:tcPr>
          <w:p w14:paraId="0529A653" w14:textId="77777777" w:rsidR="00355D38" w:rsidRDefault="00355D38" w:rsidP="00546822">
            <w:pPr>
              <w:pStyle w:val="TableHeadCen"/>
            </w:pPr>
            <w:r>
              <w:t xml:space="preserve">Alternative </w:t>
            </w:r>
            <w:r w:rsidR="00731489">
              <w:t>D</w:t>
            </w:r>
            <w:r w:rsidR="00413B03">
              <w:t>TMR</w:t>
            </w:r>
            <w:r>
              <w:t xml:space="preserve"> mix</w:t>
            </w:r>
          </w:p>
        </w:tc>
      </w:tr>
      <w:tr w:rsidR="00355D38" w:rsidRPr="00136A0B" w14:paraId="30CDB501" w14:textId="77777777" w:rsidTr="00F21B86">
        <w:trPr>
          <w:cantSplit/>
          <w:trHeight w:val="397"/>
        </w:trPr>
        <w:tc>
          <w:tcPr>
            <w:tcW w:w="2906" w:type="dxa"/>
            <w:tcBorders>
              <w:top w:val="single" w:sz="2" w:space="0" w:color="auto"/>
              <w:left w:val="nil"/>
              <w:bottom w:val="single" w:sz="12" w:space="0" w:color="auto"/>
              <w:right w:val="nil"/>
            </w:tcBorders>
            <w:shd w:val="pct10" w:color="auto" w:fill="auto"/>
            <w:vAlign w:val="center"/>
          </w:tcPr>
          <w:p w14:paraId="541C11C8" w14:textId="77777777" w:rsidR="00355D38" w:rsidRPr="00136A0B" w:rsidRDefault="00355D38" w:rsidP="00546822">
            <w:pPr>
              <w:pStyle w:val="TableHeadCen"/>
            </w:pPr>
            <w:r w:rsidRPr="00136A0B">
              <w:t>Classification</w:t>
            </w:r>
          </w:p>
        </w:tc>
        <w:tc>
          <w:tcPr>
            <w:tcW w:w="2906" w:type="dxa"/>
            <w:tcBorders>
              <w:top w:val="single" w:sz="2" w:space="0" w:color="auto"/>
              <w:left w:val="nil"/>
              <w:bottom w:val="single" w:sz="12" w:space="0" w:color="auto"/>
              <w:right w:val="nil"/>
            </w:tcBorders>
            <w:shd w:val="pct10" w:color="auto" w:fill="auto"/>
            <w:vAlign w:val="center"/>
          </w:tcPr>
          <w:p w14:paraId="53E31107" w14:textId="77777777" w:rsidR="00355D38" w:rsidRPr="00136A0B" w:rsidRDefault="00355D38" w:rsidP="00546822">
            <w:pPr>
              <w:pStyle w:val="TableHeadCen"/>
            </w:pPr>
            <w:r w:rsidRPr="00136A0B">
              <w:t>Nominal aggregate size</w:t>
            </w:r>
            <w:r w:rsidR="00C04283" w:rsidRPr="00273EA4">
              <w:rPr>
                <w:b w:val="0"/>
                <w:bCs/>
                <w:i/>
                <w:iCs/>
                <w:vertAlign w:val="superscript"/>
              </w:rPr>
              <w:t>(1)</w:t>
            </w:r>
          </w:p>
        </w:tc>
        <w:tc>
          <w:tcPr>
            <w:tcW w:w="2977" w:type="dxa"/>
            <w:vMerge/>
            <w:tcBorders>
              <w:top w:val="nil"/>
              <w:left w:val="nil"/>
              <w:bottom w:val="single" w:sz="12" w:space="0" w:color="auto"/>
              <w:right w:val="nil"/>
            </w:tcBorders>
            <w:shd w:val="pct10" w:color="auto" w:fill="auto"/>
          </w:tcPr>
          <w:p w14:paraId="49111E8C" w14:textId="77777777" w:rsidR="00355D38" w:rsidRPr="00136A0B" w:rsidRDefault="00355D38">
            <w:pPr>
              <w:pStyle w:val="Notes"/>
              <w:spacing w:before="60"/>
              <w:jc w:val="center"/>
              <w:rPr>
                <w:rFonts w:ascii="Arial" w:hAnsi="Arial"/>
              </w:rPr>
            </w:pPr>
          </w:p>
        </w:tc>
      </w:tr>
      <w:tr w:rsidR="00355D38" w:rsidRPr="00136A0B" w14:paraId="3E87CFCB" w14:textId="77777777" w:rsidTr="00F21B86">
        <w:trPr>
          <w:cantSplit/>
          <w:trHeight w:val="340"/>
        </w:trPr>
        <w:tc>
          <w:tcPr>
            <w:tcW w:w="2906" w:type="dxa"/>
            <w:tcBorders>
              <w:top w:val="nil"/>
              <w:bottom w:val="single" w:sz="6" w:space="0" w:color="000000"/>
            </w:tcBorders>
            <w:vAlign w:val="center"/>
          </w:tcPr>
          <w:p w14:paraId="5EA5C087" w14:textId="0DC3A68C" w:rsidR="00355D38" w:rsidRPr="009154FE" w:rsidRDefault="00355D38" w:rsidP="009154FE">
            <w:pPr>
              <w:pStyle w:val="TableCen"/>
            </w:pPr>
            <w:r w:rsidRPr="009154FE">
              <w:t>Type</w:t>
            </w:r>
            <w:r w:rsidR="00C93358" w:rsidRPr="00273EA4">
              <w:t> </w:t>
            </w:r>
            <w:r w:rsidRPr="009154FE">
              <w:t>1</w:t>
            </w:r>
          </w:p>
        </w:tc>
        <w:tc>
          <w:tcPr>
            <w:tcW w:w="2906" w:type="dxa"/>
            <w:tcBorders>
              <w:top w:val="nil"/>
              <w:bottom w:val="single" w:sz="6" w:space="0" w:color="000000"/>
            </w:tcBorders>
            <w:vAlign w:val="center"/>
          </w:tcPr>
          <w:p w14:paraId="17D7DABB" w14:textId="77777777" w:rsidR="00355D38" w:rsidRPr="00136A0B" w:rsidRDefault="00355D38" w:rsidP="003516EE">
            <w:pPr>
              <w:pStyle w:val="TableCen"/>
            </w:pPr>
            <w:r w:rsidRPr="00136A0B">
              <w:t>5</w:t>
            </w:r>
            <w:r w:rsidR="003516EE" w:rsidRPr="00136A0B">
              <w:t> </w:t>
            </w:r>
            <w:r w:rsidRPr="00136A0B">
              <w:t>mm</w:t>
            </w:r>
          </w:p>
        </w:tc>
        <w:tc>
          <w:tcPr>
            <w:tcW w:w="2977" w:type="dxa"/>
            <w:tcBorders>
              <w:top w:val="nil"/>
              <w:bottom w:val="single" w:sz="6" w:space="0" w:color="000000"/>
            </w:tcBorders>
            <w:vAlign w:val="center"/>
          </w:tcPr>
          <w:p w14:paraId="4EEEE9AF" w14:textId="77777777" w:rsidR="00355D38" w:rsidRPr="00136A0B" w:rsidRDefault="00731489" w:rsidP="00546822">
            <w:pPr>
              <w:pStyle w:val="TableCen"/>
            </w:pPr>
            <w:r w:rsidRPr="00136A0B">
              <w:t>AC7</w:t>
            </w:r>
            <w:r w:rsidR="004971E9" w:rsidRPr="00136A0B">
              <w:t>M</w:t>
            </w:r>
          </w:p>
        </w:tc>
      </w:tr>
      <w:tr w:rsidR="00731489" w:rsidRPr="00136A0B" w14:paraId="0E9DDE3D" w14:textId="77777777" w:rsidTr="00F21B86">
        <w:trPr>
          <w:cantSplit/>
          <w:trHeight w:val="340"/>
        </w:trPr>
        <w:tc>
          <w:tcPr>
            <w:tcW w:w="2906" w:type="dxa"/>
            <w:tcBorders>
              <w:top w:val="single" w:sz="6" w:space="0" w:color="000000"/>
              <w:bottom w:val="single" w:sz="6" w:space="0" w:color="000000"/>
            </w:tcBorders>
            <w:vAlign w:val="center"/>
          </w:tcPr>
          <w:p w14:paraId="7B3B63D4" w14:textId="25D8EEDA" w:rsidR="00731489" w:rsidRPr="009154FE" w:rsidRDefault="00731489" w:rsidP="009154FE">
            <w:pPr>
              <w:pStyle w:val="TableCen"/>
            </w:pPr>
            <w:r w:rsidRPr="009154FE">
              <w:t>Type</w:t>
            </w:r>
            <w:r w:rsidR="009154FE" w:rsidRPr="00273EA4">
              <w:t> </w:t>
            </w:r>
            <w:r w:rsidRPr="009154FE">
              <w:t>2</w:t>
            </w:r>
          </w:p>
        </w:tc>
        <w:tc>
          <w:tcPr>
            <w:tcW w:w="2906" w:type="dxa"/>
            <w:tcBorders>
              <w:top w:val="single" w:sz="6" w:space="0" w:color="000000"/>
              <w:bottom w:val="single" w:sz="6" w:space="0" w:color="000000"/>
            </w:tcBorders>
            <w:vAlign w:val="center"/>
          </w:tcPr>
          <w:p w14:paraId="3071A7FD" w14:textId="77777777" w:rsidR="00731489" w:rsidRPr="00136A0B" w:rsidRDefault="00731489" w:rsidP="003516EE">
            <w:pPr>
              <w:pStyle w:val="TableCen"/>
            </w:pPr>
            <w:r w:rsidRPr="00136A0B">
              <w:t>10 mm</w:t>
            </w:r>
          </w:p>
        </w:tc>
        <w:tc>
          <w:tcPr>
            <w:tcW w:w="2977" w:type="dxa"/>
            <w:tcBorders>
              <w:top w:val="single" w:sz="6" w:space="0" w:color="000000"/>
              <w:bottom w:val="single" w:sz="6" w:space="0" w:color="000000"/>
            </w:tcBorders>
            <w:vAlign w:val="center"/>
          </w:tcPr>
          <w:p w14:paraId="13466503" w14:textId="77777777" w:rsidR="00731489" w:rsidRPr="00136A0B" w:rsidRDefault="00731489" w:rsidP="00546822">
            <w:pPr>
              <w:pStyle w:val="TableCen"/>
            </w:pPr>
            <w:r w:rsidRPr="00136A0B">
              <w:t>AC10</w:t>
            </w:r>
            <w:r w:rsidR="004971E9" w:rsidRPr="00136A0B">
              <w:t>M</w:t>
            </w:r>
          </w:p>
        </w:tc>
      </w:tr>
      <w:tr w:rsidR="00731489" w:rsidRPr="00136A0B" w14:paraId="317782EB" w14:textId="77777777" w:rsidTr="00F21B86">
        <w:trPr>
          <w:cantSplit/>
          <w:trHeight w:val="340"/>
        </w:trPr>
        <w:tc>
          <w:tcPr>
            <w:tcW w:w="2906" w:type="dxa"/>
            <w:tcBorders>
              <w:top w:val="single" w:sz="6" w:space="0" w:color="000000"/>
              <w:bottom w:val="single" w:sz="6" w:space="0" w:color="000000"/>
            </w:tcBorders>
            <w:vAlign w:val="center"/>
          </w:tcPr>
          <w:p w14:paraId="59637BD6" w14:textId="0E4FD832" w:rsidR="00731489" w:rsidRPr="009154FE" w:rsidRDefault="00731489" w:rsidP="009154FE">
            <w:pPr>
              <w:pStyle w:val="TableCen"/>
            </w:pPr>
            <w:r w:rsidRPr="009154FE">
              <w:t>Type</w:t>
            </w:r>
            <w:r w:rsidR="009154FE" w:rsidRPr="00273EA4">
              <w:t> </w:t>
            </w:r>
            <w:r w:rsidRPr="009154FE">
              <w:t>3</w:t>
            </w:r>
          </w:p>
        </w:tc>
        <w:tc>
          <w:tcPr>
            <w:tcW w:w="2906" w:type="dxa"/>
            <w:tcBorders>
              <w:top w:val="single" w:sz="6" w:space="0" w:color="000000"/>
              <w:bottom w:val="single" w:sz="6" w:space="0" w:color="000000"/>
            </w:tcBorders>
            <w:vAlign w:val="center"/>
          </w:tcPr>
          <w:p w14:paraId="5892AAFD" w14:textId="77777777" w:rsidR="00731489" w:rsidRPr="00136A0B" w:rsidRDefault="00731489" w:rsidP="00E72676">
            <w:pPr>
              <w:pStyle w:val="TableCen"/>
            </w:pPr>
            <w:r w:rsidRPr="00136A0B">
              <w:t>1</w:t>
            </w:r>
            <w:r w:rsidR="00E72676" w:rsidRPr="00136A0B">
              <w:t>4</w:t>
            </w:r>
            <w:r w:rsidRPr="00136A0B">
              <w:t> mm</w:t>
            </w:r>
          </w:p>
        </w:tc>
        <w:tc>
          <w:tcPr>
            <w:tcW w:w="2977" w:type="dxa"/>
            <w:tcBorders>
              <w:top w:val="single" w:sz="6" w:space="0" w:color="000000"/>
              <w:bottom w:val="single" w:sz="6" w:space="0" w:color="000000"/>
            </w:tcBorders>
            <w:vAlign w:val="center"/>
          </w:tcPr>
          <w:p w14:paraId="0DB69B7B" w14:textId="77777777" w:rsidR="00731489" w:rsidRPr="00136A0B" w:rsidRDefault="00731489" w:rsidP="00546822">
            <w:pPr>
              <w:pStyle w:val="TableCen"/>
            </w:pPr>
            <w:r w:rsidRPr="00136A0B">
              <w:t>AC14</w:t>
            </w:r>
            <w:r w:rsidR="004971E9" w:rsidRPr="00136A0B">
              <w:t>M</w:t>
            </w:r>
          </w:p>
        </w:tc>
      </w:tr>
      <w:tr w:rsidR="00731489" w:rsidRPr="00136A0B" w14:paraId="45E6929F" w14:textId="77777777" w:rsidTr="00F21B86">
        <w:trPr>
          <w:cantSplit/>
          <w:trHeight w:val="340"/>
        </w:trPr>
        <w:tc>
          <w:tcPr>
            <w:tcW w:w="2906" w:type="dxa"/>
            <w:tcBorders>
              <w:top w:val="single" w:sz="6" w:space="0" w:color="000000"/>
            </w:tcBorders>
            <w:vAlign w:val="center"/>
          </w:tcPr>
          <w:p w14:paraId="50E644EA" w14:textId="2825B614" w:rsidR="00731489" w:rsidRPr="009154FE" w:rsidRDefault="00731489" w:rsidP="009154FE">
            <w:pPr>
              <w:pStyle w:val="TableCen"/>
            </w:pPr>
            <w:r w:rsidRPr="009154FE">
              <w:t>Type</w:t>
            </w:r>
            <w:r w:rsidR="009154FE" w:rsidRPr="00273EA4">
              <w:t> </w:t>
            </w:r>
            <w:r w:rsidRPr="009154FE">
              <w:t>4</w:t>
            </w:r>
          </w:p>
        </w:tc>
        <w:tc>
          <w:tcPr>
            <w:tcW w:w="2906" w:type="dxa"/>
            <w:tcBorders>
              <w:top w:val="single" w:sz="6" w:space="0" w:color="000000"/>
            </w:tcBorders>
            <w:vAlign w:val="center"/>
          </w:tcPr>
          <w:p w14:paraId="2CEEB327" w14:textId="77777777" w:rsidR="00731489" w:rsidRPr="00136A0B" w:rsidRDefault="00731489" w:rsidP="003516EE">
            <w:pPr>
              <w:pStyle w:val="TableCen"/>
            </w:pPr>
            <w:r w:rsidRPr="00136A0B">
              <w:t>35 mm</w:t>
            </w:r>
          </w:p>
        </w:tc>
        <w:tc>
          <w:tcPr>
            <w:tcW w:w="2977" w:type="dxa"/>
            <w:tcBorders>
              <w:top w:val="single" w:sz="6" w:space="0" w:color="000000"/>
            </w:tcBorders>
            <w:vAlign w:val="center"/>
          </w:tcPr>
          <w:p w14:paraId="5C5BB975" w14:textId="77777777" w:rsidR="00731489" w:rsidRPr="00136A0B" w:rsidRDefault="00731489" w:rsidP="00546822">
            <w:pPr>
              <w:pStyle w:val="TableCen"/>
            </w:pPr>
            <w:r w:rsidRPr="00136A0B">
              <w:t>AC20</w:t>
            </w:r>
            <w:r w:rsidR="004971E9" w:rsidRPr="00136A0B">
              <w:t>M</w:t>
            </w:r>
          </w:p>
        </w:tc>
      </w:tr>
    </w:tbl>
    <w:p w14:paraId="3993C4CA" w14:textId="77777777" w:rsidR="00355D38" w:rsidRPr="00136A0B" w:rsidRDefault="00C04283">
      <w:pPr>
        <w:pStyle w:val="BodyTextIndent3"/>
        <w:spacing w:before="60"/>
      </w:pPr>
      <w:r w:rsidRPr="00273EA4">
        <w:rPr>
          <w:i/>
          <w:iCs/>
          <w:vertAlign w:val="superscript"/>
        </w:rPr>
        <w:t>(1)</w:t>
      </w:r>
      <w:r w:rsidR="00546822" w:rsidRPr="00136A0B">
        <w:tab/>
      </w:r>
      <w:r w:rsidR="009D64FC" w:rsidRPr="00136A0B">
        <w:t>Designation</w:t>
      </w:r>
      <w:r w:rsidR="00355D38" w:rsidRPr="00136A0B">
        <w:t xml:space="preserve"> for a mix chosen to give an indication of the largest particle present</w:t>
      </w:r>
      <w:r w:rsidR="002F0F7A" w:rsidRPr="00136A0B">
        <w:t xml:space="preserve">; </w:t>
      </w:r>
      <w:r w:rsidR="00413B03" w:rsidRPr="00136A0B">
        <w:t>TMR</w:t>
      </w:r>
      <w:r w:rsidR="002F0F7A" w:rsidRPr="00136A0B">
        <w:t xml:space="preserve"> mixes are defined different</w:t>
      </w:r>
      <w:r w:rsidR="009D64FC" w:rsidRPr="00136A0B">
        <w:t>ly</w:t>
      </w:r>
      <w:r w:rsidR="002F0F7A" w:rsidRPr="00136A0B">
        <w:t>.</w:t>
      </w:r>
    </w:p>
    <w:p w14:paraId="74F149DA" w14:textId="77777777" w:rsidR="00355D38" w:rsidRPr="00136A0B" w:rsidRDefault="00E857D4" w:rsidP="003D0FCD">
      <w:pPr>
        <w:pStyle w:val="Heading3"/>
      </w:pPr>
      <w:bookmarkStart w:id="23" w:name="_Toc76046372"/>
      <w:r w:rsidRPr="00136A0B">
        <w:t>Grading</w:t>
      </w:r>
      <w:bookmarkEnd w:id="23"/>
    </w:p>
    <w:p w14:paraId="67AB338B" w14:textId="77777777" w:rsidR="00017429" w:rsidRDefault="00355D38" w:rsidP="00546822">
      <w:pPr>
        <w:pStyle w:val="BodyTextIndent"/>
      </w:pPr>
      <w:r w:rsidRPr="00273EA4">
        <w:rPr>
          <w:u w:val="single"/>
        </w:rPr>
        <w:t>Test method</w:t>
      </w:r>
      <w:r w:rsidRPr="00136A0B">
        <w:t xml:space="preserve">: </w:t>
      </w:r>
      <w:r w:rsidR="00017429" w:rsidRPr="00136A0B">
        <w:t>Testing for grading should be determined using solvent extraction (</w:t>
      </w:r>
      <w:r w:rsidR="00017429" w:rsidRPr="00136A0B">
        <w:rPr>
          <w:i/>
        </w:rPr>
        <w:t>AS 2891</w:t>
      </w:r>
      <w:r w:rsidR="00017429" w:rsidRPr="00E857D4">
        <w:rPr>
          <w:i/>
        </w:rPr>
        <w:t>.3</w:t>
      </w:r>
      <w:r w:rsidR="00017429">
        <w:rPr>
          <w:i/>
        </w:rPr>
        <w:t>.1</w:t>
      </w:r>
      <w:r w:rsidR="00017429" w:rsidRPr="00017429">
        <w:t>) or ignition oven (</w:t>
      </w:r>
      <w:r w:rsidR="00017429" w:rsidRPr="00C71F8C">
        <w:rPr>
          <w:i/>
        </w:rPr>
        <w:t>Austroads AGPT/T234</w:t>
      </w:r>
      <w:r w:rsidR="00017429" w:rsidRPr="00017429">
        <w:t xml:space="preserve">).  </w:t>
      </w:r>
      <w:r w:rsidR="00017429" w:rsidRPr="0090658E">
        <w:rPr>
          <w:i/>
        </w:rPr>
        <w:t>Refer annexure</w:t>
      </w:r>
      <w:r w:rsidR="00017429" w:rsidRPr="00017429">
        <w:t>.</w:t>
      </w:r>
      <w:r w:rsidR="00017429">
        <w:t xml:space="preserve"> </w:t>
      </w:r>
      <w:r w:rsidR="00017429" w:rsidRPr="00017429">
        <w:t xml:space="preserve">Test in accordance with </w:t>
      </w:r>
      <w:r w:rsidR="00017429" w:rsidRPr="0090658E">
        <w:rPr>
          <w:i/>
        </w:rPr>
        <w:t>AS</w:t>
      </w:r>
      <w:r w:rsidR="0090658E" w:rsidRPr="0090658E">
        <w:rPr>
          <w:i/>
        </w:rPr>
        <w:t> </w:t>
      </w:r>
      <w:r w:rsidR="00017429" w:rsidRPr="0090658E">
        <w:rPr>
          <w:i/>
        </w:rPr>
        <w:t>2891.3</w:t>
      </w:r>
      <w:r w:rsidR="004971E9">
        <w:rPr>
          <w:i/>
        </w:rPr>
        <w:t>.1</w:t>
      </w:r>
      <w:r w:rsidR="00017429" w:rsidRPr="00017429">
        <w:t xml:space="preserve"> or </w:t>
      </w:r>
      <w:r w:rsidR="00731489" w:rsidRPr="0090658E">
        <w:rPr>
          <w:i/>
        </w:rPr>
        <w:t>DTMR</w:t>
      </w:r>
      <w:r w:rsidR="00731489" w:rsidRPr="00E857D4">
        <w:rPr>
          <w:i/>
        </w:rPr>
        <w:t> </w:t>
      </w:r>
      <w:r w:rsidR="00017429" w:rsidRPr="0090658E">
        <w:rPr>
          <w:i/>
        </w:rPr>
        <w:t>Q308A</w:t>
      </w:r>
      <w:r w:rsidR="00017429" w:rsidRPr="00017429">
        <w:t xml:space="preserve"> and </w:t>
      </w:r>
      <w:r w:rsidR="0090658E" w:rsidRPr="0090658E">
        <w:rPr>
          <w:i/>
        </w:rPr>
        <w:t>DTMR</w:t>
      </w:r>
      <w:r w:rsidR="00731489" w:rsidRPr="00E857D4">
        <w:rPr>
          <w:i/>
        </w:rPr>
        <w:t> </w:t>
      </w:r>
      <w:r w:rsidR="00017429" w:rsidRPr="0090658E">
        <w:rPr>
          <w:i/>
        </w:rPr>
        <w:t>Q308D</w:t>
      </w:r>
      <w:r w:rsidR="00017429" w:rsidRPr="00017429">
        <w:t>.</w:t>
      </w:r>
    </w:p>
    <w:p w14:paraId="2DE5455F" w14:textId="77777777" w:rsidR="00355D38" w:rsidRDefault="00355D38" w:rsidP="00546822">
      <w:pPr>
        <w:pStyle w:val="BodyTextIndent"/>
      </w:pPr>
      <w:r w:rsidRPr="00273EA4">
        <w:rPr>
          <w:u w:val="single"/>
        </w:rPr>
        <w:t>Requirement</w:t>
      </w:r>
      <w:r>
        <w:t xml:space="preserve">: Grading of the combined mineral aggregates and added filler must comply with limits specified in Table 4.2.  The grading curve must be smooth and must not vary from the outer one-third of the range between the specified limits to the opposite one-third of the range between the specified limits for an adjacent sieve size. </w:t>
      </w:r>
      <w:r>
        <w:rPr>
          <w:i/>
        </w:rPr>
        <w:t xml:space="preserve"> Refer annexure</w:t>
      </w:r>
      <w:r>
        <w:t>.</w:t>
      </w:r>
    </w:p>
    <w:p w14:paraId="4FA31A3D" w14:textId="49C6F4C8" w:rsidR="00920A20" w:rsidRDefault="00920A20" w:rsidP="00920A20">
      <w:pPr>
        <w:pStyle w:val="BodyTextIndent"/>
      </w:pPr>
      <w:r w:rsidRPr="00273EA4">
        <w:rPr>
          <w:u w:val="single"/>
        </w:rPr>
        <w:t>Filler</w:t>
      </w:r>
      <w:r>
        <w:t>: Add filler as required to the combined mineral aggregates during the manufacture of the mix according to Section</w:t>
      </w:r>
      <w:r w:rsidR="004A32D0" w:rsidRPr="00136A0B">
        <w:t> </w:t>
      </w:r>
      <w:r>
        <w:t>3.3.</w:t>
      </w:r>
    </w:p>
    <w:p w14:paraId="3F327000" w14:textId="70A97C7D" w:rsidR="00004472" w:rsidRDefault="00004472" w:rsidP="00004472">
      <w:pPr>
        <w:pStyle w:val="TableIDNum"/>
      </w:pPr>
      <w:r>
        <w:t>Table</w:t>
      </w:r>
      <w:r w:rsidR="00C465D1" w:rsidRPr="004A32D0">
        <w:t> </w:t>
      </w:r>
      <w:r>
        <w:t>4.2 – Grading limits for combined aggregate and filler</w:t>
      </w:r>
    </w:p>
    <w:tbl>
      <w:tblPr>
        <w:tblW w:w="8789" w:type="dxa"/>
        <w:tblInd w:w="752" w:type="dxa"/>
        <w:tblBorders>
          <w:top w:val="single" w:sz="12" w:space="0" w:color="000000"/>
          <w:left w:val="nil"/>
          <w:bottom w:val="single" w:sz="12" w:space="0" w:color="000000"/>
          <w:right w:val="nil"/>
          <w:insideH w:val="nil"/>
          <w:insideV w:val="nil"/>
        </w:tblBorders>
        <w:tblLayout w:type="fixed"/>
        <w:tblCellMar>
          <w:left w:w="43" w:type="dxa"/>
          <w:right w:w="43" w:type="dxa"/>
        </w:tblCellMar>
        <w:tblLook w:val="00A0" w:firstRow="1" w:lastRow="0" w:firstColumn="1" w:lastColumn="0" w:noHBand="0" w:noVBand="0"/>
      </w:tblPr>
      <w:tblGrid>
        <w:gridCol w:w="2126"/>
        <w:gridCol w:w="1665"/>
        <w:gridCol w:w="1666"/>
        <w:gridCol w:w="1666"/>
        <w:gridCol w:w="1666"/>
      </w:tblGrid>
      <w:tr w:rsidR="00004472" w14:paraId="49A96B9A" w14:textId="77777777" w:rsidTr="00E72676">
        <w:trPr>
          <w:cantSplit/>
          <w:trHeight w:val="397"/>
          <w:tblHeader/>
        </w:trPr>
        <w:tc>
          <w:tcPr>
            <w:tcW w:w="2126" w:type="dxa"/>
            <w:vMerge w:val="restart"/>
            <w:tcBorders>
              <w:top w:val="single" w:sz="12" w:space="0" w:color="000000"/>
              <w:left w:val="nil"/>
              <w:bottom w:val="single" w:sz="2" w:space="0" w:color="000000"/>
              <w:right w:val="nil"/>
            </w:tcBorders>
            <w:shd w:val="pct10" w:color="auto" w:fill="auto"/>
            <w:vAlign w:val="center"/>
          </w:tcPr>
          <w:p w14:paraId="0CFF81AD" w14:textId="77777777" w:rsidR="00004472" w:rsidRDefault="00004472" w:rsidP="00E72676">
            <w:pPr>
              <w:pStyle w:val="TableHeadCen"/>
            </w:pPr>
            <w:r>
              <w:t>AS. sieve size (mm)</w:t>
            </w:r>
          </w:p>
        </w:tc>
        <w:tc>
          <w:tcPr>
            <w:tcW w:w="6663" w:type="dxa"/>
            <w:gridSpan w:val="4"/>
            <w:tcBorders>
              <w:top w:val="single" w:sz="12" w:space="0" w:color="000000"/>
              <w:left w:val="nil"/>
              <w:bottom w:val="single" w:sz="2" w:space="0" w:color="000000"/>
              <w:right w:val="nil"/>
            </w:tcBorders>
            <w:shd w:val="pct10" w:color="auto" w:fill="auto"/>
            <w:vAlign w:val="center"/>
          </w:tcPr>
          <w:p w14:paraId="411E7CE0" w14:textId="77777777" w:rsidR="00004472" w:rsidRDefault="00004472" w:rsidP="00E72676">
            <w:pPr>
              <w:pStyle w:val="TableHeadCen"/>
            </w:pPr>
            <w:r>
              <w:t>% passing by weight</w:t>
            </w:r>
          </w:p>
        </w:tc>
      </w:tr>
      <w:tr w:rsidR="00004472" w:rsidRPr="00136A0B" w14:paraId="4C3F1BAE" w14:textId="77777777" w:rsidTr="00E72676">
        <w:trPr>
          <w:cantSplit/>
          <w:trHeight w:val="397"/>
          <w:tblHeader/>
        </w:trPr>
        <w:tc>
          <w:tcPr>
            <w:tcW w:w="2126" w:type="dxa"/>
            <w:vMerge/>
            <w:tcBorders>
              <w:top w:val="single" w:sz="2" w:space="0" w:color="000000"/>
              <w:left w:val="nil"/>
              <w:bottom w:val="single" w:sz="12" w:space="0" w:color="000000"/>
              <w:right w:val="nil"/>
            </w:tcBorders>
            <w:shd w:val="pct10" w:color="auto" w:fill="auto"/>
          </w:tcPr>
          <w:p w14:paraId="0391BEB4" w14:textId="77777777" w:rsidR="00004472" w:rsidRDefault="00004472" w:rsidP="00E72676">
            <w:pPr>
              <w:pStyle w:val="Notes"/>
              <w:jc w:val="center"/>
              <w:rPr>
                <w:rFonts w:ascii="Arial" w:hAnsi="Arial"/>
                <w:b/>
                <w:color w:val="808080"/>
              </w:rPr>
            </w:pPr>
          </w:p>
        </w:tc>
        <w:tc>
          <w:tcPr>
            <w:tcW w:w="1665" w:type="dxa"/>
            <w:tcBorders>
              <w:top w:val="single" w:sz="2" w:space="0" w:color="000000"/>
              <w:left w:val="nil"/>
              <w:bottom w:val="single" w:sz="12" w:space="0" w:color="000000"/>
              <w:right w:val="nil"/>
            </w:tcBorders>
            <w:shd w:val="pct10" w:color="auto" w:fill="auto"/>
            <w:vAlign w:val="center"/>
          </w:tcPr>
          <w:p w14:paraId="094DA502" w14:textId="282D7BAD" w:rsidR="00004472" w:rsidRPr="00136A0B" w:rsidRDefault="00004472" w:rsidP="00E72676">
            <w:pPr>
              <w:pStyle w:val="TableHeadCen"/>
            </w:pPr>
            <w:r w:rsidRPr="00136A0B">
              <w:t xml:space="preserve">Mix </w:t>
            </w:r>
            <w:r w:rsidR="009154FE">
              <w:t>T</w:t>
            </w:r>
            <w:r w:rsidRPr="00136A0B">
              <w:t>ype</w:t>
            </w:r>
            <w:r w:rsidR="007513BC" w:rsidRPr="00136A0B">
              <w:t> </w:t>
            </w:r>
            <w:r w:rsidRPr="00136A0B">
              <w:t>1</w:t>
            </w:r>
          </w:p>
        </w:tc>
        <w:tc>
          <w:tcPr>
            <w:tcW w:w="1666" w:type="dxa"/>
            <w:tcBorders>
              <w:top w:val="single" w:sz="2" w:space="0" w:color="000000"/>
              <w:left w:val="nil"/>
              <w:bottom w:val="single" w:sz="12" w:space="0" w:color="000000"/>
              <w:right w:val="nil"/>
            </w:tcBorders>
            <w:shd w:val="pct10" w:color="auto" w:fill="auto"/>
            <w:vAlign w:val="center"/>
          </w:tcPr>
          <w:p w14:paraId="02BFF840" w14:textId="73EE747C" w:rsidR="00004472" w:rsidRPr="00136A0B" w:rsidRDefault="00004472" w:rsidP="00E72676">
            <w:pPr>
              <w:pStyle w:val="TableHeadCen"/>
            </w:pPr>
            <w:r w:rsidRPr="00136A0B">
              <w:t xml:space="preserve">Mix </w:t>
            </w:r>
            <w:r w:rsidR="009154FE">
              <w:t>T</w:t>
            </w:r>
            <w:r w:rsidR="009154FE" w:rsidRPr="00136A0B">
              <w:t>ype</w:t>
            </w:r>
            <w:r w:rsidR="007513BC" w:rsidRPr="00136A0B">
              <w:t> </w:t>
            </w:r>
            <w:r w:rsidRPr="00136A0B">
              <w:t>2</w:t>
            </w:r>
          </w:p>
        </w:tc>
        <w:tc>
          <w:tcPr>
            <w:tcW w:w="1666" w:type="dxa"/>
            <w:tcBorders>
              <w:top w:val="single" w:sz="2" w:space="0" w:color="000000"/>
              <w:left w:val="nil"/>
              <w:bottom w:val="single" w:sz="12" w:space="0" w:color="000000"/>
              <w:right w:val="nil"/>
            </w:tcBorders>
            <w:shd w:val="pct10" w:color="auto" w:fill="auto"/>
            <w:vAlign w:val="center"/>
          </w:tcPr>
          <w:p w14:paraId="19A35D69" w14:textId="1DF7B4AE" w:rsidR="00004472" w:rsidRPr="00136A0B" w:rsidRDefault="00004472" w:rsidP="00E72676">
            <w:pPr>
              <w:pStyle w:val="TableHeadCen"/>
            </w:pPr>
            <w:r w:rsidRPr="00136A0B">
              <w:t xml:space="preserve">Mix </w:t>
            </w:r>
            <w:r w:rsidR="009154FE">
              <w:t>T</w:t>
            </w:r>
            <w:r w:rsidR="009154FE" w:rsidRPr="00136A0B">
              <w:t>ype</w:t>
            </w:r>
            <w:r w:rsidR="007513BC" w:rsidRPr="00136A0B">
              <w:t> </w:t>
            </w:r>
            <w:r w:rsidRPr="00136A0B">
              <w:t>3</w:t>
            </w:r>
          </w:p>
        </w:tc>
        <w:tc>
          <w:tcPr>
            <w:tcW w:w="1666" w:type="dxa"/>
            <w:tcBorders>
              <w:top w:val="single" w:sz="2" w:space="0" w:color="000000"/>
              <w:left w:val="nil"/>
              <w:bottom w:val="single" w:sz="12" w:space="0" w:color="000000"/>
              <w:right w:val="nil"/>
            </w:tcBorders>
            <w:shd w:val="pct10" w:color="auto" w:fill="auto"/>
            <w:vAlign w:val="center"/>
          </w:tcPr>
          <w:p w14:paraId="2B43346E" w14:textId="42DB45F6" w:rsidR="00004472" w:rsidRPr="00136A0B" w:rsidRDefault="002157F8" w:rsidP="00E72676">
            <w:pPr>
              <w:pStyle w:val="TableHeadCen"/>
            </w:pPr>
            <w:r w:rsidRPr="00136A0B">
              <w:t>Mix</w:t>
            </w:r>
            <w:r>
              <w:t xml:space="preserve"> T</w:t>
            </w:r>
            <w:r w:rsidR="00004472" w:rsidRPr="00136A0B">
              <w:t>ype</w:t>
            </w:r>
            <w:r w:rsidR="007513BC" w:rsidRPr="00136A0B">
              <w:t> </w:t>
            </w:r>
            <w:r w:rsidR="00004472" w:rsidRPr="00136A0B">
              <w:t>4</w:t>
            </w:r>
          </w:p>
        </w:tc>
      </w:tr>
      <w:tr w:rsidR="00004472" w:rsidRPr="00136A0B" w14:paraId="19E17F2D" w14:textId="77777777" w:rsidTr="00E72676">
        <w:trPr>
          <w:cantSplit/>
          <w:trHeight w:val="340"/>
        </w:trPr>
        <w:tc>
          <w:tcPr>
            <w:tcW w:w="2126" w:type="dxa"/>
            <w:tcBorders>
              <w:top w:val="nil"/>
              <w:bottom w:val="single" w:sz="6" w:space="0" w:color="000000"/>
            </w:tcBorders>
            <w:vAlign w:val="center"/>
          </w:tcPr>
          <w:p w14:paraId="2C15B323" w14:textId="77777777" w:rsidR="00004472" w:rsidRPr="00136A0B" w:rsidRDefault="00004472" w:rsidP="00E72676">
            <w:pPr>
              <w:pStyle w:val="TableCen"/>
            </w:pPr>
            <w:r w:rsidRPr="00136A0B">
              <w:t>37.5</w:t>
            </w:r>
          </w:p>
        </w:tc>
        <w:tc>
          <w:tcPr>
            <w:tcW w:w="1665" w:type="dxa"/>
            <w:tcBorders>
              <w:top w:val="nil"/>
              <w:bottom w:val="single" w:sz="6" w:space="0" w:color="000000"/>
            </w:tcBorders>
            <w:vAlign w:val="center"/>
          </w:tcPr>
          <w:p w14:paraId="5785FFC8" w14:textId="77777777" w:rsidR="00004472" w:rsidRPr="00136A0B" w:rsidRDefault="00004472" w:rsidP="00E72676">
            <w:pPr>
              <w:pStyle w:val="TableCen"/>
            </w:pPr>
          </w:p>
        </w:tc>
        <w:tc>
          <w:tcPr>
            <w:tcW w:w="1666" w:type="dxa"/>
            <w:tcBorders>
              <w:top w:val="nil"/>
              <w:bottom w:val="single" w:sz="6" w:space="0" w:color="000000"/>
            </w:tcBorders>
            <w:vAlign w:val="center"/>
          </w:tcPr>
          <w:p w14:paraId="4AB29317" w14:textId="77777777" w:rsidR="00004472" w:rsidRPr="00136A0B" w:rsidRDefault="00004472" w:rsidP="00E72676">
            <w:pPr>
              <w:pStyle w:val="TableCen"/>
            </w:pPr>
          </w:p>
        </w:tc>
        <w:tc>
          <w:tcPr>
            <w:tcW w:w="1666" w:type="dxa"/>
            <w:tcBorders>
              <w:top w:val="nil"/>
              <w:bottom w:val="single" w:sz="6" w:space="0" w:color="000000"/>
            </w:tcBorders>
            <w:vAlign w:val="center"/>
          </w:tcPr>
          <w:p w14:paraId="3FC1C7BA" w14:textId="77777777" w:rsidR="00004472" w:rsidRPr="00136A0B" w:rsidRDefault="00004472" w:rsidP="00E72676">
            <w:pPr>
              <w:pStyle w:val="TableCen"/>
            </w:pPr>
          </w:p>
        </w:tc>
        <w:tc>
          <w:tcPr>
            <w:tcW w:w="1666" w:type="dxa"/>
            <w:tcBorders>
              <w:top w:val="nil"/>
              <w:bottom w:val="single" w:sz="6" w:space="0" w:color="000000"/>
            </w:tcBorders>
            <w:vAlign w:val="center"/>
          </w:tcPr>
          <w:p w14:paraId="0817F368" w14:textId="77777777" w:rsidR="00004472" w:rsidRPr="00136A0B" w:rsidRDefault="00004472" w:rsidP="00E72676">
            <w:pPr>
              <w:pStyle w:val="TableCen"/>
            </w:pPr>
            <w:r w:rsidRPr="00136A0B">
              <w:t>100</w:t>
            </w:r>
          </w:p>
        </w:tc>
      </w:tr>
      <w:tr w:rsidR="00004472" w:rsidRPr="00136A0B" w14:paraId="672AEBC0" w14:textId="77777777" w:rsidTr="00E72676">
        <w:trPr>
          <w:cantSplit/>
          <w:trHeight w:val="340"/>
        </w:trPr>
        <w:tc>
          <w:tcPr>
            <w:tcW w:w="2126" w:type="dxa"/>
            <w:tcBorders>
              <w:top w:val="single" w:sz="6" w:space="0" w:color="000000"/>
              <w:bottom w:val="single" w:sz="6" w:space="0" w:color="000000"/>
            </w:tcBorders>
            <w:vAlign w:val="center"/>
          </w:tcPr>
          <w:p w14:paraId="7AD8A322" w14:textId="77777777" w:rsidR="00004472" w:rsidRPr="00136A0B" w:rsidRDefault="00004472" w:rsidP="00E72676">
            <w:pPr>
              <w:pStyle w:val="TableCen"/>
            </w:pPr>
            <w:r w:rsidRPr="00136A0B">
              <w:t>26.5</w:t>
            </w:r>
          </w:p>
        </w:tc>
        <w:tc>
          <w:tcPr>
            <w:tcW w:w="1665" w:type="dxa"/>
            <w:tcBorders>
              <w:top w:val="single" w:sz="6" w:space="0" w:color="000000"/>
              <w:bottom w:val="single" w:sz="6" w:space="0" w:color="000000"/>
            </w:tcBorders>
            <w:vAlign w:val="center"/>
          </w:tcPr>
          <w:p w14:paraId="63F73B9F" w14:textId="77777777" w:rsidR="00004472" w:rsidRPr="00136A0B" w:rsidRDefault="00004472" w:rsidP="00E72676">
            <w:pPr>
              <w:pStyle w:val="TableCen"/>
            </w:pPr>
          </w:p>
        </w:tc>
        <w:tc>
          <w:tcPr>
            <w:tcW w:w="1666" w:type="dxa"/>
            <w:tcBorders>
              <w:top w:val="single" w:sz="6" w:space="0" w:color="000000"/>
              <w:bottom w:val="single" w:sz="6" w:space="0" w:color="000000"/>
            </w:tcBorders>
            <w:vAlign w:val="center"/>
          </w:tcPr>
          <w:p w14:paraId="1EB72EBC" w14:textId="77777777" w:rsidR="00004472" w:rsidRPr="00136A0B" w:rsidRDefault="00004472" w:rsidP="00E72676">
            <w:pPr>
              <w:pStyle w:val="TableCen"/>
            </w:pPr>
          </w:p>
        </w:tc>
        <w:tc>
          <w:tcPr>
            <w:tcW w:w="1666" w:type="dxa"/>
            <w:tcBorders>
              <w:top w:val="single" w:sz="6" w:space="0" w:color="000000"/>
              <w:bottom w:val="single" w:sz="6" w:space="0" w:color="000000"/>
            </w:tcBorders>
            <w:vAlign w:val="center"/>
          </w:tcPr>
          <w:p w14:paraId="7488B251" w14:textId="77777777" w:rsidR="00004472" w:rsidRPr="00136A0B" w:rsidRDefault="00004472" w:rsidP="00E72676">
            <w:pPr>
              <w:pStyle w:val="TableCen"/>
            </w:pPr>
          </w:p>
        </w:tc>
        <w:tc>
          <w:tcPr>
            <w:tcW w:w="1666" w:type="dxa"/>
            <w:tcBorders>
              <w:top w:val="single" w:sz="6" w:space="0" w:color="000000"/>
              <w:bottom w:val="single" w:sz="6" w:space="0" w:color="000000"/>
            </w:tcBorders>
            <w:vAlign w:val="center"/>
          </w:tcPr>
          <w:p w14:paraId="3B2DCD54" w14:textId="77777777" w:rsidR="00004472" w:rsidRPr="00136A0B" w:rsidRDefault="00004472" w:rsidP="00E72676">
            <w:pPr>
              <w:pStyle w:val="TableCen"/>
            </w:pPr>
            <w:r w:rsidRPr="00136A0B">
              <w:t>80 - 100</w:t>
            </w:r>
          </w:p>
        </w:tc>
      </w:tr>
      <w:tr w:rsidR="00004472" w:rsidRPr="00136A0B" w14:paraId="42C91747" w14:textId="77777777" w:rsidTr="00E72676">
        <w:trPr>
          <w:cantSplit/>
          <w:trHeight w:val="340"/>
        </w:trPr>
        <w:tc>
          <w:tcPr>
            <w:tcW w:w="2126" w:type="dxa"/>
            <w:tcBorders>
              <w:top w:val="single" w:sz="6" w:space="0" w:color="000000"/>
              <w:bottom w:val="single" w:sz="6" w:space="0" w:color="000000"/>
            </w:tcBorders>
            <w:vAlign w:val="center"/>
          </w:tcPr>
          <w:p w14:paraId="74A31597" w14:textId="77777777" w:rsidR="00004472" w:rsidRPr="00136A0B" w:rsidRDefault="00004472" w:rsidP="00E72676">
            <w:pPr>
              <w:pStyle w:val="TableCen"/>
            </w:pPr>
            <w:r w:rsidRPr="00136A0B">
              <w:t>19.0</w:t>
            </w:r>
          </w:p>
        </w:tc>
        <w:tc>
          <w:tcPr>
            <w:tcW w:w="1665" w:type="dxa"/>
            <w:tcBorders>
              <w:top w:val="single" w:sz="6" w:space="0" w:color="000000"/>
              <w:bottom w:val="single" w:sz="6" w:space="0" w:color="000000"/>
            </w:tcBorders>
            <w:vAlign w:val="center"/>
          </w:tcPr>
          <w:p w14:paraId="2F8030D3" w14:textId="77777777" w:rsidR="00004472" w:rsidRPr="00136A0B" w:rsidRDefault="00004472" w:rsidP="00E72676">
            <w:pPr>
              <w:pStyle w:val="TableCen"/>
            </w:pPr>
          </w:p>
        </w:tc>
        <w:tc>
          <w:tcPr>
            <w:tcW w:w="1666" w:type="dxa"/>
            <w:tcBorders>
              <w:top w:val="single" w:sz="6" w:space="0" w:color="000000"/>
              <w:bottom w:val="single" w:sz="6" w:space="0" w:color="000000"/>
            </w:tcBorders>
            <w:vAlign w:val="center"/>
          </w:tcPr>
          <w:p w14:paraId="63DDE8F0" w14:textId="77777777" w:rsidR="00004472" w:rsidRPr="00136A0B" w:rsidRDefault="00004472" w:rsidP="00E72676">
            <w:pPr>
              <w:pStyle w:val="TableCen"/>
            </w:pPr>
          </w:p>
        </w:tc>
        <w:tc>
          <w:tcPr>
            <w:tcW w:w="1666" w:type="dxa"/>
            <w:tcBorders>
              <w:top w:val="single" w:sz="6" w:space="0" w:color="000000"/>
              <w:bottom w:val="single" w:sz="6" w:space="0" w:color="000000"/>
            </w:tcBorders>
            <w:vAlign w:val="center"/>
          </w:tcPr>
          <w:p w14:paraId="533E3AAB" w14:textId="77777777" w:rsidR="00004472" w:rsidRPr="00136A0B" w:rsidRDefault="00004472" w:rsidP="00E72676">
            <w:pPr>
              <w:pStyle w:val="TableCen"/>
            </w:pPr>
            <w:r w:rsidRPr="00136A0B">
              <w:t>100</w:t>
            </w:r>
          </w:p>
        </w:tc>
        <w:tc>
          <w:tcPr>
            <w:tcW w:w="1666" w:type="dxa"/>
            <w:tcBorders>
              <w:top w:val="single" w:sz="6" w:space="0" w:color="000000"/>
              <w:bottom w:val="single" w:sz="6" w:space="0" w:color="000000"/>
            </w:tcBorders>
            <w:vAlign w:val="center"/>
          </w:tcPr>
          <w:p w14:paraId="155D9927" w14:textId="77777777" w:rsidR="00004472" w:rsidRPr="00136A0B" w:rsidRDefault="00004472" w:rsidP="00FD0D4E">
            <w:pPr>
              <w:pStyle w:val="TableCen"/>
            </w:pPr>
            <w:r w:rsidRPr="00136A0B">
              <w:t>60 - 9</w:t>
            </w:r>
            <w:r w:rsidR="00FD0D4E" w:rsidRPr="00136A0B">
              <w:t>0</w:t>
            </w:r>
          </w:p>
        </w:tc>
      </w:tr>
      <w:tr w:rsidR="00004472" w:rsidRPr="00136A0B" w14:paraId="62DADEF1" w14:textId="77777777" w:rsidTr="00E72676">
        <w:trPr>
          <w:cantSplit/>
          <w:trHeight w:val="340"/>
        </w:trPr>
        <w:tc>
          <w:tcPr>
            <w:tcW w:w="2126" w:type="dxa"/>
            <w:tcBorders>
              <w:top w:val="single" w:sz="6" w:space="0" w:color="000000"/>
              <w:bottom w:val="single" w:sz="6" w:space="0" w:color="000000"/>
            </w:tcBorders>
            <w:vAlign w:val="center"/>
          </w:tcPr>
          <w:p w14:paraId="378EDBC8" w14:textId="77777777" w:rsidR="00004472" w:rsidRPr="00136A0B" w:rsidRDefault="00004472" w:rsidP="00E72676">
            <w:pPr>
              <w:pStyle w:val="TableCen"/>
            </w:pPr>
            <w:r w:rsidRPr="00136A0B">
              <w:t>13.2</w:t>
            </w:r>
          </w:p>
        </w:tc>
        <w:tc>
          <w:tcPr>
            <w:tcW w:w="1665" w:type="dxa"/>
            <w:tcBorders>
              <w:top w:val="single" w:sz="6" w:space="0" w:color="000000"/>
              <w:bottom w:val="single" w:sz="6" w:space="0" w:color="000000"/>
            </w:tcBorders>
            <w:vAlign w:val="center"/>
          </w:tcPr>
          <w:p w14:paraId="7E924B17" w14:textId="77777777" w:rsidR="00004472" w:rsidRPr="00136A0B" w:rsidRDefault="00004472" w:rsidP="00E72676">
            <w:pPr>
              <w:pStyle w:val="TableCen"/>
            </w:pPr>
          </w:p>
        </w:tc>
        <w:tc>
          <w:tcPr>
            <w:tcW w:w="1666" w:type="dxa"/>
            <w:tcBorders>
              <w:top w:val="single" w:sz="6" w:space="0" w:color="000000"/>
              <w:bottom w:val="single" w:sz="6" w:space="0" w:color="000000"/>
            </w:tcBorders>
            <w:vAlign w:val="center"/>
          </w:tcPr>
          <w:p w14:paraId="4D579D7A" w14:textId="77777777" w:rsidR="00004472" w:rsidRPr="00136A0B" w:rsidRDefault="00004472" w:rsidP="00E72676">
            <w:pPr>
              <w:pStyle w:val="TableCen"/>
            </w:pPr>
            <w:r w:rsidRPr="00136A0B">
              <w:t>100</w:t>
            </w:r>
          </w:p>
        </w:tc>
        <w:tc>
          <w:tcPr>
            <w:tcW w:w="1666" w:type="dxa"/>
            <w:tcBorders>
              <w:top w:val="single" w:sz="6" w:space="0" w:color="000000"/>
              <w:bottom w:val="single" w:sz="6" w:space="0" w:color="000000"/>
            </w:tcBorders>
            <w:vAlign w:val="center"/>
          </w:tcPr>
          <w:p w14:paraId="35412F5B" w14:textId="77777777" w:rsidR="00004472" w:rsidRPr="00136A0B" w:rsidRDefault="00004472" w:rsidP="00E72676">
            <w:pPr>
              <w:pStyle w:val="TableCen"/>
            </w:pPr>
            <w:r w:rsidRPr="00136A0B">
              <w:t>80 - 100</w:t>
            </w:r>
          </w:p>
        </w:tc>
        <w:tc>
          <w:tcPr>
            <w:tcW w:w="1666" w:type="dxa"/>
            <w:tcBorders>
              <w:top w:val="single" w:sz="6" w:space="0" w:color="000000"/>
              <w:bottom w:val="single" w:sz="6" w:space="0" w:color="000000"/>
            </w:tcBorders>
            <w:vAlign w:val="center"/>
          </w:tcPr>
          <w:p w14:paraId="20C28E54" w14:textId="77777777" w:rsidR="00004472" w:rsidRPr="00136A0B" w:rsidRDefault="00004472" w:rsidP="00E72676">
            <w:pPr>
              <w:pStyle w:val="TableCen"/>
            </w:pPr>
          </w:p>
        </w:tc>
      </w:tr>
      <w:tr w:rsidR="00004472" w:rsidRPr="00136A0B" w14:paraId="543D4411" w14:textId="77777777" w:rsidTr="00E72676">
        <w:trPr>
          <w:cantSplit/>
          <w:trHeight w:val="340"/>
        </w:trPr>
        <w:tc>
          <w:tcPr>
            <w:tcW w:w="2126" w:type="dxa"/>
            <w:tcBorders>
              <w:top w:val="single" w:sz="6" w:space="0" w:color="000000"/>
              <w:bottom w:val="single" w:sz="6" w:space="0" w:color="000000"/>
            </w:tcBorders>
            <w:vAlign w:val="center"/>
          </w:tcPr>
          <w:p w14:paraId="01A7A6C3" w14:textId="77777777" w:rsidR="00004472" w:rsidRPr="00136A0B" w:rsidRDefault="00004472" w:rsidP="00E72676">
            <w:pPr>
              <w:pStyle w:val="TableCen"/>
            </w:pPr>
            <w:r w:rsidRPr="00136A0B">
              <w:t>9.5</w:t>
            </w:r>
          </w:p>
        </w:tc>
        <w:tc>
          <w:tcPr>
            <w:tcW w:w="1665" w:type="dxa"/>
            <w:tcBorders>
              <w:top w:val="single" w:sz="6" w:space="0" w:color="000000"/>
              <w:bottom w:val="single" w:sz="6" w:space="0" w:color="000000"/>
            </w:tcBorders>
            <w:vAlign w:val="center"/>
          </w:tcPr>
          <w:p w14:paraId="17B526D6" w14:textId="77777777" w:rsidR="00004472" w:rsidRPr="00136A0B" w:rsidRDefault="00004472" w:rsidP="00E72676">
            <w:pPr>
              <w:pStyle w:val="TableCen"/>
            </w:pPr>
            <w:r w:rsidRPr="00136A0B">
              <w:t>100</w:t>
            </w:r>
          </w:p>
        </w:tc>
        <w:tc>
          <w:tcPr>
            <w:tcW w:w="1666" w:type="dxa"/>
            <w:tcBorders>
              <w:top w:val="single" w:sz="6" w:space="0" w:color="000000"/>
              <w:bottom w:val="single" w:sz="6" w:space="0" w:color="000000"/>
            </w:tcBorders>
            <w:vAlign w:val="center"/>
          </w:tcPr>
          <w:p w14:paraId="1B9FA8BA" w14:textId="77777777" w:rsidR="00004472" w:rsidRPr="00136A0B" w:rsidRDefault="00004472" w:rsidP="00E72676">
            <w:pPr>
              <w:pStyle w:val="TableCen"/>
            </w:pPr>
            <w:r w:rsidRPr="00136A0B">
              <w:t>90 - 100</w:t>
            </w:r>
          </w:p>
        </w:tc>
        <w:tc>
          <w:tcPr>
            <w:tcW w:w="1666" w:type="dxa"/>
            <w:tcBorders>
              <w:top w:val="single" w:sz="6" w:space="0" w:color="000000"/>
              <w:bottom w:val="single" w:sz="6" w:space="0" w:color="000000"/>
            </w:tcBorders>
            <w:vAlign w:val="center"/>
          </w:tcPr>
          <w:p w14:paraId="5718A366" w14:textId="77777777" w:rsidR="00004472" w:rsidRPr="00136A0B" w:rsidRDefault="00004472" w:rsidP="00E72676">
            <w:pPr>
              <w:pStyle w:val="TableCen"/>
            </w:pPr>
            <w:r w:rsidRPr="00136A0B">
              <w:t>65 - 90</w:t>
            </w:r>
          </w:p>
        </w:tc>
        <w:tc>
          <w:tcPr>
            <w:tcW w:w="1666" w:type="dxa"/>
            <w:tcBorders>
              <w:top w:val="single" w:sz="6" w:space="0" w:color="000000"/>
              <w:bottom w:val="single" w:sz="6" w:space="0" w:color="000000"/>
            </w:tcBorders>
            <w:vAlign w:val="center"/>
          </w:tcPr>
          <w:p w14:paraId="67416E9C" w14:textId="77777777" w:rsidR="00004472" w:rsidRPr="00136A0B" w:rsidRDefault="00004472" w:rsidP="00E72676">
            <w:pPr>
              <w:pStyle w:val="TableCen"/>
            </w:pPr>
            <w:r w:rsidRPr="00136A0B">
              <w:t>40 - 71</w:t>
            </w:r>
          </w:p>
        </w:tc>
      </w:tr>
      <w:tr w:rsidR="00004472" w:rsidRPr="00136A0B" w14:paraId="316E1D5A" w14:textId="77777777" w:rsidTr="00E72676">
        <w:trPr>
          <w:cantSplit/>
          <w:trHeight w:val="340"/>
        </w:trPr>
        <w:tc>
          <w:tcPr>
            <w:tcW w:w="2126" w:type="dxa"/>
            <w:tcBorders>
              <w:top w:val="single" w:sz="6" w:space="0" w:color="000000"/>
              <w:bottom w:val="single" w:sz="6" w:space="0" w:color="000000"/>
            </w:tcBorders>
            <w:vAlign w:val="center"/>
          </w:tcPr>
          <w:p w14:paraId="4D692182" w14:textId="77777777" w:rsidR="00004472" w:rsidRPr="00136A0B" w:rsidRDefault="00004472" w:rsidP="00E72676">
            <w:pPr>
              <w:pStyle w:val="TableCen"/>
            </w:pPr>
            <w:r w:rsidRPr="00136A0B">
              <w:t>4.75</w:t>
            </w:r>
          </w:p>
        </w:tc>
        <w:tc>
          <w:tcPr>
            <w:tcW w:w="1665" w:type="dxa"/>
            <w:tcBorders>
              <w:top w:val="single" w:sz="6" w:space="0" w:color="000000"/>
              <w:bottom w:val="single" w:sz="6" w:space="0" w:color="000000"/>
            </w:tcBorders>
            <w:vAlign w:val="center"/>
          </w:tcPr>
          <w:p w14:paraId="55375031" w14:textId="77777777" w:rsidR="00004472" w:rsidRPr="00136A0B" w:rsidRDefault="00004472" w:rsidP="00E72676">
            <w:pPr>
              <w:pStyle w:val="TableCen"/>
            </w:pPr>
            <w:r w:rsidRPr="00136A0B">
              <w:t>70 - 100</w:t>
            </w:r>
          </w:p>
        </w:tc>
        <w:tc>
          <w:tcPr>
            <w:tcW w:w="1666" w:type="dxa"/>
            <w:tcBorders>
              <w:top w:val="single" w:sz="6" w:space="0" w:color="000000"/>
              <w:bottom w:val="single" w:sz="6" w:space="0" w:color="000000"/>
            </w:tcBorders>
            <w:vAlign w:val="center"/>
          </w:tcPr>
          <w:p w14:paraId="460C4B15" w14:textId="77777777" w:rsidR="00004472" w:rsidRPr="00136A0B" w:rsidRDefault="00004472" w:rsidP="00E72676">
            <w:pPr>
              <w:pStyle w:val="TableCen"/>
            </w:pPr>
            <w:r w:rsidRPr="00136A0B">
              <w:t>60 - 80</w:t>
            </w:r>
          </w:p>
        </w:tc>
        <w:tc>
          <w:tcPr>
            <w:tcW w:w="1666" w:type="dxa"/>
            <w:tcBorders>
              <w:top w:val="single" w:sz="6" w:space="0" w:color="000000"/>
              <w:bottom w:val="single" w:sz="6" w:space="0" w:color="000000"/>
            </w:tcBorders>
            <w:vAlign w:val="center"/>
          </w:tcPr>
          <w:p w14:paraId="60A931F4" w14:textId="77777777" w:rsidR="00004472" w:rsidRPr="00136A0B" w:rsidRDefault="00004472" w:rsidP="00E72676">
            <w:pPr>
              <w:pStyle w:val="TableCen"/>
            </w:pPr>
            <w:r w:rsidRPr="00136A0B">
              <w:t>40 - 65</w:t>
            </w:r>
          </w:p>
        </w:tc>
        <w:tc>
          <w:tcPr>
            <w:tcW w:w="1666" w:type="dxa"/>
            <w:tcBorders>
              <w:top w:val="single" w:sz="6" w:space="0" w:color="000000"/>
              <w:bottom w:val="single" w:sz="6" w:space="0" w:color="000000"/>
            </w:tcBorders>
            <w:vAlign w:val="center"/>
          </w:tcPr>
          <w:p w14:paraId="55EE48DD" w14:textId="77777777" w:rsidR="00004472" w:rsidRPr="00136A0B" w:rsidRDefault="00004472" w:rsidP="00E72676">
            <w:pPr>
              <w:pStyle w:val="TableCen"/>
            </w:pPr>
            <w:r w:rsidRPr="00136A0B">
              <w:t>30 - 56</w:t>
            </w:r>
          </w:p>
        </w:tc>
      </w:tr>
      <w:tr w:rsidR="00004472" w:rsidRPr="00136A0B" w14:paraId="604E65A7" w14:textId="77777777" w:rsidTr="00E72676">
        <w:trPr>
          <w:cantSplit/>
          <w:trHeight w:val="340"/>
        </w:trPr>
        <w:tc>
          <w:tcPr>
            <w:tcW w:w="2126" w:type="dxa"/>
            <w:tcBorders>
              <w:top w:val="single" w:sz="6" w:space="0" w:color="000000"/>
              <w:bottom w:val="single" w:sz="6" w:space="0" w:color="000000"/>
            </w:tcBorders>
            <w:vAlign w:val="center"/>
          </w:tcPr>
          <w:p w14:paraId="6868E214" w14:textId="77777777" w:rsidR="00004472" w:rsidRPr="00136A0B" w:rsidRDefault="00004472" w:rsidP="00E72676">
            <w:pPr>
              <w:pStyle w:val="TableCen"/>
            </w:pPr>
            <w:r w:rsidRPr="00136A0B">
              <w:t>2.36</w:t>
            </w:r>
          </w:p>
        </w:tc>
        <w:tc>
          <w:tcPr>
            <w:tcW w:w="1665" w:type="dxa"/>
            <w:tcBorders>
              <w:top w:val="single" w:sz="6" w:space="0" w:color="000000"/>
              <w:bottom w:val="single" w:sz="6" w:space="0" w:color="000000"/>
            </w:tcBorders>
            <w:vAlign w:val="center"/>
          </w:tcPr>
          <w:p w14:paraId="1AB6180C" w14:textId="77777777" w:rsidR="00004472" w:rsidRPr="00136A0B" w:rsidRDefault="00004472" w:rsidP="00E72676">
            <w:pPr>
              <w:pStyle w:val="TableCen"/>
            </w:pPr>
            <w:r w:rsidRPr="00136A0B">
              <w:t>55 - 75</w:t>
            </w:r>
          </w:p>
        </w:tc>
        <w:tc>
          <w:tcPr>
            <w:tcW w:w="1666" w:type="dxa"/>
            <w:tcBorders>
              <w:top w:val="single" w:sz="6" w:space="0" w:color="000000"/>
              <w:bottom w:val="single" w:sz="6" w:space="0" w:color="000000"/>
            </w:tcBorders>
            <w:vAlign w:val="center"/>
          </w:tcPr>
          <w:p w14:paraId="56C544B9" w14:textId="77777777" w:rsidR="00004472" w:rsidRPr="00136A0B" w:rsidRDefault="00004472" w:rsidP="00E72676">
            <w:pPr>
              <w:pStyle w:val="TableCen"/>
            </w:pPr>
            <w:r w:rsidRPr="00136A0B">
              <w:t>38 - 55</w:t>
            </w:r>
          </w:p>
        </w:tc>
        <w:tc>
          <w:tcPr>
            <w:tcW w:w="1666" w:type="dxa"/>
            <w:tcBorders>
              <w:top w:val="single" w:sz="6" w:space="0" w:color="000000"/>
              <w:bottom w:val="single" w:sz="6" w:space="0" w:color="000000"/>
            </w:tcBorders>
            <w:vAlign w:val="center"/>
          </w:tcPr>
          <w:p w14:paraId="68EA482B" w14:textId="77777777" w:rsidR="00004472" w:rsidRPr="00136A0B" w:rsidRDefault="00004472" w:rsidP="00E72676">
            <w:pPr>
              <w:pStyle w:val="TableCen"/>
            </w:pPr>
            <w:r w:rsidRPr="00136A0B">
              <w:t>25 - 45</w:t>
            </w:r>
          </w:p>
        </w:tc>
        <w:tc>
          <w:tcPr>
            <w:tcW w:w="1666" w:type="dxa"/>
            <w:tcBorders>
              <w:top w:val="single" w:sz="6" w:space="0" w:color="000000"/>
              <w:bottom w:val="single" w:sz="6" w:space="0" w:color="000000"/>
            </w:tcBorders>
            <w:vAlign w:val="center"/>
          </w:tcPr>
          <w:p w14:paraId="7EDF8716" w14:textId="77777777" w:rsidR="00004472" w:rsidRPr="00136A0B" w:rsidRDefault="00004472" w:rsidP="00E72676">
            <w:pPr>
              <w:pStyle w:val="TableCen"/>
            </w:pPr>
            <w:r w:rsidRPr="00136A0B">
              <w:t>22 - 42</w:t>
            </w:r>
          </w:p>
        </w:tc>
      </w:tr>
      <w:tr w:rsidR="00004472" w:rsidRPr="00136A0B" w14:paraId="183773D5" w14:textId="77777777" w:rsidTr="00E72676">
        <w:trPr>
          <w:cantSplit/>
          <w:trHeight w:val="340"/>
        </w:trPr>
        <w:tc>
          <w:tcPr>
            <w:tcW w:w="2126" w:type="dxa"/>
            <w:tcBorders>
              <w:top w:val="single" w:sz="6" w:space="0" w:color="000000"/>
              <w:bottom w:val="single" w:sz="6" w:space="0" w:color="000000"/>
            </w:tcBorders>
            <w:vAlign w:val="center"/>
          </w:tcPr>
          <w:p w14:paraId="3A9EB1E0" w14:textId="77777777" w:rsidR="00004472" w:rsidRPr="00136A0B" w:rsidRDefault="00004472" w:rsidP="00E72676">
            <w:pPr>
              <w:pStyle w:val="TableCen"/>
            </w:pPr>
            <w:r w:rsidRPr="00136A0B">
              <w:t>0.600</w:t>
            </w:r>
          </w:p>
        </w:tc>
        <w:tc>
          <w:tcPr>
            <w:tcW w:w="1665" w:type="dxa"/>
            <w:tcBorders>
              <w:top w:val="single" w:sz="6" w:space="0" w:color="000000"/>
              <w:bottom w:val="single" w:sz="6" w:space="0" w:color="000000"/>
            </w:tcBorders>
            <w:vAlign w:val="center"/>
          </w:tcPr>
          <w:p w14:paraId="751AC207" w14:textId="77777777" w:rsidR="00004472" w:rsidRPr="00136A0B" w:rsidRDefault="00004472" w:rsidP="00E72676">
            <w:pPr>
              <w:pStyle w:val="TableCen"/>
            </w:pPr>
            <w:r w:rsidRPr="00136A0B">
              <w:t>26 - 50</w:t>
            </w:r>
          </w:p>
        </w:tc>
        <w:tc>
          <w:tcPr>
            <w:tcW w:w="1666" w:type="dxa"/>
            <w:tcBorders>
              <w:top w:val="single" w:sz="6" w:space="0" w:color="000000"/>
              <w:bottom w:val="single" w:sz="6" w:space="0" w:color="000000"/>
            </w:tcBorders>
            <w:vAlign w:val="center"/>
          </w:tcPr>
          <w:p w14:paraId="1E9276B7" w14:textId="77777777" w:rsidR="00004472" w:rsidRPr="00136A0B" w:rsidRDefault="00004472" w:rsidP="00E72676">
            <w:pPr>
              <w:pStyle w:val="TableCen"/>
            </w:pPr>
            <w:r w:rsidRPr="00136A0B">
              <w:t>22 - 32</w:t>
            </w:r>
          </w:p>
        </w:tc>
        <w:tc>
          <w:tcPr>
            <w:tcW w:w="1666" w:type="dxa"/>
            <w:tcBorders>
              <w:top w:val="single" w:sz="6" w:space="0" w:color="000000"/>
              <w:bottom w:val="single" w:sz="6" w:space="0" w:color="000000"/>
            </w:tcBorders>
            <w:vAlign w:val="center"/>
          </w:tcPr>
          <w:p w14:paraId="73E0FACE" w14:textId="77777777" w:rsidR="00004472" w:rsidRPr="00136A0B" w:rsidRDefault="00004472" w:rsidP="00E72676">
            <w:pPr>
              <w:pStyle w:val="TableCen"/>
            </w:pPr>
            <w:r w:rsidRPr="00136A0B">
              <w:t>10 - 30</w:t>
            </w:r>
          </w:p>
        </w:tc>
        <w:tc>
          <w:tcPr>
            <w:tcW w:w="1666" w:type="dxa"/>
            <w:tcBorders>
              <w:top w:val="single" w:sz="6" w:space="0" w:color="000000"/>
              <w:bottom w:val="single" w:sz="6" w:space="0" w:color="000000"/>
            </w:tcBorders>
            <w:vAlign w:val="center"/>
          </w:tcPr>
          <w:p w14:paraId="1902B71C" w14:textId="77777777" w:rsidR="00004472" w:rsidRPr="00136A0B" w:rsidRDefault="00004472" w:rsidP="00E72676">
            <w:pPr>
              <w:pStyle w:val="TableCen"/>
            </w:pPr>
            <w:r w:rsidRPr="00136A0B">
              <w:t>9 - 23</w:t>
            </w:r>
          </w:p>
        </w:tc>
      </w:tr>
      <w:tr w:rsidR="00004472" w:rsidRPr="00136A0B" w14:paraId="1AC08000" w14:textId="77777777" w:rsidTr="00E72676">
        <w:trPr>
          <w:cantSplit/>
          <w:trHeight w:val="340"/>
        </w:trPr>
        <w:tc>
          <w:tcPr>
            <w:tcW w:w="2126" w:type="dxa"/>
            <w:tcBorders>
              <w:top w:val="single" w:sz="6" w:space="0" w:color="000000"/>
              <w:bottom w:val="single" w:sz="6" w:space="0" w:color="000000"/>
            </w:tcBorders>
            <w:vAlign w:val="center"/>
          </w:tcPr>
          <w:p w14:paraId="226370DF" w14:textId="77777777" w:rsidR="00004472" w:rsidRPr="00136A0B" w:rsidRDefault="00004472" w:rsidP="00E72676">
            <w:pPr>
              <w:pStyle w:val="TableCen"/>
            </w:pPr>
            <w:r w:rsidRPr="00136A0B">
              <w:t>0.300</w:t>
            </w:r>
          </w:p>
        </w:tc>
        <w:tc>
          <w:tcPr>
            <w:tcW w:w="1665" w:type="dxa"/>
            <w:tcBorders>
              <w:top w:val="single" w:sz="6" w:space="0" w:color="000000"/>
              <w:bottom w:val="single" w:sz="6" w:space="0" w:color="000000"/>
            </w:tcBorders>
            <w:vAlign w:val="center"/>
          </w:tcPr>
          <w:p w14:paraId="5BEDE138" w14:textId="77777777" w:rsidR="00004472" w:rsidRPr="00136A0B" w:rsidRDefault="00004472" w:rsidP="00E72676">
            <w:pPr>
              <w:pStyle w:val="TableCen"/>
            </w:pPr>
            <w:r w:rsidRPr="00136A0B">
              <w:t>15 - 32</w:t>
            </w:r>
          </w:p>
        </w:tc>
        <w:tc>
          <w:tcPr>
            <w:tcW w:w="1666" w:type="dxa"/>
            <w:tcBorders>
              <w:top w:val="single" w:sz="6" w:space="0" w:color="000000"/>
              <w:bottom w:val="single" w:sz="6" w:space="0" w:color="000000"/>
            </w:tcBorders>
            <w:vAlign w:val="center"/>
          </w:tcPr>
          <w:p w14:paraId="4FE602C0" w14:textId="77777777" w:rsidR="00004472" w:rsidRPr="00136A0B" w:rsidRDefault="00004472" w:rsidP="00E72676">
            <w:pPr>
              <w:pStyle w:val="TableCen"/>
            </w:pPr>
            <w:r w:rsidRPr="00136A0B">
              <w:t>15 - 23</w:t>
            </w:r>
          </w:p>
        </w:tc>
        <w:tc>
          <w:tcPr>
            <w:tcW w:w="1666" w:type="dxa"/>
            <w:tcBorders>
              <w:top w:val="single" w:sz="6" w:space="0" w:color="000000"/>
              <w:bottom w:val="single" w:sz="6" w:space="0" w:color="000000"/>
            </w:tcBorders>
            <w:vAlign w:val="center"/>
          </w:tcPr>
          <w:p w14:paraId="46045EAF" w14:textId="77777777" w:rsidR="00004472" w:rsidRPr="00136A0B" w:rsidRDefault="00004472" w:rsidP="00E72676">
            <w:pPr>
              <w:pStyle w:val="TableCen"/>
            </w:pPr>
            <w:r w:rsidRPr="00136A0B">
              <w:t>6 - 20</w:t>
            </w:r>
          </w:p>
        </w:tc>
        <w:tc>
          <w:tcPr>
            <w:tcW w:w="1666" w:type="dxa"/>
            <w:tcBorders>
              <w:top w:val="single" w:sz="6" w:space="0" w:color="000000"/>
              <w:bottom w:val="single" w:sz="6" w:space="0" w:color="000000"/>
            </w:tcBorders>
            <w:vAlign w:val="center"/>
          </w:tcPr>
          <w:p w14:paraId="30B13EBC" w14:textId="77777777" w:rsidR="00004472" w:rsidRPr="00136A0B" w:rsidRDefault="00004472" w:rsidP="00E72676">
            <w:pPr>
              <w:pStyle w:val="TableCen"/>
            </w:pPr>
            <w:r w:rsidRPr="00136A0B">
              <w:t>6 - 17</w:t>
            </w:r>
          </w:p>
        </w:tc>
      </w:tr>
      <w:tr w:rsidR="00004472" w:rsidRPr="00136A0B" w14:paraId="6617626C" w14:textId="77777777" w:rsidTr="00E72676">
        <w:trPr>
          <w:cantSplit/>
          <w:trHeight w:val="340"/>
        </w:trPr>
        <w:tc>
          <w:tcPr>
            <w:tcW w:w="2126" w:type="dxa"/>
            <w:tcBorders>
              <w:top w:val="single" w:sz="6" w:space="0" w:color="000000"/>
              <w:bottom w:val="single" w:sz="6" w:space="0" w:color="000000"/>
            </w:tcBorders>
            <w:vAlign w:val="center"/>
          </w:tcPr>
          <w:p w14:paraId="65FB4156" w14:textId="77777777" w:rsidR="00004472" w:rsidRPr="00136A0B" w:rsidRDefault="00004472" w:rsidP="00E72676">
            <w:pPr>
              <w:pStyle w:val="TableCen"/>
            </w:pPr>
            <w:r w:rsidRPr="00136A0B">
              <w:t>0.150</w:t>
            </w:r>
          </w:p>
        </w:tc>
        <w:tc>
          <w:tcPr>
            <w:tcW w:w="1665" w:type="dxa"/>
            <w:tcBorders>
              <w:top w:val="single" w:sz="6" w:space="0" w:color="000000"/>
              <w:bottom w:val="single" w:sz="6" w:space="0" w:color="000000"/>
            </w:tcBorders>
            <w:vAlign w:val="center"/>
          </w:tcPr>
          <w:p w14:paraId="73066910" w14:textId="77777777" w:rsidR="00004472" w:rsidRPr="00136A0B" w:rsidRDefault="00004472" w:rsidP="00E72676">
            <w:pPr>
              <w:pStyle w:val="TableCen"/>
            </w:pPr>
            <w:r w:rsidRPr="00136A0B">
              <w:t>8 - 20</w:t>
            </w:r>
          </w:p>
        </w:tc>
        <w:tc>
          <w:tcPr>
            <w:tcW w:w="1666" w:type="dxa"/>
            <w:tcBorders>
              <w:top w:val="single" w:sz="6" w:space="0" w:color="000000"/>
              <w:bottom w:val="single" w:sz="6" w:space="0" w:color="000000"/>
            </w:tcBorders>
            <w:vAlign w:val="center"/>
          </w:tcPr>
          <w:p w14:paraId="57F98F6F" w14:textId="77777777" w:rsidR="00004472" w:rsidRPr="00136A0B" w:rsidRDefault="00004472" w:rsidP="00E72676">
            <w:pPr>
              <w:pStyle w:val="TableCen"/>
            </w:pPr>
            <w:r w:rsidRPr="00136A0B">
              <w:t>7 - 14</w:t>
            </w:r>
          </w:p>
        </w:tc>
        <w:tc>
          <w:tcPr>
            <w:tcW w:w="1666" w:type="dxa"/>
            <w:tcBorders>
              <w:top w:val="single" w:sz="6" w:space="0" w:color="000000"/>
              <w:bottom w:val="single" w:sz="6" w:space="0" w:color="000000"/>
            </w:tcBorders>
            <w:vAlign w:val="center"/>
          </w:tcPr>
          <w:p w14:paraId="1C0082A6" w14:textId="77777777" w:rsidR="00004472" w:rsidRPr="00136A0B" w:rsidRDefault="00004472" w:rsidP="00E72676">
            <w:pPr>
              <w:pStyle w:val="TableCen"/>
            </w:pPr>
            <w:r w:rsidRPr="00136A0B">
              <w:t>4 - 14</w:t>
            </w:r>
          </w:p>
        </w:tc>
        <w:tc>
          <w:tcPr>
            <w:tcW w:w="1666" w:type="dxa"/>
            <w:tcBorders>
              <w:top w:val="single" w:sz="6" w:space="0" w:color="000000"/>
              <w:bottom w:val="single" w:sz="6" w:space="0" w:color="000000"/>
            </w:tcBorders>
            <w:vAlign w:val="center"/>
          </w:tcPr>
          <w:p w14:paraId="5AA0CE4E" w14:textId="77777777" w:rsidR="00004472" w:rsidRPr="00136A0B" w:rsidRDefault="00004472" w:rsidP="00E72676">
            <w:pPr>
              <w:pStyle w:val="TableCen"/>
            </w:pPr>
            <w:r w:rsidRPr="00136A0B">
              <w:t>4 - 12</w:t>
            </w:r>
          </w:p>
        </w:tc>
      </w:tr>
      <w:tr w:rsidR="00004472" w:rsidRPr="00136A0B" w14:paraId="620F8146" w14:textId="77777777" w:rsidTr="00E72676">
        <w:trPr>
          <w:cantSplit/>
          <w:trHeight w:val="340"/>
        </w:trPr>
        <w:tc>
          <w:tcPr>
            <w:tcW w:w="2126" w:type="dxa"/>
            <w:tcBorders>
              <w:top w:val="single" w:sz="6" w:space="0" w:color="000000"/>
            </w:tcBorders>
            <w:vAlign w:val="center"/>
          </w:tcPr>
          <w:p w14:paraId="2A27AC24" w14:textId="77777777" w:rsidR="00004472" w:rsidRPr="00136A0B" w:rsidRDefault="00004472" w:rsidP="00E72676">
            <w:pPr>
              <w:pStyle w:val="TableCen"/>
            </w:pPr>
            <w:r w:rsidRPr="00136A0B">
              <w:t>0.075</w:t>
            </w:r>
          </w:p>
        </w:tc>
        <w:tc>
          <w:tcPr>
            <w:tcW w:w="1665" w:type="dxa"/>
            <w:tcBorders>
              <w:top w:val="single" w:sz="6" w:space="0" w:color="000000"/>
            </w:tcBorders>
            <w:vAlign w:val="center"/>
          </w:tcPr>
          <w:p w14:paraId="4F03B1ED" w14:textId="77777777" w:rsidR="00004472" w:rsidRPr="00136A0B" w:rsidRDefault="00004472" w:rsidP="00E72676">
            <w:pPr>
              <w:pStyle w:val="TableCen"/>
            </w:pPr>
            <w:r w:rsidRPr="00136A0B">
              <w:t>4 - 12</w:t>
            </w:r>
          </w:p>
        </w:tc>
        <w:tc>
          <w:tcPr>
            <w:tcW w:w="1666" w:type="dxa"/>
            <w:tcBorders>
              <w:top w:val="single" w:sz="6" w:space="0" w:color="000000"/>
            </w:tcBorders>
            <w:vAlign w:val="center"/>
          </w:tcPr>
          <w:p w14:paraId="5BCDAA90" w14:textId="77777777" w:rsidR="00004472" w:rsidRPr="00136A0B" w:rsidRDefault="00004472" w:rsidP="00E72676">
            <w:pPr>
              <w:pStyle w:val="TableCen"/>
            </w:pPr>
            <w:r w:rsidRPr="00136A0B">
              <w:t>3 - 8</w:t>
            </w:r>
          </w:p>
        </w:tc>
        <w:tc>
          <w:tcPr>
            <w:tcW w:w="1666" w:type="dxa"/>
            <w:tcBorders>
              <w:top w:val="single" w:sz="6" w:space="0" w:color="000000"/>
            </w:tcBorders>
            <w:vAlign w:val="center"/>
          </w:tcPr>
          <w:p w14:paraId="7C152B81" w14:textId="77777777" w:rsidR="00004472" w:rsidRPr="00136A0B" w:rsidRDefault="00004472" w:rsidP="00E72676">
            <w:pPr>
              <w:pStyle w:val="TableCen"/>
            </w:pPr>
            <w:r w:rsidRPr="00136A0B">
              <w:t>2 - 8</w:t>
            </w:r>
          </w:p>
        </w:tc>
        <w:tc>
          <w:tcPr>
            <w:tcW w:w="1666" w:type="dxa"/>
            <w:tcBorders>
              <w:top w:val="single" w:sz="6" w:space="0" w:color="000000"/>
            </w:tcBorders>
            <w:vAlign w:val="center"/>
          </w:tcPr>
          <w:p w14:paraId="5332E1DB" w14:textId="77777777" w:rsidR="00004472" w:rsidRPr="00136A0B" w:rsidRDefault="00004472" w:rsidP="00E72676">
            <w:pPr>
              <w:pStyle w:val="TableCen"/>
            </w:pPr>
            <w:r w:rsidRPr="00136A0B">
              <w:t>2 - 8</w:t>
            </w:r>
          </w:p>
        </w:tc>
      </w:tr>
    </w:tbl>
    <w:p w14:paraId="07DF37CB" w14:textId="77777777" w:rsidR="00355D38" w:rsidRPr="00136A0B" w:rsidRDefault="00E857D4" w:rsidP="003D0FCD">
      <w:pPr>
        <w:pStyle w:val="Heading3"/>
      </w:pPr>
      <w:bookmarkStart w:id="24" w:name="_Toc76046373"/>
      <w:r w:rsidRPr="00136A0B">
        <w:t>B</w:t>
      </w:r>
      <w:r w:rsidR="00355D38" w:rsidRPr="00136A0B">
        <w:t xml:space="preserve">inder </w:t>
      </w:r>
      <w:r w:rsidRPr="00136A0B">
        <w:t>C</w:t>
      </w:r>
      <w:r w:rsidR="00355D38" w:rsidRPr="00136A0B">
        <w:t>ontent</w:t>
      </w:r>
      <w:bookmarkEnd w:id="24"/>
    </w:p>
    <w:p w14:paraId="196C26AA" w14:textId="77777777" w:rsidR="007961EA" w:rsidRDefault="00355D38" w:rsidP="00E857D4">
      <w:pPr>
        <w:pStyle w:val="BodyTextIndent"/>
      </w:pPr>
      <w:r>
        <w:t xml:space="preserve">Test method: </w:t>
      </w:r>
      <w:r w:rsidR="007961EA">
        <w:t>T</w:t>
      </w:r>
      <w:r w:rsidR="007961EA" w:rsidRPr="00F03CCA">
        <w:t>esting for binder content should be determined using solvent extraction (</w:t>
      </w:r>
      <w:r w:rsidR="007961EA" w:rsidRPr="007961EA">
        <w:rPr>
          <w:i/>
        </w:rPr>
        <w:t>AS/NZS</w:t>
      </w:r>
      <w:r w:rsidR="007961EA" w:rsidRPr="00E857D4">
        <w:rPr>
          <w:i/>
        </w:rPr>
        <w:t> </w:t>
      </w:r>
      <w:r w:rsidR="007961EA" w:rsidRPr="007961EA">
        <w:rPr>
          <w:i/>
        </w:rPr>
        <w:t>2891.3.1</w:t>
      </w:r>
      <w:r w:rsidR="007961EA" w:rsidRPr="00F03CCA">
        <w:t>) or ignition oven (</w:t>
      </w:r>
      <w:r w:rsidR="007961EA" w:rsidRPr="003516EE">
        <w:rPr>
          <w:i/>
        </w:rPr>
        <w:t>Austroads AGPT/T234</w:t>
      </w:r>
      <w:r w:rsidR="007961EA" w:rsidRPr="00F03CCA">
        <w:t>).</w:t>
      </w:r>
      <w:r w:rsidR="007961EA">
        <w:t xml:space="preserve">  </w:t>
      </w:r>
      <w:r w:rsidR="007961EA">
        <w:rPr>
          <w:i/>
        </w:rPr>
        <w:t>Refer annexure</w:t>
      </w:r>
      <w:r w:rsidR="007961EA">
        <w:t>.</w:t>
      </w:r>
    </w:p>
    <w:p w14:paraId="6513F8E9" w14:textId="77777777" w:rsidR="00355D38" w:rsidRDefault="00355D38" w:rsidP="00E857D4">
      <w:pPr>
        <w:pStyle w:val="BodyTextIndent"/>
      </w:pPr>
      <w:r>
        <w:t xml:space="preserve">Requirement: Comply with the design requirements of Table 4.3. </w:t>
      </w:r>
      <w:r>
        <w:rPr>
          <w:i/>
        </w:rPr>
        <w:t xml:space="preserve"> Refer annexure</w:t>
      </w:r>
      <w:r>
        <w:t>.</w:t>
      </w:r>
    </w:p>
    <w:p w14:paraId="1E48A3B4" w14:textId="77777777" w:rsidR="003D0FCD" w:rsidRDefault="003D0FCD" w:rsidP="003D0FCD">
      <w:pPr>
        <w:pStyle w:val="BodyText"/>
        <w:rPr>
          <w:sz w:val="18"/>
        </w:rPr>
      </w:pPr>
      <w:r>
        <w:br w:type="page"/>
      </w:r>
    </w:p>
    <w:p w14:paraId="4A40E27A" w14:textId="27B9CF0B" w:rsidR="00030094" w:rsidRDefault="00030094" w:rsidP="00273EA4">
      <w:pPr>
        <w:pStyle w:val="TableIDNum"/>
      </w:pPr>
      <w:r>
        <w:lastRenderedPageBreak/>
        <w:t>Table</w:t>
      </w:r>
      <w:r w:rsidR="00D06DA4">
        <w:t> </w:t>
      </w:r>
      <w:r>
        <w:t xml:space="preserve">4.3 </w:t>
      </w:r>
      <w:r w:rsidR="00273EA4">
        <w:t>–</w:t>
      </w:r>
      <w:r>
        <w:t xml:space="preserve"> Binder content of the design mix</w:t>
      </w:r>
    </w:p>
    <w:tbl>
      <w:tblPr>
        <w:tblW w:w="8789" w:type="dxa"/>
        <w:tblInd w:w="70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1134"/>
        <w:gridCol w:w="2552"/>
        <w:gridCol w:w="5103"/>
      </w:tblGrid>
      <w:tr w:rsidR="00030094" w14:paraId="57C18173" w14:textId="77777777" w:rsidTr="00F21B86">
        <w:trPr>
          <w:cantSplit/>
          <w:trHeight w:val="397"/>
          <w:tblHeader/>
        </w:trPr>
        <w:tc>
          <w:tcPr>
            <w:tcW w:w="1134" w:type="dxa"/>
            <w:tcBorders>
              <w:top w:val="single" w:sz="12" w:space="0" w:color="000000"/>
              <w:left w:val="nil"/>
              <w:bottom w:val="single" w:sz="12" w:space="0" w:color="000000"/>
              <w:right w:val="nil"/>
            </w:tcBorders>
            <w:shd w:val="pct10" w:color="auto" w:fill="auto"/>
            <w:vAlign w:val="center"/>
          </w:tcPr>
          <w:p w14:paraId="363D4860" w14:textId="77777777" w:rsidR="00030094" w:rsidRDefault="00030094" w:rsidP="00E72676">
            <w:pPr>
              <w:pStyle w:val="TableHeadCen"/>
            </w:pPr>
            <w:r>
              <w:t>Mix</w:t>
            </w:r>
          </w:p>
        </w:tc>
        <w:tc>
          <w:tcPr>
            <w:tcW w:w="2552" w:type="dxa"/>
            <w:tcBorders>
              <w:top w:val="single" w:sz="12" w:space="0" w:color="000000"/>
              <w:left w:val="nil"/>
              <w:bottom w:val="single" w:sz="12" w:space="0" w:color="000000"/>
              <w:right w:val="nil"/>
            </w:tcBorders>
            <w:shd w:val="pct10" w:color="auto" w:fill="auto"/>
            <w:vAlign w:val="center"/>
          </w:tcPr>
          <w:p w14:paraId="680E4D7C" w14:textId="77777777" w:rsidR="00030094" w:rsidRDefault="00030094" w:rsidP="00E72676">
            <w:pPr>
              <w:pStyle w:val="TableHeadCen"/>
            </w:pPr>
            <w:r>
              <w:t>Binder content</w:t>
            </w:r>
          </w:p>
        </w:tc>
        <w:tc>
          <w:tcPr>
            <w:tcW w:w="5103" w:type="dxa"/>
            <w:tcBorders>
              <w:top w:val="single" w:sz="12" w:space="0" w:color="000000"/>
              <w:left w:val="nil"/>
              <w:bottom w:val="single" w:sz="12" w:space="0" w:color="000000"/>
              <w:right w:val="nil"/>
            </w:tcBorders>
            <w:shd w:val="pct10" w:color="auto" w:fill="auto"/>
            <w:vAlign w:val="center"/>
          </w:tcPr>
          <w:p w14:paraId="07BF7A3F" w14:textId="77777777" w:rsidR="00030094" w:rsidRDefault="00030094" w:rsidP="00E72676">
            <w:pPr>
              <w:pStyle w:val="TableHeadCen"/>
            </w:pPr>
            <w:r>
              <w:t>Binder type</w:t>
            </w:r>
          </w:p>
        </w:tc>
      </w:tr>
      <w:tr w:rsidR="00030094" w14:paraId="2301DE3D" w14:textId="77777777" w:rsidTr="00F21B86">
        <w:trPr>
          <w:cantSplit/>
          <w:trHeight w:val="340"/>
        </w:trPr>
        <w:tc>
          <w:tcPr>
            <w:tcW w:w="1134" w:type="dxa"/>
            <w:tcBorders>
              <w:top w:val="nil"/>
              <w:bottom w:val="single" w:sz="6" w:space="0" w:color="000000"/>
            </w:tcBorders>
            <w:vAlign w:val="center"/>
          </w:tcPr>
          <w:p w14:paraId="35900C51" w14:textId="5322886A" w:rsidR="00030094" w:rsidRDefault="00030094" w:rsidP="00E72676">
            <w:pPr>
              <w:pStyle w:val="TableCen"/>
            </w:pPr>
            <w:r>
              <w:t>Type</w:t>
            </w:r>
            <w:r w:rsidR="00273EA4" w:rsidRPr="00136A0B">
              <w:t> </w:t>
            </w:r>
            <w:r>
              <w:t>1</w:t>
            </w:r>
          </w:p>
        </w:tc>
        <w:tc>
          <w:tcPr>
            <w:tcW w:w="2552" w:type="dxa"/>
            <w:tcBorders>
              <w:top w:val="nil"/>
              <w:bottom w:val="single" w:sz="6" w:space="0" w:color="000000"/>
            </w:tcBorders>
            <w:vAlign w:val="center"/>
          </w:tcPr>
          <w:p w14:paraId="72355CB5" w14:textId="77777777" w:rsidR="00030094" w:rsidRDefault="00030094" w:rsidP="00E72676">
            <w:pPr>
              <w:pStyle w:val="TableCen"/>
            </w:pPr>
            <w:r>
              <w:t>5.0% - 7.0% by mass</w:t>
            </w:r>
          </w:p>
        </w:tc>
        <w:tc>
          <w:tcPr>
            <w:tcW w:w="5103" w:type="dxa"/>
            <w:tcBorders>
              <w:top w:val="nil"/>
              <w:bottom w:val="single" w:sz="6" w:space="0" w:color="000000"/>
            </w:tcBorders>
            <w:vAlign w:val="center"/>
          </w:tcPr>
          <w:p w14:paraId="0432916E" w14:textId="75087B3A" w:rsidR="00030094" w:rsidRPr="00B03FC6" w:rsidRDefault="00030094" w:rsidP="00A35638">
            <w:pPr>
              <w:pStyle w:val="TableCen"/>
            </w:pPr>
            <w:r w:rsidRPr="00A35638">
              <w:t>Class</w:t>
            </w:r>
            <w:r w:rsidR="002157F8" w:rsidRPr="00273EA4">
              <w:t> </w:t>
            </w:r>
            <w:r w:rsidRPr="00A35638">
              <w:t>170</w:t>
            </w:r>
            <w:r w:rsidR="00786CB2" w:rsidRPr="00B03FC6">
              <w:t xml:space="preserve"> or Class</w:t>
            </w:r>
            <w:r w:rsidR="002157F8" w:rsidRPr="004B1BE0">
              <w:t> </w:t>
            </w:r>
            <w:r w:rsidR="00786CB2" w:rsidRPr="00A35638">
              <w:t>320</w:t>
            </w:r>
          </w:p>
        </w:tc>
      </w:tr>
      <w:tr w:rsidR="00030094" w14:paraId="599E86FD" w14:textId="77777777" w:rsidTr="00F21B86">
        <w:trPr>
          <w:cantSplit/>
          <w:trHeight w:val="340"/>
        </w:trPr>
        <w:tc>
          <w:tcPr>
            <w:tcW w:w="1134" w:type="dxa"/>
            <w:tcBorders>
              <w:top w:val="single" w:sz="6" w:space="0" w:color="000000"/>
              <w:bottom w:val="single" w:sz="6" w:space="0" w:color="000000"/>
            </w:tcBorders>
            <w:vAlign w:val="center"/>
          </w:tcPr>
          <w:p w14:paraId="19B78342" w14:textId="616C4718" w:rsidR="00030094" w:rsidRDefault="00030094" w:rsidP="00E72676">
            <w:pPr>
              <w:pStyle w:val="TableCen"/>
            </w:pPr>
            <w:r>
              <w:t>Type</w:t>
            </w:r>
            <w:r w:rsidR="00273EA4" w:rsidRPr="00136A0B">
              <w:t> </w:t>
            </w:r>
            <w:r>
              <w:t>2</w:t>
            </w:r>
          </w:p>
        </w:tc>
        <w:tc>
          <w:tcPr>
            <w:tcW w:w="2552" w:type="dxa"/>
            <w:tcBorders>
              <w:top w:val="single" w:sz="6" w:space="0" w:color="000000"/>
              <w:bottom w:val="single" w:sz="6" w:space="0" w:color="000000"/>
            </w:tcBorders>
            <w:vAlign w:val="center"/>
          </w:tcPr>
          <w:p w14:paraId="30333E30" w14:textId="77777777" w:rsidR="00030094" w:rsidRDefault="00030094" w:rsidP="00E72676">
            <w:pPr>
              <w:pStyle w:val="TableCen"/>
            </w:pPr>
            <w:r>
              <w:t>4.5% - 6.5% by mass</w:t>
            </w:r>
          </w:p>
        </w:tc>
        <w:tc>
          <w:tcPr>
            <w:tcW w:w="5103" w:type="dxa"/>
            <w:tcBorders>
              <w:top w:val="single" w:sz="6" w:space="0" w:color="000000"/>
              <w:bottom w:val="single" w:sz="6" w:space="0" w:color="000000"/>
            </w:tcBorders>
            <w:vAlign w:val="center"/>
          </w:tcPr>
          <w:p w14:paraId="38E58EA8" w14:textId="3D760EDC" w:rsidR="00030094" w:rsidRPr="00A35638" w:rsidRDefault="00030094" w:rsidP="00273EA4">
            <w:pPr>
              <w:pStyle w:val="TableCen"/>
            </w:pPr>
            <w:r w:rsidRPr="00A35638">
              <w:t>Class</w:t>
            </w:r>
            <w:r w:rsidR="00273EA4" w:rsidRPr="00273EA4">
              <w:t> </w:t>
            </w:r>
            <w:r w:rsidRPr="00A35638">
              <w:t>17</w:t>
            </w:r>
            <w:r w:rsidR="00A35638" w:rsidRPr="00A35638">
              <w:t>0</w:t>
            </w:r>
            <w:r w:rsidR="00273EA4">
              <w:t xml:space="preserve"> </w:t>
            </w:r>
            <w:r w:rsidRPr="00A35638">
              <w:t xml:space="preserve">or </w:t>
            </w:r>
            <w:r w:rsidRPr="00B03FC6">
              <w:t>Class</w:t>
            </w:r>
            <w:r w:rsidR="002157F8" w:rsidRPr="00273EA4">
              <w:t> </w:t>
            </w:r>
            <w:r w:rsidRPr="00A35638">
              <w:t>320</w:t>
            </w:r>
            <w:r w:rsidRPr="00273EA4">
              <w:rPr>
                <w:i/>
                <w:iCs/>
                <w:vertAlign w:val="superscript"/>
              </w:rPr>
              <w:t>(1)</w:t>
            </w:r>
            <w:r w:rsidRPr="00A35638">
              <w:t xml:space="preserve"> or Class</w:t>
            </w:r>
            <w:r w:rsidR="00273EA4" w:rsidRPr="00273EA4">
              <w:t> </w:t>
            </w:r>
            <w:r w:rsidRPr="00A35638">
              <w:t>M1000 multigrade</w:t>
            </w:r>
          </w:p>
        </w:tc>
      </w:tr>
      <w:tr w:rsidR="00030094" w14:paraId="7FDA7202" w14:textId="77777777" w:rsidTr="00F21B86">
        <w:trPr>
          <w:cantSplit/>
          <w:trHeight w:val="340"/>
        </w:trPr>
        <w:tc>
          <w:tcPr>
            <w:tcW w:w="1134" w:type="dxa"/>
            <w:tcBorders>
              <w:top w:val="single" w:sz="6" w:space="0" w:color="000000"/>
              <w:bottom w:val="single" w:sz="6" w:space="0" w:color="000000"/>
            </w:tcBorders>
            <w:vAlign w:val="center"/>
          </w:tcPr>
          <w:p w14:paraId="31AD8E73" w14:textId="01E10E1D" w:rsidR="00030094" w:rsidRDefault="00030094" w:rsidP="00E72676">
            <w:pPr>
              <w:pStyle w:val="TableCen"/>
            </w:pPr>
            <w:r>
              <w:t>Type</w:t>
            </w:r>
            <w:r w:rsidR="00273EA4" w:rsidRPr="00136A0B">
              <w:t> </w:t>
            </w:r>
            <w:r>
              <w:t>3</w:t>
            </w:r>
          </w:p>
        </w:tc>
        <w:tc>
          <w:tcPr>
            <w:tcW w:w="2552" w:type="dxa"/>
            <w:tcBorders>
              <w:top w:val="single" w:sz="6" w:space="0" w:color="000000"/>
              <w:bottom w:val="single" w:sz="6" w:space="0" w:color="000000"/>
            </w:tcBorders>
            <w:vAlign w:val="center"/>
          </w:tcPr>
          <w:p w14:paraId="6A3E92E3" w14:textId="77777777" w:rsidR="00030094" w:rsidRDefault="00030094" w:rsidP="00E72676">
            <w:pPr>
              <w:pStyle w:val="TableCen"/>
            </w:pPr>
            <w:r>
              <w:t>4.5% - 6.0% by mass</w:t>
            </w:r>
          </w:p>
        </w:tc>
        <w:tc>
          <w:tcPr>
            <w:tcW w:w="5103" w:type="dxa"/>
            <w:tcBorders>
              <w:top w:val="single" w:sz="6" w:space="0" w:color="000000"/>
              <w:bottom w:val="single" w:sz="6" w:space="0" w:color="000000"/>
            </w:tcBorders>
            <w:vAlign w:val="center"/>
          </w:tcPr>
          <w:p w14:paraId="7D9608BF" w14:textId="0D0A6032" w:rsidR="00030094" w:rsidRPr="00B03FC6" w:rsidRDefault="00030094" w:rsidP="00A35638">
            <w:pPr>
              <w:pStyle w:val="TableCen"/>
            </w:pPr>
            <w:r w:rsidRPr="00A35638">
              <w:t>Class</w:t>
            </w:r>
            <w:r w:rsidR="00A35638" w:rsidRPr="00273EA4">
              <w:t> </w:t>
            </w:r>
            <w:r w:rsidRPr="00A35638">
              <w:t>320 or Class</w:t>
            </w:r>
            <w:r w:rsidR="00A35638" w:rsidRPr="004B1BE0">
              <w:t> </w:t>
            </w:r>
            <w:r w:rsidRPr="00A35638">
              <w:t>M1000 multigrade</w:t>
            </w:r>
          </w:p>
        </w:tc>
      </w:tr>
      <w:tr w:rsidR="00030094" w14:paraId="514E11AB" w14:textId="77777777" w:rsidTr="00F21B86">
        <w:trPr>
          <w:cantSplit/>
          <w:trHeight w:val="340"/>
        </w:trPr>
        <w:tc>
          <w:tcPr>
            <w:tcW w:w="1134" w:type="dxa"/>
            <w:tcBorders>
              <w:top w:val="single" w:sz="6" w:space="0" w:color="000000"/>
            </w:tcBorders>
            <w:vAlign w:val="center"/>
          </w:tcPr>
          <w:p w14:paraId="7A54A2D8" w14:textId="62191ADB" w:rsidR="00030094" w:rsidRDefault="00030094" w:rsidP="00E72676">
            <w:pPr>
              <w:pStyle w:val="TableCen"/>
            </w:pPr>
            <w:r>
              <w:t>Type</w:t>
            </w:r>
            <w:r w:rsidR="00273EA4" w:rsidRPr="00136A0B">
              <w:t> </w:t>
            </w:r>
            <w:r>
              <w:t>4</w:t>
            </w:r>
          </w:p>
        </w:tc>
        <w:tc>
          <w:tcPr>
            <w:tcW w:w="2552" w:type="dxa"/>
            <w:tcBorders>
              <w:top w:val="single" w:sz="6" w:space="0" w:color="000000"/>
            </w:tcBorders>
            <w:vAlign w:val="center"/>
          </w:tcPr>
          <w:p w14:paraId="1BF83CDF" w14:textId="77777777" w:rsidR="00030094" w:rsidRDefault="00030094" w:rsidP="00E72676">
            <w:pPr>
              <w:pStyle w:val="TableCen"/>
            </w:pPr>
            <w:r>
              <w:t>3.0% - 5.0% by mass</w:t>
            </w:r>
          </w:p>
        </w:tc>
        <w:tc>
          <w:tcPr>
            <w:tcW w:w="5103" w:type="dxa"/>
            <w:tcBorders>
              <w:top w:val="single" w:sz="6" w:space="0" w:color="000000"/>
            </w:tcBorders>
            <w:vAlign w:val="center"/>
          </w:tcPr>
          <w:p w14:paraId="1D43E8FE" w14:textId="36BA5B31" w:rsidR="00030094" w:rsidRPr="00B03FC6" w:rsidRDefault="00030094" w:rsidP="00A35638">
            <w:pPr>
              <w:pStyle w:val="TableCen"/>
            </w:pPr>
            <w:r w:rsidRPr="00A35638">
              <w:t>Class</w:t>
            </w:r>
            <w:r w:rsidR="00A35638" w:rsidRPr="009415B9">
              <w:t> </w:t>
            </w:r>
            <w:r w:rsidRPr="00A35638">
              <w:t>320 or Class</w:t>
            </w:r>
            <w:r w:rsidR="00A35638" w:rsidRPr="009415B9">
              <w:t> </w:t>
            </w:r>
            <w:r w:rsidRPr="00A35638">
              <w:t>M1000 multigrade</w:t>
            </w:r>
          </w:p>
        </w:tc>
      </w:tr>
    </w:tbl>
    <w:p w14:paraId="3B08AC35" w14:textId="26493CBF" w:rsidR="00030094" w:rsidRPr="00136A0B" w:rsidRDefault="00B27ACF" w:rsidP="00404D4A">
      <w:pPr>
        <w:pStyle w:val="BodyTextdot"/>
      </w:pPr>
      <w:r w:rsidRPr="000D0FF1">
        <w:rPr>
          <w:i/>
          <w:vertAlign w:val="superscript"/>
        </w:rPr>
        <w:t>(1)</w:t>
      </w:r>
      <w:r>
        <w:tab/>
      </w:r>
      <w:r w:rsidR="00030094" w:rsidRPr="00136A0B">
        <w:t>Restriction: Class</w:t>
      </w:r>
      <w:r w:rsidRPr="00017429">
        <w:t> </w:t>
      </w:r>
      <w:r w:rsidR="00030094" w:rsidRPr="00136A0B">
        <w:t>170 Binder shall be used if the mix contains more than 15% RAP.</w:t>
      </w:r>
    </w:p>
    <w:p w14:paraId="56C333FC" w14:textId="77777777" w:rsidR="00355D38" w:rsidRPr="00E857D4" w:rsidRDefault="00E857D4" w:rsidP="003D0FCD">
      <w:pPr>
        <w:pStyle w:val="Heading3"/>
      </w:pPr>
      <w:bookmarkStart w:id="25" w:name="_Toc76046374"/>
      <w:r w:rsidRPr="00E857D4">
        <w:t>Mix Properties</w:t>
      </w:r>
      <w:bookmarkEnd w:id="25"/>
    </w:p>
    <w:p w14:paraId="19AE365F" w14:textId="48F85167" w:rsidR="00355D38" w:rsidRDefault="00355D38" w:rsidP="00E857D4">
      <w:pPr>
        <w:pStyle w:val="BodyTextIndent"/>
      </w:pPr>
      <w:r w:rsidRPr="009415B9">
        <w:rPr>
          <w:u w:val="single"/>
        </w:rPr>
        <w:t>Requirement</w:t>
      </w:r>
      <w:r w:rsidRPr="00136A0B">
        <w:t xml:space="preserve">: The mix design must satisfy the Marshall mechanical properties (using the 50 blow compactive effort) </w:t>
      </w:r>
      <w:r w:rsidR="00DC791E" w:rsidRPr="00136A0B">
        <w:t xml:space="preserve">and air void contents </w:t>
      </w:r>
      <w:r w:rsidRPr="00136A0B">
        <w:t>specified in Table 4.4 for the design mix and for mixes prepared with the maximum permitted variations in grading and binder content specified in Table 4.5.</w:t>
      </w:r>
      <w:r w:rsidR="00920A20" w:rsidRPr="00136A0B">
        <w:t xml:space="preserve">  W</w:t>
      </w:r>
      <w:r w:rsidR="00D75697" w:rsidRPr="00136A0B">
        <w:t>ith</w:t>
      </w:r>
      <w:r w:rsidR="00920A20" w:rsidRPr="00136A0B">
        <w:t xml:space="preserve"> the tolerances in Table</w:t>
      </w:r>
      <w:r w:rsidR="00B27ACF" w:rsidRPr="00136A0B">
        <w:t> </w:t>
      </w:r>
      <w:r w:rsidR="00920A20" w:rsidRPr="00136A0B">
        <w:t xml:space="preserve">4.5 applied to the mix design, the resulting </w:t>
      </w:r>
      <w:r w:rsidR="004971E9" w:rsidRPr="00136A0B">
        <w:t xml:space="preserve">job limits </w:t>
      </w:r>
      <w:r w:rsidR="00920A20" w:rsidRPr="00136A0B">
        <w:t xml:space="preserve">must be within the </w:t>
      </w:r>
      <w:r w:rsidR="004971E9" w:rsidRPr="00136A0B">
        <w:t xml:space="preserve">grading </w:t>
      </w:r>
      <w:r w:rsidR="00920A20" w:rsidRPr="00136A0B">
        <w:t xml:space="preserve">limits </w:t>
      </w:r>
      <w:r w:rsidR="00D42858" w:rsidRPr="00136A0B">
        <w:t>of</w:t>
      </w:r>
      <w:r w:rsidR="00920A20" w:rsidRPr="00136A0B">
        <w:t xml:space="preserve"> Table</w:t>
      </w:r>
      <w:r w:rsidR="00B27ACF" w:rsidRPr="00136A0B">
        <w:t> </w:t>
      </w:r>
      <w:r w:rsidR="00920A20" w:rsidRPr="00136A0B">
        <w:t>4.2</w:t>
      </w:r>
      <w:r w:rsidR="00797F9A" w:rsidRPr="00136A0B">
        <w:t xml:space="preserve"> and bitumen content limits of Table</w:t>
      </w:r>
      <w:r w:rsidR="00B27ACF" w:rsidRPr="00136A0B">
        <w:t> </w:t>
      </w:r>
      <w:r w:rsidR="00797F9A" w:rsidRPr="00136A0B">
        <w:t>4.3</w:t>
      </w:r>
      <w:r w:rsidR="00920A20" w:rsidRPr="00136A0B">
        <w:t>.</w:t>
      </w:r>
      <w:r w:rsidR="007961EA" w:rsidRPr="00136A0B">
        <w:rPr>
          <w:i/>
        </w:rPr>
        <w:t xml:space="preserve">  Refer annexure</w:t>
      </w:r>
      <w:r w:rsidR="007961EA" w:rsidRPr="00136A0B">
        <w:t>.</w:t>
      </w:r>
    </w:p>
    <w:p w14:paraId="1C257A33" w14:textId="7957BCB3" w:rsidR="00355D38" w:rsidRPr="0083782B" w:rsidRDefault="00355D38" w:rsidP="00C465D1">
      <w:pPr>
        <w:pStyle w:val="TableIDNum"/>
      </w:pPr>
      <w:r w:rsidRPr="00C465D1">
        <w:t>Table</w:t>
      </w:r>
      <w:r w:rsidR="00C465D1" w:rsidRPr="00C465D1">
        <w:t> </w:t>
      </w:r>
      <w:r w:rsidRPr="00C465D1">
        <w:t xml:space="preserve">4.4 </w:t>
      </w:r>
      <w:r w:rsidR="00E857D4" w:rsidRPr="004A32D0">
        <w:t>–</w:t>
      </w:r>
      <w:r w:rsidRPr="0083782B">
        <w:t xml:space="preserve"> Marshall mechanical properties</w:t>
      </w:r>
      <w:r w:rsidR="00DC791E" w:rsidRPr="0083782B">
        <w:t xml:space="preserve"> and air void content</w:t>
      </w:r>
      <w:r w:rsidRPr="0083782B">
        <w:t xml:space="preserve"> of the approved mix design</w:t>
      </w:r>
    </w:p>
    <w:tbl>
      <w:tblPr>
        <w:tblW w:w="8789" w:type="dxa"/>
        <w:tblInd w:w="70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4820"/>
        <w:gridCol w:w="1984"/>
        <w:gridCol w:w="1985"/>
      </w:tblGrid>
      <w:tr w:rsidR="00355D38" w:rsidRPr="00136A0B" w14:paraId="1DA5D413" w14:textId="77777777" w:rsidTr="006E442F">
        <w:trPr>
          <w:cantSplit/>
          <w:trHeight w:val="397"/>
          <w:tblHeader/>
        </w:trPr>
        <w:tc>
          <w:tcPr>
            <w:tcW w:w="4820" w:type="dxa"/>
            <w:tcBorders>
              <w:top w:val="single" w:sz="12" w:space="0" w:color="000000"/>
              <w:left w:val="nil"/>
              <w:bottom w:val="single" w:sz="12" w:space="0" w:color="000000"/>
              <w:right w:val="nil"/>
            </w:tcBorders>
            <w:shd w:val="pct10" w:color="auto" w:fill="auto"/>
            <w:vAlign w:val="center"/>
          </w:tcPr>
          <w:p w14:paraId="64CDC114" w14:textId="77777777" w:rsidR="00355D38" w:rsidRPr="00136A0B" w:rsidRDefault="00355D38" w:rsidP="00E857D4">
            <w:pPr>
              <w:pStyle w:val="TableHead"/>
            </w:pPr>
            <w:r w:rsidRPr="00136A0B">
              <w:t>Property</w:t>
            </w:r>
          </w:p>
        </w:tc>
        <w:tc>
          <w:tcPr>
            <w:tcW w:w="1984" w:type="dxa"/>
            <w:tcBorders>
              <w:top w:val="single" w:sz="12" w:space="0" w:color="000000"/>
              <w:left w:val="nil"/>
              <w:bottom w:val="single" w:sz="12" w:space="0" w:color="000000"/>
              <w:right w:val="nil"/>
            </w:tcBorders>
            <w:shd w:val="pct10" w:color="auto" w:fill="auto"/>
            <w:vAlign w:val="center"/>
          </w:tcPr>
          <w:p w14:paraId="44751234" w14:textId="35EF0887" w:rsidR="00355D38" w:rsidRPr="00136A0B" w:rsidRDefault="00355D38" w:rsidP="00E857D4">
            <w:pPr>
              <w:pStyle w:val="TableHeadCen"/>
            </w:pPr>
            <w:r w:rsidRPr="00136A0B">
              <w:t xml:space="preserve">Mix </w:t>
            </w:r>
            <w:r w:rsidR="00B27ACF">
              <w:t>T</w:t>
            </w:r>
            <w:r w:rsidR="00B27ACF" w:rsidRPr="00136A0B">
              <w:t xml:space="preserve">ypes </w:t>
            </w:r>
            <w:r w:rsidRPr="00136A0B">
              <w:t>1 &amp; 2</w:t>
            </w:r>
          </w:p>
        </w:tc>
        <w:tc>
          <w:tcPr>
            <w:tcW w:w="1985" w:type="dxa"/>
            <w:tcBorders>
              <w:top w:val="single" w:sz="12" w:space="0" w:color="000000"/>
              <w:left w:val="nil"/>
              <w:bottom w:val="single" w:sz="12" w:space="0" w:color="000000"/>
              <w:right w:val="nil"/>
            </w:tcBorders>
            <w:shd w:val="pct10" w:color="auto" w:fill="auto"/>
            <w:vAlign w:val="center"/>
          </w:tcPr>
          <w:p w14:paraId="5A482AFB" w14:textId="27504C54" w:rsidR="00355D38" w:rsidRPr="00136A0B" w:rsidRDefault="00355D38" w:rsidP="008C320A">
            <w:pPr>
              <w:pStyle w:val="TableHeadCen"/>
            </w:pPr>
            <w:r w:rsidRPr="00136A0B">
              <w:t xml:space="preserve">Mix </w:t>
            </w:r>
            <w:r w:rsidR="00B27ACF">
              <w:t>T</w:t>
            </w:r>
            <w:r w:rsidR="00B27ACF" w:rsidRPr="00136A0B">
              <w:t xml:space="preserve">ypes </w:t>
            </w:r>
            <w:r w:rsidRPr="00136A0B">
              <w:t>3 &amp; 4</w:t>
            </w:r>
            <w:r w:rsidR="008C320A" w:rsidRPr="00136A0B">
              <w:t xml:space="preserve">.  Mix </w:t>
            </w:r>
            <w:r w:rsidR="00B27ACF">
              <w:t>T</w:t>
            </w:r>
            <w:r w:rsidR="00B27ACF" w:rsidRPr="00136A0B">
              <w:t xml:space="preserve">ype </w:t>
            </w:r>
            <w:r w:rsidR="008C320A" w:rsidRPr="00136A0B">
              <w:t>2 with M1000 bitumen</w:t>
            </w:r>
          </w:p>
        </w:tc>
      </w:tr>
      <w:tr w:rsidR="00355D38" w:rsidRPr="00136A0B" w14:paraId="0EA73A8C" w14:textId="77777777" w:rsidTr="006E442F">
        <w:trPr>
          <w:cantSplit/>
          <w:trHeight w:val="340"/>
        </w:trPr>
        <w:tc>
          <w:tcPr>
            <w:tcW w:w="4820" w:type="dxa"/>
            <w:tcBorders>
              <w:top w:val="single" w:sz="12" w:space="0" w:color="000000"/>
              <w:left w:val="nil"/>
              <w:bottom w:val="single" w:sz="6" w:space="0" w:color="000000"/>
              <w:right w:val="nil"/>
            </w:tcBorders>
            <w:vAlign w:val="center"/>
          </w:tcPr>
          <w:p w14:paraId="7DC59E29" w14:textId="77777777" w:rsidR="00355D38" w:rsidRPr="00136A0B" w:rsidRDefault="00355D38" w:rsidP="00E857D4">
            <w:pPr>
              <w:pStyle w:val="Table"/>
            </w:pPr>
            <w:r w:rsidRPr="00136A0B">
              <w:t>Stability of mix (</w:t>
            </w:r>
            <w:r w:rsidRPr="00136A0B">
              <w:rPr>
                <w:i/>
              </w:rPr>
              <w:t>AS 2891.5</w:t>
            </w:r>
            <w:r w:rsidRPr="00136A0B">
              <w:t xml:space="preserve"> or </w:t>
            </w:r>
            <w:r w:rsidR="005E1144" w:rsidRPr="00136A0B">
              <w:rPr>
                <w:i/>
              </w:rPr>
              <w:t>DTMR </w:t>
            </w:r>
            <w:r w:rsidRPr="00136A0B">
              <w:rPr>
                <w:i/>
              </w:rPr>
              <w:t>Q305</w:t>
            </w:r>
            <w:r w:rsidRPr="00136A0B">
              <w:t>)</w:t>
            </w:r>
          </w:p>
        </w:tc>
        <w:tc>
          <w:tcPr>
            <w:tcW w:w="1984" w:type="dxa"/>
            <w:tcBorders>
              <w:top w:val="single" w:sz="12" w:space="0" w:color="000000"/>
              <w:left w:val="nil"/>
              <w:bottom w:val="single" w:sz="6" w:space="0" w:color="000000"/>
              <w:right w:val="nil"/>
            </w:tcBorders>
            <w:vAlign w:val="center"/>
          </w:tcPr>
          <w:p w14:paraId="2151931E" w14:textId="77777777" w:rsidR="00355D38" w:rsidRPr="00136A0B" w:rsidRDefault="00355D38" w:rsidP="002C1F8E">
            <w:pPr>
              <w:pStyle w:val="TableCen"/>
            </w:pPr>
            <w:r w:rsidRPr="00136A0B">
              <w:t>4</w:t>
            </w:r>
            <w:r w:rsidR="002C1F8E" w:rsidRPr="00136A0B">
              <w:t> </w:t>
            </w:r>
            <w:r w:rsidRPr="00136A0B">
              <w:t>kN minimum</w:t>
            </w:r>
          </w:p>
        </w:tc>
        <w:tc>
          <w:tcPr>
            <w:tcW w:w="1985" w:type="dxa"/>
            <w:tcBorders>
              <w:top w:val="single" w:sz="12" w:space="0" w:color="000000"/>
              <w:left w:val="nil"/>
              <w:bottom w:val="single" w:sz="6" w:space="0" w:color="000000"/>
              <w:right w:val="nil"/>
            </w:tcBorders>
            <w:vAlign w:val="center"/>
          </w:tcPr>
          <w:p w14:paraId="5185A211" w14:textId="77777777" w:rsidR="00355D38" w:rsidRPr="00136A0B" w:rsidRDefault="00355D38" w:rsidP="002C1F8E">
            <w:pPr>
              <w:pStyle w:val="TableCen"/>
            </w:pPr>
            <w:r w:rsidRPr="00136A0B">
              <w:t>7.5</w:t>
            </w:r>
            <w:r w:rsidR="002C1F8E" w:rsidRPr="00136A0B">
              <w:t> </w:t>
            </w:r>
            <w:r w:rsidRPr="00136A0B">
              <w:t>kN minimum</w:t>
            </w:r>
          </w:p>
        </w:tc>
      </w:tr>
      <w:tr w:rsidR="00404D4A" w:rsidRPr="00136A0B" w14:paraId="6043C406" w14:textId="77777777" w:rsidTr="006E442F">
        <w:trPr>
          <w:cantSplit/>
          <w:trHeight w:val="340"/>
        </w:trPr>
        <w:tc>
          <w:tcPr>
            <w:tcW w:w="4820" w:type="dxa"/>
            <w:tcBorders>
              <w:top w:val="single" w:sz="6" w:space="0" w:color="000000"/>
              <w:left w:val="nil"/>
              <w:bottom w:val="single" w:sz="6" w:space="0" w:color="000000"/>
              <w:right w:val="nil"/>
            </w:tcBorders>
            <w:vAlign w:val="center"/>
          </w:tcPr>
          <w:p w14:paraId="407DD491" w14:textId="77777777" w:rsidR="00404D4A" w:rsidRPr="00136A0B" w:rsidRDefault="00404D4A" w:rsidP="00404D4A">
            <w:pPr>
              <w:pStyle w:val="Table"/>
            </w:pPr>
            <w:r w:rsidRPr="00136A0B">
              <w:t>Flow of mix (</w:t>
            </w:r>
            <w:r w:rsidRPr="00136A0B">
              <w:rPr>
                <w:i/>
              </w:rPr>
              <w:t>AS 2891.5</w:t>
            </w:r>
            <w:r w:rsidRPr="00136A0B">
              <w:t xml:space="preserve"> or </w:t>
            </w:r>
            <w:r w:rsidRPr="00136A0B">
              <w:rPr>
                <w:i/>
              </w:rPr>
              <w:t>DTMR Q305</w:t>
            </w:r>
            <w:r w:rsidRPr="00136A0B">
              <w:t>)</w:t>
            </w:r>
          </w:p>
        </w:tc>
        <w:tc>
          <w:tcPr>
            <w:tcW w:w="1984" w:type="dxa"/>
            <w:tcBorders>
              <w:top w:val="single" w:sz="6" w:space="0" w:color="000000"/>
              <w:left w:val="nil"/>
              <w:bottom w:val="single" w:sz="6" w:space="0" w:color="000000"/>
              <w:right w:val="nil"/>
            </w:tcBorders>
            <w:vAlign w:val="center"/>
          </w:tcPr>
          <w:p w14:paraId="365091FF" w14:textId="355EB576" w:rsidR="00404D4A" w:rsidRPr="00136A0B" w:rsidRDefault="00404D4A" w:rsidP="00404D4A">
            <w:pPr>
              <w:pStyle w:val="TableCen"/>
            </w:pPr>
            <w:r w:rsidRPr="00136A0B">
              <w:t>2 - 4 mm</w:t>
            </w:r>
          </w:p>
        </w:tc>
        <w:tc>
          <w:tcPr>
            <w:tcW w:w="1985" w:type="dxa"/>
            <w:tcBorders>
              <w:top w:val="single" w:sz="6" w:space="0" w:color="000000"/>
              <w:left w:val="nil"/>
              <w:bottom w:val="single" w:sz="6" w:space="0" w:color="000000"/>
              <w:right w:val="nil"/>
            </w:tcBorders>
            <w:vAlign w:val="center"/>
          </w:tcPr>
          <w:p w14:paraId="4BFDBCE0" w14:textId="0D6432B5" w:rsidR="00404D4A" w:rsidRPr="00136A0B" w:rsidRDefault="00404D4A" w:rsidP="00404D4A">
            <w:pPr>
              <w:pStyle w:val="TableCen"/>
            </w:pPr>
            <w:r w:rsidRPr="00136A0B">
              <w:t>2 - 4 mm</w:t>
            </w:r>
          </w:p>
        </w:tc>
      </w:tr>
      <w:tr w:rsidR="00404D4A" w:rsidRPr="00136A0B" w14:paraId="0E23DFB4" w14:textId="77777777" w:rsidTr="006E442F">
        <w:trPr>
          <w:cantSplit/>
          <w:trHeight w:val="340"/>
        </w:trPr>
        <w:tc>
          <w:tcPr>
            <w:tcW w:w="4820" w:type="dxa"/>
            <w:tcBorders>
              <w:top w:val="single" w:sz="6" w:space="0" w:color="000000"/>
              <w:left w:val="nil"/>
              <w:bottom w:val="single" w:sz="12" w:space="0" w:color="000000"/>
              <w:right w:val="nil"/>
            </w:tcBorders>
            <w:vAlign w:val="center"/>
          </w:tcPr>
          <w:p w14:paraId="22C4148A" w14:textId="77777777" w:rsidR="00404D4A" w:rsidRPr="00136A0B" w:rsidRDefault="00404D4A" w:rsidP="00404D4A">
            <w:pPr>
              <w:pStyle w:val="Table"/>
            </w:pPr>
            <w:r w:rsidRPr="00136A0B">
              <w:t>Air voids in compacted mix (</w:t>
            </w:r>
            <w:r w:rsidRPr="00136A0B">
              <w:rPr>
                <w:i/>
              </w:rPr>
              <w:t>AS 2891.9.1</w:t>
            </w:r>
            <w:r w:rsidRPr="00136A0B">
              <w:t xml:space="preserve"> or </w:t>
            </w:r>
            <w:r w:rsidRPr="00136A0B">
              <w:rPr>
                <w:i/>
              </w:rPr>
              <w:t>AS 2891.9.2</w:t>
            </w:r>
            <w:r w:rsidRPr="00136A0B">
              <w:t xml:space="preserve">, </w:t>
            </w:r>
            <w:r w:rsidRPr="00136A0B">
              <w:rPr>
                <w:i/>
              </w:rPr>
              <w:t>AS 2891.7.1</w:t>
            </w:r>
            <w:r w:rsidRPr="00136A0B">
              <w:t xml:space="preserve">, </w:t>
            </w:r>
            <w:r w:rsidRPr="00136A0B">
              <w:rPr>
                <w:i/>
              </w:rPr>
              <w:t>AS 2891.8</w:t>
            </w:r>
            <w:r w:rsidRPr="00136A0B">
              <w:t xml:space="preserve"> or </w:t>
            </w:r>
            <w:r w:rsidRPr="00136A0B">
              <w:rPr>
                <w:i/>
              </w:rPr>
              <w:t>DTMR Q311</w:t>
            </w:r>
            <w:r w:rsidRPr="00136A0B">
              <w:t>)</w:t>
            </w:r>
          </w:p>
        </w:tc>
        <w:tc>
          <w:tcPr>
            <w:tcW w:w="1984" w:type="dxa"/>
            <w:tcBorders>
              <w:top w:val="single" w:sz="6" w:space="0" w:color="000000"/>
              <w:left w:val="nil"/>
              <w:bottom w:val="single" w:sz="12" w:space="0" w:color="000000"/>
              <w:right w:val="nil"/>
            </w:tcBorders>
            <w:vAlign w:val="center"/>
          </w:tcPr>
          <w:p w14:paraId="5754BD5C" w14:textId="2C97108E" w:rsidR="00404D4A" w:rsidRPr="00136A0B" w:rsidRDefault="00404D4A" w:rsidP="00404D4A">
            <w:pPr>
              <w:pStyle w:val="TableCen"/>
            </w:pPr>
            <w:r w:rsidRPr="00136A0B">
              <w:t>2% - 5%</w:t>
            </w:r>
          </w:p>
        </w:tc>
        <w:tc>
          <w:tcPr>
            <w:tcW w:w="1985" w:type="dxa"/>
            <w:tcBorders>
              <w:top w:val="single" w:sz="6" w:space="0" w:color="000000"/>
              <w:left w:val="nil"/>
              <w:bottom w:val="single" w:sz="12" w:space="0" w:color="000000"/>
              <w:right w:val="nil"/>
            </w:tcBorders>
            <w:vAlign w:val="center"/>
          </w:tcPr>
          <w:p w14:paraId="68F15A58" w14:textId="5CC5C66E" w:rsidR="00404D4A" w:rsidRPr="00136A0B" w:rsidRDefault="00404D4A" w:rsidP="00404D4A">
            <w:pPr>
              <w:pStyle w:val="TableCen"/>
            </w:pPr>
            <w:r w:rsidRPr="00136A0B">
              <w:t>3% - 7%</w:t>
            </w:r>
          </w:p>
        </w:tc>
      </w:tr>
    </w:tbl>
    <w:p w14:paraId="1149A7ED" w14:textId="3A62E5E3" w:rsidR="00355D38" w:rsidRPr="00136A0B" w:rsidRDefault="00355D38" w:rsidP="002C1F8E">
      <w:pPr>
        <w:pStyle w:val="TableIDNum"/>
      </w:pPr>
      <w:r w:rsidRPr="00136A0B">
        <w:t>Table</w:t>
      </w:r>
      <w:r w:rsidR="004A32D0" w:rsidRPr="00136A0B">
        <w:t> </w:t>
      </w:r>
      <w:r w:rsidRPr="00136A0B">
        <w:t xml:space="preserve">4.5 </w:t>
      </w:r>
      <w:r w:rsidR="002C1F8E" w:rsidRPr="00136A0B">
        <w:t>–</w:t>
      </w:r>
      <w:r w:rsidRPr="00136A0B">
        <w:t xml:space="preserve"> Maximum permitted variations from the approved mix design</w:t>
      </w:r>
      <w:r w:rsidR="009929B6" w:rsidRPr="00136A0B">
        <w:t xml:space="preserve"> during production</w:t>
      </w:r>
    </w:p>
    <w:tbl>
      <w:tblPr>
        <w:tblW w:w="8789" w:type="dxa"/>
        <w:tblInd w:w="70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4394"/>
        <w:gridCol w:w="4395"/>
      </w:tblGrid>
      <w:tr w:rsidR="00355D38" w:rsidRPr="00136A0B" w14:paraId="3C63E572" w14:textId="77777777" w:rsidTr="006E442F">
        <w:trPr>
          <w:cantSplit/>
          <w:trHeight w:val="397"/>
          <w:tblHeader/>
        </w:trPr>
        <w:tc>
          <w:tcPr>
            <w:tcW w:w="4394" w:type="dxa"/>
            <w:tcBorders>
              <w:top w:val="single" w:sz="12" w:space="0" w:color="000000"/>
              <w:bottom w:val="single" w:sz="12" w:space="0" w:color="000000"/>
            </w:tcBorders>
            <w:shd w:val="pct10" w:color="auto" w:fill="auto"/>
            <w:vAlign w:val="center"/>
          </w:tcPr>
          <w:p w14:paraId="51BBF707" w14:textId="77777777" w:rsidR="00355D38" w:rsidRPr="00136A0B" w:rsidRDefault="00355D38" w:rsidP="002C1F8E">
            <w:pPr>
              <w:pStyle w:val="TableHeadCen"/>
            </w:pPr>
            <w:r w:rsidRPr="00136A0B">
              <w:t>Property</w:t>
            </w:r>
          </w:p>
        </w:tc>
        <w:tc>
          <w:tcPr>
            <w:tcW w:w="4395" w:type="dxa"/>
            <w:tcBorders>
              <w:top w:val="single" w:sz="12" w:space="0" w:color="000000"/>
              <w:bottom w:val="single" w:sz="12" w:space="0" w:color="000000"/>
            </w:tcBorders>
            <w:shd w:val="pct10" w:color="auto" w:fill="auto"/>
            <w:vAlign w:val="center"/>
          </w:tcPr>
          <w:p w14:paraId="3300AFC5" w14:textId="77777777" w:rsidR="00355D38" w:rsidRPr="00136A0B" w:rsidRDefault="00355D38" w:rsidP="002C1F8E">
            <w:pPr>
              <w:pStyle w:val="TableHeadCen"/>
            </w:pPr>
            <w:r w:rsidRPr="00136A0B">
              <w:t>Maximum permitted variation</w:t>
            </w:r>
          </w:p>
        </w:tc>
      </w:tr>
      <w:tr w:rsidR="00355D38" w:rsidRPr="00136A0B" w14:paraId="0AA8048E" w14:textId="77777777" w:rsidTr="006E442F">
        <w:trPr>
          <w:cantSplit/>
          <w:trHeight w:val="340"/>
        </w:trPr>
        <w:tc>
          <w:tcPr>
            <w:tcW w:w="4394" w:type="dxa"/>
            <w:tcBorders>
              <w:top w:val="nil"/>
              <w:bottom w:val="single" w:sz="6" w:space="0" w:color="000000"/>
            </w:tcBorders>
            <w:vAlign w:val="center"/>
          </w:tcPr>
          <w:p w14:paraId="5F6607D3" w14:textId="7E241291" w:rsidR="00355D38" w:rsidRPr="00136A0B" w:rsidRDefault="00F80CBB" w:rsidP="003516EE">
            <w:pPr>
              <w:pStyle w:val="TableCen"/>
            </w:pPr>
            <w:r w:rsidRPr="00136A0B">
              <w:t>A</w:t>
            </w:r>
            <w:r w:rsidR="008940AC" w:rsidRPr="00136A0B">
              <w:t>.</w:t>
            </w:r>
            <w:r w:rsidRPr="00136A0B">
              <w:t>S</w:t>
            </w:r>
            <w:r w:rsidR="008940AC" w:rsidRPr="00136A0B">
              <w:t>.</w:t>
            </w:r>
            <w:r w:rsidR="00355D38" w:rsidRPr="00136A0B">
              <w:t xml:space="preserve"> sieve size</w:t>
            </w:r>
            <w:r w:rsidR="00561181">
              <w:rPr>
                <w:rFonts w:cs="Arial"/>
              </w:rPr>
              <w:t>≥</w:t>
            </w:r>
            <w:r w:rsidR="00355D38" w:rsidRPr="00136A0B">
              <w:t>9.5</w:t>
            </w:r>
            <w:r w:rsidR="003516EE" w:rsidRPr="00136A0B">
              <w:t> </w:t>
            </w:r>
            <w:r w:rsidR="00355D38" w:rsidRPr="00136A0B">
              <w:t>mm</w:t>
            </w:r>
          </w:p>
        </w:tc>
        <w:tc>
          <w:tcPr>
            <w:tcW w:w="4395" w:type="dxa"/>
            <w:tcBorders>
              <w:top w:val="nil"/>
              <w:bottom w:val="single" w:sz="6" w:space="0" w:color="000000"/>
            </w:tcBorders>
            <w:vAlign w:val="center"/>
          </w:tcPr>
          <w:p w14:paraId="68471971" w14:textId="48E945C7" w:rsidR="00355D38" w:rsidRPr="00136A0B" w:rsidRDefault="00561181" w:rsidP="00D373AD">
            <w:pPr>
              <w:pStyle w:val="TableCen"/>
            </w:pPr>
            <w:r>
              <w:rPr>
                <w:rFonts w:cs="Arial"/>
              </w:rPr>
              <w:t>±</w:t>
            </w:r>
            <w:r w:rsidR="00355D38" w:rsidRPr="00136A0B">
              <w:t>7% by mass</w:t>
            </w:r>
          </w:p>
        </w:tc>
      </w:tr>
      <w:tr w:rsidR="00355D38" w:rsidRPr="00136A0B" w14:paraId="698C59AE" w14:textId="77777777" w:rsidTr="006E442F">
        <w:trPr>
          <w:cantSplit/>
          <w:trHeight w:val="340"/>
        </w:trPr>
        <w:tc>
          <w:tcPr>
            <w:tcW w:w="4394" w:type="dxa"/>
            <w:tcBorders>
              <w:top w:val="single" w:sz="6" w:space="0" w:color="000000"/>
              <w:bottom w:val="single" w:sz="6" w:space="0" w:color="000000"/>
            </w:tcBorders>
            <w:vAlign w:val="center"/>
          </w:tcPr>
          <w:p w14:paraId="6AC382C4" w14:textId="77777777" w:rsidR="00355D38" w:rsidRPr="00136A0B" w:rsidRDefault="008940AC" w:rsidP="003516EE">
            <w:pPr>
              <w:pStyle w:val="TableCen"/>
            </w:pPr>
            <w:r w:rsidRPr="00136A0B">
              <w:t>A.S.</w:t>
            </w:r>
            <w:r w:rsidR="00355D38" w:rsidRPr="00136A0B">
              <w:t xml:space="preserve"> sieve size 4.75</w:t>
            </w:r>
            <w:r w:rsidR="003516EE" w:rsidRPr="00136A0B">
              <w:t> </w:t>
            </w:r>
            <w:r w:rsidR="00355D38" w:rsidRPr="00136A0B">
              <w:t>mm</w:t>
            </w:r>
          </w:p>
        </w:tc>
        <w:tc>
          <w:tcPr>
            <w:tcW w:w="4395" w:type="dxa"/>
            <w:tcBorders>
              <w:top w:val="single" w:sz="6" w:space="0" w:color="000000"/>
              <w:bottom w:val="single" w:sz="6" w:space="0" w:color="000000"/>
            </w:tcBorders>
            <w:vAlign w:val="center"/>
          </w:tcPr>
          <w:p w14:paraId="697C8878" w14:textId="3826BBEF" w:rsidR="00355D38" w:rsidRPr="00136A0B" w:rsidRDefault="00561181" w:rsidP="00786CB2">
            <w:pPr>
              <w:pStyle w:val="TableCen"/>
            </w:pPr>
            <w:r>
              <w:rPr>
                <w:rFonts w:cs="Arial"/>
              </w:rPr>
              <w:t>±</w:t>
            </w:r>
            <w:r w:rsidR="00786CB2" w:rsidRPr="00136A0B">
              <w:t>7</w:t>
            </w:r>
            <w:r w:rsidR="00355D38" w:rsidRPr="00136A0B">
              <w:t>% by mass</w:t>
            </w:r>
          </w:p>
        </w:tc>
      </w:tr>
      <w:tr w:rsidR="00355D38" w:rsidRPr="00136A0B" w14:paraId="27C84336" w14:textId="77777777" w:rsidTr="006E442F">
        <w:trPr>
          <w:cantSplit/>
          <w:trHeight w:val="340"/>
        </w:trPr>
        <w:tc>
          <w:tcPr>
            <w:tcW w:w="4394" w:type="dxa"/>
            <w:tcBorders>
              <w:top w:val="single" w:sz="6" w:space="0" w:color="000000"/>
              <w:bottom w:val="single" w:sz="6" w:space="0" w:color="000000"/>
            </w:tcBorders>
            <w:vAlign w:val="center"/>
          </w:tcPr>
          <w:p w14:paraId="48594C3D" w14:textId="77777777" w:rsidR="00355D38" w:rsidRPr="00136A0B" w:rsidRDefault="008940AC" w:rsidP="008940AC">
            <w:pPr>
              <w:pStyle w:val="TableCen"/>
            </w:pPr>
            <w:r w:rsidRPr="00136A0B">
              <w:t>A.S.</w:t>
            </w:r>
            <w:r w:rsidR="00355D38" w:rsidRPr="00136A0B">
              <w:t xml:space="preserve"> sieve size 2.36</w:t>
            </w:r>
            <w:r w:rsidR="003516EE" w:rsidRPr="00136A0B">
              <w:t> </w:t>
            </w:r>
            <w:r w:rsidR="00355D38" w:rsidRPr="00136A0B">
              <w:t>mm</w:t>
            </w:r>
          </w:p>
        </w:tc>
        <w:tc>
          <w:tcPr>
            <w:tcW w:w="4395" w:type="dxa"/>
            <w:tcBorders>
              <w:top w:val="single" w:sz="6" w:space="0" w:color="000000"/>
              <w:bottom w:val="single" w:sz="6" w:space="0" w:color="000000"/>
            </w:tcBorders>
            <w:vAlign w:val="center"/>
          </w:tcPr>
          <w:p w14:paraId="24CEACCF" w14:textId="41049518" w:rsidR="00355D38" w:rsidRPr="00136A0B" w:rsidRDefault="00561181" w:rsidP="00D373AD">
            <w:pPr>
              <w:pStyle w:val="TableCen"/>
            </w:pPr>
            <w:r>
              <w:rPr>
                <w:rFonts w:cs="Arial"/>
              </w:rPr>
              <w:t>±</w:t>
            </w:r>
            <w:r w:rsidR="00355D38" w:rsidRPr="00136A0B">
              <w:t>5% by mass</w:t>
            </w:r>
          </w:p>
        </w:tc>
      </w:tr>
      <w:tr w:rsidR="00355D38" w:rsidRPr="00136A0B" w14:paraId="0CA93252" w14:textId="77777777" w:rsidTr="006E442F">
        <w:trPr>
          <w:cantSplit/>
          <w:trHeight w:val="340"/>
        </w:trPr>
        <w:tc>
          <w:tcPr>
            <w:tcW w:w="4394" w:type="dxa"/>
            <w:tcBorders>
              <w:top w:val="single" w:sz="6" w:space="0" w:color="000000"/>
              <w:bottom w:val="single" w:sz="6" w:space="0" w:color="000000"/>
            </w:tcBorders>
            <w:vAlign w:val="center"/>
          </w:tcPr>
          <w:p w14:paraId="48C7496E" w14:textId="77777777" w:rsidR="00355D38" w:rsidRPr="00136A0B" w:rsidRDefault="008940AC" w:rsidP="002C1F8E">
            <w:pPr>
              <w:pStyle w:val="TableCen"/>
            </w:pPr>
            <w:r w:rsidRPr="00136A0B">
              <w:t>A.S.</w:t>
            </w:r>
            <w:r w:rsidR="00355D38" w:rsidRPr="00136A0B">
              <w:t xml:space="preserve"> sieve size 0.600</w:t>
            </w:r>
            <w:r w:rsidR="003516EE" w:rsidRPr="00136A0B">
              <w:t> </w:t>
            </w:r>
            <w:r w:rsidR="00355D38" w:rsidRPr="00136A0B">
              <w:t>mm</w:t>
            </w:r>
          </w:p>
        </w:tc>
        <w:tc>
          <w:tcPr>
            <w:tcW w:w="4395" w:type="dxa"/>
            <w:tcBorders>
              <w:top w:val="single" w:sz="6" w:space="0" w:color="000000"/>
              <w:bottom w:val="single" w:sz="6" w:space="0" w:color="000000"/>
            </w:tcBorders>
            <w:vAlign w:val="center"/>
          </w:tcPr>
          <w:p w14:paraId="2058E07F" w14:textId="67D88851" w:rsidR="00355D38" w:rsidRPr="00136A0B" w:rsidRDefault="00561181" w:rsidP="00D373AD">
            <w:pPr>
              <w:pStyle w:val="TableCen"/>
            </w:pPr>
            <w:r>
              <w:rPr>
                <w:rFonts w:cs="Arial"/>
              </w:rPr>
              <w:t>±</w:t>
            </w:r>
            <w:r w:rsidR="00355D38" w:rsidRPr="00136A0B">
              <w:t>4% by mass</w:t>
            </w:r>
          </w:p>
        </w:tc>
      </w:tr>
      <w:tr w:rsidR="00355D38" w:rsidRPr="00136A0B" w14:paraId="38C75B1B" w14:textId="77777777" w:rsidTr="006E442F">
        <w:trPr>
          <w:cantSplit/>
          <w:trHeight w:val="340"/>
        </w:trPr>
        <w:tc>
          <w:tcPr>
            <w:tcW w:w="4394" w:type="dxa"/>
            <w:tcBorders>
              <w:top w:val="single" w:sz="6" w:space="0" w:color="000000"/>
              <w:bottom w:val="single" w:sz="6" w:space="0" w:color="000000"/>
            </w:tcBorders>
            <w:vAlign w:val="center"/>
          </w:tcPr>
          <w:p w14:paraId="51FC2085" w14:textId="77777777" w:rsidR="00355D38" w:rsidRPr="00136A0B" w:rsidRDefault="008940AC" w:rsidP="003516EE">
            <w:pPr>
              <w:pStyle w:val="TableCen"/>
            </w:pPr>
            <w:r w:rsidRPr="00136A0B">
              <w:t>A.S.</w:t>
            </w:r>
            <w:r w:rsidR="00355D38" w:rsidRPr="00136A0B">
              <w:t xml:space="preserve"> sieve size 0.300</w:t>
            </w:r>
            <w:r w:rsidR="003516EE" w:rsidRPr="00136A0B">
              <w:t> </w:t>
            </w:r>
            <w:r w:rsidR="00355D38" w:rsidRPr="00136A0B">
              <w:t>mm</w:t>
            </w:r>
          </w:p>
        </w:tc>
        <w:tc>
          <w:tcPr>
            <w:tcW w:w="4395" w:type="dxa"/>
            <w:tcBorders>
              <w:top w:val="single" w:sz="6" w:space="0" w:color="000000"/>
              <w:bottom w:val="single" w:sz="6" w:space="0" w:color="000000"/>
            </w:tcBorders>
            <w:vAlign w:val="center"/>
          </w:tcPr>
          <w:p w14:paraId="50787903" w14:textId="78F27A04" w:rsidR="00355D38" w:rsidRPr="00136A0B" w:rsidRDefault="00561181" w:rsidP="00786CB2">
            <w:pPr>
              <w:pStyle w:val="TableCen"/>
            </w:pPr>
            <w:r>
              <w:rPr>
                <w:rFonts w:cs="Arial"/>
              </w:rPr>
              <w:t>±</w:t>
            </w:r>
            <w:r w:rsidR="00786CB2" w:rsidRPr="00136A0B">
              <w:t>4</w:t>
            </w:r>
            <w:r w:rsidR="00355D38" w:rsidRPr="00136A0B">
              <w:t>% by mass</w:t>
            </w:r>
          </w:p>
        </w:tc>
      </w:tr>
      <w:tr w:rsidR="00355D38" w:rsidRPr="00136A0B" w14:paraId="70E6B960" w14:textId="77777777" w:rsidTr="006E442F">
        <w:trPr>
          <w:cantSplit/>
          <w:trHeight w:val="340"/>
        </w:trPr>
        <w:tc>
          <w:tcPr>
            <w:tcW w:w="4394" w:type="dxa"/>
            <w:tcBorders>
              <w:top w:val="single" w:sz="6" w:space="0" w:color="000000"/>
              <w:bottom w:val="single" w:sz="6" w:space="0" w:color="000000"/>
            </w:tcBorders>
            <w:vAlign w:val="center"/>
          </w:tcPr>
          <w:p w14:paraId="52FEEDAE" w14:textId="77777777" w:rsidR="00355D38" w:rsidRPr="00136A0B" w:rsidRDefault="008940AC" w:rsidP="002C1F8E">
            <w:pPr>
              <w:pStyle w:val="TableCen"/>
            </w:pPr>
            <w:r w:rsidRPr="00136A0B">
              <w:t>A.S.</w:t>
            </w:r>
            <w:r w:rsidR="00355D38" w:rsidRPr="00136A0B">
              <w:t xml:space="preserve"> sieve size 0.150</w:t>
            </w:r>
            <w:r w:rsidR="003516EE" w:rsidRPr="00136A0B">
              <w:t> </w:t>
            </w:r>
            <w:r w:rsidR="00355D38" w:rsidRPr="00136A0B">
              <w:t>mm</w:t>
            </w:r>
          </w:p>
        </w:tc>
        <w:tc>
          <w:tcPr>
            <w:tcW w:w="4395" w:type="dxa"/>
            <w:tcBorders>
              <w:top w:val="single" w:sz="6" w:space="0" w:color="000000"/>
              <w:bottom w:val="single" w:sz="6" w:space="0" w:color="000000"/>
            </w:tcBorders>
            <w:vAlign w:val="center"/>
          </w:tcPr>
          <w:p w14:paraId="18F10202" w14:textId="093FEF8E" w:rsidR="00355D38" w:rsidRPr="00136A0B" w:rsidRDefault="00561181" w:rsidP="00D373AD">
            <w:pPr>
              <w:pStyle w:val="TableCen"/>
            </w:pPr>
            <w:r>
              <w:rPr>
                <w:rFonts w:cs="Arial"/>
              </w:rPr>
              <w:t>±</w:t>
            </w:r>
            <w:r w:rsidR="00355D38" w:rsidRPr="00136A0B">
              <w:t>2</w:t>
            </w:r>
            <w:r w:rsidR="00786CB2" w:rsidRPr="00136A0B">
              <w:t>.5</w:t>
            </w:r>
            <w:r w:rsidR="00355D38" w:rsidRPr="00136A0B">
              <w:t>% by mass</w:t>
            </w:r>
          </w:p>
        </w:tc>
      </w:tr>
      <w:tr w:rsidR="00355D38" w:rsidRPr="00136A0B" w14:paraId="10BEEC42" w14:textId="77777777" w:rsidTr="006E442F">
        <w:trPr>
          <w:cantSplit/>
          <w:trHeight w:val="340"/>
        </w:trPr>
        <w:tc>
          <w:tcPr>
            <w:tcW w:w="4394" w:type="dxa"/>
            <w:tcBorders>
              <w:top w:val="single" w:sz="6" w:space="0" w:color="000000"/>
              <w:bottom w:val="single" w:sz="6" w:space="0" w:color="000000"/>
            </w:tcBorders>
            <w:vAlign w:val="center"/>
          </w:tcPr>
          <w:p w14:paraId="5E628FFC" w14:textId="77777777" w:rsidR="00355D38" w:rsidRPr="00136A0B" w:rsidRDefault="008940AC" w:rsidP="003516EE">
            <w:pPr>
              <w:pStyle w:val="TableCen"/>
            </w:pPr>
            <w:r w:rsidRPr="00136A0B">
              <w:t>A.S.</w:t>
            </w:r>
            <w:r w:rsidR="00355D38" w:rsidRPr="00136A0B">
              <w:t xml:space="preserve"> sieve size 0.075</w:t>
            </w:r>
            <w:r w:rsidR="003516EE" w:rsidRPr="00136A0B">
              <w:t> </w:t>
            </w:r>
            <w:r w:rsidR="00355D38" w:rsidRPr="00136A0B">
              <w:t>mm</w:t>
            </w:r>
          </w:p>
        </w:tc>
        <w:tc>
          <w:tcPr>
            <w:tcW w:w="4395" w:type="dxa"/>
            <w:tcBorders>
              <w:top w:val="single" w:sz="6" w:space="0" w:color="000000"/>
              <w:bottom w:val="single" w:sz="6" w:space="0" w:color="000000"/>
            </w:tcBorders>
            <w:vAlign w:val="center"/>
          </w:tcPr>
          <w:p w14:paraId="063A96FC" w14:textId="74D5D70D" w:rsidR="00355D38" w:rsidRPr="00136A0B" w:rsidRDefault="00561181" w:rsidP="00D373AD">
            <w:pPr>
              <w:pStyle w:val="TableCen"/>
            </w:pPr>
            <w:r>
              <w:rPr>
                <w:rFonts w:cs="Arial"/>
              </w:rPr>
              <w:t>±</w:t>
            </w:r>
            <w:r w:rsidR="00355D38" w:rsidRPr="00136A0B">
              <w:t>1</w:t>
            </w:r>
            <w:r w:rsidR="00786CB2" w:rsidRPr="00136A0B">
              <w:t>.5</w:t>
            </w:r>
            <w:r w:rsidR="00355D38" w:rsidRPr="00136A0B">
              <w:t>% by mass</w:t>
            </w:r>
          </w:p>
        </w:tc>
      </w:tr>
      <w:tr w:rsidR="00355D38" w:rsidRPr="00136A0B" w14:paraId="13660CFF" w14:textId="77777777" w:rsidTr="006E442F">
        <w:trPr>
          <w:cantSplit/>
          <w:trHeight w:val="340"/>
        </w:trPr>
        <w:tc>
          <w:tcPr>
            <w:tcW w:w="4394" w:type="dxa"/>
            <w:tcBorders>
              <w:top w:val="single" w:sz="6" w:space="0" w:color="000000"/>
            </w:tcBorders>
            <w:vAlign w:val="center"/>
          </w:tcPr>
          <w:p w14:paraId="077A67FD" w14:textId="77777777" w:rsidR="00355D38" w:rsidRPr="00136A0B" w:rsidRDefault="00355D38" w:rsidP="002C1F8E">
            <w:pPr>
              <w:pStyle w:val="TableCen"/>
            </w:pPr>
            <w:r w:rsidRPr="00136A0B">
              <w:t>Binder content</w:t>
            </w:r>
            <w:r w:rsidR="0089440D" w:rsidRPr="00136A0B">
              <w:t xml:space="preserve"> (%)</w:t>
            </w:r>
          </w:p>
        </w:tc>
        <w:tc>
          <w:tcPr>
            <w:tcW w:w="4395" w:type="dxa"/>
            <w:tcBorders>
              <w:top w:val="single" w:sz="6" w:space="0" w:color="000000"/>
            </w:tcBorders>
            <w:vAlign w:val="center"/>
          </w:tcPr>
          <w:p w14:paraId="7DF3F760" w14:textId="4AA7FDF7" w:rsidR="00355D38" w:rsidRPr="00136A0B" w:rsidRDefault="00561181" w:rsidP="00D373AD">
            <w:pPr>
              <w:pStyle w:val="TableCen"/>
            </w:pPr>
            <w:r>
              <w:rPr>
                <w:rFonts w:cs="Arial"/>
              </w:rPr>
              <w:t>±</w:t>
            </w:r>
            <w:r w:rsidR="00355D38" w:rsidRPr="00136A0B">
              <w:t>0.3%</w:t>
            </w:r>
            <w:r w:rsidR="00F80CBB" w:rsidRPr="00136A0B">
              <w:t xml:space="preserve"> by mass</w:t>
            </w:r>
          </w:p>
        </w:tc>
      </w:tr>
    </w:tbl>
    <w:p w14:paraId="4D0D5480" w14:textId="77777777" w:rsidR="00355D38" w:rsidRPr="00136A0B" w:rsidRDefault="00355D38" w:rsidP="00082B28">
      <w:pPr>
        <w:pStyle w:val="Heading2"/>
      </w:pPr>
      <w:bookmarkStart w:id="26" w:name="_Toc76046375"/>
      <w:r w:rsidRPr="00136A0B">
        <w:t>ASPHALT MANUFACTURE</w:t>
      </w:r>
      <w:bookmarkEnd w:id="26"/>
    </w:p>
    <w:p w14:paraId="136F7F61" w14:textId="77777777" w:rsidR="00355D38" w:rsidRPr="00136A0B" w:rsidRDefault="00355D38" w:rsidP="002C1F8E">
      <w:pPr>
        <w:pStyle w:val="BodyTextIndent"/>
      </w:pPr>
      <w:r w:rsidRPr="001543D6">
        <w:rPr>
          <w:u w:val="single"/>
        </w:rPr>
        <w:t>General</w:t>
      </w:r>
      <w:r w:rsidRPr="00136A0B">
        <w:t xml:space="preserve">: Undertake mixing in an approved batch or continuous drum type manufacturing plant, in accordance with the requirements of </w:t>
      </w:r>
      <w:r w:rsidRPr="00136A0B">
        <w:rPr>
          <w:i/>
        </w:rPr>
        <w:t>AS 2150</w:t>
      </w:r>
      <w:r w:rsidRPr="00136A0B">
        <w:t>.</w:t>
      </w:r>
    </w:p>
    <w:p w14:paraId="37766DA7" w14:textId="77777777" w:rsidR="00355D38" w:rsidRPr="00136A0B" w:rsidRDefault="00355D38" w:rsidP="002C1F8E">
      <w:pPr>
        <w:pStyle w:val="BodyTextIndent"/>
      </w:pPr>
      <w:r w:rsidRPr="001543D6">
        <w:rPr>
          <w:u w:val="single"/>
        </w:rPr>
        <w:t>Batch</w:t>
      </w:r>
      <w:r w:rsidRPr="00136A0B">
        <w:t xml:space="preserve"> plant: The aggregates and bitumen are weighed separately and mixed together in predetermined batch sizes in a pugmill mixing chamber.</w:t>
      </w:r>
    </w:p>
    <w:p w14:paraId="55596919" w14:textId="77777777" w:rsidR="00355D38" w:rsidRPr="00136A0B" w:rsidRDefault="00355D38" w:rsidP="002C1F8E">
      <w:pPr>
        <w:pStyle w:val="BodyTextIndent"/>
      </w:pPr>
      <w:r w:rsidRPr="001543D6">
        <w:rPr>
          <w:u w:val="single"/>
        </w:rPr>
        <w:t>Drum mix plant</w:t>
      </w:r>
      <w:r w:rsidRPr="00136A0B">
        <w:t>: The aggregates and bitumen are mixed in the drier drum and combined in a continuous production of one type of mix.</w:t>
      </w:r>
    </w:p>
    <w:p w14:paraId="6221BE38" w14:textId="29C6CA78" w:rsidR="00355D38" w:rsidRDefault="00355D38" w:rsidP="006865BD">
      <w:pPr>
        <w:pStyle w:val="BodyTextIndent"/>
      </w:pPr>
      <w:r w:rsidRPr="001543D6">
        <w:rPr>
          <w:u w:val="single"/>
        </w:rPr>
        <w:t>Mixing temperatures</w:t>
      </w:r>
      <w:r w:rsidRPr="00136A0B">
        <w:t xml:space="preserve">: For standard classes of binder, do not heat beyond </w:t>
      </w:r>
      <w:r w:rsidR="006724A8" w:rsidRPr="00136A0B">
        <w:t>170</w:t>
      </w:r>
      <w:r w:rsidR="00561181">
        <w:rPr>
          <w:rFonts w:cs="Arial"/>
        </w:rPr>
        <w:t>°</w:t>
      </w:r>
      <w:r w:rsidRPr="00136A0B">
        <w:t>C.  For multigrade binder, store and heat in accordance with the manufacturer's written instructions.</w:t>
      </w:r>
      <w:r w:rsidR="006865BD" w:rsidRPr="00136A0B">
        <w:t xml:space="preserve">  For asphalt incorporating warm mix asphalt additive, store, incorporate and heat in accordance with the manufacturer's written instructions.</w:t>
      </w:r>
    </w:p>
    <w:sectPr w:rsidR="00355D38" w:rsidSect="001E6951">
      <w:footerReference w:type="default" r:id="rId18"/>
      <w:pgSz w:w="11906" w:h="16838" w:code="9"/>
      <w:pgMar w:top="1134" w:right="1134" w:bottom="992" w:left="1418" w:header="1134" w:footer="85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62D0" w14:textId="77777777" w:rsidR="00477BC6" w:rsidRDefault="00477BC6">
      <w:r>
        <w:separator/>
      </w:r>
    </w:p>
  </w:endnote>
  <w:endnote w:type="continuationSeparator" w:id="0">
    <w:p w14:paraId="38AE98A9" w14:textId="77777777" w:rsidR="00477BC6" w:rsidRDefault="0047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C85C" w14:textId="3E45F86A" w:rsidR="00477BC6" w:rsidRDefault="00477BC6" w:rsidP="00FF7107">
    <w:pPr>
      <w:pStyle w:val="Footer"/>
      <w:rPr>
        <w:b w:val="0"/>
        <w:i w:val="0"/>
      </w:rPr>
    </w:pPr>
    <w:r w:rsidRPr="00F51C59">
      <w:t xml:space="preserve">Revision </w:t>
    </w:r>
    <w:r>
      <w:t>5</w:t>
    </w:r>
    <w:r w:rsidRPr="00F51C59">
      <w:t xml:space="preserve">.0 – </w:t>
    </w:r>
    <w:r w:rsidR="00B65F39">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2A7F" w14:textId="77777777" w:rsidR="00033D0C" w:rsidRDefault="00033D0C" w:rsidP="00FF7107">
    <w:pPr>
      <w:pStyle w:val="Footer"/>
      <w:rPr>
        <w:b w:val="0"/>
        <w:i w:val="0"/>
      </w:rPr>
    </w:pPr>
    <w:r w:rsidRPr="00F51C59">
      <w:rPr>
        <w:b w:val="0"/>
        <w:i w:val="0"/>
        <w:noProof/>
      </w:rPr>
      <mc:AlternateContent>
        <mc:Choice Requires="wps">
          <w:drawing>
            <wp:anchor distT="0" distB="0" distL="114300" distR="114300" simplePos="0" relativeHeight="251682304" behindDoc="0" locked="0" layoutInCell="1" allowOverlap="1" wp14:anchorId="2255324A" wp14:editId="397706CB">
              <wp:simplePos x="0" y="0"/>
              <wp:positionH relativeFrom="page">
                <wp:posOffset>4833146</wp:posOffset>
              </wp:positionH>
              <wp:positionV relativeFrom="page">
                <wp:posOffset>7356448</wp:posOffset>
              </wp:positionV>
              <wp:extent cx="4773600" cy="360000"/>
              <wp:effectExtent l="2130743" t="0" r="2119947"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7736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5D75505" w14:textId="77777777" w:rsidR="00033D0C" w:rsidRPr="0095675E" w:rsidRDefault="00033D0C" w:rsidP="001E6951">
                          <w:pPr>
                            <w:pStyle w:val="NormalWeb"/>
                            <w:rPr>
                              <w:rFonts w:ascii="Arial Bold" w:hAnsi="Arial Bold"/>
                              <w:sz w:val="28"/>
                              <w:szCs w:val="28"/>
                            </w:rPr>
                          </w:pPr>
                          <w:r w:rsidRPr="0095675E">
                            <w:rPr>
                              <w:rFonts w:ascii="Arial Bold" w:hAnsi="Arial Bold" w:cs="Arial"/>
                              <w:b/>
                              <w:bCs/>
                              <w:i/>
                              <w:iCs/>
                              <w:sz w:val="28"/>
                              <w:szCs w:val="28"/>
                            </w:rPr>
                            <w:t>S310 SUPPLY OF DENSE GRADED ASPHALT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5324A" id="_x0000_t202" coordsize="21600,21600" o:spt="202" path="m,l,21600r21600,l21600,xe">
              <v:stroke joinstyle="miter"/>
              <v:path gradientshapeok="t" o:connecttype="rect"/>
            </v:shapetype>
            <v:shape id="Text Box 2" o:spid="_x0000_s1027" type="#_x0000_t202" style="position:absolute;left:0;text-align:left;margin-left:380.55pt;margin-top:579.25pt;width:375.85pt;height:28.35pt;rotation:-5921140fd;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" filled="f" stroked="f">
              <v:stroke joinstyle="round"/>
              <o:lock v:ext="edit" shapetype="t"/>
              <v:textbox style="layout-flow:vertical;mso-layout-flow-alt:bottom-to-top">
                <w:txbxContent>
                  <w:p w14:paraId="75D75505" w14:textId="77777777" w:rsidR="00033D0C" w:rsidRPr="0095675E" w:rsidRDefault="00033D0C" w:rsidP="001E6951">
                    <w:pPr>
                      <w:pStyle w:val="NormalWeb"/>
                      <w:rPr>
                        <w:rFonts w:ascii="Arial Bold" w:hAnsi="Arial Bold"/>
                        <w:sz w:val="28"/>
                        <w:szCs w:val="28"/>
                      </w:rPr>
                    </w:pPr>
                    <w:r w:rsidRPr="0095675E">
                      <w:rPr>
                        <w:rFonts w:ascii="Arial Bold" w:hAnsi="Arial Bold" w:cs="Arial"/>
                        <w:b/>
                        <w:bCs/>
                        <w:i/>
                        <w:iCs/>
                        <w:sz w:val="28"/>
                        <w:szCs w:val="28"/>
                      </w:rPr>
                      <w:t>S310 SUPPLY OF DENSE GRADED ASPHALT</w:t>
                    </w:r>
                  </w:p>
                </w:txbxContent>
              </v:textbox>
              <w10:wrap anchorx="page" anchory="page"/>
            </v:shape>
          </w:pict>
        </mc:Fallback>
      </mc:AlternateContent>
    </w:r>
    <w:r w:rsidRPr="00F51C59">
      <w:t xml:space="preserve">Revision </w:t>
    </w:r>
    <w:r>
      <w:t>5</w:t>
    </w:r>
    <w:r w:rsidRPr="00F51C59">
      <w:t xml:space="preserve">.0 – </w:t>
    </w:r>
    <w: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D0C1" w14:textId="4FD77ABF" w:rsidR="00477BC6" w:rsidRDefault="00477BC6" w:rsidP="00B6359B">
    <w:pPr>
      <w:pStyle w:val="Footer"/>
      <w:rPr>
        <w:b w:val="0"/>
        <w:i w:val="0"/>
      </w:rPr>
    </w:pPr>
    <w:r w:rsidRPr="00F51C59">
      <w:rPr>
        <w:noProof/>
      </w:rPr>
      <mc:AlternateContent>
        <mc:Choice Requires="wps">
          <w:drawing>
            <wp:anchor distT="0" distB="0" distL="114300" distR="114300" simplePos="0" relativeHeight="251678208" behindDoc="0" locked="0" layoutInCell="1" allowOverlap="1" wp14:anchorId="26C9D73E" wp14:editId="285321FE">
              <wp:simplePos x="0" y="0"/>
              <wp:positionH relativeFrom="page">
                <wp:posOffset>4833146</wp:posOffset>
              </wp:positionH>
              <wp:positionV relativeFrom="page">
                <wp:posOffset>7356448</wp:posOffset>
              </wp:positionV>
              <wp:extent cx="4773600" cy="360000"/>
              <wp:effectExtent l="2130743" t="0" r="2119947"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7736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77D4A81" w14:textId="77777777" w:rsidR="00477BC6" w:rsidRPr="0095675E" w:rsidRDefault="00477BC6" w:rsidP="001E6951">
                          <w:pPr>
                            <w:pStyle w:val="NormalWeb"/>
                            <w:rPr>
                              <w:rFonts w:ascii="Arial Bold" w:hAnsi="Arial Bold"/>
                              <w:sz w:val="28"/>
                              <w:szCs w:val="28"/>
                            </w:rPr>
                          </w:pPr>
                          <w:r w:rsidRPr="0095675E">
                            <w:rPr>
                              <w:rFonts w:ascii="Arial Bold" w:hAnsi="Arial Bold" w:cs="Arial"/>
                              <w:b/>
                              <w:bCs/>
                              <w:i/>
                              <w:iCs/>
                              <w:sz w:val="28"/>
                              <w:szCs w:val="28"/>
                            </w:rPr>
                            <w:t>S310 SUPPLY OF DENSE GRADED ASPHALT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9D73E" id="_x0000_t202" coordsize="21600,21600" o:spt="202" path="m,l,21600r21600,l21600,xe">
              <v:stroke joinstyle="miter"/>
              <v:path gradientshapeok="t" o:connecttype="rect"/>
            </v:shapetype>
            <v:shape id="Text Box 15" o:spid="_x0000_s1028" type="#_x0000_t202" style="position:absolute;left:0;text-align:left;margin-left:380.55pt;margin-top:579.25pt;width:375.85pt;height:28.35pt;rotation:-5921140fd;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" filled="f" stroked="f">
              <v:stroke joinstyle="round"/>
              <o:lock v:ext="edit" shapetype="t"/>
              <v:textbox style="layout-flow:vertical;mso-layout-flow-alt:bottom-to-top">
                <w:txbxContent>
                  <w:p w14:paraId="577D4A81" w14:textId="77777777" w:rsidR="00477BC6" w:rsidRPr="0095675E" w:rsidRDefault="00477BC6" w:rsidP="001E6951">
                    <w:pPr>
                      <w:pStyle w:val="NormalWeb"/>
                      <w:rPr>
                        <w:rFonts w:ascii="Arial Bold" w:hAnsi="Arial Bold"/>
                        <w:sz w:val="28"/>
                        <w:szCs w:val="28"/>
                      </w:rPr>
                    </w:pPr>
                    <w:r w:rsidRPr="0095675E">
                      <w:rPr>
                        <w:rFonts w:ascii="Arial Bold" w:hAnsi="Arial Bold" w:cs="Arial"/>
                        <w:b/>
                        <w:bCs/>
                        <w:i/>
                        <w:iCs/>
                        <w:sz w:val="28"/>
                        <w:szCs w:val="28"/>
                      </w:rPr>
                      <w:t>S310 SUPPLY OF DENSE GRADED ASPHALT</w:t>
                    </w:r>
                  </w:p>
                </w:txbxContent>
              </v:textbox>
              <w10:wrap anchorx="page" anchory="page"/>
            </v:shape>
          </w:pict>
        </mc:Fallback>
      </mc:AlternateContent>
    </w:r>
    <w:r w:rsidRPr="00F51C59">
      <w:t xml:space="preserve">Revision </w:t>
    </w:r>
    <w:r>
      <w:t>5</w:t>
    </w:r>
    <w:r w:rsidRPr="00F51C59">
      <w:t xml:space="preserve">.0 – </w:t>
    </w:r>
    <w:r w:rsidR="00B65F39" w:rsidRPr="00B65F39">
      <w:t>March 20</w:t>
    </w:r>
    <w:r w:rsidR="00AA6785">
      <w:t>21</w:t>
    </w:r>
    <w:r w:rsidR="00B6359B">
      <w:tab/>
    </w:r>
    <w:r w:rsidRPr="001E6951">
      <w:rPr>
        <w:b w:val="0"/>
        <w:i w:val="0"/>
        <w:sz w:val="18"/>
      </w:rPr>
      <w:fldChar w:fldCharType="begin"/>
    </w:r>
    <w:r w:rsidRPr="001E6951">
      <w:rPr>
        <w:sz w:val="18"/>
      </w:rPr>
      <w:instrText xml:space="preserve"> PAGE   \* MERGEFORMAT </w:instrText>
    </w:r>
    <w:r w:rsidRPr="001E6951">
      <w:rPr>
        <w:b w:val="0"/>
        <w:i w:val="0"/>
        <w:sz w:val="18"/>
      </w:rPr>
      <w:fldChar w:fldCharType="separate"/>
    </w:r>
    <w:r w:rsidRPr="001E6951">
      <w:rPr>
        <w:noProof/>
        <w:sz w:val="18"/>
      </w:rPr>
      <w:t>1</w:t>
    </w:r>
    <w:r w:rsidRPr="001E6951">
      <w:rPr>
        <w:b w:val="0"/>
        <w:i w:val="0"/>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0BB5" w14:textId="7B30E118" w:rsidR="00477BC6" w:rsidRDefault="00477BC6" w:rsidP="00B6359B">
    <w:pPr>
      <w:pStyle w:val="Footer"/>
    </w:pPr>
    <w:r w:rsidRPr="00F51C59">
      <w:rPr>
        <w:noProof/>
      </w:rPr>
      <mc:AlternateContent>
        <mc:Choice Requires="wps">
          <w:drawing>
            <wp:anchor distT="0" distB="0" distL="114300" distR="114300" simplePos="0" relativeHeight="251674112" behindDoc="0" locked="0" layoutInCell="1" allowOverlap="1" wp14:anchorId="6AAEFA9D" wp14:editId="00EC8EF6">
              <wp:simplePos x="0" y="0"/>
              <wp:positionH relativeFrom="page">
                <wp:posOffset>4945601</wp:posOffset>
              </wp:positionH>
              <wp:positionV relativeFrom="page">
                <wp:posOffset>7468219</wp:posOffset>
              </wp:positionV>
              <wp:extent cx="4551721" cy="385200"/>
              <wp:effectExtent l="2007235" t="0" r="20085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551721" cy="38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8A5E6B" w14:textId="77777777" w:rsidR="00477BC6" w:rsidRPr="0095675E" w:rsidRDefault="00477BC6" w:rsidP="001E6951">
                          <w:pPr>
                            <w:pStyle w:val="NormalWeb"/>
                            <w:rPr>
                              <w:rFonts w:ascii="Arial Bold" w:hAnsi="Arial Bold"/>
                              <w:sz w:val="28"/>
                              <w:szCs w:val="28"/>
                            </w:rPr>
                          </w:pPr>
                          <w:r w:rsidRPr="0095675E">
                            <w:rPr>
                              <w:rFonts w:ascii="Arial Bold" w:hAnsi="Arial Bold" w:cs="Arial"/>
                              <w:b/>
                              <w:bCs/>
                              <w:i/>
                              <w:iCs/>
                              <w:sz w:val="28"/>
                              <w:szCs w:val="28"/>
                            </w:rPr>
                            <w:t>S310 SUPPLY OF DENSE GRADED ASPHALT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FA9D" id="_x0000_t202" coordsize="21600,21600" o:spt="202" path="m,l,21600r21600,l21600,xe">
              <v:stroke joinstyle="miter"/>
              <v:path gradientshapeok="t" o:connecttype="rect"/>
            </v:shapetype>
            <v:shape id="Text Box 13" o:spid="_x0000_s1029" type="#_x0000_t202" style="position:absolute;left:0;text-align:left;margin-left:389.4pt;margin-top:588.05pt;width:358.4pt;height:30.35pt;rotation:-5921140fd;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" filled="f" stroked="f">
              <v:stroke joinstyle="round"/>
              <o:lock v:ext="edit" shapetype="t"/>
              <v:textbox style="layout-flow:vertical;mso-layout-flow-alt:bottom-to-top">
                <w:txbxContent>
                  <w:p w14:paraId="468A5E6B" w14:textId="77777777" w:rsidR="00477BC6" w:rsidRPr="0095675E" w:rsidRDefault="00477BC6" w:rsidP="001E6951">
                    <w:pPr>
                      <w:pStyle w:val="NormalWeb"/>
                      <w:rPr>
                        <w:rFonts w:ascii="Arial Bold" w:hAnsi="Arial Bold"/>
                        <w:sz w:val="28"/>
                        <w:szCs w:val="28"/>
                      </w:rPr>
                    </w:pPr>
                    <w:r w:rsidRPr="0095675E">
                      <w:rPr>
                        <w:rFonts w:ascii="Arial Bold" w:hAnsi="Arial Bold" w:cs="Arial"/>
                        <w:b/>
                        <w:bCs/>
                        <w:i/>
                        <w:iCs/>
                        <w:sz w:val="28"/>
                        <w:szCs w:val="28"/>
                      </w:rPr>
                      <w:t>S310 SUPPLY OF DENSE GRADED ASPHALT</w:t>
                    </w:r>
                  </w:p>
                </w:txbxContent>
              </v:textbox>
              <w10:wrap anchorx="page" anchory="page"/>
            </v:shape>
          </w:pict>
        </mc:Fallback>
      </mc:AlternateContent>
    </w:r>
    <w:r w:rsidRPr="00F51C59">
      <w:t xml:space="preserve">Revision </w:t>
    </w:r>
    <w:r>
      <w:t>5</w:t>
    </w:r>
    <w:r w:rsidRPr="00F51C59">
      <w:t xml:space="preserve">.0 – </w:t>
    </w:r>
    <w:r w:rsidR="00B65F39" w:rsidRPr="00B65F39">
      <w:t>March 20</w:t>
    </w:r>
    <w:r w:rsidR="00AA6785">
      <w:t>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939F" w14:textId="38832B9C" w:rsidR="00477BC6" w:rsidRDefault="00477BC6" w:rsidP="008252DA">
    <w:pPr>
      <w:pStyle w:val="Footer"/>
      <w:rPr>
        <w:b w:val="0"/>
        <w:i w:val="0"/>
      </w:rPr>
    </w:pPr>
    <w:r w:rsidRPr="00F51C59">
      <w:rPr>
        <w:noProof/>
      </w:rPr>
      <mc:AlternateContent>
        <mc:Choice Requires="wps">
          <w:drawing>
            <wp:anchor distT="0" distB="0" distL="114300" distR="114300" simplePos="0" relativeHeight="251676160" behindDoc="0" locked="0" layoutInCell="1" allowOverlap="1" wp14:anchorId="0FEEF03E" wp14:editId="244837A5">
              <wp:simplePos x="0" y="0"/>
              <wp:positionH relativeFrom="page">
                <wp:posOffset>5083579</wp:posOffset>
              </wp:positionH>
              <wp:positionV relativeFrom="page">
                <wp:posOffset>7605359</wp:posOffset>
              </wp:positionV>
              <wp:extent cx="4277437" cy="385200"/>
              <wp:effectExtent l="1870075" t="0" r="185991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277437" cy="38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1AF2498" w14:textId="77777777" w:rsidR="00477BC6" w:rsidRPr="0095675E" w:rsidRDefault="00477BC6" w:rsidP="001E6951">
                          <w:pPr>
                            <w:pStyle w:val="NormalWeb"/>
                            <w:rPr>
                              <w:rFonts w:ascii="Arial Bold" w:hAnsi="Arial Bold"/>
                              <w:sz w:val="28"/>
                              <w:szCs w:val="28"/>
                            </w:rPr>
                          </w:pPr>
                          <w:r w:rsidRPr="0095675E">
                            <w:rPr>
                              <w:rFonts w:ascii="Arial Bold" w:hAnsi="Arial Bold" w:cs="Arial"/>
                              <w:b/>
                              <w:bCs/>
                              <w:i/>
                              <w:iCs/>
                              <w:sz w:val="28"/>
                              <w:szCs w:val="28"/>
                            </w:rPr>
                            <w:t>S310 SUPPLY OF DENSE GRADED ASPHALT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EF03E" id="_x0000_t202" coordsize="21600,21600" o:spt="202" path="m,l,21600r21600,l21600,xe">
              <v:stroke joinstyle="miter"/>
              <v:path gradientshapeok="t" o:connecttype="rect"/>
            </v:shapetype>
            <v:shape id="Text Box 14" o:spid="_x0000_s1030" type="#_x0000_t202" style="position:absolute;left:0;text-align:left;margin-left:400.3pt;margin-top:598.85pt;width:336.8pt;height:30.35pt;rotation:-5921140fd;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" filled="f" stroked="f">
              <v:stroke joinstyle="round"/>
              <o:lock v:ext="edit" shapetype="t"/>
              <v:textbox style="layout-flow:vertical;mso-layout-flow-alt:bottom-to-top">
                <w:txbxContent>
                  <w:p w14:paraId="51AF2498" w14:textId="77777777" w:rsidR="00477BC6" w:rsidRPr="0095675E" w:rsidRDefault="00477BC6" w:rsidP="001E6951">
                    <w:pPr>
                      <w:pStyle w:val="NormalWeb"/>
                      <w:rPr>
                        <w:rFonts w:ascii="Arial Bold" w:hAnsi="Arial Bold"/>
                        <w:sz w:val="28"/>
                        <w:szCs w:val="28"/>
                      </w:rPr>
                    </w:pPr>
                    <w:r w:rsidRPr="0095675E">
                      <w:rPr>
                        <w:rFonts w:ascii="Arial Bold" w:hAnsi="Arial Bold" w:cs="Arial"/>
                        <w:b/>
                        <w:bCs/>
                        <w:i/>
                        <w:iCs/>
                        <w:sz w:val="28"/>
                        <w:szCs w:val="28"/>
                      </w:rPr>
                      <w:t>S310 SUPPLY OF DENSE GRADED ASPHALT</w:t>
                    </w:r>
                  </w:p>
                </w:txbxContent>
              </v:textbox>
              <w10:wrap anchorx="page" anchory="page"/>
            </v:shape>
          </w:pict>
        </mc:Fallback>
      </mc:AlternateContent>
    </w:r>
    <w:r w:rsidRPr="00F51C59">
      <w:t xml:space="preserve">Revision </w:t>
    </w:r>
    <w:r>
      <w:t>5</w:t>
    </w:r>
    <w:r w:rsidRPr="00F51C59">
      <w:t xml:space="preserve">.0 – </w:t>
    </w:r>
    <w:r w:rsidR="00B65F39" w:rsidRPr="00B65F39">
      <w:t>March 20</w:t>
    </w:r>
    <w:r w:rsidR="00AA6785">
      <w:t>21</w:t>
    </w:r>
    <w:r w:rsidR="008252DA">
      <w:tab/>
    </w:r>
    <w:r w:rsidRPr="001E6951">
      <w:rPr>
        <w:b w:val="0"/>
        <w:i w:val="0"/>
        <w:sz w:val="18"/>
      </w:rPr>
      <w:fldChar w:fldCharType="begin"/>
    </w:r>
    <w:r w:rsidRPr="001E6951">
      <w:rPr>
        <w:sz w:val="18"/>
      </w:rPr>
      <w:instrText xml:space="preserve"> PAGE   \* MERGEFORMAT </w:instrText>
    </w:r>
    <w:r w:rsidRPr="001E6951">
      <w:rPr>
        <w:b w:val="0"/>
        <w:i w:val="0"/>
        <w:sz w:val="18"/>
      </w:rPr>
      <w:fldChar w:fldCharType="separate"/>
    </w:r>
    <w:r w:rsidRPr="001E6951">
      <w:rPr>
        <w:noProof/>
        <w:sz w:val="18"/>
      </w:rPr>
      <w:t>1</w:t>
    </w:r>
    <w:r w:rsidRPr="001E6951">
      <w:rPr>
        <w:b w:val="0"/>
        <w:i w:val="0"/>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4975" w14:textId="77777777" w:rsidR="00477BC6" w:rsidRDefault="00477BC6">
      <w:r>
        <w:separator/>
      </w:r>
    </w:p>
  </w:footnote>
  <w:footnote w:type="continuationSeparator" w:id="0">
    <w:p w14:paraId="1A01ED0A" w14:textId="77777777" w:rsidR="00477BC6" w:rsidRDefault="0047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094F" w14:textId="77777777" w:rsidR="00477BC6" w:rsidRDefault="00477BC6">
    <w:pPr>
      <w:pStyle w:val="Header"/>
    </w:pPr>
    <w:r>
      <w:rPr>
        <w:noProof/>
      </w:rPr>
      <mc:AlternateContent>
        <mc:Choice Requires="wps">
          <w:drawing>
            <wp:anchor distT="0" distB="0" distL="114300" distR="114300" simplePos="0" relativeHeight="251656704" behindDoc="0" locked="0" layoutInCell="0" allowOverlap="1" wp14:anchorId="078315B0" wp14:editId="4AE3B77C">
              <wp:simplePos x="0" y="0"/>
              <wp:positionH relativeFrom="column">
                <wp:posOffset>3848100</wp:posOffset>
              </wp:positionH>
              <wp:positionV relativeFrom="paragraph">
                <wp:posOffset>3780790</wp:posOffset>
              </wp:positionV>
              <wp:extent cx="419100" cy="54292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7FB54BF0" w14:textId="77777777" w:rsidR="00477BC6" w:rsidRDefault="00477BC6" w:rsidP="005065AB">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8315B0"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" o:allowincell="f" filled="f" stroked="f">
              <o:lock v:ext="edit" shapetype="t"/>
              <v:textbox style="mso-fit-shape-to-text:t">
                <w:txbxContent>
                  <w:p w14:paraId="7FB54BF0" w14:textId="77777777" w:rsidR="00477BC6" w:rsidRDefault="00477BC6" w:rsidP="005065AB">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77B4" w14:textId="456F4D2F" w:rsidR="00477BC6" w:rsidRPr="00F0133A" w:rsidRDefault="00477BC6" w:rsidP="00F0133A">
    <w:pPr>
      <w:pStyle w:val="Header"/>
    </w:pPr>
    <w:r>
      <w:rPr>
        <w:noProof/>
      </w:rPr>
      <w:drawing>
        <wp:inline distT="0" distB="0" distL="0" distR="0" wp14:anchorId="1D02F2E1" wp14:editId="4C62DA84">
          <wp:extent cx="1384069" cy="720000"/>
          <wp:effectExtent l="0" t="0" r="6985" b="4445"/>
          <wp:docPr id="11" name="Picture 11"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69" cy="72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075" w14:textId="6DDA7EE7" w:rsidR="00033D0C" w:rsidRPr="00F0133A" w:rsidRDefault="00033D0C" w:rsidP="00F0133A">
    <w:pPr>
      <w:pStyle w:val="Header"/>
    </w:pPr>
    <w:r w:rsidRPr="00F0133A">
      <w:t>Brisbane City Council</w:t>
    </w:r>
    <w:r w:rsidR="00205E91">
      <w:tab/>
    </w:r>
    <w:r w:rsidRPr="00AA6785">
      <w:t>Reference Specifications for Engineering Work</w:t>
    </w:r>
    <w:r w:rsidR="00205E91">
      <w:t xml:space="preserve"> </w:t>
    </w:r>
    <w:r w:rsidRPr="00F0133A">
      <w:t>S310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1246CE"/>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0F603218"/>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772E91A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07908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DAD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008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D88B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50C5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025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84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B7A83"/>
    <w:multiLevelType w:val="hybridMultilevel"/>
    <w:tmpl w:val="A5949414"/>
    <w:lvl w:ilvl="0" w:tplc="31EC82A8">
      <w:start w:val="1"/>
      <w:numFmt w:val="bullet"/>
      <w:pStyle w:val="bullets"/>
      <w:lvlText w:val=""/>
      <w:lvlJc w:val="left"/>
      <w:pPr>
        <w:tabs>
          <w:tab w:val="num" w:pos="360"/>
        </w:tabs>
        <w:ind w:left="360" w:hanging="360"/>
      </w:pPr>
      <w:rPr>
        <w:rFonts w:ascii="Wingdings" w:hAnsi="Wingdings" w:hint="default"/>
      </w:rPr>
    </w:lvl>
    <w:lvl w:ilvl="1" w:tplc="D47AC828">
      <w:numFmt w:val="decimal"/>
      <w:lvlText w:val=""/>
      <w:lvlJc w:val="left"/>
    </w:lvl>
    <w:lvl w:ilvl="2" w:tplc="56DCA5DE">
      <w:numFmt w:val="decimal"/>
      <w:lvlText w:val=""/>
      <w:lvlJc w:val="left"/>
    </w:lvl>
    <w:lvl w:ilvl="3" w:tplc="D474DE74">
      <w:numFmt w:val="decimal"/>
      <w:lvlText w:val=""/>
      <w:lvlJc w:val="left"/>
    </w:lvl>
    <w:lvl w:ilvl="4" w:tplc="A4969AEA">
      <w:numFmt w:val="decimal"/>
      <w:lvlText w:val=""/>
      <w:lvlJc w:val="left"/>
    </w:lvl>
    <w:lvl w:ilvl="5" w:tplc="7CD2F916">
      <w:numFmt w:val="decimal"/>
      <w:lvlText w:val=""/>
      <w:lvlJc w:val="left"/>
    </w:lvl>
    <w:lvl w:ilvl="6" w:tplc="8702EEB6">
      <w:numFmt w:val="decimal"/>
      <w:lvlText w:val=""/>
      <w:lvlJc w:val="left"/>
    </w:lvl>
    <w:lvl w:ilvl="7" w:tplc="653C0800">
      <w:numFmt w:val="decimal"/>
      <w:lvlText w:val=""/>
      <w:lvlJc w:val="left"/>
    </w:lvl>
    <w:lvl w:ilvl="8" w:tplc="5EFA3350">
      <w:numFmt w:val="decimal"/>
      <w:lvlText w:val=""/>
      <w:lvlJc w:val="left"/>
    </w:lvl>
  </w:abstractNum>
  <w:abstractNum w:abstractNumId="11" w15:restartNumberingAfterBreak="0">
    <w:nsid w:val="0BEC065A"/>
    <w:multiLevelType w:val="hybridMultilevel"/>
    <w:tmpl w:val="0C090005"/>
    <w:lvl w:ilvl="0" w:tplc="FD78AF08">
      <w:start w:val="1"/>
      <w:numFmt w:val="bullet"/>
      <w:lvlText w:val=""/>
      <w:lvlJc w:val="left"/>
      <w:pPr>
        <w:tabs>
          <w:tab w:val="num" w:pos="360"/>
        </w:tabs>
        <w:ind w:left="360" w:hanging="360"/>
      </w:pPr>
      <w:rPr>
        <w:rFonts w:ascii="Wingdings" w:hAnsi="Wingdings" w:hint="default"/>
      </w:rPr>
    </w:lvl>
    <w:lvl w:ilvl="1" w:tplc="382AF8F8">
      <w:numFmt w:val="decimal"/>
      <w:lvlText w:val=""/>
      <w:lvlJc w:val="left"/>
    </w:lvl>
    <w:lvl w:ilvl="2" w:tplc="D72660DC">
      <w:numFmt w:val="decimal"/>
      <w:lvlText w:val=""/>
      <w:lvlJc w:val="left"/>
    </w:lvl>
    <w:lvl w:ilvl="3" w:tplc="5AEED0F4">
      <w:numFmt w:val="decimal"/>
      <w:lvlText w:val=""/>
      <w:lvlJc w:val="left"/>
    </w:lvl>
    <w:lvl w:ilvl="4" w:tplc="DDDCF592">
      <w:numFmt w:val="decimal"/>
      <w:lvlText w:val=""/>
      <w:lvlJc w:val="left"/>
    </w:lvl>
    <w:lvl w:ilvl="5" w:tplc="98CC33C6">
      <w:numFmt w:val="decimal"/>
      <w:lvlText w:val=""/>
      <w:lvlJc w:val="left"/>
    </w:lvl>
    <w:lvl w:ilvl="6" w:tplc="7D28CAF8">
      <w:numFmt w:val="decimal"/>
      <w:lvlText w:val=""/>
      <w:lvlJc w:val="left"/>
    </w:lvl>
    <w:lvl w:ilvl="7" w:tplc="130E63AE">
      <w:numFmt w:val="decimal"/>
      <w:lvlText w:val=""/>
      <w:lvlJc w:val="left"/>
    </w:lvl>
    <w:lvl w:ilvl="8" w:tplc="865865E6">
      <w:numFmt w:val="decimal"/>
      <w:lvlText w:val=""/>
      <w:lvlJc w:val="left"/>
    </w:lvl>
  </w:abstractNum>
  <w:abstractNum w:abstractNumId="12" w15:restartNumberingAfterBreak="0">
    <w:nsid w:val="1511606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C841EC8"/>
    <w:multiLevelType w:val="multilevel"/>
    <w:tmpl w:val="07F46C8E"/>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003"/>
        </w:tabs>
        <w:ind w:left="1003"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8877450"/>
    <w:multiLevelType w:val="singleLevel"/>
    <w:tmpl w:val="724A154A"/>
    <w:lvl w:ilvl="0">
      <w:start w:val="1"/>
      <w:numFmt w:val="bullet"/>
      <w:pStyle w:val="BodyTextIndentDot2"/>
      <w:lvlText w:val="-"/>
      <w:lvlJc w:val="left"/>
      <w:pPr>
        <w:tabs>
          <w:tab w:val="num" w:pos="360"/>
        </w:tabs>
        <w:ind w:left="360" w:hanging="360"/>
      </w:pPr>
      <w:rPr>
        <w:rFonts w:ascii="Times New Roman" w:hAnsi="Times New Roman" w:hint="default"/>
      </w:rPr>
    </w:lvl>
  </w:abstractNum>
  <w:abstractNum w:abstractNumId="15" w15:restartNumberingAfterBreak="0">
    <w:nsid w:val="32907F65"/>
    <w:multiLevelType w:val="singleLevel"/>
    <w:tmpl w:val="6E2E34A6"/>
    <w:lvl w:ilvl="0">
      <w:start w:val="1"/>
      <w:numFmt w:val="bullet"/>
      <w:pStyle w:val="BodyTextIndentDot"/>
      <w:lvlText w:val=""/>
      <w:lvlJc w:val="left"/>
      <w:pPr>
        <w:tabs>
          <w:tab w:val="num" w:pos="360"/>
        </w:tabs>
        <w:ind w:left="360" w:hanging="360"/>
      </w:pPr>
      <w:rPr>
        <w:rFonts w:ascii="Wingdings" w:hAnsi="Wingdings" w:hint="default"/>
      </w:rPr>
    </w:lvl>
  </w:abstractNum>
  <w:abstractNum w:abstractNumId="16" w15:restartNumberingAfterBreak="0">
    <w:nsid w:val="3F973409"/>
    <w:multiLevelType w:val="hybridMultilevel"/>
    <w:tmpl w:val="7114A6EE"/>
    <w:lvl w:ilvl="0" w:tplc="7A0C8B7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570807B2"/>
    <w:multiLevelType w:val="hybridMultilevel"/>
    <w:tmpl w:val="E27C70A4"/>
    <w:lvl w:ilvl="0" w:tplc="81204BCA">
      <w:start w:val="1"/>
      <w:numFmt w:val="decimal"/>
      <w:lvlText w:val="(%1)"/>
      <w:lvlJc w:val="left"/>
      <w:pPr>
        <w:ind w:left="1069" w:hanging="360"/>
      </w:pPr>
      <w:rPr>
        <w:rFonts w:hint="default"/>
        <w:b w:val="0"/>
        <w:i/>
        <w:vertAlign w:val="superscrip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6C007939"/>
    <w:multiLevelType w:val="singleLevel"/>
    <w:tmpl w:val="FABCB312"/>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2208D3"/>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13"/>
  </w:num>
  <w:num w:numId="3">
    <w:abstractNumId w:val="10"/>
  </w:num>
  <w:num w:numId="4">
    <w:abstractNumId w:val="15"/>
  </w:num>
  <w:num w:numId="5">
    <w:abstractNumId w:val="11"/>
  </w:num>
  <w:num w:numId="6">
    <w:abstractNumId w:val="12"/>
  </w:num>
  <w:num w:numId="7">
    <w:abstractNumId w:val="19"/>
  </w:num>
  <w:num w:numId="8">
    <w:abstractNumId w:val="14"/>
  </w:num>
  <w:num w:numId="9">
    <w:abstractNumId w:val="18"/>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2D"/>
    <w:rsid w:val="00004472"/>
    <w:rsid w:val="00017429"/>
    <w:rsid w:val="00030094"/>
    <w:rsid w:val="00033D0C"/>
    <w:rsid w:val="000453D6"/>
    <w:rsid w:val="0005234E"/>
    <w:rsid w:val="00062A70"/>
    <w:rsid w:val="00064520"/>
    <w:rsid w:val="00082B28"/>
    <w:rsid w:val="000846CC"/>
    <w:rsid w:val="0009186F"/>
    <w:rsid w:val="000D0FF1"/>
    <w:rsid w:val="000D4C25"/>
    <w:rsid w:val="000D7213"/>
    <w:rsid w:val="000F345A"/>
    <w:rsid w:val="000F474C"/>
    <w:rsid w:val="000F64E0"/>
    <w:rsid w:val="00103721"/>
    <w:rsid w:val="001078A0"/>
    <w:rsid w:val="001229BE"/>
    <w:rsid w:val="00136A0B"/>
    <w:rsid w:val="00137961"/>
    <w:rsid w:val="001543D6"/>
    <w:rsid w:val="001566AD"/>
    <w:rsid w:val="00173F66"/>
    <w:rsid w:val="00180200"/>
    <w:rsid w:val="001932DA"/>
    <w:rsid w:val="001C4C25"/>
    <w:rsid w:val="001E6951"/>
    <w:rsid w:val="001F6932"/>
    <w:rsid w:val="00205E91"/>
    <w:rsid w:val="002157F8"/>
    <w:rsid w:val="00215A04"/>
    <w:rsid w:val="002163ED"/>
    <w:rsid w:val="00236EB5"/>
    <w:rsid w:val="00273EA4"/>
    <w:rsid w:val="002A0A1E"/>
    <w:rsid w:val="002C1F8E"/>
    <w:rsid w:val="002D01F2"/>
    <w:rsid w:val="002E1E7E"/>
    <w:rsid w:val="002E6395"/>
    <w:rsid w:val="002F0F7A"/>
    <w:rsid w:val="0031220C"/>
    <w:rsid w:val="00321E4E"/>
    <w:rsid w:val="003516EE"/>
    <w:rsid w:val="00355D38"/>
    <w:rsid w:val="00373464"/>
    <w:rsid w:val="00374CDC"/>
    <w:rsid w:val="00386FFB"/>
    <w:rsid w:val="00394698"/>
    <w:rsid w:val="00395370"/>
    <w:rsid w:val="003C4F63"/>
    <w:rsid w:val="003D0FCD"/>
    <w:rsid w:val="003E6523"/>
    <w:rsid w:val="003F2F15"/>
    <w:rsid w:val="00404D4A"/>
    <w:rsid w:val="00411C13"/>
    <w:rsid w:val="00413B03"/>
    <w:rsid w:val="00415103"/>
    <w:rsid w:val="00426EB3"/>
    <w:rsid w:val="004332FA"/>
    <w:rsid w:val="004570C8"/>
    <w:rsid w:val="00477BC6"/>
    <w:rsid w:val="00483D64"/>
    <w:rsid w:val="00491C2D"/>
    <w:rsid w:val="004971E9"/>
    <w:rsid w:val="004A32D0"/>
    <w:rsid w:val="004A7919"/>
    <w:rsid w:val="004B1BE0"/>
    <w:rsid w:val="004E08D0"/>
    <w:rsid w:val="004E09D7"/>
    <w:rsid w:val="004E3085"/>
    <w:rsid w:val="005065AB"/>
    <w:rsid w:val="00545203"/>
    <w:rsid w:val="00546822"/>
    <w:rsid w:val="00561181"/>
    <w:rsid w:val="005624CB"/>
    <w:rsid w:val="005750BA"/>
    <w:rsid w:val="00575158"/>
    <w:rsid w:val="00581CC9"/>
    <w:rsid w:val="00584010"/>
    <w:rsid w:val="00585A06"/>
    <w:rsid w:val="00597460"/>
    <w:rsid w:val="005B5771"/>
    <w:rsid w:val="005B7A20"/>
    <w:rsid w:val="005D7CF4"/>
    <w:rsid w:val="005E1144"/>
    <w:rsid w:val="005E7174"/>
    <w:rsid w:val="00604B00"/>
    <w:rsid w:val="006144D4"/>
    <w:rsid w:val="00630920"/>
    <w:rsid w:val="00637EA0"/>
    <w:rsid w:val="0064192A"/>
    <w:rsid w:val="0064234A"/>
    <w:rsid w:val="00646718"/>
    <w:rsid w:val="00654186"/>
    <w:rsid w:val="006550D4"/>
    <w:rsid w:val="00665B44"/>
    <w:rsid w:val="006724A8"/>
    <w:rsid w:val="0067282B"/>
    <w:rsid w:val="006865BD"/>
    <w:rsid w:val="006B176C"/>
    <w:rsid w:val="006C41BE"/>
    <w:rsid w:val="006C53DF"/>
    <w:rsid w:val="006D57C8"/>
    <w:rsid w:val="006E442F"/>
    <w:rsid w:val="006F4FDA"/>
    <w:rsid w:val="00716401"/>
    <w:rsid w:val="0072027E"/>
    <w:rsid w:val="00731489"/>
    <w:rsid w:val="00733EBA"/>
    <w:rsid w:val="00740C84"/>
    <w:rsid w:val="00741A57"/>
    <w:rsid w:val="007423F6"/>
    <w:rsid w:val="00746D91"/>
    <w:rsid w:val="007513BC"/>
    <w:rsid w:val="00786400"/>
    <w:rsid w:val="00786CB2"/>
    <w:rsid w:val="007961EA"/>
    <w:rsid w:val="00797F9A"/>
    <w:rsid w:val="007B322C"/>
    <w:rsid w:val="007E0828"/>
    <w:rsid w:val="007E4464"/>
    <w:rsid w:val="007E64F9"/>
    <w:rsid w:val="00802AAF"/>
    <w:rsid w:val="008252DA"/>
    <w:rsid w:val="0083782B"/>
    <w:rsid w:val="008402C5"/>
    <w:rsid w:val="00851772"/>
    <w:rsid w:val="00855165"/>
    <w:rsid w:val="008723C4"/>
    <w:rsid w:val="008840E5"/>
    <w:rsid w:val="008940AC"/>
    <w:rsid w:val="0089440D"/>
    <w:rsid w:val="0089606F"/>
    <w:rsid w:val="0089661D"/>
    <w:rsid w:val="00897DE5"/>
    <w:rsid w:val="008B17E4"/>
    <w:rsid w:val="008B277D"/>
    <w:rsid w:val="008C320A"/>
    <w:rsid w:val="0090658E"/>
    <w:rsid w:val="009154FE"/>
    <w:rsid w:val="00920A20"/>
    <w:rsid w:val="009415B9"/>
    <w:rsid w:val="00952F1B"/>
    <w:rsid w:val="0095675E"/>
    <w:rsid w:val="009570F0"/>
    <w:rsid w:val="00961443"/>
    <w:rsid w:val="009828C1"/>
    <w:rsid w:val="00985B23"/>
    <w:rsid w:val="009929B6"/>
    <w:rsid w:val="0099305A"/>
    <w:rsid w:val="0099400E"/>
    <w:rsid w:val="009D081D"/>
    <w:rsid w:val="009D2B31"/>
    <w:rsid w:val="009D570A"/>
    <w:rsid w:val="009D64FC"/>
    <w:rsid w:val="009F6B12"/>
    <w:rsid w:val="009F7F16"/>
    <w:rsid w:val="00A04827"/>
    <w:rsid w:val="00A34A94"/>
    <w:rsid w:val="00A35638"/>
    <w:rsid w:val="00A56CC7"/>
    <w:rsid w:val="00A84B60"/>
    <w:rsid w:val="00A911EE"/>
    <w:rsid w:val="00AA0DC8"/>
    <w:rsid w:val="00AA3ED5"/>
    <w:rsid w:val="00AA6785"/>
    <w:rsid w:val="00B03FC6"/>
    <w:rsid w:val="00B27ACF"/>
    <w:rsid w:val="00B55EE4"/>
    <w:rsid w:val="00B6359B"/>
    <w:rsid w:val="00B65F39"/>
    <w:rsid w:val="00B73D37"/>
    <w:rsid w:val="00B7518C"/>
    <w:rsid w:val="00B804C5"/>
    <w:rsid w:val="00B83920"/>
    <w:rsid w:val="00BB6E3D"/>
    <w:rsid w:val="00BE53D9"/>
    <w:rsid w:val="00BF0188"/>
    <w:rsid w:val="00C00473"/>
    <w:rsid w:val="00C034BA"/>
    <w:rsid w:val="00C04174"/>
    <w:rsid w:val="00C04283"/>
    <w:rsid w:val="00C04E91"/>
    <w:rsid w:val="00C1023C"/>
    <w:rsid w:val="00C3063A"/>
    <w:rsid w:val="00C324B2"/>
    <w:rsid w:val="00C41BF6"/>
    <w:rsid w:val="00C465D1"/>
    <w:rsid w:val="00C568AC"/>
    <w:rsid w:val="00C5690A"/>
    <w:rsid w:val="00C61B9A"/>
    <w:rsid w:val="00C71F8C"/>
    <w:rsid w:val="00C73932"/>
    <w:rsid w:val="00C75A3C"/>
    <w:rsid w:val="00C82EDB"/>
    <w:rsid w:val="00C831A9"/>
    <w:rsid w:val="00C93358"/>
    <w:rsid w:val="00CA2DC7"/>
    <w:rsid w:val="00CB4892"/>
    <w:rsid w:val="00CB6B2A"/>
    <w:rsid w:val="00CE1AAA"/>
    <w:rsid w:val="00CF1CC2"/>
    <w:rsid w:val="00CF2754"/>
    <w:rsid w:val="00D05694"/>
    <w:rsid w:val="00D06DA4"/>
    <w:rsid w:val="00D21AC4"/>
    <w:rsid w:val="00D36941"/>
    <w:rsid w:val="00D373AD"/>
    <w:rsid w:val="00D42858"/>
    <w:rsid w:val="00D433CB"/>
    <w:rsid w:val="00D5185B"/>
    <w:rsid w:val="00D51A09"/>
    <w:rsid w:val="00D5305A"/>
    <w:rsid w:val="00D65A87"/>
    <w:rsid w:val="00D75697"/>
    <w:rsid w:val="00D764C6"/>
    <w:rsid w:val="00D77A31"/>
    <w:rsid w:val="00D952E0"/>
    <w:rsid w:val="00D9594D"/>
    <w:rsid w:val="00DC1D49"/>
    <w:rsid w:val="00DC791E"/>
    <w:rsid w:val="00DE5B45"/>
    <w:rsid w:val="00DF0D32"/>
    <w:rsid w:val="00DF3EF9"/>
    <w:rsid w:val="00E228A5"/>
    <w:rsid w:val="00E42696"/>
    <w:rsid w:val="00E5022A"/>
    <w:rsid w:val="00E51447"/>
    <w:rsid w:val="00E54875"/>
    <w:rsid w:val="00E71C48"/>
    <w:rsid w:val="00E72676"/>
    <w:rsid w:val="00E726E5"/>
    <w:rsid w:val="00E76AA8"/>
    <w:rsid w:val="00E857D4"/>
    <w:rsid w:val="00E914E3"/>
    <w:rsid w:val="00E96D45"/>
    <w:rsid w:val="00EA4929"/>
    <w:rsid w:val="00EB58AE"/>
    <w:rsid w:val="00EC3C24"/>
    <w:rsid w:val="00EC70D5"/>
    <w:rsid w:val="00ED2994"/>
    <w:rsid w:val="00EE52E9"/>
    <w:rsid w:val="00F0133A"/>
    <w:rsid w:val="00F03CCA"/>
    <w:rsid w:val="00F21B86"/>
    <w:rsid w:val="00F2437F"/>
    <w:rsid w:val="00F65EF2"/>
    <w:rsid w:val="00F80CBB"/>
    <w:rsid w:val="00FA7633"/>
    <w:rsid w:val="00FB4187"/>
    <w:rsid w:val="00FC0E2C"/>
    <w:rsid w:val="00FD0D4E"/>
    <w:rsid w:val="00FE35E3"/>
    <w:rsid w:val="00FF47BB"/>
    <w:rsid w:val="00FF7107"/>
    <w:rsid w:val="07308A1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C35023E"/>
  <w15:docId w15:val="{3C0649CC-2262-4025-AF21-E7B0D64C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A9"/>
    <w:rPr>
      <w:rFonts w:ascii="Arial" w:hAnsi="Arial"/>
    </w:rPr>
  </w:style>
  <w:style w:type="paragraph" w:styleId="Heading1">
    <w:name w:val="heading 1"/>
    <w:basedOn w:val="Normal"/>
    <w:next w:val="Normal"/>
    <w:qFormat/>
    <w:rsid w:val="00D65A87"/>
    <w:pPr>
      <w:keepNext/>
      <w:spacing w:before="240" w:after="60"/>
      <w:outlineLvl w:val="0"/>
    </w:pPr>
    <w:rPr>
      <w:b/>
      <w:caps/>
      <w:kern w:val="28"/>
      <w:sz w:val="24"/>
      <w:szCs w:val="18"/>
    </w:rPr>
  </w:style>
  <w:style w:type="paragraph" w:styleId="Heading2">
    <w:name w:val="heading 2"/>
    <w:basedOn w:val="Normal"/>
    <w:next w:val="BodyTextIndent"/>
    <w:qFormat/>
    <w:rsid w:val="008252DA"/>
    <w:pPr>
      <w:keepNext/>
      <w:numPr>
        <w:numId w:val="1"/>
      </w:numPr>
      <w:spacing w:before="240" w:after="60"/>
      <w:outlineLvl w:val="1"/>
    </w:pPr>
    <w:rPr>
      <w:b/>
      <w:caps/>
      <w:sz w:val="28"/>
      <w:szCs w:val="22"/>
    </w:rPr>
  </w:style>
  <w:style w:type="paragraph" w:styleId="Heading3">
    <w:name w:val="heading 3"/>
    <w:basedOn w:val="Heading2"/>
    <w:next w:val="Normal"/>
    <w:qFormat/>
    <w:rsid w:val="006D57C8"/>
    <w:pPr>
      <w:numPr>
        <w:ilvl w:val="1"/>
      </w:numPr>
      <w:tabs>
        <w:tab w:val="clear" w:pos="1003"/>
        <w:tab w:val="left" w:pos="709"/>
      </w:tabs>
      <w:ind w:left="709" w:hanging="709"/>
      <w:outlineLvl w:val="2"/>
    </w:pPr>
    <w:rPr>
      <w:sz w:val="24"/>
      <w:szCs w:val="20"/>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FF47BB"/>
    <w:pPr>
      <w:pBdr>
        <w:bottom w:val="single" w:sz="2" w:space="3" w:color="000000"/>
      </w:pBdr>
      <w:tabs>
        <w:tab w:val="right" w:pos="9356"/>
      </w:tabs>
      <w:spacing w:before="20" w:after="20"/>
      <w:jc w:val="both"/>
    </w:pPr>
    <w:rPr>
      <w:i/>
      <w:sz w:val="16"/>
    </w:rPr>
  </w:style>
  <w:style w:type="paragraph" w:styleId="Footer">
    <w:name w:val="footer"/>
    <w:basedOn w:val="Normal"/>
    <w:semiHidden/>
    <w:rsid w:val="00FF47BB"/>
    <w:pPr>
      <w:pBdr>
        <w:top w:val="single" w:sz="2" w:space="4" w:color="auto"/>
      </w:pBdr>
      <w:tabs>
        <w:tab w:val="right" w:pos="9356"/>
      </w:tabs>
      <w:jc w:val="both"/>
    </w:pPr>
    <w:rPr>
      <w:b/>
      <w:i/>
      <w:sz w:val="16"/>
    </w:rPr>
  </w:style>
  <w:style w:type="character" w:styleId="PageNumber">
    <w:name w:val="page number"/>
    <w:semiHidden/>
    <w:rPr>
      <w:rFonts w:ascii="Arial" w:hAnsi="Arial"/>
      <w:sz w:val="16"/>
    </w:rPr>
  </w:style>
  <w:style w:type="paragraph" w:styleId="BodyText">
    <w:name w:val="Body Text"/>
    <w:basedOn w:val="Normal"/>
    <w:link w:val="BodyTextChar"/>
    <w:semiHidden/>
    <w:qFormat/>
    <w:rsid w:val="00A34A94"/>
    <w:pPr>
      <w:spacing w:before="60" w:after="60"/>
      <w:ind w:left="709"/>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semiHidden/>
    <w:rsid w:val="00A34A94"/>
    <w:pPr>
      <w:spacing w:before="60" w:after="60"/>
      <w:ind w:left="709"/>
      <w:jc w:val="both"/>
    </w:pPr>
  </w:style>
  <w:style w:type="paragraph" w:styleId="TOC1">
    <w:name w:val="toc 1"/>
    <w:basedOn w:val="Normal"/>
    <w:next w:val="Normal"/>
    <w:autoRedefine/>
    <w:uiPriority w:val="39"/>
    <w:rsid w:val="008723C4"/>
    <w:pPr>
      <w:tabs>
        <w:tab w:val="left" w:pos="709"/>
        <w:tab w:val="right" w:leader="dot" w:pos="9498"/>
      </w:tabs>
      <w:spacing w:before="120" w:after="120"/>
      <w:ind w:left="709" w:hanging="709"/>
    </w:pPr>
    <w:rPr>
      <w:b/>
      <w:caps/>
      <w:sz w:val="22"/>
    </w:rPr>
  </w:style>
  <w:style w:type="paragraph" w:styleId="TOC2">
    <w:name w:val="toc 2"/>
    <w:basedOn w:val="Normal"/>
    <w:next w:val="Normal"/>
    <w:autoRedefine/>
    <w:uiPriority w:val="39"/>
    <w:rsid w:val="0031220C"/>
    <w:pPr>
      <w:tabs>
        <w:tab w:val="left" w:pos="1276"/>
        <w:tab w:val="right" w:leader="dot" w:pos="9498"/>
      </w:tabs>
      <w:ind w:left="1276" w:hanging="567"/>
    </w:pPr>
    <w:rPr>
      <w:b/>
      <w:smallCaps/>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6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styleId="BodyTextIndent2">
    <w:name w:val="Body Text Indent 2"/>
    <w:basedOn w:val="Normal"/>
    <w:semiHidden/>
    <w:pPr>
      <w:ind w:left="709"/>
      <w:jc w:val="both"/>
    </w:pPr>
  </w:style>
  <w:style w:type="paragraph" w:styleId="BodyTextIndent3">
    <w:name w:val="Body Text Indent 3"/>
    <w:basedOn w:val="Normal"/>
    <w:semiHidden/>
    <w:pPr>
      <w:ind w:left="1418" w:hanging="709"/>
      <w:jc w:val="both"/>
    </w:pPr>
    <w:rPr>
      <w:sz w:val="18"/>
    </w:rPr>
  </w:style>
  <w:style w:type="paragraph" w:styleId="BalloonText">
    <w:name w:val="Balloon Text"/>
    <w:basedOn w:val="Normal"/>
    <w:link w:val="BalloonTextChar"/>
    <w:uiPriority w:val="99"/>
    <w:semiHidden/>
    <w:unhideWhenUsed/>
    <w:rsid w:val="004E3085"/>
    <w:rPr>
      <w:rFonts w:ascii="Tahoma" w:hAnsi="Tahoma" w:cs="Tahoma"/>
      <w:sz w:val="16"/>
      <w:szCs w:val="16"/>
    </w:rPr>
  </w:style>
  <w:style w:type="character" w:customStyle="1" w:styleId="BalloonTextChar">
    <w:name w:val="Balloon Text Char"/>
    <w:link w:val="BalloonText"/>
    <w:uiPriority w:val="99"/>
    <w:semiHidden/>
    <w:rsid w:val="004E3085"/>
    <w:rPr>
      <w:rFonts w:ascii="Tahoma" w:hAnsi="Tahoma" w:cs="Tahoma"/>
      <w:sz w:val="16"/>
      <w:szCs w:val="16"/>
    </w:rPr>
  </w:style>
  <w:style w:type="paragraph" w:styleId="FootnoteText">
    <w:name w:val="footnote text"/>
    <w:basedOn w:val="Normal"/>
    <w:link w:val="FootnoteTextChar"/>
    <w:uiPriority w:val="99"/>
    <w:semiHidden/>
    <w:unhideWhenUsed/>
    <w:rsid w:val="004E3085"/>
  </w:style>
  <w:style w:type="character" w:customStyle="1" w:styleId="FootnoteTextChar">
    <w:name w:val="Footnote Text Char"/>
    <w:link w:val="FootnoteText"/>
    <w:uiPriority w:val="99"/>
    <w:semiHidden/>
    <w:rsid w:val="004E3085"/>
    <w:rPr>
      <w:rFonts w:ascii="Arial" w:hAnsi="Arial"/>
    </w:rPr>
  </w:style>
  <w:style w:type="character" w:styleId="FootnoteReference">
    <w:name w:val="footnote reference"/>
    <w:uiPriority w:val="99"/>
    <w:semiHidden/>
    <w:unhideWhenUsed/>
    <w:rsid w:val="004E3085"/>
    <w:rPr>
      <w:vertAlign w:val="superscript"/>
    </w:rPr>
  </w:style>
  <w:style w:type="character" w:styleId="CommentReference">
    <w:name w:val="annotation reference"/>
    <w:uiPriority w:val="99"/>
    <w:semiHidden/>
    <w:unhideWhenUsed/>
    <w:rsid w:val="00740C84"/>
    <w:rPr>
      <w:sz w:val="16"/>
      <w:szCs w:val="16"/>
    </w:rPr>
  </w:style>
  <w:style w:type="paragraph" w:styleId="CommentText">
    <w:name w:val="annotation text"/>
    <w:basedOn w:val="Normal"/>
    <w:link w:val="CommentTextChar"/>
    <w:uiPriority w:val="99"/>
    <w:semiHidden/>
    <w:unhideWhenUsed/>
    <w:rsid w:val="00740C84"/>
  </w:style>
  <w:style w:type="character" w:customStyle="1" w:styleId="CommentTextChar">
    <w:name w:val="Comment Text Char"/>
    <w:link w:val="CommentText"/>
    <w:uiPriority w:val="99"/>
    <w:semiHidden/>
    <w:rsid w:val="00740C84"/>
    <w:rPr>
      <w:rFonts w:ascii="Arial" w:hAnsi="Arial"/>
    </w:rPr>
  </w:style>
  <w:style w:type="paragraph" w:styleId="CommentSubject">
    <w:name w:val="annotation subject"/>
    <w:basedOn w:val="CommentText"/>
    <w:next w:val="CommentText"/>
    <w:link w:val="CommentSubjectChar"/>
    <w:uiPriority w:val="99"/>
    <w:semiHidden/>
    <w:unhideWhenUsed/>
    <w:rsid w:val="00740C84"/>
    <w:rPr>
      <w:b/>
      <w:bCs/>
    </w:rPr>
  </w:style>
  <w:style w:type="character" w:customStyle="1" w:styleId="CommentSubjectChar">
    <w:name w:val="Comment Subject Char"/>
    <w:link w:val="CommentSubject"/>
    <w:uiPriority w:val="99"/>
    <w:semiHidden/>
    <w:rsid w:val="00740C84"/>
    <w:rPr>
      <w:rFonts w:ascii="Arial" w:hAnsi="Arial"/>
      <w:b/>
      <w:bCs/>
    </w:rPr>
  </w:style>
  <w:style w:type="paragraph" w:customStyle="1" w:styleId="BodyTextBoldUnderline">
    <w:name w:val="Body Text Bold Underline"/>
    <w:basedOn w:val="Normal"/>
    <w:qFormat/>
    <w:rsid w:val="00A34A94"/>
    <w:pPr>
      <w:spacing w:before="60" w:after="60"/>
      <w:ind w:left="709"/>
      <w:jc w:val="both"/>
    </w:pPr>
    <w:rPr>
      <w:b/>
      <w:u w:val="single"/>
    </w:rPr>
  </w:style>
  <w:style w:type="paragraph" w:customStyle="1" w:styleId="BodyTextIndentDot">
    <w:name w:val="Body Text Indent Dot"/>
    <w:basedOn w:val="Normal"/>
    <w:qFormat/>
    <w:rsid w:val="00A34A94"/>
    <w:pPr>
      <w:numPr>
        <w:numId w:val="4"/>
      </w:numPr>
      <w:tabs>
        <w:tab w:val="clear" w:pos="360"/>
      </w:tabs>
      <w:spacing w:before="40" w:after="40"/>
      <w:ind w:left="1066" w:hanging="357"/>
      <w:jc w:val="both"/>
    </w:pPr>
  </w:style>
  <w:style w:type="paragraph" w:customStyle="1" w:styleId="TableIDNum">
    <w:name w:val="Table ID Num"/>
    <w:basedOn w:val="BodyText"/>
    <w:next w:val="Normal"/>
    <w:qFormat/>
    <w:rsid w:val="003D0FCD"/>
    <w:pPr>
      <w:spacing w:before="120"/>
    </w:pPr>
    <w:rPr>
      <w:b/>
      <w:i/>
      <w:sz w:val="18"/>
    </w:rPr>
  </w:style>
  <w:style w:type="paragraph" w:customStyle="1" w:styleId="TableHeadCen">
    <w:name w:val="Table Head Cen"/>
    <w:basedOn w:val="Normal"/>
    <w:rsid w:val="00A34A94"/>
    <w:pPr>
      <w:spacing w:before="60" w:after="60"/>
      <w:jc w:val="center"/>
    </w:pPr>
    <w:rPr>
      <w:rFonts w:ascii="Arial Bold" w:hAnsi="Arial Bold"/>
      <w:b/>
      <w:sz w:val="18"/>
    </w:rPr>
  </w:style>
  <w:style w:type="paragraph" w:customStyle="1" w:styleId="Table">
    <w:name w:val="Table"/>
    <w:basedOn w:val="BodyTextIndent3"/>
    <w:rsid w:val="00A34A94"/>
    <w:pPr>
      <w:spacing w:before="40" w:after="40"/>
      <w:ind w:left="0" w:firstLine="0"/>
      <w:jc w:val="left"/>
    </w:pPr>
    <w:rPr>
      <w:snapToGrid w:val="0"/>
      <w:lang w:eastAsia="en-US"/>
    </w:rPr>
  </w:style>
  <w:style w:type="paragraph" w:customStyle="1" w:styleId="TableCen">
    <w:name w:val="Table Cen"/>
    <w:basedOn w:val="Table"/>
    <w:rsid w:val="00A34A94"/>
    <w:pPr>
      <w:jc w:val="center"/>
    </w:pPr>
  </w:style>
  <w:style w:type="paragraph" w:customStyle="1" w:styleId="TableHead">
    <w:name w:val="Table Head"/>
    <w:basedOn w:val="Normal"/>
    <w:rsid w:val="00A34A94"/>
    <w:pPr>
      <w:spacing w:before="60" w:after="60"/>
    </w:pPr>
    <w:rPr>
      <w:b/>
      <w:sz w:val="18"/>
    </w:rPr>
  </w:style>
  <w:style w:type="paragraph" w:customStyle="1" w:styleId="BodyTextIndentDot2">
    <w:name w:val="Body Text Indent Dot2"/>
    <w:basedOn w:val="Normal"/>
    <w:rsid w:val="00A34A94"/>
    <w:pPr>
      <w:numPr>
        <w:numId w:val="8"/>
      </w:numPr>
      <w:tabs>
        <w:tab w:val="clear" w:pos="360"/>
        <w:tab w:val="num" w:pos="1134"/>
      </w:tabs>
      <w:spacing w:before="40" w:after="40"/>
      <w:ind w:left="1134" w:hanging="425"/>
      <w:jc w:val="both"/>
    </w:pPr>
  </w:style>
  <w:style w:type="paragraph" w:customStyle="1" w:styleId="TableDot1">
    <w:name w:val="Table Dot1"/>
    <w:basedOn w:val="BodyTextIndentDot2"/>
    <w:rsid w:val="00A34A94"/>
    <w:pPr>
      <w:tabs>
        <w:tab w:val="num" w:pos="459"/>
      </w:tabs>
      <w:spacing w:before="20" w:after="20"/>
      <w:ind w:left="459" w:hanging="283"/>
    </w:pPr>
    <w:rPr>
      <w:sz w:val="18"/>
    </w:rPr>
  </w:style>
  <w:style w:type="paragraph" w:customStyle="1" w:styleId="CoverHeading">
    <w:name w:val="Cover Heading"/>
    <w:basedOn w:val="Normal"/>
    <w:rsid w:val="00A34A94"/>
    <w:pPr>
      <w:spacing w:before="240" w:after="120"/>
      <w:jc w:val="center"/>
      <w:outlineLvl w:val="0"/>
    </w:pPr>
    <w:rPr>
      <w:b/>
      <w:caps/>
      <w:sz w:val="24"/>
    </w:rPr>
  </w:style>
  <w:style w:type="paragraph" w:customStyle="1" w:styleId="BodyTextIndentBoldItalicCen">
    <w:name w:val="Body Text Indent Bold Italic Cen"/>
    <w:basedOn w:val="BodyTextIndent"/>
    <w:rsid w:val="002C1F8E"/>
    <w:pPr>
      <w:jc w:val="center"/>
    </w:pPr>
    <w:rPr>
      <w:b/>
      <w:i/>
    </w:rPr>
  </w:style>
  <w:style w:type="paragraph" w:customStyle="1" w:styleId="BodyTextdot">
    <w:name w:val="Body Text dot"/>
    <w:basedOn w:val="BodyText"/>
    <w:qFormat/>
    <w:rsid w:val="00E76AA8"/>
  </w:style>
  <w:style w:type="paragraph" w:customStyle="1" w:styleId="TableNote">
    <w:name w:val="Table Note"/>
    <w:basedOn w:val="Normal"/>
    <w:qFormat/>
    <w:rsid w:val="00064520"/>
    <w:pPr>
      <w:spacing w:before="20"/>
      <w:ind w:left="1066" w:hanging="357"/>
      <w:jc w:val="both"/>
    </w:pPr>
    <w:rPr>
      <w:i/>
      <w:sz w:val="18"/>
      <w:szCs w:val="18"/>
    </w:rPr>
  </w:style>
  <w:style w:type="paragraph" w:styleId="NormalWeb">
    <w:name w:val="Normal (Web)"/>
    <w:basedOn w:val="Normal"/>
    <w:uiPriority w:val="99"/>
    <w:semiHidden/>
    <w:unhideWhenUsed/>
    <w:rsid w:val="005065AB"/>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semiHidden/>
    <w:rsid w:val="00786400"/>
    <w:rPr>
      <w:rFonts w:ascii="Arial" w:hAnsi="Arial"/>
    </w:rPr>
  </w:style>
  <w:style w:type="character" w:customStyle="1" w:styleId="BodyTextIndentChar">
    <w:name w:val="Body Text Indent Char"/>
    <w:basedOn w:val="DefaultParagraphFont"/>
    <w:link w:val="BodyTextIndent"/>
    <w:semiHidden/>
    <w:rsid w:val="0078640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F287-246A-48E7-8144-AB650C0D9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47497-57A2-4423-BD43-17F0E1069484}">
  <ds:schemaRefs>
    <ds:schemaRef ds:uri="http://schemas.microsoft.com/sharepoint/v3/contenttype/forms"/>
  </ds:schemaRefs>
</ds:datastoreItem>
</file>

<file path=customXml/itemProps3.xml><?xml version="1.0" encoding="utf-8"?>
<ds:datastoreItem xmlns:ds="http://schemas.openxmlformats.org/officeDocument/2006/customXml" ds:itemID="{5F25BCE1-CDD6-43EC-837F-D4F0DF9DBE00}">
  <ds:schemaRefs>
    <ds:schemaRef ds:uri="1aac26e5-4c41-468c-83b0-97e8e79a919c"/>
    <ds:schemaRef ds:uri="http://purl.org/dc/elements/1.1/"/>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4f40705d-e7da-4f43-bdce-ad8c70b86017"/>
    <ds:schemaRef ds:uri="http://schemas.microsoft.com/office/2006/metadata/properties"/>
  </ds:schemaRefs>
</ds:datastoreItem>
</file>

<file path=customXml/itemProps4.xml><?xml version="1.0" encoding="utf-8"?>
<ds:datastoreItem xmlns:ds="http://schemas.openxmlformats.org/officeDocument/2006/customXml" ds:itemID="{3C5E9C15-428E-4A89-A992-0EE7E5C3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3566</Words>
  <Characters>20204</Characters>
  <Application>Microsoft Office Word</Application>
  <DocSecurity>0</DocSecurity>
  <Lines>168</Lines>
  <Paragraphs>47</Paragraphs>
  <ScaleCrop>false</ScaleCrop>
  <Manager>Bruce Hansen</Manager>
  <Company>Brisbane City Council</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S310 Supply of Dense Graded Asphalt</dc:subject>
  <dc:creator>Lucy Ting</dc:creator>
  <cp:keywords/>
  <dc:description/>
  <cp:lastModifiedBy>David Brady</cp:lastModifiedBy>
  <cp:revision>88</cp:revision>
  <cp:lastPrinted>2018-07-02T06:45:00Z</cp:lastPrinted>
  <dcterms:created xsi:type="dcterms:W3CDTF">2018-06-20T03:37:00Z</dcterms:created>
  <dcterms:modified xsi:type="dcterms:W3CDTF">2021-11-17T21:25:00Z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