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813D" w14:textId="273579AA" w:rsidR="00253D44" w:rsidRPr="00253D44" w:rsidRDefault="007503E1" w:rsidP="00253D44">
      <w:pPr>
        <w:pStyle w:val="Heading1"/>
      </w:pPr>
      <w:bookmarkStart w:id="0" w:name="_Toc334690139"/>
      <w:r w:rsidRPr="00253D44">
        <w:rPr>
          <w:caps w:val="0"/>
        </w:rPr>
        <w:t>BRISBANE CITY COUNCIL</w:t>
      </w:r>
    </w:p>
    <w:p w14:paraId="089FB34A" w14:textId="728EA667" w:rsidR="00253D44" w:rsidRDefault="007503E1" w:rsidP="00253D44">
      <w:pPr>
        <w:pStyle w:val="Heading1"/>
      </w:pPr>
      <w:r>
        <w:rPr>
          <w:caps w:val="0"/>
        </w:rPr>
        <w:t>REFERENCE SPECIFICATIONS FOR ENGINEERING WORK</w:t>
      </w:r>
    </w:p>
    <w:p w14:paraId="03CEFA89" w14:textId="458D7C08" w:rsidR="007761CB" w:rsidRDefault="007503E1" w:rsidP="00253D44">
      <w:pPr>
        <w:pStyle w:val="Heading1"/>
      </w:pPr>
      <w:r>
        <w:rPr>
          <w:caps w:val="0"/>
        </w:rPr>
        <w:t>S320 LAYING OF ASPHALT</w:t>
      </w:r>
    </w:p>
    <w:p w14:paraId="6D1A328A" w14:textId="5EB5E996" w:rsidR="00253D44" w:rsidRDefault="00253D44" w:rsidP="00253D44">
      <w:pPr>
        <w:pStyle w:val="CoverHeading"/>
        <w:sectPr w:rsidR="00253D44" w:rsidSect="00326F39">
          <w:headerReference w:type="even" r:id="rId10"/>
          <w:headerReference w:type="default" r:id="rId11"/>
          <w:footerReference w:type="default" r:id="rId12"/>
          <w:pgSz w:w="11906" w:h="16838" w:code="9"/>
          <w:pgMar w:top="1134" w:right="1134" w:bottom="992" w:left="1418" w:header="1134" w:footer="851" w:gutter="0"/>
          <w:pgNumType w:fmt="lowerRoman" w:start="1"/>
          <w:cols w:space="720"/>
          <w:docGrid w:linePitch="272"/>
        </w:sectPr>
      </w:pPr>
    </w:p>
    <w:p w14:paraId="024714AC" w14:textId="0E2B3D31" w:rsidR="00F67683" w:rsidRDefault="00045FE4" w:rsidP="00045FE4">
      <w:pPr>
        <w:pStyle w:val="Heading2"/>
        <w:numPr>
          <w:ilvl w:val="0"/>
          <w:numId w:val="0"/>
        </w:numPr>
        <w:ind w:left="720" w:hanging="720"/>
      </w:pPr>
      <w:r>
        <w:rPr>
          <w:caps w:val="0"/>
        </w:rPr>
        <w:lastRenderedPageBreak/>
        <w:t>AMENDMENT REGISTER</w:t>
      </w:r>
      <w:bookmarkEnd w:id="0"/>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386"/>
        <w:gridCol w:w="1559"/>
      </w:tblGrid>
      <w:tr w:rsidR="00F67683" w14:paraId="024714B1" w14:textId="77777777" w:rsidTr="00045FE4">
        <w:tc>
          <w:tcPr>
            <w:tcW w:w="1242" w:type="dxa"/>
            <w:tcBorders>
              <w:top w:val="single" w:sz="12" w:space="0" w:color="auto"/>
              <w:left w:val="nil"/>
              <w:bottom w:val="single" w:sz="12" w:space="0" w:color="auto"/>
              <w:right w:val="single" w:sz="2" w:space="0" w:color="auto"/>
            </w:tcBorders>
            <w:shd w:val="clear" w:color="auto" w:fill="auto"/>
            <w:vAlign w:val="center"/>
          </w:tcPr>
          <w:p w14:paraId="024714AD" w14:textId="77777777" w:rsidR="00F67683" w:rsidRDefault="00F67683" w:rsidP="003179ED">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clear" w:color="auto" w:fill="auto"/>
            <w:vAlign w:val="center"/>
          </w:tcPr>
          <w:p w14:paraId="024714AE" w14:textId="77777777" w:rsidR="00F67683" w:rsidRDefault="00F67683" w:rsidP="003179ED">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clear" w:color="auto" w:fill="auto"/>
            <w:vAlign w:val="center"/>
          </w:tcPr>
          <w:p w14:paraId="024714AF" w14:textId="77777777" w:rsidR="00F67683" w:rsidRDefault="00F67683" w:rsidP="003179ED">
            <w:pPr>
              <w:pStyle w:val="TableHead"/>
            </w:pPr>
            <w:r>
              <w:t>Description</w:t>
            </w:r>
          </w:p>
        </w:tc>
        <w:tc>
          <w:tcPr>
            <w:tcW w:w="1559" w:type="dxa"/>
            <w:tcBorders>
              <w:top w:val="single" w:sz="12" w:space="0" w:color="auto"/>
              <w:left w:val="single" w:sz="2" w:space="0" w:color="auto"/>
              <w:bottom w:val="single" w:sz="12" w:space="0" w:color="auto"/>
              <w:right w:val="nil"/>
            </w:tcBorders>
            <w:shd w:val="clear" w:color="auto" w:fill="auto"/>
            <w:vAlign w:val="center"/>
          </w:tcPr>
          <w:p w14:paraId="024714B0" w14:textId="77777777" w:rsidR="00F67683" w:rsidRDefault="00F67683" w:rsidP="003179ED">
            <w:pPr>
              <w:pStyle w:val="TableHeadCen"/>
            </w:pPr>
            <w:r>
              <w:t>Date</w:t>
            </w:r>
          </w:p>
        </w:tc>
      </w:tr>
      <w:tr w:rsidR="00F67683" w14:paraId="024714B6" w14:textId="77777777" w:rsidTr="00045FE4">
        <w:trPr>
          <w:trHeight w:val="340"/>
        </w:trPr>
        <w:tc>
          <w:tcPr>
            <w:tcW w:w="1242" w:type="dxa"/>
            <w:tcBorders>
              <w:top w:val="single" w:sz="12" w:space="0" w:color="auto"/>
              <w:left w:val="nil"/>
              <w:bottom w:val="single" w:sz="8" w:space="0" w:color="auto"/>
              <w:right w:val="single" w:sz="2" w:space="0" w:color="auto"/>
            </w:tcBorders>
            <w:vAlign w:val="center"/>
          </w:tcPr>
          <w:p w14:paraId="024714B2" w14:textId="77777777" w:rsidR="00F67683" w:rsidRDefault="00F67683" w:rsidP="003179ED">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024714B3" w14:textId="77777777" w:rsidR="00F67683" w:rsidRDefault="00F67683" w:rsidP="003179ED">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024714B4" w14:textId="77777777" w:rsidR="00F67683" w:rsidRDefault="00F67683" w:rsidP="003179ED">
            <w:pPr>
              <w:pStyle w:val="Table"/>
            </w:pPr>
            <w:r>
              <w:t>Original issue</w:t>
            </w:r>
          </w:p>
        </w:tc>
        <w:tc>
          <w:tcPr>
            <w:tcW w:w="1559" w:type="dxa"/>
            <w:tcBorders>
              <w:top w:val="single" w:sz="12" w:space="0" w:color="auto"/>
              <w:left w:val="single" w:sz="2" w:space="0" w:color="auto"/>
              <w:bottom w:val="single" w:sz="8" w:space="0" w:color="auto"/>
              <w:right w:val="nil"/>
            </w:tcBorders>
            <w:vAlign w:val="center"/>
          </w:tcPr>
          <w:p w14:paraId="024714B5" w14:textId="77777777" w:rsidR="00F67683" w:rsidRDefault="00F67683" w:rsidP="00326F39">
            <w:pPr>
              <w:pStyle w:val="TableCen"/>
              <w:ind w:left="175" w:hanging="175"/>
            </w:pPr>
            <w:r>
              <w:t>Oct 2001</w:t>
            </w:r>
          </w:p>
        </w:tc>
      </w:tr>
      <w:tr w:rsidR="00F67683" w14:paraId="024714BB" w14:textId="77777777" w:rsidTr="00045FE4">
        <w:trPr>
          <w:trHeight w:val="340"/>
        </w:trPr>
        <w:tc>
          <w:tcPr>
            <w:tcW w:w="1242" w:type="dxa"/>
            <w:tcBorders>
              <w:top w:val="single" w:sz="8" w:space="0" w:color="auto"/>
              <w:left w:val="nil"/>
              <w:bottom w:val="single" w:sz="8" w:space="0" w:color="auto"/>
              <w:right w:val="single" w:sz="2" w:space="0" w:color="auto"/>
            </w:tcBorders>
            <w:vAlign w:val="center"/>
          </w:tcPr>
          <w:p w14:paraId="024714B7" w14:textId="77777777" w:rsidR="00F67683" w:rsidRDefault="00F67683" w:rsidP="003179ED">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024714B8" w14:textId="77777777" w:rsidR="00F67683" w:rsidRDefault="00F67683" w:rsidP="003179ED">
            <w:pPr>
              <w:pStyle w:val="TableCen"/>
            </w:pPr>
          </w:p>
        </w:tc>
        <w:tc>
          <w:tcPr>
            <w:tcW w:w="5386" w:type="dxa"/>
            <w:tcBorders>
              <w:top w:val="single" w:sz="8" w:space="0" w:color="auto"/>
              <w:left w:val="single" w:sz="2" w:space="0" w:color="auto"/>
              <w:bottom w:val="single" w:sz="8" w:space="0" w:color="auto"/>
              <w:right w:val="single" w:sz="2" w:space="0" w:color="auto"/>
            </w:tcBorders>
            <w:vAlign w:val="center"/>
          </w:tcPr>
          <w:p w14:paraId="024714B9" w14:textId="77777777" w:rsidR="00F67683" w:rsidRDefault="00F67683" w:rsidP="00F67683">
            <w:pPr>
              <w:pStyle w:val="Table"/>
            </w:pPr>
            <w:r>
              <w:t>Specification reviewed</w:t>
            </w:r>
          </w:p>
        </w:tc>
        <w:tc>
          <w:tcPr>
            <w:tcW w:w="1559" w:type="dxa"/>
            <w:tcBorders>
              <w:top w:val="single" w:sz="8" w:space="0" w:color="auto"/>
              <w:left w:val="single" w:sz="2" w:space="0" w:color="auto"/>
              <w:bottom w:val="single" w:sz="8" w:space="0" w:color="auto"/>
              <w:right w:val="nil"/>
            </w:tcBorders>
            <w:vAlign w:val="center"/>
          </w:tcPr>
          <w:p w14:paraId="024714BA" w14:textId="77777777" w:rsidR="00F67683" w:rsidRDefault="00F67683" w:rsidP="003179ED">
            <w:pPr>
              <w:pStyle w:val="TableCen"/>
            </w:pPr>
            <w:r>
              <w:t>Apr 2014</w:t>
            </w:r>
          </w:p>
        </w:tc>
      </w:tr>
      <w:tr w:rsidR="00F4556D" w14:paraId="024714C0" w14:textId="77777777" w:rsidTr="00045FE4">
        <w:trPr>
          <w:trHeight w:val="340"/>
        </w:trPr>
        <w:tc>
          <w:tcPr>
            <w:tcW w:w="1242" w:type="dxa"/>
            <w:vMerge w:val="restart"/>
            <w:tcBorders>
              <w:top w:val="single" w:sz="8" w:space="0" w:color="auto"/>
              <w:left w:val="nil"/>
              <w:bottom w:val="single" w:sz="12" w:space="0" w:color="auto"/>
              <w:right w:val="single" w:sz="2" w:space="0" w:color="auto"/>
            </w:tcBorders>
            <w:vAlign w:val="center"/>
          </w:tcPr>
          <w:p w14:paraId="024714BC" w14:textId="77777777" w:rsidR="00F4556D" w:rsidRDefault="00F4556D" w:rsidP="003179ED">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024714BD" w14:textId="77777777" w:rsidR="00F4556D" w:rsidRDefault="00F4556D" w:rsidP="003179ED">
            <w:pPr>
              <w:pStyle w:val="TableCen"/>
            </w:pPr>
            <w:r w:rsidRPr="00ED7B9D">
              <w:t>1.2 and 1.3</w:t>
            </w:r>
          </w:p>
        </w:tc>
        <w:tc>
          <w:tcPr>
            <w:tcW w:w="5386" w:type="dxa"/>
            <w:tcBorders>
              <w:top w:val="single" w:sz="8" w:space="0" w:color="auto"/>
              <w:left w:val="single" w:sz="2" w:space="0" w:color="auto"/>
              <w:bottom w:val="single" w:sz="2" w:space="0" w:color="auto"/>
              <w:right w:val="single" w:sz="2" w:space="0" w:color="auto"/>
            </w:tcBorders>
          </w:tcPr>
          <w:p w14:paraId="024714BE" w14:textId="77777777" w:rsidR="00F4556D" w:rsidRDefault="00F4556D" w:rsidP="00F67683">
            <w:pPr>
              <w:pStyle w:val="Table"/>
            </w:pPr>
            <w:r w:rsidRPr="00DB234C">
              <w:t>Cross and External References Updated and Corrected</w:t>
            </w:r>
          </w:p>
        </w:tc>
        <w:tc>
          <w:tcPr>
            <w:tcW w:w="1559" w:type="dxa"/>
            <w:vMerge w:val="restart"/>
            <w:tcBorders>
              <w:top w:val="single" w:sz="8" w:space="0" w:color="auto"/>
              <w:left w:val="single" w:sz="2" w:space="0" w:color="auto"/>
              <w:bottom w:val="single" w:sz="12" w:space="0" w:color="auto"/>
              <w:right w:val="nil"/>
            </w:tcBorders>
            <w:vAlign w:val="center"/>
          </w:tcPr>
          <w:p w14:paraId="024714BF" w14:textId="77777777" w:rsidR="00F4556D" w:rsidRDefault="00F4556D" w:rsidP="003179ED">
            <w:pPr>
              <w:pStyle w:val="TableCen"/>
            </w:pPr>
            <w:r>
              <w:t>May 2016</w:t>
            </w:r>
          </w:p>
        </w:tc>
      </w:tr>
      <w:tr w:rsidR="00F4556D" w14:paraId="024714C5" w14:textId="77777777" w:rsidTr="00045FE4">
        <w:trPr>
          <w:trHeight w:val="340"/>
        </w:trPr>
        <w:tc>
          <w:tcPr>
            <w:tcW w:w="1242" w:type="dxa"/>
            <w:vMerge/>
            <w:tcBorders>
              <w:top w:val="single" w:sz="8" w:space="0" w:color="auto"/>
              <w:left w:val="nil"/>
              <w:bottom w:val="single" w:sz="8" w:space="0" w:color="auto"/>
              <w:right w:val="single" w:sz="2" w:space="0" w:color="auto"/>
            </w:tcBorders>
            <w:vAlign w:val="center"/>
          </w:tcPr>
          <w:p w14:paraId="024714C1" w14:textId="77777777" w:rsidR="00F4556D" w:rsidRDefault="00F4556D" w:rsidP="003179ED">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024714C2" w14:textId="39D55112" w:rsidR="00F4556D" w:rsidRPr="00ED7B9D" w:rsidRDefault="00F4556D" w:rsidP="003179ED">
            <w:pPr>
              <w:pStyle w:val="TableCen"/>
            </w:pPr>
            <w:r w:rsidRPr="00ED7B9D">
              <w:t>Table</w:t>
            </w:r>
            <w:r w:rsidR="00C67971">
              <w:t> </w:t>
            </w:r>
            <w:r w:rsidRPr="00ED7B9D">
              <w:t>3.1</w:t>
            </w:r>
          </w:p>
        </w:tc>
        <w:tc>
          <w:tcPr>
            <w:tcW w:w="5386" w:type="dxa"/>
            <w:tcBorders>
              <w:top w:val="single" w:sz="2" w:space="0" w:color="auto"/>
              <w:left w:val="single" w:sz="2" w:space="0" w:color="auto"/>
              <w:bottom w:val="single" w:sz="8" w:space="0" w:color="auto"/>
              <w:right w:val="single" w:sz="2" w:space="0" w:color="auto"/>
            </w:tcBorders>
          </w:tcPr>
          <w:p w14:paraId="024714C3" w14:textId="75D19536" w:rsidR="00F4556D" w:rsidRDefault="00F4556D" w:rsidP="00F67683">
            <w:pPr>
              <w:pStyle w:val="Table"/>
            </w:pPr>
            <w:r w:rsidRPr="00DB234C">
              <w:t xml:space="preserve">NAASRA roughness counts </w:t>
            </w:r>
            <w:r w:rsidR="00C67971">
              <w:t>–</w:t>
            </w:r>
            <w:r w:rsidR="00C67971" w:rsidRPr="00DB234C">
              <w:t xml:space="preserve"> </w:t>
            </w:r>
            <w:r w:rsidRPr="00DB234C">
              <w:t>Change references to pavement types to City Plan 2014 classifications</w:t>
            </w:r>
          </w:p>
        </w:tc>
        <w:tc>
          <w:tcPr>
            <w:tcW w:w="1559" w:type="dxa"/>
            <w:vMerge/>
            <w:tcBorders>
              <w:top w:val="single" w:sz="8" w:space="0" w:color="auto"/>
              <w:left w:val="single" w:sz="2" w:space="0" w:color="auto"/>
              <w:bottom w:val="single" w:sz="8" w:space="0" w:color="auto"/>
              <w:right w:val="nil"/>
            </w:tcBorders>
            <w:vAlign w:val="center"/>
          </w:tcPr>
          <w:p w14:paraId="024714C4" w14:textId="77777777" w:rsidR="00F4556D" w:rsidRDefault="00F4556D" w:rsidP="003179ED">
            <w:pPr>
              <w:pStyle w:val="TableCen"/>
            </w:pPr>
          </w:p>
        </w:tc>
      </w:tr>
      <w:tr w:rsidR="00466A1F" w14:paraId="584609A6" w14:textId="77777777" w:rsidTr="00045FE4">
        <w:trPr>
          <w:trHeight w:val="340"/>
        </w:trPr>
        <w:tc>
          <w:tcPr>
            <w:tcW w:w="1242" w:type="dxa"/>
            <w:vMerge w:val="restart"/>
            <w:tcBorders>
              <w:top w:val="single" w:sz="8" w:space="0" w:color="auto"/>
              <w:left w:val="nil"/>
              <w:bottom w:val="single" w:sz="12" w:space="0" w:color="auto"/>
              <w:right w:val="single" w:sz="2" w:space="0" w:color="auto"/>
            </w:tcBorders>
            <w:vAlign w:val="center"/>
          </w:tcPr>
          <w:p w14:paraId="3FE95C35" w14:textId="7AF5EC6F" w:rsidR="00466A1F" w:rsidRDefault="00466A1F" w:rsidP="00466A1F">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76832F39" w14:textId="7398A7E7" w:rsidR="00466A1F" w:rsidRPr="00ED7B9D" w:rsidRDefault="00466A1F" w:rsidP="00466A1F">
            <w:pPr>
              <w:pStyle w:val="TableCen"/>
            </w:pPr>
            <w:r>
              <w:t>General</w:t>
            </w:r>
          </w:p>
        </w:tc>
        <w:tc>
          <w:tcPr>
            <w:tcW w:w="5386" w:type="dxa"/>
            <w:tcBorders>
              <w:top w:val="single" w:sz="8" w:space="0" w:color="auto"/>
              <w:left w:val="single" w:sz="2" w:space="0" w:color="auto"/>
              <w:bottom w:val="single" w:sz="2" w:space="0" w:color="auto"/>
              <w:right w:val="single" w:sz="2" w:space="0" w:color="auto"/>
            </w:tcBorders>
            <w:vAlign w:val="center"/>
          </w:tcPr>
          <w:p w14:paraId="21B792F9" w14:textId="71240B5E" w:rsidR="00466A1F" w:rsidRPr="00DB234C" w:rsidRDefault="00466A1F" w:rsidP="00466A1F">
            <w:pPr>
              <w:pStyle w:val="Table"/>
            </w:pPr>
            <w:r w:rsidRPr="00AB07DE">
              <w:t>Document name changed from ‘Reference Specifications for Civil Engineering Work’ to ‘Reference Specifications for Engineering Work’</w:t>
            </w:r>
          </w:p>
        </w:tc>
        <w:tc>
          <w:tcPr>
            <w:tcW w:w="1559" w:type="dxa"/>
            <w:vMerge w:val="restart"/>
            <w:tcBorders>
              <w:top w:val="single" w:sz="8" w:space="0" w:color="auto"/>
              <w:left w:val="single" w:sz="2" w:space="0" w:color="auto"/>
              <w:bottom w:val="single" w:sz="12" w:space="0" w:color="auto"/>
              <w:right w:val="nil"/>
            </w:tcBorders>
            <w:vAlign w:val="center"/>
          </w:tcPr>
          <w:p w14:paraId="1A8E1847" w14:textId="3728C2CF" w:rsidR="00466A1F" w:rsidRDefault="00466A1F" w:rsidP="00466A1F">
            <w:pPr>
              <w:pStyle w:val="TableCen"/>
            </w:pPr>
            <w:r>
              <w:t>Mar 2021</w:t>
            </w:r>
          </w:p>
        </w:tc>
      </w:tr>
      <w:tr w:rsidR="00C67971" w14:paraId="7D94345E" w14:textId="77777777" w:rsidTr="00045FE4">
        <w:trPr>
          <w:trHeight w:val="340"/>
        </w:trPr>
        <w:tc>
          <w:tcPr>
            <w:tcW w:w="1242" w:type="dxa"/>
            <w:vMerge/>
            <w:tcBorders>
              <w:top w:val="single" w:sz="8" w:space="0" w:color="auto"/>
              <w:left w:val="nil"/>
              <w:bottom w:val="single" w:sz="12" w:space="0" w:color="auto"/>
              <w:right w:val="single" w:sz="2" w:space="0" w:color="auto"/>
            </w:tcBorders>
            <w:vAlign w:val="center"/>
          </w:tcPr>
          <w:p w14:paraId="712625A1" w14:textId="77777777" w:rsidR="00C67971" w:rsidRDefault="00C67971" w:rsidP="00D3043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F7E94C3" w14:textId="5AA879C9" w:rsidR="00C67971" w:rsidRDefault="00C67971" w:rsidP="00D30435">
            <w:pPr>
              <w:pStyle w:val="TableCen"/>
            </w:pPr>
            <w:r>
              <w:t>1.3</w:t>
            </w:r>
          </w:p>
        </w:tc>
        <w:tc>
          <w:tcPr>
            <w:tcW w:w="5386" w:type="dxa"/>
            <w:tcBorders>
              <w:top w:val="single" w:sz="2" w:space="0" w:color="auto"/>
              <w:left w:val="single" w:sz="2" w:space="0" w:color="auto"/>
              <w:bottom w:val="single" w:sz="2" w:space="0" w:color="auto"/>
              <w:right w:val="single" w:sz="2" w:space="0" w:color="auto"/>
            </w:tcBorders>
            <w:vAlign w:val="center"/>
          </w:tcPr>
          <w:p w14:paraId="161DDFAC" w14:textId="65290F50" w:rsidR="00C67971" w:rsidRPr="00AB07DE" w:rsidRDefault="00C67971" w:rsidP="000C3132">
            <w:pPr>
              <w:pStyle w:val="Table"/>
            </w:pPr>
            <w:r>
              <w:t>References to Reference Specifications updated.</w:t>
            </w:r>
          </w:p>
        </w:tc>
        <w:tc>
          <w:tcPr>
            <w:tcW w:w="1559" w:type="dxa"/>
            <w:vMerge/>
            <w:tcBorders>
              <w:top w:val="single" w:sz="8" w:space="0" w:color="auto"/>
              <w:left w:val="single" w:sz="2" w:space="0" w:color="auto"/>
              <w:bottom w:val="single" w:sz="12" w:space="0" w:color="auto"/>
              <w:right w:val="nil"/>
            </w:tcBorders>
            <w:vAlign w:val="center"/>
          </w:tcPr>
          <w:p w14:paraId="131A935E" w14:textId="77777777" w:rsidR="00C67971" w:rsidRDefault="00C67971" w:rsidP="00D30435">
            <w:pPr>
              <w:pStyle w:val="TableCen"/>
            </w:pPr>
          </w:p>
        </w:tc>
      </w:tr>
      <w:tr w:rsidR="00C67971" w14:paraId="7478DCB9" w14:textId="77777777" w:rsidTr="00045FE4">
        <w:trPr>
          <w:trHeight w:val="340"/>
        </w:trPr>
        <w:tc>
          <w:tcPr>
            <w:tcW w:w="1242" w:type="dxa"/>
            <w:vMerge/>
            <w:tcBorders>
              <w:top w:val="single" w:sz="8" w:space="0" w:color="auto"/>
              <w:left w:val="nil"/>
              <w:bottom w:val="single" w:sz="12" w:space="0" w:color="auto"/>
              <w:right w:val="single" w:sz="2" w:space="0" w:color="auto"/>
            </w:tcBorders>
            <w:vAlign w:val="center"/>
          </w:tcPr>
          <w:p w14:paraId="3721A2EB" w14:textId="77777777" w:rsidR="00C67971" w:rsidRDefault="00C67971" w:rsidP="00D30435">
            <w:pPr>
              <w:pStyle w:val="TableCen"/>
            </w:pPr>
          </w:p>
        </w:tc>
        <w:tc>
          <w:tcPr>
            <w:tcW w:w="1310" w:type="dxa"/>
            <w:vMerge w:val="restart"/>
            <w:tcBorders>
              <w:top w:val="single" w:sz="2" w:space="0" w:color="auto"/>
              <w:left w:val="single" w:sz="2" w:space="0" w:color="auto"/>
              <w:right w:val="single" w:sz="2" w:space="0" w:color="auto"/>
            </w:tcBorders>
            <w:vAlign w:val="center"/>
          </w:tcPr>
          <w:p w14:paraId="2073DCD3" w14:textId="71C1A2BB" w:rsidR="00C67971" w:rsidRDefault="00C67971" w:rsidP="00D30435">
            <w:pPr>
              <w:pStyle w:val="TableCen"/>
            </w:pPr>
            <w:r>
              <w:t>3.0</w:t>
            </w:r>
          </w:p>
        </w:tc>
        <w:tc>
          <w:tcPr>
            <w:tcW w:w="5386" w:type="dxa"/>
            <w:tcBorders>
              <w:top w:val="single" w:sz="2" w:space="0" w:color="auto"/>
              <w:left w:val="single" w:sz="2" w:space="0" w:color="auto"/>
              <w:bottom w:val="single" w:sz="2" w:space="0" w:color="auto"/>
              <w:right w:val="single" w:sz="2" w:space="0" w:color="auto"/>
            </w:tcBorders>
            <w:vAlign w:val="center"/>
          </w:tcPr>
          <w:p w14:paraId="17EB611F" w14:textId="28A2D7D4" w:rsidR="00C67971" w:rsidRDefault="00C67971" w:rsidP="000C3132">
            <w:pPr>
              <w:pStyle w:val="Table"/>
            </w:pPr>
            <w:r>
              <w:t>Terminology relating to kerb and channel/gutter’ updated.</w:t>
            </w:r>
          </w:p>
        </w:tc>
        <w:tc>
          <w:tcPr>
            <w:tcW w:w="1559" w:type="dxa"/>
            <w:vMerge/>
            <w:tcBorders>
              <w:top w:val="single" w:sz="8" w:space="0" w:color="auto"/>
              <w:left w:val="single" w:sz="2" w:space="0" w:color="auto"/>
              <w:bottom w:val="single" w:sz="12" w:space="0" w:color="auto"/>
              <w:right w:val="nil"/>
            </w:tcBorders>
            <w:vAlign w:val="center"/>
          </w:tcPr>
          <w:p w14:paraId="3BF9AD44" w14:textId="77777777" w:rsidR="00C67971" w:rsidRDefault="00C67971" w:rsidP="00D30435">
            <w:pPr>
              <w:pStyle w:val="TableCen"/>
            </w:pPr>
          </w:p>
        </w:tc>
      </w:tr>
      <w:tr w:rsidR="00C67971" w14:paraId="217596A9" w14:textId="77777777" w:rsidTr="00045FE4">
        <w:trPr>
          <w:trHeight w:val="340"/>
        </w:trPr>
        <w:tc>
          <w:tcPr>
            <w:tcW w:w="1242" w:type="dxa"/>
            <w:vMerge/>
            <w:tcBorders>
              <w:top w:val="single" w:sz="8" w:space="0" w:color="auto"/>
              <w:left w:val="nil"/>
              <w:bottom w:val="single" w:sz="12" w:space="0" w:color="auto"/>
              <w:right w:val="single" w:sz="2" w:space="0" w:color="auto"/>
            </w:tcBorders>
            <w:vAlign w:val="center"/>
          </w:tcPr>
          <w:p w14:paraId="6A2B16D1" w14:textId="77777777" w:rsidR="00C67971" w:rsidRDefault="00C67971" w:rsidP="00D30435">
            <w:pPr>
              <w:pStyle w:val="TableCen"/>
            </w:pPr>
          </w:p>
        </w:tc>
        <w:tc>
          <w:tcPr>
            <w:tcW w:w="1310" w:type="dxa"/>
            <w:vMerge/>
            <w:tcBorders>
              <w:left w:val="single" w:sz="2" w:space="0" w:color="auto"/>
            </w:tcBorders>
            <w:vAlign w:val="center"/>
          </w:tcPr>
          <w:p w14:paraId="12174B1C" w14:textId="77777777" w:rsidR="00C67971" w:rsidRDefault="00C67971" w:rsidP="00D30435">
            <w:pPr>
              <w:pStyle w:val="TableCen"/>
            </w:pPr>
          </w:p>
        </w:tc>
        <w:tc>
          <w:tcPr>
            <w:tcW w:w="5386" w:type="dxa"/>
            <w:tcBorders>
              <w:top w:val="single" w:sz="2" w:space="0" w:color="auto"/>
              <w:left w:val="single" w:sz="2" w:space="0" w:color="auto"/>
              <w:bottom w:val="single" w:sz="2" w:space="0" w:color="auto"/>
              <w:right w:val="single" w:sz="2" w:space="0" w:color="auto"/>
            </w:tcBorders>
            <w:vAlign w:val="center"/>
          </w:tcPr>
          <w:p w14:paraId="22A93C54" w14:textId="00C54A5B" w:rsidR="00C67971" w:rsidRDefault="00C67971" w:rsidP="000C3132">
            <w:pPr>
              <w:pStyle w:val="Table"/>
            </w:pPr>
            <w:r>
              <w:t>Roughness section expanded and International Roughness Index requirements included.</w:t>
            </w:r>
          </w:p>
        </w:tc>
        <w:tc>
          <w:tcPr>
            <w:tcW w:w="1559" w:type="dxa"/>
            <w:vMerge/>
            <w:tcBorders>
              <w:top w:val="single" w:sz="8" w:space="0" w:color="auto"/>
              <w:left w:val="single" w:sz="2" w:space="0" w:color="auto"/>
              <w:bottom w:val="single" w:sz="12" w:space="0" w:color="auto"/>
              <w:right w:val="nil"/>
            </w:tcBorders>
            <w:vAlign w:val="center"/>
          </w:tcPr>
          <w:p w14:paraId="517C1D1C" w14:textId="77777777" w:rsidR="00C67971" w:rsidRDefault="00C67971" w:rsidP="00D30435">
            <w:pPr>
              <w:pStyle w:val="TableCen"/>
            </w:pPr>
          </w:p>
        </w:tc>
      </w:tr>
      <w:tr w:rsidR="563F9DD3" w14:paraId="353D6F11" w14:textId="77777777" w:rsidTr="00045FE4">
        <w:trPr>
          <w:trHeight w:val="340"/>
        </w:trPr>
        <w:tc>
          <w:tcPr>
            <w:tcW w:w="1242" w:type="dxa"/>
            <w:vMerge/>
            <w:tcBorders>
              <w:top w:val="single" w:sz="8" w:space="0" w:color="auto"/>
              <w:left w:val="nil"/>
              <w:bottom w:val="single" w:sz="12" w:space="0" w:color="auto"/>
              <w:right w:val="single" w:sz="2" w:space="0" w:color="auto"/>
            </w:tcBorders>
            <w:vAlign w:val="center"/>
          </w:tcPr>
          <w:p w14:paraId="285BFBB1" w14:textId="77777777" w:rsidR="00404C71" w:rsidRDefault="00404C71"/>
        </w:tc>
        <w:tc>
          <w:tcPr>
            <w:tcW w:w="1310" w:type="dxa"/>
            <w:tcBorders>
              <w:top w:val="single" w:sz="2" w:space="0" w:color="auto"/>
              <w:left w:val="single" w:sz="2" w:space="0" w:color="auto"/>
              <w:right w:val="single" w:sz="2" w:space="0" w:color="auto"/>
            </w:tcBorders>
            <w:vAlign w:val="center"/>
          </w:tcPr>
          <w:p w14:paraId="27F38F09" w14:textId="5DDE8B2F" w:rsidR="64622D9F" w:rsidRDefault="64622D9F" w:rsidP="563F9DD3">
            <w:pPr>
              <w:pStyle w:val="TableCen"/>
            </w:pPr>
            <w:r>
              <w:t>Table 5.1</w:t>
            </w:r>
          </w:p>
        </w:tc>
        <w:tc>
          <w:tcPr>
            <w:tcW w:w="5386" w:type="dxa"/>
            <w:tcBorders>
              <w:top w:val="single" w:sz="2" w:space="0" w:color="auto"/>
              <w:left w:val="single" w:sz="2" w:space="0" w:color="auto"/>
              <w:bottom w:val="single" w:sz="2" w:space="0" w:color="auto"/>
              <w:right w:val="single" w:sz="2" w:space="0" w:color="auto"/>
            </w:tcBorders>
            <w:vAlign w:val="center"/>
          </w:tcPr>
          <w:p w14:paraId="5670F115" w14:textId="4B8109D9" w:rsidR="64622D9F" w:rsidRDefault="64622D9F" w:rsidP="563F9DD3">
            <w:pPr>
              <w:pStyle w:val="Table"/>
            </w:pPr>
            <w:r>
              <w:t>Nominal aggregate size for Type 3 mix corrected.</w:t>
            </w:r>
          </w:p>
        </w:tc>
        <w:tc>
          <w:tcPr>
            <w:tcW w:w="1559" w:type="dxa"/>
            <w:vMerge/>
            <w:tcBorders>
              <w:top w:val="single" w:sz="8" w:space="0" w:color="auto"/>
              <w:left w:val="single" w:sz="2" w:space="0" w:color="auto"/>
              <w:bottom w:val="single" w:sz="12" w:space="0" w:color="auto"/>
              <w:right w:val="nil"/>
            </w:tcBorders>
            <w:vAlign w:val="center"/>
          </w:tcPr>
          <w:p w14:paraId="0EBDF97D" w14:textId="77777777" w:rsidR="00404C71" w:rsidRDefault="00404C71"/>
        </w:tc>
      </w:tr>
      <w:tr w:rsidR="00C67971" w14:paraId="1BAC0D01" w14:textId="77777777" w:rsidTr="00045FE4">
        <w:trPr>
          <w:trHeight w:val="340"/>
        </w:trPr>
        <w:tc>
          <w:tcPr>
            <w:tcW w:w="1242" w:type="dxa"/>
            <w:vMerge/>
            <w:tcBorders>
              <w:top w:val="single" w:sz="8" w:space="0" w:color="auto"/>
              <w:left w:val="nil"/>
              <w:bottom w:val="single" w:sz="12" w:space="0" w:color="auto"/>
              <w:right w:val="single" w:sz="2" w:space="0" w:color="auto"/>
            </w:tcBorders>
            <w:vAlign w:val="center"/>
          </w:tcPr>
          <w:p w14:paraId="48DD807D" w14:textId="77777777" w:rsidR="00C67971" w:rsidRDefault="00C67971" w:rsidP="00D30435">
            <w:pPr>
              <w:pStyle w:val="TableCen"/>
            </w:pPr>
          </w:p>
        </w:tc>
        <w:tc>
          <w:tcPr>
            <w:tcW w:w="1310" w:type="dxa"/>
            <w:tcBorders>
              <w:left w:val="single" w:sz="2" w:space="0" w:color="auto"/>
              <w:bottom w:val="single" w:sz="12" w:space="0" w:color="auto"/>
              <w:right w:val="single" w:sz="2" w:space="0" w:color="auto"/>
            </w:tcBorders>
            <w:vAlign w:val="center"/>
          </w:tcPr>
          <w:p w14:paraId="74971206" w14:textId="0A0A65F4" w:rsidR="00C67971" w:rsidRDefault="05E142CC" w:rsidP="00D30435">
            <w:pPr>
              <w:pStyle w:val="TableCen"/>
            </w:pPr>
            <w:r>
              <w:t>5.3</w:t>
            </w:r>
          </w:p>
        </w:tc>
        <w:tc>
          <w:tcPr>
            <w:tcW w:w="5386" w:type="dxa"/>
            <w:tcBorders>
              <w:top w:val="single" w:sz="2" w:space="0" w:color="auto"/>
              <w:left w:val="single" w:sz="2" w:space="0" w:color="auto"/>
              <w:bottom w:val="single" w:sz="12" w:space="0" w:color="auto"/>
              <w:right w:val="single" w:sz="2" w:space="0" w:color="auto"/>
            </w:tcBorders>
            <w:vAlign w:val="center"/>
          </w:tcPr>
          <w:p w14:paraId="629B6F7B" w14:textId="7C01F603" w:rsidR="00C67971" w:rsidRDefault="735324C8" w:rsidP="000C3132">
            <w:pPr>
              <w:pStyle w:val="Table"/>
            </w:pPr>
            <w:r>
              <w:t>Compaction temperature when Warm Mix Additive used</w:t>
            </w:r>
          </w:p>
        </w:tc>
        <w:tc>
          <w:tcPr>
            <w:tcW w:w="1559" w:type="dxa"/>
            <w:vMerge/>
            <w:tcBorders>
              <w:top w:val="single" w:sz="8" w:space="0" w:color="auto"/>
              <w:left w:val="single" w:sz="2" w:space="0" w:color="auto"/>
              <w:bottom w:val="single" w:sz="12" w:space="0" w:color="auto"/>
              <w:right w:val="nil"/>
            </w:tcBorders>
            <w:vAlign w:val="center"/>
          </w:tcPr>
          <w:p w14:paraId="0010B2E8" w14:textId="77777777" w:rsidR="00C67971" w:rsidRDefault="00C67971" w:rsidP="00D30435">
            <w:pPr>
              <w:pStyle w:val="TableCen"/>
            </w:pPr>
          </w:p>
        </w:tc>
      </w:tr>
    </w:tbl>
    <w:p w14:paraId="024714C6" w14:textId="77777777" w:rsidR="00F67683" w:rsidRDefault="00F67683">
      <w:pPr>
        <w:jc w:val="center"/>
        <w:sectPr w:rsidR="00F67683" w:rsidSect="00326F39">
          <w:headerReference w:type="default" r:id="rId13"/>
          <w:footerReference w:type="default" r:id="rId14"/>
          <w:pgSz w:w="11906" w:h="16838" w:code="9"/>
          <w:pgMar w:top="1134" w:right="1134" w:bottom="992" w:left="1418" w:header="1134" w:footer="851" w:gutter="0"/>
          <w:pgNumType w:fmt="lowerRoman" w:start="1"/>
          <w:cols w:space="720"/>
          <w:docGrid w:linePitch="272"/>
        </w:sectPr>
      </w:pPr>
    </w:p>
    <w:p w14:paraId="024714C7" w14:textId="4713A94C" w:rsidR="00F67683" w:rsidRDefault="00CC1DEE" w:rsidP="00076087">
      <w:pPr>
        <w:pStyle w:val="BodyTextIndentBoldItalicCen"/>
      </w:pPr>
      <w:r w:rsidRPr="004A2005">
        <w:lastRenderedPageBreak/>
        <w:t>(</w:t>
      </w:r>
      <w:r w:rsidR="00076087" w:rsidRPr="004A2005">
        <w:t xml:space="preserve">This </w:t>
      </w:r>
      <w:r w:rsidRPr="004A2005">
        <w:t>Page Left Intentionally Blank)</w:t>
      </w:r>
    </w:p>
    <w:p w14:paraId="024714C8" w14:textId="77777777" w:rsidR="00F67683" w:rsidRDefault="00F67683">
      <w:pPr>
        <w:jc w:val="center"/>
        <w:sectPr w:rsidR="00F67683" w:rsidSect="00326F39">
          <w:pgSz w:w="11906" w:h="16838" w:code="9"/>
          <w:pgMar w:top="1134" w:right="1134" w:bottom="992" w:left="1418" w:header="1134" w:footer="851" w:gutter="0"/>
          <w:pgNumType w:fmt="lowerRoman" w:start="1"/>
          <w:cols w:space="720"/>
          <w:vAlign w:val="center"/>
          <w:docGrid w:linePitch="272"/>
        </w:sectPr>
      </w:pPr>
    </w:p>
    <w:p w14:paraId="024714C9" w14:textId="77777777" w:rsidR="009F0B66" w:rsidRDefault="009F0B66" w:rsidP="00045FE4">
      <w:pPr>
        <w:pStyle w:val="Heading2"/>
        <w:numPr>
          <w:ilvl w:val="0"/>
          <w:numId w:val="0"/>
        </w:numPr>
        <w:ind w:left="720" w:hanging="720"/>
      </w:pPr>
      <w:r>
        <w:lastRenderedPageBreak/>
        <w:t>TABLE OF CONTENTS</w:t>
      </w:r>
    </w:p>
    <w:p w14:paraId="48287B7D" w14:textId="11F30D9C" w:rsidR="00C10F4F" w:rsidRDefault="00C10F4F">
      <w:pPr>
        <w:pStyle w:val="TOC1"/>
        <w:rPr>
          <w:rFonts w:asciiTheme="minorHAnsi" w:eastAsiaTheme="minorEastAsia" w:hAnsiTheme="minorHAnsi" w:cstheme="minorBidi"/>
          <w:b w:val="0"/>
          <w:caps w:val="0"/>
          <w:noProof/>
          <w:sz w:val="22"/>
          <w:szCs w:val="22"/>
        </w:rPr>
      </w:pPr>
      <w:r>
        <w:rPr>
          <w:b w:val="0"/>
          <w:caps w:val="0"/>
          <w:color w:val="FF0000"/>
          <w:sz w:val="22"/>
        </w:rPr>
        <w:fldChar w:fldCharType="begin"/>
      </w:r>
      <w:r>
        <w:rPr>
          <w:b w:val="0"/>
          <w:caps w:val="0"/>
          <w:color w:val="FF0000"/>
          <w:sz w:val="22"/>
        </w:rPr>
        <w:instrText xml:space="preserve"> TOC \t "Heading 2,1,Heading 3,2" </w:instrText>
      </w:r>
      <w:r>
        <w:rPr>
          <w:b w:val="0"/>
          <w:caps w:val="0"/>
          <w:color w:val="FF0000"/>
          <w:sz w:val="22"/>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_Toc76047054 \h </w:instrText>
      </w:r>
      <w:r>
        <w:rPr>
          <w:noProof/>
        </w:rPr>
      </w:r>
      <w:r>
        <w:rPr>
          <w:noProof/>
        </w:rPr>
        <w:fldChar w:fldCharType="separate"/>
      </w:r>
      <w:r>
        <w:rPr>
          <w:noProof/>
        </w:rPr>
        <w:t>1</w:t>
      </w:r>
      <w:r>
        <w:rPr>
          <w:noProof/>
        </w:rPr>
        <w:fldChar w:fldCharType="end"/>
      </w:r>
    </w:p>
    <w:p w14:paraId="541654E2" w14:textId="6DA93389" w:rsidR="00C10F4F" w:rsidRDefault="00C10F4F">
      <w:pPr>
        <w:pStyle w:val="TOC2"/>
        <w:rPr>
          <w:rFonts w:asciiTheme="minorHAnsi" w:eastAsiaTheme="minorEastAsia" w:hAnsiTheme="minorHAnsi" w:cstheme="minorBidi"/>
          <w:b w:val="0"/>
          <w:smallCaps w:val="0"/>
          <w:noProof/>
          <w:sz w:val="22"/>
          <w:szCs w:val="22"/>
        </w:rPr>
      </w:pPr>
      <w:r>
        <w:rPr>
          <w:noProof/>
        </w:rPr>
        <w:t>1.1</w:t>
      </w:r>
      <w:r>
        <w:rPr>
          <w:rFonts w:asciiTheme="minorHAnsi" w:eastAsiaTheme="minorEastAsia" w:hAnsiTheme="minorHAnsi" w:cstheme="minorBidi"/>
          <w:b w:val="0"/>
          <w:smallCaps w:val="0"/>
          <w:noProof/>
          <w:sz w:val="22"/>
          <w:szCs w:val="22"/>
        </w:rPr>
        <w:tab/>
      </w:r>
      <w:r>
        <w:rPr>
          <w:noProof/>
        </w:rPr>
        <w:t>Section Content</w:t>
      </w:r>
      <w:r>
        <w:rPr>
          <w:noProof/>
        </w:rPr>
        <w:tab/>
      </w:r>
      <w:r>
        <w:rPr>
          <w:noProof/>
        </w:rPr>
        <w:fldChar w:fldCharType="begin"/>
      </w:r>
      <w:r>
        <w:rPr>
          <w:noProof/>
        </w:rPr>
        <w:instrText xml:space="preserve"> PAGEREF _Toc76047055 \h </w:instrText>
      </w:r>
      <w:r>
        <w:rPr>
          <w:noProof/>
        </w:rPr>
      </w:r>
      <w:r>
        <w:rPr>
          <w:noProof/>
        </w:rPr>
        <w:fldChar w:fldCharType="separate"/>
      </w:r>
      <w:r>
        <w:rPr>
          <w:noProof/>
        </w:rPr>
        <w:t>1</w:t>
      </w:r>
      <w:r>
        <w:rPr>
          <w:noProof/>
        </w:rPr>
        <w:fldChar w:fldCharType="end"/>
      </w:r>
    </w:p>
    <w:p w14:paraId="77C34035" w14:textId="6AB68354" w:rsidR="00C10F4F" w:rsidRDefault="00C10F4F">
      <w:pPr>
        <w:pStyle w:val="TOC2"/>
        <w:rPr>
          <w:rFonts w:asciiTheme="minorHAnsi" w:eastAsiaTheme="minorEastAsia" w:hAnsiTheme="minorHAnsi" w:cstheme="minorBidi"/>
          <w:b w:val="0"/>
          <w:smallCaps w:val="0"/>
          <w:noProof/>
          <w:sz w:val="22"/>
          <w:szCs w:val="22"/>
        </w:rPr>
      </w:pPr>
      <w:r>
        <w:rPr>
          <w:noProof/>
        </w:rPr>
        <w:t>1.2</w:t>
      </w:r>
      <w:r>
        <w:rPr>
          <w:rFonts w:asciiTheme="minorHAnsi" w:eastAsiaTheme="minorEastAsia" w:hAnsiTheme="minorHAnsi" w:cstheme="minorBidi"/>
          <w:b w:val="0"/>
          <w:smallCaps w:val="0"/>
          <w:noProof/>
          <w:sz w:val="22"/>
          <w:szCs w:val="22"/>
        </w:rPr>
        <w:tab/>
      </w:r>
      <w:r>
        <w:rPr>
          <w:noProof/>
        </w:rPr>
        <w:t>Standards</w:t>
      </w:r>
      <w:r>
        <w:rPr>
          <w:noProof/>
        </w:rPr>
        <w:tab/>
      </w:r>
      <w:r>
        <w:rPr>
          <w:noProof/>
        </w:rPr>
        <w:fldChar w:fldCharType="begin"/>
      </w:r>
      <w:r>
        <w:rPr>
          <w:noProof/>
        </w:rPr>
        <w:instrText xml:space="preserve"> PAGEREF _Toc76047056 \h </w:instrText>
      </w:r>
      <w:r>
        <w:rPr>
          <w:noProof/>
        </w:rPr>
      </w:r>
      <w:r>
        <w:rPr>
          <w:noProof/>
        </w:rPr>
        <w:fldChar w:fldCharType="separate"/>
      </w:r>
      <w:r>
        <w:rPr>
          <w:noProof/>
        </w:rPr>
        <w:t>1</w:t>
      </w:r>
      <w:r>
        <w:rPr>
          <w:noProof/>
        </w:rPr>
        <w:fldChar w:fldCharType="end"/>
      </w:r>
    </w:p>
    <w:p w14:paraId="188336DB" w14:textId="204445EB" w:rsidR="00C10F4F" w:rsidRDefault="00C10F4F">
      <w:pPr>
        <w:pStyle w:val="TOC2"/>
        <w:rPr>
          <w:rFonts w:asciiTheme="minorHAnsi" w:eastAsiaTheme="minorEastAsia" w:hAnsiTheme="minorHAnsi" w:cstheme="minorBidi"/>
          <w:b w:val="0"/>
          <w:smallCaps w:val="0"/>
          <w:noProof/>
          <w:sz w:val="22"/>
          <w:szCs w:val="22"/>
        </w:rPr>
      </w:pPr>
      <w:r>
        <w:rPr>
          <w:noProof/>
        </w:rPr>
        <w:t>1.3</w:t>
      </w:r>
      <w:r>
        <w:rPr>
          <w:rFonts w:asciiTheme="minorHAnsi" w:eastAsiaTheme="minorEastAsia" w:hAnsiTheme="minorHAnsi" w:cstheme="minorBidi"/>
          <w:b w:val="0"/>
          <w:smallCaps w:val="0"/>
          <w:noProof/>
          <w:sz w:val="22"/>
          <w:szCs w:val="22"/>
        </w:rPr>
        <w:tab/>
      </w:r>
      <w:r>
        <w:rPr>
          <w:noProof/>
        </w:rPr>
        <w:t>References</w:t>
      </w:r>
      <w:r>
        <w:rPr>
          <w:noProof/>
        </w:rPr>
        <w:tab/>
      </w:r>
      <w:r>
        <w:rPr>
          <w:noProof/>
        </w:rPr>
        <w:fldChar w:fldCharType="begin"/>
      </w:r>
      <w:r>
        <w:rPr>
          <w:noProof/>
        </w:rPr>
        <w:instrText xml:space="preserve"> PAGEREF _Toc76047057 \h </w:instrText>
      </w:r>
      <w:r>
        <w:rPr>
          <w:noProof/>
        </w:rPr>
      </w:r>
      <w:r>
        <w:rPr>
          <w:noProof/>
        </w:rPr>
        <w:fldChar w:fldCharType="separate"/>
      </w:r>
      <w:r>
        <w:rPr>
          <w:noProof/>
        </w:rPr>
        <w:t>1</w:t>
      </w:r>
      <w:r>
        <w:rPr>
          <w:noProof/>
        </w:rPr>
        <w:fldChar w:fldCharType="end"/>
      </w:r>
    </w:p>
    <w:p w14:paraId="7CDC1DF0" w14:textId="13F39755" w:rsidR="00C10F4F" w:rsidRDefault="00C10F4F">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_Toc76047058 \h </w:instrText>
      </w:r>
      <w:r>
        <w:rPr>
          <w:noProof/>
        </w:rPr>
      </w:r>
      <w:r>
        <w:rPr>
          <w:noProof/>
        </w:rPr>
        <w:fldChar w:fldCharType="separate"/>
      </w:r>
      <w:r>
        <w:rPr>
          <w:noProof/>
        </w:rPr>
        <w:t>2</w:t>
      </w:r>
      <w:r>
        <w:rPr>
          <w:noProof/>
        </w:rPr>
        <w:fldChar w:fldCharType="end"/>
      </w:r>
    </w:p>
    <w:p w14:paraId="23756ABD" w14:textId="77260A66" w:rsidR="00C10F4F" w:rsidRDefault="00C10F4F">
      <w:pPr>
        <w:pStyle w:val="TOC2"/>
        <w:rPr>
          <w:rFonts w:asciiTheme="minorHAnsi" w:eastAsiaTheme="minorEastAsia" w:hAnsiTheme="minorHAnsi" w:cstheme="minorBidi"/>
          <w:b w:val="0"/>
          <w:smallCaps w:val="0"/>
          <w:noProof/>
          <w:sz w:val="22"/>
          <w:szCs w:val="22"/>
        </w:rPr>
      </w:pPr>
      <w:r>
        <w:rPr>
          <w:noProof/>
        </w:rPr>
        <w:t>2.1</w:t>
      </w:r>
      <w:r>
        <w:rPr>
          <w:rFonts w:asciiTheme="minorHAnsi" w:eastAsiaTheme="minorEastAsia" w:hAnsiTheme="minorHAnsi" w:cstheme="minorBidi"/>
          <w:b w:val="0"/>
          <w:smallCaps w:val="0"/>
          <w:noProof/>
          <w:sz w:val="22"/>
          <w:szCs w:val="22"/>
        </w:rPr>
        <w:tab/>
      </w:r>
      <w:r>
        <w:rPr>
          <w:noProof/>
        </w:rPr>
        <w:t>Quality System</w:t>
      </w:r>
      <w:r>
        <w:rPr>
          <w:noProof/>
        </w:rPr>
        <w:tab/>
      </w:r>
      <w:r>
        <w:rPr>
          <w:noProof/>
        </w:rPr>
        <w:fldChar w:fldCharType="begin"/>
      </w:r>
      <w:r>
        <w:rPr>
          <w:noProof/>
        </w:rPr>
        <w:instrText xml:space="preserve"> PAGEREF _Toc76047059 \h </w:instrText>
      </w:r>
      <w:r>
        <w:rPr>
          <w:noProof/>
        </w:rPr>
      </w:r>
      <w:r>
        <w:rPr>
          <w:noProof/>
        </w:rPr>
        <w:fldChar w:fldCharType="separate"/>
      </w:r>
      <w:r>
        <w:rPr>
          <w:noProof/>
        </w:rPr>
        <w:t>2</w:t>
      </w:r>
      <w:r>
        <w:rPr>
          <w:noProof/>
        </w:rPr>
        <w:fldChar w:fldCharType="end"/>
      </w:r>
    </w:p>
    <w:p w14:paraId="6A8C9386" w14:textId="4A999176" w:rsidR="00C10F4F" w:rsidRDefault="00C10F4F">
      <w:pPr>
        <w:pStyle w:val="TOC2"/>
        <w:rPr>
          <w:rFonts w:asciiTheme="minorHAnsi" w:eastAsiaTheme="minorEastAsia" w:hAnsiTheme="minorHAnsi" w:cstheme="minorBidi"/>
          <w:b w:val="0"/>
          <w:smallCaps w:val="0"/>
          <w:noProof/>
          <w:sz w:val="22"/>
          <w:szCs w:val="22"/>
        </w:rPr>
      </w:pPr>
      <w:r>
        <w:rPr>
          <w:noProof/>
        </w:rPr>
        <w:t>2.2</w:t>
      </w:r>
      <w:r>
        <w:rPr>
          <w:rFonts w:asciiTheme="minorHAnsi" w:eastAsiaTheme="minorEastAsia" w:hAnsiTheme="minorHAnsi" w:cstheme="minorBidi"/>
          <w:b w:val="0"/>
          <w:smallCaps w:val="0"/>
          <w:noProof/>
          <w:sz w:val="22"/>
          <w:szCs w:val="22"/>
        </w:rPr>
        <w:tab/>
      </w:r>
      <w:r>
        <w:rPr>
          <w:noProof/>
        </w:rPr>
        <w:t>Inspection</w:t>
      </w:r>
      <w:r>
        <w:rPr>
          <w:noProof/>
        </w:rPr>
        <w:tab/>
      </w:r>
      <w:r>
        <w:rPr>
          <w:noProof/>
        </w:rPr>
        <w:fldChar w:fldCharType="begin"/>
      </w:r>
      <w:r>
        <w:rPr>
          <w:noProof/>
        </w:rPr>
        <w:instrText xml:space="preserve"> PAGEREF _Toc76047060 \h </w:instrText>
      </w:r>
      <w:r>
        <w:rPr>
          <w:noProof/>
        </w:rPr>
      </w:r>
      <w:r>
        <w:rPr>
          <w:noProof/>
        </w:rPr>
        <w:fldChar w:fldCharType="separate"/>
      </w:r>
      <w:r>
        <w:rPr>
          <w:noProof/>
        </w:rPr>
        <w:t>2</w:t>
      </w:r>
      <w:r>
        <w:rPr>
          <w:noProof/>
        </w:rPr>
        <w:fldChar w:fldCharType="end"/>
      </w:r>
    </w:p>
    <w:p w14:paraId="2E0464BB" w14:textId="24D01EC7" w:rsidR="00C10F4F" w:rsidRDefault="00C10F4F">
      <w:pPr>
        <w:pStyle w:val="TOC2"/>
        <w:rPr>
          <w:rFonts w:asciiTheme="minorHAnsi" w:eastAsiaTheme="minorEastAsia" w:hAnsiTheme="minorHAnsi" w:cstheme="minorBidi"/>
          <w:b w:val="0"/>
          <w:smallCaps w:val="0"/>
          <w:noProof/>
          <w:sz w:val="22"/>
          <w:szCs w:val="22"/>
        </w:rPr>
      </w:pPr>
      <w:r>
        <w:rPr>
          <w:noProof/>
        </w:rPr>
        <w:t>2.3</w:t>
      </w:r>
      <w:r>
        <w:rPr>
          <w:rFonts w:asciiTheme="minorHAnsi" w:eastAsiaTheme="minorEastAsia" w:hAnsiTheme="minorHAnsi" w:cstheme="minorBidi"/>
          <w:b w:val="0"/>
          <w:smallCaps w:val="0"/>
          <w:noProof/>
          <w:sz w:val="22"/>
          <w:szCs w:val="22"/>
        </w:rPr>
        <w:tab/>
      </w:r>
      <w:r>
        <w:rPr>
          <w:noProof/>
        </w:rPr>
        <w:t>Tests</w:t>
      </w:r>
      <w:r>
        <w:rPr>
          <w:noProof/>
        </w:rPr>
        <w:tab/>
      </w:r>
      <w:r>
        <w:rPr>
          <w:noProof/>
        </w:rPr>
        <w:fldChar w:fldCharType="begin"/>
      </w:r>
      <w:r>
        <w:rPr>
          <w:noProof/>
        </w:rPr>
        <w:instrText xml:space="preserve"> PAGEREF _Toc76047061 \h </w:instrText>
      </w:r>
      <w:r>
        <w:rPr>
          <w:noProof/>
        </w:rPr>
      </w:r>
      <w:r>
        <w:rPr>
          <w:noProof/>
        </w:rPr>
        <w:fldChar w:fldCharType="separate"/>
      </w:r>
      <w:r>
        <w:rPr>
          <w:noProof/>
        </w:rPr>
        <w:t>2</w:t>
      </w:r>
      <w:r>
        <w:rPr>
          <w:noProof/>
        </w:rPr>
        <w:fldChar w:fldCharType="end"/>
      </w:r>
    </w:p>
    <w:p w14:paraId="799926BB" w14:textId="0C0111AB" w:rsidR="00C10F4F" w:rsidRDefault="00C10F4F">
      <w:pPr>
        <w:pStyle w:val="TOC2"/>
        <w:rPr>
          <w:rFonts w:asciiTheme="minorHAnsi" w:eastAsiaTheme="minorEastAsia" w:hAnsiTheme="minorHAnsi" w:cstheme="minorBidi"/>
          <w:b w:val="0"/>
          <w:smallCaps w:val="0"/>
          <w:noProof/>
          <w:sz w:val="22"/>
          <w:szCs w:val="22"/>
        </w:rPr>
      </w:pPr>
      <w:r>
        <w:rPr>
          <w:noProof/>
        </w:rPr>
        <w:t>2.4</w:t>
      </w:r>
      <w:r>
        <w:rPr>
          <w:rFonts w:asciiTheme="minorHAnsi" w:eastAsiaTheme="minorEastAsia" w:hAnsiTheme="minorHAnsi" w:cstheme="minorBidi"/>
          <w:b w:val="0"/>
          <w:smallCaps w:val="0"/>
          <w:noProof/>
          <w:sz w:val="22"/>
          <w:szCs w:val="22"/>
        </w:rPr>
        <w:tab/>
      </w:r>
      <w:r>
        <w:rPr>
          <w:noProof/>
        </w:rPr>
        <w:t>Contractor’s Submissions</w:t>
      </w:r>
      <w:r>
        <w:rPr>
          <w:noProof/>
        </w:rPr>
        <w:tab/>
      </w:r>
      <w:r>
        <w:rPr>
          <w:noProof/>
        </w:rPr>
        <w:fldChar w:fldCharType="begin"/>
      </w:r>
      <w:r>
        <w:rPr>
          <w:noProof/>
        </w:rPr>
        <w:instrText xml:space="preserve"> PAGEREF _Toc76047062 \h </w:instrText>
      </w:r>
      <w:r>
        <w:rPr>
          <w:noProof/>
        </w:rPr>
      </w:r>
      <w:r>
        <w:rPr>
          <w:noProof/>
        </w:rPr>
        <w:fldChar w:fldCharType="separate"/>
      </w:r>
      <w:r>
        <w:rPr>
          <w:noProof/>
        </w:rPr>
        <w:t>2</w:t>
      </w:r>
      <w:r>
        <w:rPr>
          <w:noProof/>
        </w:rPr>
        <w:fldChar w:fldCharType="end"/>
      </w:r>
    </w:p>
    <w:p w14:paraId="036FDB1C" w14:textId="51BC3B37" w:rsidR="00C10F4F" w:rsidRDefault="00C10F4F">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TOLERANCES</w:t>
      </w:r>
      <w:r>
        <w:rPr>
          <w:noProof/>
        </w:rPr>
        <w:tab/>
      </w:r>
      <w:r>
        <w:rPr>
          <w:noProof/>
        </w:rPr>
        <w:fldChar w:fldCharType="begin"/>
      </w:r>
      <w:r>
        <w:rPr>
          <w:noProof/>
        </w:rPr>
        <w:instrText xml:space="preserve"> PAGEREF _Toc76047063 \h </w:instrText>
      </w:r>
      <w:r>
        <w:rPr>
          <w:noProof/>
        </w:rPr>
      </w:r>
      <w:r>
        <w:rPr>
          <w:noProof/>
        </w:rPr>
        <w:fldChar w:fldCharType="separate"/>
      </w:r>
      <w:r>
        <w:rPr>
          <w:noProof/>
        </w:rPr>
        <w:t>3</w:t>
      </w:r>
      <w:r>
        <w:rPr>
          <w:noProof/>
        </w:rPr>
        <w:fldChar w:fldCharType="end"/>
      </w:r>
    </w:p>
    <w:p w14:paraId="7535685B" w14:textId="51A5AACD" w:rsidR="00C10F4F" w:rsidRDefault="00C10F4F">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PREPARATION</w:t>
      </w:r>
      <w:r>
        <w:rPr>
          <w:noProof/>
        </w:rPr>
        <w:tab/>
      </w:r>
      <w:r>
        <w:rPr>
          <w:noProof/>
        </w:rPr>
        <w:fldChar w:fldCharType="begin"/>
      </w:r>
      <w:r>
        <w:rPr>
          <w:noProof/>
        </w:rPr>
        <w:instrText xml:space="preserve"> PAGEREF _Toc76047064 \h </w:instrText>
      </w:r>
      <w:r>
        <w:rPr>
          <w:noProof/>
        </w:rPr>
      </w:r>
      <w:r>
        <w:rPr>
          <w:noProof/>
        </w:rPr>
        <w:fldChar w:fldCharType="separate"/>
      </w:r>
      <w:r>
        <w:rPr>
          <w:noProof/>
        </w:rPr>
        <w:t>4</w:t>
      </w:r>
      <w:r>
        <w:rPr>
          <w:noProof/>
        </w:rPr>
        <w:fldChar w:fldCharType="end"/>
      </w:r>
    </w:p>
    <w:p w14:paraId="1CF16B30" w14:textId="721697DE" w:rsidR="00C10F4F" w:rsidRDefault="00C10F4F">
      <w:pPr>
        <w:pStyle w:val="TOC2"/>
        <w:rPr>
          <w:rFonts w:asciiTheme="minorHAnsi" w:eastAsiaTheme="minorEastAsia" w:hAnsiTheme="minorHAnsi" w:cstheme="minorBidi"/>
          <w:b w:val="0"/>
          <w:smallCaps w:val="0"/>
          <w:noProof/>
          <w:sz w:val="22"/>
          <w:szCs w:val="22"/>
        </w:rPr>
      </w:pPr>
      <w:r>
        <w:rPr>
          <w:noProof/>
        </w:rPr>
        <w:t>4.1</w:t>
      </w:r>
      <w:r>
        <w:rPr>
          <w:rFonts w:asciiTheme="minorHAnsi" w:eastAsiaTheme="minorEastAsia" w:hAnsiTheme="minorHAnsi" w:cstheme="minorBidi"/>
          <w:b w:val="0"/>
          <w:smallCaps w:val="0"/>
          <w:noProof/>
          <w:sz w:val="22"/>
          <w:szCs w:val="22"/>
        </w:rPr>
        <w:tab/>
      </w:r>
      <w:r>
        <w:rPr>
          <w:noProof/>
        </w:rPr>
        <w:t>Cleaning</w:t>
      </w:r>
      <w:r>
        <w:rPr>
          <w:noProof/>
        </w:rPr>
        <w:tab/>
      </w:r>
      <w:r>
        <w:rPr>
          <w:noProof/>
        </w:rPr>
        <w:fldChar w:fldCharType="begin"/>
      </w:r>
      <w:r>
        <w:rPr>
          <w:noProof/>
        </w:rPr>
        <w:instrText xml:space="preserve"> PAGEREF _Toc76047065 \h </w:instrText>
      </w:r>
      <w:r>
        <w:rPr>
          <w:noProof/>
        </w:rPr>
      </w:r>
      <w:r>
        <w:rPr>
          <w:noProof/>
        </w:rPr>
        <w:fldChar w:fldCharType="separate"/>
      </w:r>
      <w:r>
        <w:rPr>
          <w:noProof/>
        </w:rPr>
        <w:t>4</w:t>
      </w:r>
      <w:r>
        <w:rPr>
          <w:noProof/>
        </w:rPr>
        <w:fldChar w:fldCharType="end"/>
      </w:r>
    </w:p>
    <w:p w14:paraId="74A9DB4A" w14:textId="50B414EA" w:rsidR="00C10F4F" w:rsidRDefault="00C10F4F">
      <w:pPr>
        <w:pStyle w:val="TOC2"/>
        <w:rPr>
          <w:rFonts w:asciiTheme="minorHAnsi" w:eastAsiaTheme="minorEastAsia" w:hAnsiTheme="minorHAnsi" w:cstheme="minorBidi"/>
          <w:b w:val="0"/>
          <w:smallCaps w:val="0"/>
          <w:noProof/>
          <w:sz w:val="22"/>
          <w:szCs w:val="22"/>
        </w:rPr>
      </w:pPr>
      <w:r>
        <w:rPr>
          <w:noProof/>
        </w:rPr>
        <w:t>4.2</w:t>
      </w:r>
      <w:r>
        <w:rPr>
          <w:rFonts w:asciiTheme="minorHAnsi" w:eastAsiaTheme="minorEastAsia" w:hAnsiTheme="minorHAnsi" w:cstheme="minorBidi"/>
          <w:b w:val="0"/>
          <w:smallCaps w:val="0"/>
          <w:noProof/>
          <w:sz w:val="22"/>
          <w:szCs w:val="22"/>
        </w:rPr>
        <w:tab/>
      </w:r>
      <w:r>
        <w:rPr>
          <w:noProof/>
        </w:rPr>
        <w:t>Protection</w:t>
      </w:r>
      <w:r>
        <w:rPr>
          <w:noProof/>
        </w:rPr>
        <w:tab/>
      </w:r>
      <w:r>
        <w:rPr>
          <w:noProof/>
        </w:rPr>
        <w:fldChar w:fldCharType="begin"/>
      </w:r>
      <w:r>
        <w:rPr>
          <w:noProof/>
        </w:rPr>
        <w:instrText xml:space="preserve"> PAGEREF _Toc76047066 \h </w:instrText>
      </w:r>
      <w:r>
        <w:rPr>
          <w:noProof/>
        </w:rPr>
      </w:r>
      <w:r>
        <w:rPr>
          <w:noProof/>
        </w:rPr>
        <w:fldChar w:fldCharType="separate"/>
      </w:r>
      <w:r>
        <w:rPr>
          <w:noProof/>
        </w:rPr>
        <w:t>4</w:t>
      </w:r>
      <w:r>
        <w:rPr>
          <w:noProof/>
        </w:rPr>
        <w:fldChar w:fldCharType="end"/>
      </w:r>
    </w:p>
    <w:p w14:paraId="334E9155" w14:textId="48D470A8" w:rsidR="00C10F4F" w:rsidRDefault="00C10F4F">
      <w:pPr>
        <w:pStyle w:val="TOC2"/>
        <w:rPr>
          <w:rFonts w:asciiTheme="minorHAnsi" w:eastAsiaTheme="minorEastAsia" w:hAnsiTheme="minorHAnsi" w:cstheme="minorBidi"/>
          <w:b w:val="0"/>
          <w:smallCaps w:val="0"/>
          <w:noProof/>
          <w:sz w:val="22"/>
          <w:szCs w:val="22"/>
        </w:rPr>
      </w:pPr>
      <w:r>
        <w:rPr>
          <w:noProof/>
        </w:rPr>
        <w:t>4.3</w:t>
      </w:r>
      <w:r>
        <w:rPr>
          <w:rFonts w:asciiTheme="minorHAnsi" w:eastAsiaTheme="minorEastAsia" w:hAnsiTheme="minorHAnsi" w:cstheme="minorBidi"/>
          <w:b w:val="0"/>
          <w:smallCaps w:val="0"/>
          <w:noProof/>
          <w:sz w:val="22"/>
          <w:szCs w:val="22"/>
        </w:rPr>
        <w:tab/>
      </w:r>
      <w:r>
        <w:rPr>
          <w:noProof/>
        </w:rPr>
        <w:t>Priming And Primer Sealing</w:t>
      </w:r>
      <w:r>
        <w:rPr>
          <w:noProof/>
        </w:rPr>
        <w:tab/>
      </w:r>
      <w:r>
        <w:rPr>
          <w:noProof/>
        </w:rPr>
        <w:fldChar w:fldCharType="begin"/>
      </w:r>
      <w:r>
        <w:rPr>
          <w:noProof/>
        </w:rPr>
        <w:instrText xml:space="preserve"> PAGEREF _Toc76047067 \h </w:instrText>
      </w:r>
      <w:r>
        <w:rPr>
          <w:noProof/>
        </w:rPr>
      </w:r>
      <w:r>
        <w:rPr>
          <w:noProof/>
        </w:rPr>
        <w:fldChar w:fldCharType="separate"/>
      </w:r>
      <w:r>
        <w:rPr>
          <w:noProof/>
        </w:rPr>
        <w:t>4</w:t>
      </w:r>
      <w:r>
        <w:rPr>
          <w:noProof/>
        </w:rPr>
        <w:fldChar w:fldCharType="end"/>
      </w:r>
    </w:p>
    <w:p w14:paraId="682A2FA3" w14:textId="4EB9EFF5" w:rsidR="00C10F4F" w:rsidRDefault="00C10F4F">
      <w:pPr>
        <w:pStyle w:val="TOC2"/>
        <w:rPr>
          <w:rFonts w:asciiTheme="minorHAnsi" w:eastAsiaTheme="minorEastAsia" w:hAnsiTheme="minorHAnsi" w:cstheme="minorBidi"/>
          <w:b w:val="0"/>
          <w:smallCaps w:val="0"/>
          <w:noProof/>
          <w:sz w:val="22"/>
          <w:szCs w:val="22"/>
        </w:rPr>
      </w:pPr>
      <w:r>
        <w:rPr>
          <w:noProof/>
        </w:rPr>
        <w:t>4.4</w:t>
      </w:r>
      <w:r>
        <w:rPr>
          <w:rFonts w:asciiTheme="minorHAnsi" w:eastAsiaTheme="minorEastAsia" w:hAnsiTheme="minorHAnsi" w:cstheme="minorBidi"/>
          <w:b w:val="0"/>
          <w:smallCaps w:val="0"/>
          <w:noProof/>
          <w:sz w:val="22"/>
          <w:szCs w:val="22"/>
        </w:rPr>
        <w:tab/>
      </w:r>
      <w:r>
        <w:rPr>
          <w:noProof/>
        </w:rPr>
        <w:t>Potholes</w:t>
      </w:r>
      <w:r>
        <w:rPr>
          <w:noProof/>
        </w:rPr>
        <w:tab/>
      </w:r>
      <w:r>
        <w:rPr>
          <w:noProof/>
        </w:rPr>
        <w:fldChar w:fldCharType="begin"/>
      </w:r>
      <w:r>
        <w:rPr>
          <w:noProof/>
        </w:rPr>
        <w:instrText xml:space="preserve"> PAGEREF _Toc76047068 \h </w:instrText>
      </w:r>
      <w:r>
        <w:rPr>
          <w:noProof/>
        </w:rPr>
      </w:r>
      <w:r>
        <w:rPr>
          <w:noProof/>
        </w:rPr>
        <w:fldChar w:fldCharType="separate"/>
      </w:r>
      <w:r>
        <w:rPr>
          <w:noProof/>
        </w:rPr>
        <w:t>4</w:t>
      </w:r>
      <w:r>
        <w:rPr>
          <w:noProof/>
        </w:rPr>
        <w:fldChar w:fldCharType="end"/>
      </w:r>
    </w:p>
    <w:p w14:paraId="35725E2D" w14:textId="79979357" w:rsidR="00C10F4F" w:rsidRDefault="00C10F4F">
      <w:pPr>
        <w:pStyle w:val="TOC2"/>
        <w:rPr>
          <w:rFonts w:asciiTheme="minorHAnsi" w:eastAsiaTheme="minorEastAsia" w:hAnsiTheme="minorHAnsi" w:cstheme="minorBidi"/>
          <w:b w:val="0"/>
          <w:smallCaps w:val="0"/>
          <w:noProof/>
          <w:sz w:val="22"/>
          <w:szCs w:val="22"/>
        </w:rPr>
      </w:pPr>
      <w:r>
        <w:rPr>
          <w:noProof/>
        </w:rPr>
        <w:t>4.5</w:t>
      </w:r>
      <w:r>
        <w:rPr>
          <w:rFonts w:asciiTheme="minorHAnsi" w:eastAsiaTheme="minorEastAsia" w:hAnsiTheme="minorHAnsi" w:cstheme="minorBidi"/>
          <w:b w:val="0"/>
          <w:smallCaps w:val="0"/>
          <w:noProof/>
          <w:sz w:val="22"/>
          <w:szCs w:val="22"/>
        </w:rPr>
        <w:tab/>
      </w:r>
      <w:r>
        <w:rPr>
          <w:noProof/>
        </w:rPr>
        <w:t>Cold Planing</w:t>
      </w:r>
      <w:r>
        <w:rPr>
          <w:noProof/>
        </w:rPr>
        <w:tab/>
      </w:r>
      <w:r>
        <w:rPr>
          <w:noProof/>
        </w:rPr>
        <w:fldChar w:fldCharType="begin"/>
      </w:r>
      <w:r>
        <w:rPr>
          <w:noProof/>
        </w:rPr>
        <w:instrText xml:space="preserve"> PAGEREF _Toc76047069 \h </w:instrText>
      </w:r>
      <w:r>
        <w:rPr>
          <w:noProof/>
        </w:rPr>
      </w:r>
      <w:r>
        <w:rPr>
          <w:noProof/>
        </w:rPr>
        <w:fldChar w:fldCharType="separate"/>
      </w:r>
      <w:r>
        <w:rPr>
          <w:noProof/>
        </w:rPr>
        <w:t>4</w:t>
      </w:r>
      <w:r>
        <w:rPr>
          <w:noProof/>
        </w:rPr>
        <w:fldChar w:fldCharType="end"/>
      </w:r>
    </w:p>
    <w:p w14:paraId="7F93B5A4" w14:textId="7F24A6BB" w:rsidR="00C10F4F" w:rsidRDefault="00C10F4F">
      <w:pPr>
        <w:pStyle w:val="TOC2"/>
        <w:rPr>
          <w:rFonts w:asciiTheme="minorHAnsi" w:eastAsiaTheme="minorEastAsia" w:hAnsiTheme="minorHAnsi" w:cstheme="minorBidi"/>
          <w:b w:val="0"/>
          <w:smallCaps w:val="0"/>
          <w:noProof/>
          <w:sz w:val="22"/>
          <w:szCs w:val="22"/>
        </w:rPr>
      </w:pPr>
      <w:r>
        <w:rPr>
          <w:noProof/>
        </w:rPr>
        <w:t>4.6</w:t>
      </w:r>
      <w:r>
        <w:rPr>
          <w:rFonts w:asciiTheme="minorHAnsi" w:eastAsiaTheme="minorEastAsia" w:hAnsiTheme="minorHAnsi" w:cstheme="minorBidi"/>
          <w:b w:val="0"/>
          <w:smallCaps w:val="0"/>
          <w:noProof/>
          <w:sz w:val="22"/>
          <w:szCs w:val="22"/>
        </w:rPr>
        <w:tab/>
      </w:r>
      <w:r>
        <w:rPr>
          <w:noProof/>
        </w:rPr>
        <w:t>Tack Coating</w:t>
      </w:r>
      <w:r>
        <w:rPr>
          <w:noProof/>
        </w:rPr>
        <w:tab/>
      </w:r>
      <w:r>
        <w:rPr>
          <w:noProof/>
        </w:rPr>
        <w:fldChar w:fldCharType="begin"/>
      </w:r>
      <w:r>
        <w:rPr>
          <w:noProof/>
        </w:rPr>
        <w:instrText xml:space="preserve"> PAGEREF _Toc76047070 \h </w:instrText>
      </w:r>
      <w:r>
        <w:rPr>
          <w:noProof/>
        </w:rPr>
      </w:r>
      <w:r>
        <w:rPr>
          <w:noProof/>
        </w:rPr>
        <w:fldChar w:fldCharType="separate"/>
      </w:r>
      <w:r>
        <w:rPr>
          <w:noProof/>
        </w:rPr>
        <w:t>5</w:t>
      </w:r>
      <w:r>
        <w:rPr>
          <w:noProof/>
        </w:rPr>
        <w:fldChar w:fldCharType="end"/>
      </w:r>
    </w:p>
    <w:p w14:paraId="60AC57DA" w14:textId="0D8BF3D2" w:rsidR="00C10F4F" w:rsidRDefault="00C10F4F">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Placing and compaction</w:t>
      </w:r>
      <w:r>
        <w:rPr>
          <w:noProof/>
        </w:rPr>
        <w:tab/>
      </w:r>
      <w:r>
        <w:rPr>
          <w:noProof/>
        </w:rPr>
        <w:fldChar w:fldCharType="begin"/>
      </w:r>
      <w:r>
        <w:rPr>
          <w:noProof/>
        </w:rPr>
        <w:instrText xml:space="preserve"> PAGEREF _Toc76047071 \h </w:instrText>
      </w:r>
      <w:r>
        <w:rPr>
          <w:noProof/>
        </w:rPr>
      </w:r>
      <w:r>
        <w:rPr>
          <w:noProof/>
        </w:rPr>
        <w:fldChar w:fldCharType="separate"/>
      </w:r>
      <w:r>
        <w:rPr>
          <w:noProof/>
        </w:rPr>
        <w:t>5</w:t>
      </w:r>
      <w:r>
        <w:rPr>
          <w:noProof/>
        </w:rPr>
        <w:fldChar w:fldCharType="end"/>
      </w:r>
    </w:p>
    <w:p w14:paraId="4EB32906" w14:textId="46F06AB5" w:rsidR="00C10F4F" w:rsidRDefault="00C10F4F">
      <w:pPr>
        <w:pStyle w:val="TOC2"/>
        <w:rPr>
          <w:rFonts w:asciiTheme="minorHAnsi" w:eastAsiaTheme="minorEastAsia" w:hAnsiTheme="minorHAnsi" w:cstheme="minorBidi"/>
          <w:b w:val="0"/>
          <w:smallCaps w:val="0"/>
          <w:noProof/>
          <w:sz w:val="22"/>
          <w:szCs w:val="22"/>
        </w:rPr>
      </w:pPr>
      <w:r>
        <w:rPr>
          <w:noProof/>
        </w:rPr>
        <w:t>5.1</w:t>
      </w:r>
      <w:r>
        <w:rPr>
          <w:rFonts w:asciiTheme="minorHAnsi" w:eastAsiaTheme="minorEastAsia" w:hAnsiTheme="minorHAnsi" w:cstheme="minorBidi"/>
          <w:b w:val="0"/>
          <w:smallCaps w:val="0"/>
          <w:noProof/>
          <w:sz w:val="22"/>
          <w:szCs w:val="22"/>
        </w:rPr>
        <w:tab/>
      </w:r>
      <w:r>
        <w:rPr>
          <w:noProof/>
        </w:rPr>
        <w:t>Preliminary Trial</w:t>
      </w:r>
      <w:r>
        <w:rPr>
          <w:noProof/>
        </w:rPr>
        <w:tab/>
      </w:r>
      <w:r>
        <w:rPr>
          <w:noProof/>
        </w:rPr>
        <w:fldChar w:fldCharType="begin"/>
      </w:r>
      <w:r>
        <w:rPr>
          <w:noProof/>
        </w:rPr>
        <w:instrText xml:space="preserve"> PAGEREF _Toc76047072 \h </w:instrText>
      </w:r>
      <w:r>
        <w:rPr>
          <w:noProof/>
        </w:rPr>
      </w:r>
      <w:r>
        <w:rPr>
          <w:noProof/>
        </w:rPr>
        <w:fldChar w:fldCharType="separate"/>
      </w:r>
      <w:r>
        <w:rPr>
          <w:noProof/>
        </w:rPr>
        <w:t>5</w:t>
      </w:r>
      <w:r>
        <w:rPr>
          <w:noProof/>
        </w:rPr>
        <w:fldChar w:fldCharType="end"/>
      </w:r>
    </w:p>
    <w:p w14:paraId="4A39BB6C" w14:textId="44772FDA" w:rsidR="00C10F4F" w:rsidRDefault="00C10F4F">
      <w:pPr>
        <w:pStyle w:val="TOC2"/>
        <w:rPr>
          <w:rFonts w:asciiTheme="minorHAnsi" w:eastAsiaTheme="minorEastAsia" w:hAnsiTheme="minorHAnsi" w:cstheme="minorBidi"/>
          <w:b w:val="0"/>
          <w:smallCaps w:val="0"/>
          <w:noProof/>
          <w:sz w:val="22"/>
          <w:szCs w:val="22"/>
        </w:rPr>
      </w:pPr>
      <w:r>
        <w:rPr>
          <w:noProof/>
        </w:rPr>
        <w:t>5.2</w:t>
      </w:r>
      <w:r>
        <w:rPr>
          <w:rFonts w:asciiTheme="minorHAnsi" w:eastAsiaTheme="minorEastAsia" w:hAnsiTheme="minorHAnsi" w:cstheme="minorBidi"/>
          <w:b w:val="0"/>
          <w:smallCaps w:val="0"/>
          <w:noProof/>
          <w:sz w:val="22"/>
          <w:szCs w:val="22"/>
        </w:rPr>
        <w:tab/>
      </w:r>
      <w:r>
        <w:rPr>
          <w:noProof/>
        </w:rPr>
        <w:t>Placing</w:t>
      </w:r>
      <w:r>
        <w:rPr>
          <w:noProof/>
        </w:rPr>
        <w:tab/>
      </w:r>
      <w:r>
        <w:rPr>
          <w:noProof/>
        </w:rPr>
        <w:fldChar w:fldCharType="begin"/>
      </w:r>
      <w:r>
        <w:rPr>
          <w:noProof/>
        </w:rPr>
        <w:instrText xml:space="preserve"> PAGEREF _Toc76047073 \h </w:instrText>
      </w:r>
      <w:r>
        <w:rPr>
          <w:noProof/>
        </w:rPr>
      </w:r>
      <w:r>
        <w:rPr>
          <w:noProof/>
        </w:rPr>
        <w:fldChar w:fldCharType="separate"/>
      </w:r>
      <w:r>
        <w:rPr>
          <w:noProof/>
        </w:rPr>
        <w:t>5</w:t>
      </w:r>
      <w:r>
        <w:rPr>
          <w:noProof/>
        </w:rPr>
        <w:fldChar w:fldCharType="end"/>
      </w:r>
    </w:p>
    <w:p w14:paraId="23D7FBD2" w14:textId="64E3E717" w:rsidR="00C10F4F" w:rsidRDefault="00C10F4F">
      <w:pPr>
        <w:pStyle w:val="TOC2"/>
        <w:rPr>
          <w:rFonts w:asciiTheme="minorHAnsi" w:eastAsiaTheme="minorEastAsia" w:hAnsiTheme="minorHAnsi" w:cstheme="minorBidi"/>
          <w:b w:val="0"/>
          <w:smallCaps w:val="0"/>
          <w:noProof/>
          <w:sz w:val="22"/>
          <w:szCs w:val="22"/>
        </w:rPr>
      </w:pPr>
      <w:r>
        <w:rPr>
          <w:noProof/>
        </w:rPr>
        <w:t>5.3</w:t>
      </w:r>
      <w:r>
        <w:rPr>
          <w:rFonts w:asciiTheme="minorHAnsi" w:eastAsiaTheme="minorEastAsia" w:hAnsiTheme="minorHAnsi" w:cstheme="minorBidi"/>
          <w:b w:val="0"/>
          <w:smallCaps w:val="0"/>
          <w:noProof/>
          <w:sz w:val="22"/>
          <w:szCs w:val="22"/>
        </w:rPr>
        <w:tab/>
      </w:r>
      <w:r>
        <w:rPr>
          <w:noProof/>
        </w:rPr>
        <w:t>Compaction</w:t>
      </w:r>
      <w:r>
        <w:rPr>
          <w:noProof/>
        </w:rPr>
        <w:tab/>
      </w:r>
      <w:r>
        <w:rPr>
          <w:noProof/>
        </w:rPr>
        <w:fldChar w:fldCharType="begin"/>
      </w:r>
      <w:r>
        <w:rPr>
          <w:noProof/>
        </w:rPr>
        <w:instrText xml:space="preserve"> PAGEREF _Toc76047074 \h </w:instrText>
      </w:r>
      <w:r>
        <w:rPr>
          <w:noProof/>
        </w:rPr>
      </w:r>
      <w:r>
        <w:rPr>
          <w:noProof/>
        </w:rPr>
        <w:fldChar w:fldCharType="separate"/>
      </w:r>
      <w:r>
        <w:rPr>
          <w:noProof/>
        </w:rPr>
        <w:t>6</w:t>
      </w:r>
      <w:r>
        <w:rPr>
          <w:noProof/>
        </w:rPr>
        <w:fldChar w:fldCharType="end"/>
      </w:r>
    </w:p>
    <w:p w14:paraId="2FE47C1C" w14:textId="27D4EEDF" w:rsidR="00C10F4F" w:rsidRDefault="00C10F4F">
      <w:pPr>
        <w:pStyle w:val="TOC2"/>
        <w:rPr>
          <w:rFonts w:asciiTheme="minorHAnsi" w:eastAsiaTheme="minorEastAsia" w:hAnsiTheme="minorHAnsi" w:cstheme="minorBidi"/>
          <w:b w:val="0"/>
          <w:smallCaps w:val="0"/>
          <w:noProof/>
          <w:sz w:val="22"/>
          <w:szCs w:val="22"/>
        </w:rPr>
      </w:pPr>
      <w:r>
        <w:rPr>
          <w:noProof/>
        </w:rPr>
        <w:t>5.4</w:t>
      </w:r>
      <w:r>
        <w:rPr>
          <w:rFonts w:asciiTheme="minorHAnsi" w:eastAsiaTheme="minorEastAsia" w:hAnsiTheme="minorHAnsi" w:cstheme="minorBidi"/>
          <w:b w:val="0"/>
          <w:smallCaps w:val="0"/>
          <w:noProof/>
          <w:sz w:val="22"/>
          <w:szCs w:val="22"/>
        </w:rPr>
        <w:tab/>
      </w:r>
      <w:r>
        <w:rPr>
          <w:noProof/>
        </w:rPr>
        <w:t>Joints</w:t>
      </w:r>
      <w:r>
        <w:rPr>
          <w:noProof/>
        </w:rPr>
        <w:tab/>
      </w:r>
      <w:r>
        <w:rPr>
          <w:noProof/>
        </w:rPr>
        <w:fldChar w:fldCharType="begin"/>
      </w:r>
      <w:r>
        <w:rPr>
          <w:noProof/>
        </w:rPr>
        <w:instrText xml:space="preserve"> PAGEREF _Toc76047075 \h </w:instrText>
      </w:r>
      <w:r>
        <w:rPr>
          <w:noProof/>
        </w:rPr>
      </w:r>
      <w:r>
        <w:rPr>
          <w:noProof/>
        </w:rPr>
        <w:fldChar w:fldCharType="separate"/>
      </w:r>
      <w:r>
        <w:rPr>
          <w:noProof/>
        </w:rPr>
        <w:t>7</w:t>
      </w:r>
      <w:r>
        <w:rPr>
          <w:noProof/>
        </w:rPr>
        <w:fldChar w:fldCharType="end"/>
      </w:r>
    </w:p>
    <w:p w14:paraId="6B7A0953" w14:textId="6FE8F7A4" w:rsidR="00C10F4F" w:rsidRDefault="00C10F4F">
      <w:pPr>
        <w:pStyle w:val="TOC2"/>
        <w:rPr>
          <w:rFonts w:asciiTheme="minorHAnsi" w:eastAsiaTheme="minorEastAsia" w:hAnsiTheme="minorHAnsi" w:cstheme="minorBidi"/>
          <w:b w:val="0"/>
          <w:smallCaps w:val="0"/>
          <w:noProof/>
          <w:sz w:val="22"/>
          <w:szCs w:val="22"/>
        </w:rPr>
      </w:pPr>
      <w:r>
        <w:rPr>
          <w:noProof/>
        </w:rPr>
        <w:t>5.5</w:t>
      </w:r>
      <w:r>
        <w:rPr>
          <w:rFonts w:asciiTheme="minorHAnsi" w:eastAsiaTheme="minorEastAsia" w:hAnsiTheme="minorHAnsi" w:cstheme="minorBidi"/>
          <w:b w:val="0"/>
          <w:smallCaps w:val="0"/>
          <w:noProof/>
          <w:sz w:val="22"/>
          <w:szCs w:val="22"/>
        </w:rPr>
        <w:tab/>
      </w:r>
      <w:r>
        <w:rPr>
          <w:noProof/>
        </w:rPr>
        <w:t>Defective Surfacing</w:t>
      </w:r>
      <w:r>
        <w:rPr>
          <w:noProof/>
        </w:rPr>
        <w:tab/>
      </w:r>
      <w:r>
        <w:rPr>
          <w:noProof/>
        </w:rPr>
        <w:fldChar w:fldCharType="begin"/>
      </w:r>
      <w:r>
        <w:rPr>
          <w:noProof/>
        </w:rPr>
        <w:instrText xml:space="preserve"> PAGEREF _Toc76047076 \h </w:instrText>
      </w:r>
      <w:r>
        <w:rPr>
          <w:noProof/>
        </w:rPr>
      </w:r>
      <w:r>
        <w:rPr>
          <w:noProof/>
        </w:rPr>
        <w:fldChar w:fldCharType="separate"/>
      </w:r>
      <w:r>
        <w:rPr>
          <w:noProof/>
        </w:rPr>
        <w:t>8</w:t>
      </w:r>
      <w:r>
        <w:rPr>
          <w:noProof/>
        </w:rPr>
        <w:fldChar w:fldCharType="end"/>
      </w:r>
    </w:p>
    <w:p w14:paraId="024714E1" w14:textId="43C4961C" w:rsidR="009F0B66" w:rsidRDefault="00C10F4F" w:rsidP="00076087">
      <w:pPr>
        <w:pStyle w:val="BodyTextIndent"/>
      </w:pPr>
      <w:r>
        <w:rPr>
          <w:b/>
          <w:caps/>
          <w:color w:val="FF0000"/>
          <w:sz w:val="22"/>
        </w:rPr>
        <w:fldChar w:fldCharType="end"/>
      </w:r>
    </w:p>
    <w:p w14:paraId="024714E6" w14:textId="77777777" w:rsidR="009F0B66" w:rsidRDefault="009F0B66">
      <w:pPr>
        <w:sectPr w:rsidR="009F0B66" w:rsidSect="00326F39">
          <w:footerReference w:type="default" r:id="rId15"/>
          <w:pgSz w:w="11906" w:h="16838" w:code="9"/>
          <w:pgMar w:top="1134" w:right="1134" w:bottom="992" w:left="1418" w:header="1134" w:footer="851" w:gutter="0"/>
          <w:pgNumType w:fmt="lowerRoman" w:start="1"/>
          <w:cols w:space="720"/>
          <w:docGrid w:linePitch="272"/>
        </w:sectPr>
      </w:pPr>
    </w:p>
    <w:p w14:paraId="024714E7" w14:textId="1890C72D" w:rsidR="00076087" w:rsidRPr="004A2005" w:rsidRDefault="00CC1DEE" w:rsidP="00076087">
      <w:pPr>
        <w:pStyle w:val="BodyTextIndentBoldItalicCen"/>
      </w:pPr>
      <w:bookmarkStart w:id="1" w:name="_Toc493942064"/>
      <w:bookmarkStart w:id="2" w:name="_Toc493986903"/>
      <w:r w:rsidRPr="004A2005">
        <w:lastRenderedPageBreak/>
        <w:t>(</w:t>
      </w:r>
      <w:r w:rsidR="00076087" w:rsidRPr="004A2005">
        <w:t xml:space="preserve">This </w:t>
      </w:r>
      <w:r w:rsidRPr="004A2005">
        <w:t>Page Left Intentionally Blank)</w:t>
      </w:r>
    </w:p>
    <w:p w14:paraId="024714E8" w14:textId="77777777" w:rsidR="009F0B66" w:rsidRDefault="009F0B66">
      <w:pPr>
        <w:sectPr w:rsidR="009F0B66" w:rsidSect="00326F39">
          <w:footerReference w:type="default" r:id="rId16"/>
          <w:pgSz w:w="11906" w:h="16838" w:code="9"/>
          <w:pgMar w:top="1134" w:right="1134" w:bottom="992" w:left="1418" w:header="1134" w:footer="851" w:gutter="0"/>
          <w:pgNumType w:fmt="lowerRoman" w:start="1"/>
          <w:cols w:space="720"/>
          <w:vAlign w:val="center"/>
        </w:sectPr>
      </w:pPr>
    </w:p>
    <w:p w14:paraId="024714E9" w14:textId="0F253B7B" w:rsidR="009F0B66" w:rsidRPr="00D75BD4" w:rsidRDefault="00045FE4" w:rsidP="00D75BD4">
      <w:pPr>
        <w:pStyle w:val="Heading2"/>
      </w:pPr>
      <w:bookmarkStart w:id="3" w:name="_Toc76047054"/>
      <w:bookmarkEnd w:id="1"/>
      <w:bookmarkEnd w:id="2"/>
      <w:r w:rsidRPr="00D75BD4">
        <w:rPr>
          <w:caps w:val="0"/>
        </w:rPr>
        <w:lastRenderedPageBreak/>
        <w:t>GENERAL</w:t>
      </w:r>
      <w:bookmarkEnd w:id="3"/>
    </w:p>
    <w:p w14:paraId="024714EA" w14:textId="77777777" w:rsidR="009F0B66" w:rsidRPr="00D75BD4" w:rsidRDefault="00F67683" w:rsidP="00D75BD4">
      <w:pPr>
        <w:pStyle w:val="Heading3"/>
      </w:pPr>
      <w:bookmarkStart w:id="4" w:name="_Toc76047055"/>
      <w:r w:rsidRPr="00D75BD4">
        <w:t>Section Content</w:t>
      </w:r>
      <w:bookmarkEnd w:id="4"/>
    </w:p>
    <w:p w14:paraId="024714EB" w14:textId="77777777" w:rsidR="009F0B66" w:rsidRDefault="009F0B66" w:rsidP="00473F79">
      <w:pPr>
        <w:pStyle w:val="BodyTextIndent"/>
      </w:pPr>
      <w:r>
        <w:t>Transport and laying of hot mix asphaltic concrete, including preparation of the base surface.</w:t>
      </w:r>
    </w:p>
    <w:p w14:paraId="024714EC" w14:textId="77777777" w:rsidR="00326F39" w:rsidRDefault="00326F39" w:rsidP="00D75BD4">
      <w:pPr>
        <w:pStyle w:val="Heading3"/>
      </w:pPr>
      <w:bookmarkStart w:id="5" w:name="_Toc76047056"/>
      <w:r w:rsidRPr="002016E5">
        <w:t>Standards</w:t>
      </w:r>
      <w:bookmarkEnd w:id="5"/>
    </w:p>
    <w:tbl>
      <w:tblPr>
        <w:tblW w:w="8789" w:type="dxa"/>
        <w:tblInd w:w="817" w:type="dxa"/>
        <w:tblLook w:val="0400" w:firstRow="0" w:lastRow="0" w:firstColumn="0" w:lastColumn="0" w:noHBand="0" w:noVBand="1"/>
      </w:tblPr>
      <w:tblGrid>
        <w:gridCol w:w="2308"/>
        <w:gridCol w:w="1677"/>
        <w:gridCol w:w="4804"/>
      </w:tblGrid>
      <w:tr w:rsidR="005B4660" w:rsidRPr="005B4660" w14:paraId="024714F0" w14:textId="77777777" w:rsidTr="00D75BD4">
        <w:trPr>
          <w:trHeight w:val="340"/>
        </w:trPr>
        <w:tc>
          <w:tcPr>
            <w:tcW w:w="2308" w:type="dxa"/>
            <w:vAlign w:val="center"/>
          </w:tcPr>
          <w:p w14:paraId="024714ED" w14:textId="77777777" w:rsidR="005B4660" w:rsidRPr="005B4660" w:rsidRDefault="005B4660" w:rsidP="005B4660">
            <w:pPr>
              <w:pStyle w:val="Table"/>
            </w:pPr>
            <w:r w:rsidRPr="005B4660">
              <w:t>Australian Standard</w:t>
            </w:r>
          </w:p>
        </w:tc>
        <w:tc>
          <w:tcPr>
            <w:tcW w:w="1677" w:type="dxa"/>
            <w:vAlign w:val="center"/>
          </w:tcPr>
          <w:p w14:paraId="024714EE" w14:textId="77777777" w:rsidR="005B4660" w:rsidRPr="005B4660" w:rsidRDefault="005B4660" w:rsidP="005B4660">
            <w:pPr>
              <w:pStyle w:val="TableCen"/>
            </w:pPr>
            <w:r>
              <w:t>AS</w:t>
            </w:r>
            <w:r w:rsidRPr="005E1144">
              <w:rPr>
                <w:i/>
              </w:rPr>
              <w:t> </w:t>
            </w:r>
            <w:r w:rsidRPr="00C26EC2">
              <w:t>2891.1.2</w:t>
            </w:r>
          </w:p>
        </w:tc>
        <w:tc>
          <w:tcPr>
            <w:tcW w:w="4804" w:type="dxa"/>
            <w:vAlign w:val="center"/>
          </w:tcPr>
          <w:p w14:paraId="024714EF" w14:textId="77777777" w:rsidR="005B4660" w:rsidRPr="005B4660" w:rsidRDefault="005B4660" w:rsidP="005B4660">
            <w:pPr>
              <w:pStyle w:val="Table"/>
            </w:pPr>
            <w:r w:rsidRPr="003361C9">
              <w:t xml:space="preserve">Methods of sampling and testing asphalt </w:t>
            </w:r>
            <w:r>
              <w:t>–</w:t>
            </w:r>
            <w:r w:rsidRPr="003361C9">
              <w:t xml:space="preserve"> Sampling </w:t>
            </w:r>
            <w:r>
              <w:t>–</w:t>
            </w:r>
            <w:r w:rsidRPr="003361C9">
              <w:t xml:space="preserve"> Coring method</w:t>
            </w:r>
          </w:p>
        </w:tc>
      </w:tr>
      <w:tr w:rsidR="005B4660" w:rsidRPr="005B4660" w14:paraId="024714F4" w14:textId="77777777" w:rsidTr="00D75BD4">
        <w:trPr>
          <w:trHeight w:val="340"/>
        </w:trPr>
        <w:tc>
          <w:tcPr>
            <w:tcW w:w="2308" w:type="dxa"/>
            <w:vAlign w:val="center"/>
          </w:tcPr>
          <w:p w14:paraId="024714F1" w14:textId="77777777" w:rsidR="005B4660" w:rsidRPr="005B4660" w:rsidRDefault="005B4660" w:rsidP="005B4660">
            <w:pPr>
              <w:pStyle w:val="Table"/>
            </w:pPr>
            <w:r w:rsidRPr="005B4660">
              <w:t>Australian/New Zealand Standard</w:t>
            </w:r>
          </w:p>
        </w:tc>
        <w:tc>
          <w:tcPr>
            <w:tcW w:w="1677" w:type="dxa"/>
            <w:vAlign w:val="center"/>
          </w:tcPr>
          <w:p w14:paraId="024714F2" w14:textId="77777777" w:rsidR="005B4660" w:rsidRPr="005B4660" w:rsidRDefault="005B4660" w:rsidP="005B4660">
            <w:pPr>
              <w:pStyle w:val="TableCen"/>
            </w:pPr>
            <w:r>
              <w:t>AS/NZS</w:t>
            </w:r>
            <w:r w:rsidRPr="005E1144">
              <w:rPr>
                <w:i/>
              </w:rPr>
              <w:t> </w:t>
            </w:r>
            <w:r>
              <w:t>2891.2.1</w:t>
            </w:r>
          </w:p>
        </w:tc>
        <w:tc>
          <w:tcPr>
            <w:tcW w:w="4804" w:type="dxa"/>
            <w:vAlign w:val="center"/>
          </w:tcPr>
          <w:p w14:paraId="024714F3" w14:textId="77777777" w:rsidR="005B4660" w:rsidRPr="005B4660" w:rsidRDefault="005B4660" w:rsidP="005B4660">
            <w:pPr>
              <w:pStyle w:val="Table"/>
            </w:pPr>
            <w:r>
              <w:t>Methods of sampling and testing asphalt – Sample preparation – Mixing, quartering and conditioning of asphalt in the laboratory</w:t>
            </w:r>
          </w:p>
        </w:tc>
      </w:tr>
      <w:tr w:rsidR="005B4660" w:rsidRPr="005B4660" w14:paraId="024714F8" w14:textId="77777777" w:rsidTr="00D75BD4">
        <w:trPr>
          <w:trHeight w:val="340"/>
        </w:trPr>
        <w:tc>
          <w:tcPr>
            <w:tcW w:w="2308" w:type="dxa"/>
            <w:vAlign w:val="center"/>
          </w:tcPr>
          <w:p w14:paraId="024714F5" w14:textId="77777777" w:rsidR="005B4660" w:rsidRPr="005B4660" w:rsidRDefault="005B4660" w:rsidP="005B4660">
            <w:pPr>
              <w:pStyle w:val="Table"/>
            </w:pPr>
            <w:r w:rsidRPr="005B4660">
              <w:t>Australian/New Zealand Standard</w:t>
            </w:r>
          </w:p>
        </w:tc>
        <w:tc>
          <w:tcPr>
            <w:tcW w:w="1677" w:type="dxa"/>
            <w:vAlign w:val="center"/>
          </w:tcPr>
          <w:p w14:paraId="024714F6" w14:textId="77777777" w:rsidR="005B4660" w:rsidRPr="005B4660" w:rsidRDefault="005B4660" w:rsidP="005B4660">
            <w:pPr>
              <w:pStyle w:val="TableCen"/>
            </w:pPr>
            <w:r>
              <w:t>AS/NZS</w:t>
            </w:r>
            <w:r w:rsidRPr="005E1144">
              <w:rPr>
                <w:i/>
              </w:rPr>
              <w:t> </w:t>
            </w:r>
            <w:r>
              <w:tab/>
              <w:t>2891.2.2</w:t>
            </w:r>
          </w:p>
        </w:tc>
        <w:tc>
          <w:tcPr>
            <w:tcW w:w="4804" w:type="dxa"/>
            <w:vAlign w:val="center"/>
          </w:tcPr>
          <w:p w14:paraId="024714F7" w14:textId="77777777" w:rsidR="005B4660" w:rsidRPr="005B4660" w:rsidRDefault="005B4660" w:rsidP="005B4660">
            <w:pPr>
              <w:pStyle w:val="Table"/>
            </w:pPr>
            <w:r>
              <w:t>Methods of sampling and testing asphalt – Sample preparation – Compaction of asphalt test specimens using a gyratory compactor</w:t>
            </w:r>
          </w:p>
        </w:tc>
      </w:tr>
      <w:tr w:rsidR="005B4660" w:rsidRPr="005B4660" w14:paraId="024714FC" w14:textId="77777777" w:rsidTr="00D75BD4">
        <w:trPr>
          <w:trHeight w:val="340"/>
        </w:trPr>
        <w:tc>
          <w:tcPr>
            <w:tcW w:w="2308" w:type="dxa"/>
            <w:vAlign w:val="center"/>
          </w:tcPr>
          <w:p w14:paraId="024714F9" w14:textId="77777777" w:rsidR="005B4660" w:rsidRPr="005B4660" w:rsidRDefault="005B4660" w:rsidP="005B4660">
            <w:pPr>
              <w:pStyle w:val="Table"/>
            </w:pPr>
            <w:r w:rsidRPr="005B4660">
              <w:t>Australian/New Zealand Standard</w:t>
            </w:r>
          </w:p>
        </w:tc>
        <w:tc>
          <w:tcPr>
            <w:tcW w:w="1677" w:type="dxa"/>
            <w:vAlign w:val="center"/>
          </w:tcPr>
          <w:p w14:paraId="024714FA" w14:textId="77777777" w:rsidR="005B4660" w:rsidRDefault="005B4660" w:rsidP="005B4660">
            <w:pPr>
              <w:pStyle w:val="TableCen"/>
            </w:pPr>
            <w:r>
              <w:t>AS/NZS</w:t>
            </w:r>
            <w:r w:rsidRPr="005E1144">
              <w:rPr>
                <w:i/>
              </w:rPr>
              <w:t> </w:t>
            </w:r>
            <w:r>
              <w:t>2891.7.1</w:t>
            </w:r>
          </w:p>
        </w:tc>
        <w:tc>
          <w:tcPr>
            <w:tcW w:w="4804" w:type="dxa"/>
            <w:vAlign w:val="center"/>
          </w:tcPr>
          <w:p w14:paraId="024714FB" w14:textId="77777777" w:rsidR="005B4660" w:rsidRDefault="005B4660" w:rsidP="005B4660">
            <w:pPr>
              <w:pStyle w:val="Table"/>
            </w:pPr>
            <w:r>
              <w:t>Standard: Methods of sampling and testing asphalt – Determination of maximum density of asphalt – Water displacement method</w:t>
            </w:r>
          </w:p>
        </w:tc>
      </w:tr>
      <w:tr w:rsidR="005B4660" w:rsidRPr="005B4660" w14:paraId="02471500" w14:textId="77777777" w:rsidTr="00D75BD4">
        <w:trPr>
          <w:trHeight w:val="340"/>
        </w:trPr>
        <w:tc>
          <w:tcPr>
            <w:tcW w:w="2308" w:type="dxa"/>
            <w:vAlign w:val="center"/>
          </w:tcPr>
          <w:p w14:paraId="024714FD" w14:textId="77777777" w:rsidR="005B4660" w:rsidRPr="005B4660" w:rsidRDefault="005B4660" w:rsidP="005B4660">
            <w:pPr>
              <w:pStyle w:val="Table"/>
            </w:pPr>
            <w:r w:rsidRPr="005B4660">
              <w:t>Australian Standard</w:t>
            </w:r>
          </w:p>
        </w:tc>
        <w:tc>
          <w:tcPr>
            <w:tcW w:w="1677" w:type="dxa"/>
            <w:vAlign w:val="center"/>
          </w:tcPr>
          <w:p w14:paraId="024714FE" w14:textId="77777777" w:rsidR="005B4660" w:rsidRDefault="005B4660" w:rsidP="005B4660">
            <w:pPr>
              <w:pStyle w:val="TableCen"/>
            </w:pPr>
            <w:r>
              <w:t>AS</w:t>
            </w:r>
            <w:r w:rsidRPr="005E1144">
              <w:rPr>
                <w:i/>
              </w:rPr>
              <w:t> </w:t>
            </w:r>
            <w:r w:rsidRPr="00DF338C">
              <w:t>2891.9.2</w:t>
            </w:r>
          </w:p>
        </w:tc>
        <w:tc>
          <w:tcPr>
            <w:tcW w:w="4804" w:type="dxa"/>
            <w:vAlign w:val="center"/>
          </w:tcPr>
          <w:p w14:paraId="024714FF" w14:textId="77777777" w:rsidR="005B4660" w:rsidRDefault="005B4660" w:rsidP="005B4660">
            <w:pPr>
              <w:pStyle w:val="Table"/>
            </w:pPr>
            <w:r w:rsidRPr="00DF338C">
              <w:t>Determination of bulk density of compacted asphalt – Presaturation method</w:t>
            </w:r>
          </w:p>
        </w:tc>
      </w:tr>
      <w:tr w:rsidR="005B4660" w:rsidRPr="005B4660" w14:paraId="02471504" w14:textId="77777777" w:rsidTr="00D75BD4">
        <w:trPr>
          <w:trHeight w:val="340"/>
        </w:trPr>
        <w:tc>
          <w:tcPr>
            <w:tcW w:w="2308" w:type="dxa"/>
            <w:vAlign w:val="center"/>
          </w:tcPr>
          <w:p w14:paraId="02471501" w14:textId="77777777" w:rsidR="005B4660" w:rsidRPr="005B4660" w:rsidRDefault="005B4660" w:rsidP="005B4660">
            <w:pPr>
              <w:pStyle w:val="Table"/>
            </w:pPr>
            <w:r w:rsidRPr="00EF0D7A">
              <w:t>Australian/New Zealand Standard, International Standards Organization</w:t>
            </w:r>
          </w:p>
        </w:tc>
        <w:tc>
          <w:tcPr>
            <w:tcW w:w="1677" w:type="dxa"/>
            <w:vAlign w:val="center"/>
          </w:tcPr>
          <w:p w14:paraId="02471502" w14:textId="77777777" w:rsidR="005B4660" w:rsidRDefault="005B4660" w:rsidP="005B4660">
            <w:pPr>
              <w:pStyle w:val="TableCen"/>
            </w:pPr>
            <w:r w:rsidRPr="00EF0D7A">
              <w:t>AS/NZS</w:t>
            </w:r>
            <w:r w:rsidRPr="00373FD7">
              <w:t> </w:t>
            </w:r>
            <w:r w:rsidRPr="00EF0D7A">
              <w:t>ISO</w:t>
            </w:r>
            <w:r w:rsidRPr="00373FD7">
              <w:t> </w:t>
            </w:r>
            <w:r w:rsidRPr="00EF0D7A">
              <w:t>9001</w:t>
            </w:r>
          </w:p>
        </w:tc>
        <w:tc>
          <w:tcPr>
            <w:tcW w:w="4804" w:type="dxa"/>
            <w:vAlign w:val="center"/>
          </w:tcPr>
          <w:p w14:paraId="02471503" w14:textId="77777777" w:rsidR="005B4660" w:rsidRDefault="005B4660" w:rsidP="005B4660">
            <w:pPr>
              <w:pStyle w:val="Table"/>
            </w:pPr>
            <w:r w:rsidRPr="00EF0D7A">
              <w:t>Quality management systems – Requirements</w:t>
            </w:r>
          </w:p>
        </w:tc>
      </w:tr>
    </w:tbl>
    <w:p w14:paraId="02471505" w14:textId="77777777" w:rsidR="009F0B66" w:rsidRDefault="00F67683" w:rsidP="00D75BD4">
      <w:pPr>
        <w:pStyle w:val="Heading3"/>
      </w:pPr>
      <w:bookmarkStart w:id="6" w:name="_Toc76047057"/>
      <w:r w:rsidRPr="00F67683">
        <w:t>References</w:t>
      </w:r>
      <w:bookmarkEnd w:id="6"/>
    </w:p>
    <w:tbl>
      <w:tblPr>
        <w:tblW w:w="8789" w:type="dxa"/>
        <w:tblInd w:w="817" w:type="dxa"/>
        <w:tblLayout w:type="fixed"/>
        <w:tblLook w:val="0400" w:firstRow="0" w:lastRow="0" w:firstColumn="0" w:lastColumn="0" w:noHBand="0" w:noVBand="1"/>
      </w:tblPr>
      <w:tblGrid>
        <w:gridCol w:w="2410"/>
        <w:gridCol w:w="1417"/>
        <w:gridCol w:w="1276"/>
        <w:gridCol w:w="3686"/>
      </w:tblGrid>
      <w:tr w:rsidR="005B4660" w14:paraId="0247150A" w14:textId="77777777" w:rsidTr="00D75BD4">
        <w:trPr>
          <w:trHeight w:val="340"/>
        </w:trPr>
        <w:tc>
          <w:tcPr>
            <w:tcW w:w="2410" w:type="dxa"/>
            <w:vAlign w:val="center"/>
          </w:tcPr>
          <w:p w14:paraId="02471506" w14:textId="77777777" w:rsidR="005B4660" w:rsidRPr="007423F6" w:rsidRDefault="005B4660" w:rsidP="00F54896">
            <w:pPr>
              <w:pStyle w:val="Table"/>
            </w:pPr>
            <w:r w:rsidRPr="007423F6">
              <w:t>Queensland Department of Transport and Main Roads</w:t>
            </w:r>
          </w:p>
        </w:tc>
        <w:tc>
          <w:tcPr>
            <w:tcW w:w="1417" w:type="dxa"/>
            <w:vAlign w:val="center"/>
          </w:tcPr>
          <w:p w14:paraId="02471507" w14:textId="77777777" w:rsidR="005B4660" w:rsidRPr="007423F6" w:rsidRDefault="005B4660" w:rsidP="00F54896">
            <w:pPr>
              <w:pStyle w:val="TableCen"/>
            </w:pPr>
            <w:r w:rsidRPr="007423F6">
              <w:t>Test Method</w:t>
            </w:r>
          </w:p>
        </w:tc>
        <w:tc>
          <w:tcPr>
            <w:tcW w:w="1276" w:type="dxa"/>
            <w:vAlign w:val="center"/>
          </w:tcPr>
          <w:p w14:paraId="02471508" w14:textId="77777777" w:rsidR="005B4660" w:rsidRDefault="005B4660" w:rsidP="00F54896">
            <w:pPr>
              <w:pStyle w:val="TableCen"/>
            </w:pPr>
            <w:r w:rsidRPr="00DF338C">
              <w:t>N04</w:t>
            </w:r>
          </w:p>
        </w:tc>
        <w:tc>
          <w:tcPr>
            <w:tcW w:w="3686" w:type="dxa"/>
            <w:vAlign w:val="center"/>
          </w:tcPr>
          <w:p w14:paraId="02471509" w14:textId="77777777" w:rsidR="005B4660" w:rsidRDefault="005B4660" w:rsidP="00F54896">
            <w:pPr>
              <w:pStyle w:val="Table"/>
            </w:pPr>
            <w:r>
              <w:t>Compacted Density of Asphalt</w:t>
            </w:r>
          </w:p>
        </w:tc>
      </w:tr>
      <w:tr w:rsidR="005B4660" w14:paraId="0247150F" w14:textId="77777777" w:rsidTr="00D75BD4">
        <w:trPr>
          <w:trHeight w:val="340"/>
        </w:trPr>
        <w:tc>
          <w:tcPr>
            <w:tcW w:w="2410" w:type="dxa"/>
            <w:vAlign w:val="center"/>
          </w:tcPr>
          <w:p w14:paraId="0247150B" w14:textId="77777777" w:rsidR="005B4660" w:rsidRPr="007423F6" w:rsidRDefault="005B4660" w:rsidP="00F54896">
            <w:pPr>
              <w:pStyle w:val="Table"/>
            </w:pPr>
            <w:r w:rsidRPr="007423F6">
              <w:t>Queensland Department of Transport and Main Roads</w:t>
            </w:r>
          </w:p>
        </w:tc>
        <w:tc>
          <w:tcPr>
            <w:tcW w:w="1417" w:type="dxa"/>
            <w:vAlign w:val="center"/>
          </w:tcPr>
          <w:p w14:paraId="0247150C" w14:textId="77777777" w:rsidR="005B4660" w:rsidRPr="007423F6" w:rsidRDefault="005B4660" w:rsidP="00F54896">
            <w:pPr>
              <w:pStyle w:val="TableCen"/>
            </w:pPr>
            <w:r w:rsidRPr="007423F6">
              <w:t>Test Method</w:t>
            </w:r>
          </w:p>
        </w:tc>
        <w:tc>
          <w:tcPr>
            <w:tcW w:w="1276" w:type="dxa"/>
            <w:vAlign w:val="center"/>
          </w:tcPr>
          <w:p w14:paraId="0247150D" w14:textId="77777777" w:rsidR="005B4660" w:rsidRDefault="005B4660" w:rsidP="00F54896">
            <w:pPr>
              <w:pStyle w:val="TableCen"/>
            </w:pPr>
            <w:r>
              <w:t>Q303A</w:t>
            </w:r>
          </w:p>
        </w:tc>
        <w:tc>
          <w:tcPr>
            <w:tcW w:w="3686" w:type="dxa"/>
            <w:vAlign w:val="center"/>
          </w:tcPr>
          <w:p w14:paraId="0247150E" w14:textId="77777777" w:rsidR="005B4660" w:rsidRDefault="005B4660" w:rsidP="00F54896">
            <w:pPr>
              <w:pStyle w:val="Table"/>
            </w:pPr>
            <w:r>
              <w:t>Preparation of asphalt core samples</w:t>
            </w:r>
          </w:p>
        </w:tc>
      </w:tr>
      <w:tr w:rsidR="005B4660" w:rsidRPr="002E6395" w14:paraId="02471514" w14:textId="77777777" w:rsidTr="00D75BD4">
        <w:trPr>
          <w:trHeight w:val="340"/>
        </w:trPr>
        <w:tc>
          <w:tcPr>
            <w:tcW w:w="2410" w:type="dxa"/>
            <w:vAlign w:val="center"/>
          </w:tcPr>
          <w:p w14:paraId="02471510" w14:textId="77777777" w:rsidR="005B4660" w:rsidRPr="007423F6" w:rsidRDefault="005B4660" w:rsidP="00F54896">
            <w:pPr>
              <w:pStyle w:val="Table"/>
            </w:pPr>
            <w:r w:rsidRPr="007423F6">
              <w:t>Queensland Department of Transport and Main Roads</w:t>
            </w:r>
          </w:p>
        </w:tc>
        <w:tc>
          <w:tcPr>
            <w:tcW w:w="1417" w:type="dxa"/>
            <w:vAlign w:val="center"/>
          </w:tcPr>
          <w:p w14:paraId="02471511" w14:textId="77777777" w:rsidR="005B4660" w:rsidRPr="007423F6" w:rsidRDefault="005B4660" w:rsidP="00F54896">
            <w:pPr>
              <w:pStyle w:val="TableCen"/>
            </w:pPr>
            <w:r w:rsidRPr="007423F6">
              <w:t>Test Method</w:t>
            </w:r>
          </w:p>
        </w:tc>
        <w:tc>
          <w:tcPr>
            <w:tcW w:w="1276" w:type="dxa"/>
            <w:vAlign w:val="center"/>
          </w:tcPr>
          <w:p w14:paraId="02471512" w14:textId="77777777" w:rsidR="005B4660" w:rsidRDefault="005B4660" w:rsidP="00F54896">
            <w:pPr>
              <w:pStyle w:val="TableCen"/>
            </w:pPr>
            <w:r>
              <w:t>Q303B</w:t>
            </w:r>
          </w:p>
        </w:tc>
        <w:tc>
          <w:tcPr>
            <w:tcW w:w="3686" w:type="dxa"/>
            <w:vAlign w:val="center"/>
          </w:tcPr>
          <w:p w14:paraId="02471513" w14:textId="77777777" w:rsidR="005B4660" w:rsidRPr="002E6395" w:rsidRDefault="005B4660" w:rsidP="00F54896">
            <w:pPr>
              <w:pStyle w:val="Table"/>
            </w:pPr>
            <w:r>
              <w:t>Preparation of asphalt mix from a core sample</w:t>
            </w:r>
          </w:p>
        </w:tc>
      </w:tr>
      <w:tr w:rsidR="005B4660" w14:paraId="02471519" w14:textId="77777777" w:rsidTr="00D75BD4">
        <w:trPr>
          <w:trHeight w:val="340"/>
        </w:trPr>
        <w:tc>
          <w:tcPr>
            <w:tcW w:w="2410" w:type="dxa"/>
            <w:vAlign w:val="center"/>
          </w:tcPr>
          <w:p w14:paraId="02471515" w14:textId="77777777" w:rsidR="005B4660" w:rsidRPr="007423F6" w:rsidRDefault="005B4660" w:rsidP="00F54896">
            <w:pPr>
              <w:pStyle w:val="Table"/>
            </w:pPr>
            <w:r w:rsidRPr="007423F6">
              <w:t>Queensland Department of Transport and Main Roads</w:t>
            </w:r>
          </w:p>
        </w:tc>
        <w:tc>
          <w:tcPr>
            <w:tcW w:w="1417" w:type="dxa"/>
            <w:vAlign w:val="center"/>
          </w:tcPr>
          <w:p w14:paraId="02471516" w14:textId="77777777" w:rsidR="005B4660" w:rsidRPr="007423F6" w:rsidRDefault="005B4660" w:rsidP="00F54896">
            <w:pPr>
              <w:pStyle w:val="TableCen"/>
            </w:pPr>
            <w:r w:rsidRPr="007423F6">
              <w:t>Test Method</w:t>
            </w:r>
          </w:p>
        </w:tc>
        <w:tc>
          <w:tcPr>
            <w:tcW w:w="1276" w:type="dxa"/>
            <w:vAlign w:val="center"/>
          </w:tcPr>
          <w:p w14:paraId="02471517" w14:textId="77777777" w:rsidR="005B4660" w:rsidRDefault="005B4660" w:rsidP="00F54896">
            <w:pPr>
              <w:pStyle w:val="TableCen"/>
            </w:pPr>
            <w:r>
              <w:t>Q306C</w:t>
            </w:r>
          </w:p>
        </w:tc>
        <w:tc>
          <w:tcPr>
            <w:tcW w:w="3686" w:type="dxa"/>
            <w:vAlign w:val="center"/>
          </w:tcPr>
          <w:p w14:paraId="02471518" w14:textId="77777777" w:rsidR="005B4660" w:rsidRDefault="005B4660" w:rsidP="00F54896">
            <w:pPr>
              <w:pStyle w:val="Table"/>
            </w:pPr>
            <w:r>
              <w:t>Compacted density of asphalt – silicone sealed</w:t>
            </w:r>
          </w:p>
        </w:tc>
      </w:tr>
      <w:tr w:rsidR="005B4660" w:rsidRPr="007423F6" w14:paraId="0247151E" w14:textId="77777777" w:rsidTr="00D75BD4">
        <w:trPr>
          <w:trHeight w:val="340"/>
        </w:trPr>
        <w:tc>
          <w:tcPr>
            <w:tcW w:w="2410" w:type="dxa"/>
            <w:vAlign w:val="center"/>
          </w:tcPr>
          <w:p w14:paraId="0247151A" w14:textId="77777777" w:rsidR="005B4660" w:rsidRPr="007423F6" w:rsidRDefault="005B4660" w:rsidP="00F54896">
            <w:pPr>
              <w:pStyle w:val="Table"/>
            </w:pPr>
            <w:r w:rsidRPr="007423F6">
              <w:t>Queensland Department of Transport and Main Roads</w:t>
            </w:r>
          </w:p>
        </w:tc>
        <w:tc>
          <w:tcPr>
            <w:tcW w:w="1417" w:type="dxa"/>
            <w:vAlign w:val="center"/>
          </w:tcPr>
          <w:p w14:paraId="0247151B" w14:textId="77777777" w:rsidR="005B4660" w:rsidRPr="007423F6" w:rsidRDefault="005B4660" w:rsidP="00F54896">
            <w:pPr>
              <w:pStyle w:val="TableCen"/>
            </w:pPr>
            <w:r w:rsidRPr="007423F6">
              <w:t>Test Method</w:t>
            </w:r>
          </w:p>
        </w:tc>
        <w:tc>
          <w:tcPr>
            <w:tcW w:w="1276" w:type="dxa"/>
            <w:vAlign w:val="center"/>
          </w:tcPr>
          <w:p w14:paraId="0247151C" w14:textId="77777777" w:rsidR="005B4660" w:rsidRPr="007423F6" w:rsidRDefault="005B4660" w:rsidP="00F54896">
            <w:pPr>
              <w:pStyle w:val="TableCen"/>
            </w:pPr>
            <w:r w:rsidRPr="00B83D8E">
              <w:t>Q708B</w:t>
            </w:r>
          </w:p>
        </w:tc>
        <w:tc>
          <w:tcPr>
            <w:tcW w:w="3686" w:type="dxa"/>
            <w:vAlign w:val="center"/>
          </w:tcPr>
          <w:p w14:paraId="0247151D" w14:textId="77777777" w:rsidR="005B4660" w:rsidRPr="007423F6" w:rsidRDefault="005B4660" w:rsidP="00F54896">
            <w:pPr>
              <w:pStyle w:val="Table"/>
            </w:pPr>
            <w:r w:rsidRPr="00B83D8E">
              <w:t xml:space="preserve">Road roughness – surface evenness </w:t>
            </w:r>
            <w:r>
              <w:t>–</w:t>
            </w:r>
            <w:r w:rsidRPr="00B83D8E">
              <w:t xml:space="preserve"> two laser profilometer</w:t>
            </w:r>
          </w:p>
        </w:tc>
      </w:tr>
      <w:tr w:rsidR="005B4660" w14:paraId="02471523" w14:textId="77777777" w:rsidTr="00D75BD4">
        <w:trPr>
          <w:trHeight w:val="340"/>
        </w:trPr>
        <w:tc>
          <w:tcPr>
            <w:tcW w:w="2410" w:type="dxa"/>
            <w:vAlign w:val="center"/>
          </w:tcPr>
          <w:p w14:paraId="0247151F" w14:textId="77777777" w:rsidR="005B4660" w:rsidRPr="007423F6" w:rsidRDefault="005B4660" w:rsidP="00F54896">
            <w:pPr>
              <w:pStyle w:val="Table"/>
            </w:pPr>
            <w:r w:rsidRPr="007423F6">
              <w:t>Queensland Department of Transport and Main Roads</w:t>
            </w:r>
          </w:p>
        </w:tc>
        <w:tc>
          <w:tcPr>
            <w:tcW w:w="1417" w:type="dxa"/>
            <w:vAlign w:val="center"/>
          </w:tcPr>
          <w:p w14:paraId="02471520" w14:textId="77777777" w:rsidR="005B4660" w:rsidRPr="007423F6" w:rsidRDefault="005B4660" w:rsidP="00F54896">
            <w:pPr>
              <w:pStyle w:val="TableCen"/>
            </w:pPr>
            <w:r w:rsidRPr="007423F6">
              <w:t>Test Method</w:t>
            </w:r>
          </w:p>
        </w:tc>
        <w:tc>
          <w:tcPr>
            <w:tcW w:w="1276" w:type="dxa"/>
            <w:vAlign w:val="center"/>
          </w:tcPr>
          <w:p w14:paraId="02471521" w14:textId="77777777" w:rsidR="005B4660" w:rsidRDefault="005B4660" w:rsidP="00F54896">
            <w:pPr>
              <w:pStyle w:val="TableCen"/>
            </w:pPr>
            <w:r w:rsidRPr="00B83D8E">
              <w:t>Q708C</w:t>
            </w:r>
          </w:p>
        </w:tc>
        <w:tc>
          <w:tcPr>
            <w:tcW w:w="3686" w:type="dxa"/>
            <w:vAlign w:val="center"/>
          </w:tcPr>
          <w:p w14:paraId="02471522" w14:textId="1A736330" w:rsidR="005B4660" w:rsidRDefault="005B4660" w:rsidP="00F54896">
            <w:pPr>
              <w:pStyle w:val="Table"/>
            </w:pPr>
            <w:r>
              <w:t>Road roughness – surface evenness – static level and staff</w:t>
            </w:r>
          </w:p>
        </w:tc>
      </w:tr>
    </w:tbl>
    <w:p w14:paraId="02471524" w14:textId="3B63BE78" w:rsidR="009F0B66" w:rsidRPr="006F1CC5" w:rsidRDefault="009F0B66" w:rsidP="00473F79">
      <w:pPr>
        <w:pStyle w:val="BodyTextIndent"/>
      </w:pPr>
      <w:r w:rsidRPr="00891B9D">
        <w:t>Refer to the following Reference Specifications</w:t>
      </w:r>
      <w:r w:rsidR="00767B9D" w:rsidRPr="00891B9D">
        <w:t xml:space="preserve"> for Engineering Work</w:t>
      </w:r>
      <w:r w:rsidRPr="00891B9D">
        <w:t>:</w:t>
      </w:r>
    </w:p>
    <w:tbl>
      <w:tblPr>
        <w:tblW w:w="8789" w:type="dxa"/>
        <w:tblInd w:w="817" w:type="dxa"/>
        <w:tblLook w:val="0400" w:firstRow="0" w:lastRow="0" w:firstColumn="0" w:lastColumn="0" w:noHBand="0" w:noVBand="1"/>
      </w:tblPr>
      <w:tblGrid>
        <w:gridCol w:w="973"/>
        <w:gridCol w:w="7816"/>
      </w:tblGrid>
      <w:tr w:rsidR="005B4660" w:rsidRPr="00891B9D" w14:paraId="02471527" w14:textId="77777777" w:rsidTr="00D75BD4">
        <w:trPr>
          <w:trHeight w:val="340"/>
        </w:trPr>
        <w:tc>
          <w:tcPr>
            <w:tcW w:w="973" w:type="dxa"/>
            <w:vAlign w:val="center"/>
          </w:tcPr>
          <w:p w14:paraId="02471525" w14:textId="77777777" w:rsidR="005B4660" w:rsidRPr="00891B9D" w:rsidRDefault="005B4660" w:rsidP="00F54896">
            <w:pPr>
              <w:pStyle w:val="TableCen"/>
            </w:pPr>
            <w:r w:rsidRPr="00891B9D">
              <w:t>S110</w:t>
            </w:r>
          </w:p>
        </w:tc>
        <w:tc>
          <w:tcPr>
            <w:tcW w:w="7816" w:type="dxa"/>
            <w:vAlign w:val="center"/>
          </w:tcPr>
          <w:p w14:paraId="02471526" w14:textId="77777777" w:rsidR="005B4660" w:rsidRPr="00891B9D" w:rsidRDefault="005B4660" w:rsidP="00F54896">
            <w:pPr>
              <w:pStyle w:val="Table"/>
            </w:pPr>
            <w:r w:rsidRPr="00891B9D">
              <w:t>General Requirements</w:t>
            </w:r>
          </w:p>
        </w:tc>
      </w:tr>
      <w:tr w:rsidR="005B4660" w:rsidRPr="00891B9D" w14:paraId="0247152A" w14:textId="77777777" w:rsidTr="00D75BD4">
        <w:trPr>
          <w:trHeight w:val="340"/>
        </w:trPr>
        <w:tc>
          <w:tcPr>
            <w:tcW w:w="973" w:type="dxa"/>
            <w:vAlign w:val="center"/>
          </w:tcPr>
          <w:p w14:paraId="02471528" w14:textId="77777777" w:rsidR="005B4660" w:rsidRPr="00891B9D" w:rsidRDefault="005B4660" w:rsidP="00F54896">
            <w:pPr>
              <w:pStyle w:val="TableCen"/>
            </w:pPr>
            <w:r w:rsidRPr="00891B9D">
              <w:t>S120</w:t>
            </w:r>
          </w:p>
        </w:tc>
        <w:tc>
          <w:tcPr>
            <w:tcW w:w="7816" w:type="dxa"/>
            <w:vAlign w:val="center"/>
          </w:tcPr>
          <w:p w14:paraId="02471529" w14:textId="4D9A5B3D" w:rsidR="005B4660" w:rsidRPr="00891B9D" w:rsidRDefault="005B4660" w:rsidP="00F54896">
            <w:pPr>
              <w:pStyle w:val="Table"/>
            </w:pPr>
            <w:r w:rsidRPr="00891B9D">
              <w:t>Quality</w:t>
            </w:r>
          </w:p>
        </w:tc>
      </w:tr>
      <w:tr w:rsidR="005B4660" w:rsidRPr="00891B9D" w14:paraId="0247152D" w14:textId="77777777" w:rsidTr="00D75BD4">
        <w:trPr>
          <w:trHeight w:val="340"/>
        </w:trPr>
        <w:tc>
          <w:tcPr>
            <w:tcW w:w="973" w:type="dxa"/>
            <w:vAlign w:val="center"/>
          </w:tcPr>
          <w:p w14:paraId="0247152B" w14:textId="77777777" w:rsidR="005B4660" w:rsidRPr="00891B9D" w:rsidRDefault="005B4660" w:rsidP="00F54896">
            <w:pPr>
              <w:pStyle w:val="TableCen"/>
            </w:pPr>
            <w:r w:rsidRPr="00891B9D">
              <w:t>S150</w:t>
            </w:r>
          </w:p>
        </w:tc>
        <w:tc>
          <w:tcPr>
            <w:tcW w:w="7816" w:type="dxa"/>
            <w:vAlign w:val="center"/>
          </w:tcPr>
          <w:p w14:paraId="0247152C" w14:textId="77777777" w:rsidR="005B4660" w:rsidRPr="00891B9D" w:rsidRDefault="005B4660" w:rsidP="00F54896">
            <w:pPr>
              <w:pStyle w:val="Table"/>
            </w:pPr>
            <w:r w:rsidRPr="00891B9D">
              <w:t>Roadworks</w:t>
            </w:r>
          </w:p>
        </w:tc>
      </w:tr>
      <w:tr w:rsidR="00E16635" w:rsidRPr="00891B9D" w14:paraId="02471530" w14:textId="77777777" w:rsidTr="00D75BD4">
        <w:trPr>
          <w:trHeight w:val="340"/>
        </w:trPr>
        <w:tc>
          <w:tcPr>
            <w:tcW w:w="973" w:type="dxa"/>
            <w:vAlign w:val="center"/>
          </w:tcPr>
          <w:p w14:paraId="0247152E" w14:textId="77777777" w:rsidR="00E16635" w:rsidRPr="00891B9D" w:rsidRDefault="00E16635" w:rsidP="00F54896">
            <w:pPr>
              <w:pStyle w:val="TableCen"/>
            </w:pPr>
            <w:r w:rsidRPr="00891B9D">
              <w:t>S310</w:t>
            </w:r>
          </w:p>
        </w:tc>
        <w:tc>
          <w:tcPr>
            <w:tcW w:w="7816" w:type="dxa"/>
            <w:vAlign w:val="center"/>
          </w:tcPr>
          <w:p w14:paraId="0247152F" w14:textId="77777777" w:rsidR="00E16635" w:rsidRPr="00891B9D" w:rsidRDefault="00E16635" w:rsidP="00F54896">
            <w:pPr>
              <w:pStyle w:val="Table"/>
            </w:pPr>
            <w:r w:rsidRPr="00891B9D">
              <w:t>Supply of Dense Graded Asphalt</w:t>
            </w:r>
          </w:p>
        </w:tc>
      </w:tr>
      <w:tr w:rsidR="00E16635" w:rsidRPr="00891B9D" w14:paraId="02471533" w14:textId="77777777" w:rsidTr="00D75BD4">
        <w:trPr>
          <w:trHeight w:val="340"/>
        </w:trPr>
        <w:tc>
          <w:tcPr>
            <w:tcW w:w="973" w:type="dxa"/>
            <w:vAlign w:val="center"/>
          </w:tcPr>
          <w:p w14:paraId="02471531" w14:textId="77777777" w:rsidR="00E16635" w:rsidRPr="00891B9D" w:rsidRDefault="00E16635" w:rsidP="00F54896">
            <w:pPr>
              <w:pStyle w:val="TableCen"/>
            </w:pPr>
            <w:r w:rsidRPr="00891B9D">
              <w:t>S330</w:t>
            </w:r>
          </w:p>
        </w:tc>
        <w:tc>
          <w:tcPr>
            <w:tcW w:w="7816" w:type="dxa"/>
            <w:vAlign w:val="center"/>
          </w:tcPr>
          <w:p w14:paraId="02471532" w14:textId="77777777" w:rsidR="00E16635" w:rsidRPr="00891B9D" w:rsidRDefault="00E16635" w:rsidP="00F54896">
            <w:pPr>
              <w:pStyle w:val="Table"/>
            </w:pPr>
            <w:r w:rsidRPr="00891B9D">
              <w:t>Sprayed Bituminous Surfacing</w:t>
            </w:r>
          </w:p>
        </w:tc>
      </w:tr>
      <w:tr w:rsidR="00E16635" w:rsidRPr="00891B9D" w14:paraId="02471536" w14:textId="77777777" w:rsidTr="00D75BD4">
        <w:trPr>
          <w:trHeight w:val="340"/>
        </w:trPr>
        <w:tc>
          <w:tcPr>
            <w:tcW w:w="973" w:type="dxa"/>
            <w:vAlign w:val="center"/>
          </w:tcPr>
          <w:p w14:paraId="02471534" w14:textId="1902434E" w:rsidR="00E16635" w:rsidRPr="00891B9D" w:rsidRDefault="00A5203A" w:rsidP="00F54896">
            <w:pPr>
              <w:pStyle w:val="TableCen"/>
            </w:pPr>
            <w:r w:rsidRPr="00891B9D">
              <w:t>S335</w:t>
            </w:r>
          </w:p>
        </w:tc>
        <w:tc>
          <w:tcPr>
            <w:tcW w:w="7816" w:type="dxa"/>
            <w:vAlign w:val="center"/>
          </w:tcPr>
          <w:p w14:paraId="02471535" w14:textId="3AEE7CAC" w:rsidR="00E16635" w:rsidRPr="00891B9D" w:rsidRDefault="00A5203A" w:rsidP="00564679">
            <w:pPr>
              <w:pStyle w:val="Table"/>
            </w:pPr>
            <w:r w:rsidRPr="00891B9D">
              <w:t xml:space="preserve">Emulsion </w:t>
            </w:r>
            <w:r w:rsidR="00564679" w:rsidRPr="00891B9D">
              <w:t>Surfacing Treatment</w:t>
            </w:r>
          </w:p>
        </w:tc>
      </w:tr>
      <w:tr w:rsidR="00A5203A" w:rsidRPr="00C71F8C" w14:paraId="667DC07D" w14:textId="77777777" w:rsidTr="00D75BD4">
        <w:trPr>
          <w:trHeight w:val="340"/>
        </w:trPr>
        <w:tc>
          <w:tcPr>
            <w:tcW w:w="973" w:type="dxa"/>
            <w:vAlign w:val="center"/>
          </w:tcPr>
          <w:p w14:paraId="15B52E57" w14:textId="78590FF0" w:rsidR="00A5203A" w:rsidRPr="00891B9D" w:rsidRDefault="00A5203A" w:rsidP="00F54896">
            <w:pPr>
              <w:pStyle w:val="TableCen"/>
            </w:pPr>
            <w:r w:rsidRPr="00891B9D">
              <w:t>S336</w:t>
            </w:r>
          </w:p>
        </w:tc>
        <w:tc>
          <w:tcPr>
            <w:tcW w:w="7816" w:type="dxa"/>
            <w:vAlign w:val="center"/>
          </w:tcPr>
          <w:p w14:paraId="62BF787A" w14:textId="49B75344" w:rsidR="00A5203A" w:rsidRPr="00891B9D" w:rsidRDefault="00A5203A" w:rsidP="00A5203A">
            <w:pPr>
              <w:pStyle w:val="Table"/>
            </w:pPr>
            <w:r w:rsidRPr="00891B9D">
              <w:t xml:space="preserve">Micro </w:t>
            </w:r>
            <w:r w:rsidR="00564679" w:rsidRPr="00891B9D">
              <w:t>Surfacing Treatment</w:t>
            </w:r>
          </w:p>
        </w:tc>
      </w:tr>
    </w:tbl>
    <w:p w14:paraId="3E131D5B" w14:textId="77777777" w:rsidR="00D75BD4" w:rsidRDefault="00D75BD4" w:rsidP="00D75BD4">
      <w:pPr>
        <w:pStyle w:val="BodyText"/>
      </w:pPr>
    </w:p>
    <w:p w14:paraId="02471537" w14:textId="7E59F735" w:rsidR="009F0B66" w:rsidRDefault="00D75BD4" w:rsidP="00D75BD4">
      <w:pPr>
        <w:pStyle w:val="Heading2"/>
      </w:pPr>
      <w:r>
        <w:br w:type="page"/>
      </w:r>
      <w:bookmarkStart w:id="7" w:name="_Toc76047058"/>
      <w:r w:rsidR="009F0B66">
        <w:lastRenderedPageBreak/>
        <w:t>QUALITY</w:t>
      </w:r>
      <w:bookmarkEnd w:id="7"/>
    </w:p>
    <w:p w14:paraId="02471538" w14:textId="77777777" w:rsidR="009F0B66" w:rsidRPr="00F67683" w:rsidRDefault="00F67683" w:rsidP="00D75BD4">
      <w:pPr>
        <w:pStyle w:val="Heading3"/>
      </w:pPr>
      <w:bookmarkStart w:id="8" w:name="_Toc76047059"/>
      <w:r w:rsidRPr="00F67683">
        <w:t>Quality System</w:t>
      </w:r>
      <w:bookmarkEnd w:id="8"/>
    </w:p>
    <w:p w14:paraId="02471539" w14:textId="77777777" w:rsidR="009F0B66" w:rsidRDefault="009F0B66" w:rsidP="00473F79">
      <w:pPr>
        <w:pStyle w:val="BodyTextIndent"/>
      </w:pPr>
      <w:r>
        <w:t xml:space="preserve">The supplier must maintain a Quality Assurance System with third party accreditation to </w:t>
      </w:r>
      <w:r w:rsidRPr="00473F79">
        <w:rPr>
          <w:i/>
        </w:rPr>
        <w:t>AS/NZS</w:t>
      </w:r>
      <w:r w:rsidR="00767B9D">
        <w:t> </w:t>
      </w:r>
      <w:r w:rsidRPr="00473F79">
        <w:rPr>
          <w:i/>
        </w:rPr>
        <w:t>ISO</w:t>
      </w:r>
      <w:r w:rsidR="0040715B">
        <w:t> </w:t>
      </w:r>
      <w:r w:rsidRPr="00473F79">
        <w:rPr>
          <w:i/>
        </w:rPr>
        <w:t>900</w:t>
      </w:r>
      <w:r w:rsidR="00767B9D">
        <w:rPr>
          <w:i/>
        </w:rPr>
        <w:t>1</w:t>
      </w:r>
      <w:r>
        <w:t>.  The supplier must notify the Contractor or Superintendent within two days of becoming aware that process control tests relevant to the work have fallen outside the specified limits.</w:t>
      </w:r>
    </w:p>
    <w:p w14:paraId="0247153A" w14:textId="77777777" w:rsidR="009F0B66" w:rsidRPr="00F67683" w:rsidRDefault="00F67683" w:rsidP="00D75BD4">
      <w:pPr>
        <w:pStyle w:val="Heading3"/>
      </w:pPr>
      <w:bookmarkStart w:id="9" w:name="_Toc518105492"/>
      <w:bookmarkStart w:id="10" w:name="_Toc76047060"/>
      <w:r w:rsidRPr="00F67683">
        <w:t>Inspection</w:t>
      </w:r>
      <w:bookmarkEnd w:id="9"/>
      <w:bookmarkEnd w:id="10"/>
    </w:p>
    <w:p w14:paraId="0247153B" w14:textId="77777777" w:rsidR="009F0B66" w:rsidRDefault="009F0B66">
      <w:pPr>
        <w:pStyle w:val="BodyTextIndent2"/>
        <w:spacing w:after="60"/>
        <w:jc w:val="both"/>
        <w:rPr>
          <w:b/>
          <w:snapToGrid w:val="0"/>
          <w:sz w:val="22"/>
          <w:u w:val="single"/>
        </w:rPr>
      </w:pPr>
      <w:r>
        <w:rPr>
          <w:b/>
          <w:sz w:val="22"/>
          <w:u w:val="single"/>
        </w:rPr>
        <w:t>Witness points</w:t>
      </w:r>
    </w:p>
    <w:p w14:paraId="0247153C" w14:textId="77777777" w:rsidR="009F0B66" w:rsidRDefault="009F0B66" w:rsidP="00473F79">
      <w:pPr>
        <w:pStyle w:val="BodyTextIndent"/>
      </w:pPr>
      <w:r>
        <w:rPr>
          <w:i/>
        </w:rPr>
        <w:t>Refer annexure</w:t>
      </w:r>
      <w:r>
        <w:t>.  Give sufficient notice so that inspection may be made of the following stages:</w:t>
      </w:r>
    </w:p>
    <w:p w14:paraId="0247153D" w14:textId="77777777" w:rsidR="009F0B66" w:rsidRDefault="009F0B66" w:rsidP="00473F79">
      <w:pPr>
        <w:pStyle w:val="BodyTextIndentDot"/>
      </w:pPr>
      <w:r>
        <w:t>Materials or areas ready for tests.</w:t>
      </w:r>
    </w:p>
    <w:p w14:paraId="0247153E" w14:textId="77777777" w:rsidR="009F0B66" w:rsidRDefault="009F0B66" w:rsidP="00473F79">
      <w:pPr>
        <w:pStyle w:val="BodyTextIndentDot"/>
      </w:pPr>
      <w:r>
        <w:t>Testing including any rolling pattern trial.</w:t>
      </w:r>
    </w:p>
    <w:p w14:paraId="0247153F" w14:textId="77777777" w:rsidR="009F0B66" w:rsidRDefault="009F0B66" w:rsidP="00473F79">
      <w:pPr>
        <w:pStyle w:val="BodyTextIndentDot"/>
      </w:pPr>
      <w:r>
        <w:t>Each pavement layer placed and compacted.</w:t>
      </w:r>
    </w:p>
    <w:p w14:paraId="02471540" w14:textId="77777777" w:rsidR="009F0B66" w:rsidRDefault="009F0B66" w:rsidP="00473F79">
      <w:pPr>
        <w:pStyle w:val="BodyTextIndentDot"/>
      </w:pPr>
      <w:r>
        <w:t>Automatic level control devices in place.</w:t>
      </w:r>
    </w:p>
    <w:p w14:paraId="02471541" w14:textId="77777777" w:rsidR="009F0B66" w:rsidRDefault="009F0B66" w:rsidP="00473F79">
      <w:pPr>
        <w:pStyle w:val="BodyTextIndentDot"/>
      </w:pPr>
      <w:r>
        <w:t>Surfaces prepared for tack coating, priming, sealing or surfacing.</w:t>
      </w:r>
    </w:p>
    <w:p w14:paraId="02471542" w14:textId="77777777" w:rsidR="009F0B66" w:rsidRDefault="009F0B66" w:rsidP="00473F79">
      <w:pPr>
        <w:pStyle w:val="BodyTextIndentDot"/>
      </w:pPr>
      <w:r>
        <w:t>Commencement of asphalt surfacing.</w:t>
      </w:r>
    </w:p>
    <w:p w14:paraId="02471543" w14:textId="77777777" w:rsidR="009F0B66" w:rsidRPr="00F67683" w:rsidRDefault="00F67683" w:rsidP="00D75BD4">
      <w:pPr>
        <w:pStyle w:val="Heading3"/>
      </w:pPr>
      <w:bookmarkStart w:id="11" w:name="_Toc76047061"/>
      <w:r w:rsidRPr="00F67683">
        <w:t>Tests</w:t>
      </w:r>
      <w:bookmarkEnd w:id="11"/>
    </w:p>
    <w:p w14:paraId="02471544" w14:textId="77777777" w:rsidR="009F0B66" w:rsidRDefault="009F0B66" w:rsidP="00473F79">
      <w:pPr>
        <w:pStyle w:val="BodyTextIndentBoldUnderline"/>
        <w:rPr>
          <w:snapToGrid w:val="0"/>
        </w:rPr>
      </w:pPr>
      <w:r>
        <w:t>General</w:t>
      </w:r>
    </w:p>
    <w:p w14:paraId="02471545" w14:textId="77777777" w:rsidR="009F0B66" w:rsidRPr="00473F79" w:rsidRDefault="009F0B66" w:rsidP="00473F79">
      <w:pPr>
        <w:pStyle w:val="BodyTextIndent"/>
      </w:pPr>
      <w:r w:rsidRPr="00290554">
        <w:rPr>
          <w:snapToGrid w:val="0"/>
          <w:u w:val="single"/>
        </w:rPr>
        <w:t>Methods</w:t>
      </w:r>
      <w:r>
        <w:t xml:space="preserve">: Use the specified Australian Standard or </w:t>
      </w:r>
      <w:r w:rsidRPr="00473F79">
        <w:t xml:space="preserve">Queensland Department of </w:t>
      </w:r>
      <w:r w:rsidR="007B4C11">
        <w:t xml:space="preserve">Transport and </w:t>
      </w:r>
      <w:r w:rsidRPr="00473F79">
        <w:t>Main Roads</w:t>
      </w:r>
      <w:r w:rsidR="0040715B">
        <w:t xml:space="preserve"> (</w:t>
      </w:r>
      <w:r w:rsidR="00767B9D" w:rsidRPr="00767B9D">
        <w:t>DTMR</w:t>
      </w:r>
      <w:r w:rsidR="0040715B">
        <w:t>)</w:t>
      </w:r>
      <w:r w:rsidRPr="00473F79">
        <w:t xml:space="preserve"> test methods.</w:t>
      </w:r>
    </w:p>
    <w:p w14:paraId="02471546" w14:textId="77777777" w:rsidR="009F0B66" w:rsidRDefault="009F0B66" w:rsidP="00473F79">
      <w:pPr>
        <w:pStyle w:val="BodyTextIndent"/>
      </w:pPr>
      <w:r w:rsidRPr="00290554">
        <w:rPr>
          <w:u w:val="single"/>
        </w:rPr>
        <w:t>Testing authority</w:t>
      </w:r>
      <w:r w:rsidRPr="00473F79">
        <w:t>: Use a testing facility registered by NATA for</w:t>
      </w:r>
      <w:r>
        <w:t xml:space="preserve"> the test required.</w:t>
      </w:r>
    </w:p>
    <w:p w14:paraId="02471547" w14:textId="77777777" w:rsidR="009F0B66" w:rsidRDefault="009F0B66" w:rsidP="00473F79">
      <w:pPr>
        <w:pStyle w:val="BodyTextIndentBoldUnderline"/>
      </w:pPr>
      <w:r w:rsidRPr="00473F79">
        <w:t>Process</w:t>
      </w:r>
      <w:r>
        <w:t xml:space="preserve"> control</w:t>
      </w:r>
    </w:p>
    <w:p w14:paraId="02471548" w14:textId="58CBE1A4" w:rsidR="009F0B66" w:rsidRDefault="009F0B66" w:rsidP="00473F79">
      <w:pPr>
        <w:pStyle w:val="BodyTextIndent"/>
      </w:pPr>
      <w:r>
        <w:t xml:space="preserve">Perform sampling and testing of the type and frequency necessary to adequately control the work.  Comply with the minimum requirements of </w:t>
      </w:r>
      <w:r w:rsidR="007B4C11" w:rsidRPr="007B4C11">
        <w:rPr>
          <w:i/>
        </w:rPr>
        <w:t>Reference Specification</w:t>
      </w:r>
      <w:r w:rsidR="007B4C11">
        <w:t xml:space="preserve"> </w:t>
      </w:r>
      <w:r>
        <w:rPr>
          <w:i/>
        </w:rPr>
        <w:t>S120 Quality</w:t>
      </w:r>
      <w:r w:rsidR="008963A8">
        <w:rPr>
          <w:i/>
        </w:rPr>
        <w:t>,</w:t>
      </w:r>
      <w:r>
        <w:rPr>
          <w:i/>
        </w:rPr>
        <w:t xml:space="preserve"> Clause 7.1</w:t>
      </w:r>
      <w:r>
        <w:t xml:space="preserve">.  </w:t>
      </w:r>
      <w:r>
        <w:rPr>
          <w:i/>
        </w:rPr>
        <w:t>Refer annexure</w:t>
      </w:r>
      <w:r>
        <w:t>.</w:t>
      </w:r>
    </w:p>
    <w:p w14:paraId="02471549" w14:textId="77777777" w:rsidR="009F0B66" w:rsidRDefault="009F0B66" w:rsidP="00473F79">
      <w:pPr>
        <w:pStyle w:val="BodyTextIndentBoldUnderline"/>
      </w:pPr>
      <w:r>
        <w:t xml:space="preserve">Compliance </w:t>
      </w:r>
      <w:r w:rsidR="007B2F18">
        <w:t xml:space="preserve">(acceptance) </w:t>
      </w:r>
      <w:r>
        <w:t>tests</w:t>
      </w:r>
    </w:p>
    <w:p w14:paraId="0247154A" w14:textId="77777777" w:rsidR="009F0B66" w:rsidRDefault="009F0B66" w:rsidP="00473F79">
      <w:pPr>
        <w:pStyle w:val="BodyTextIndent"/>
      </w:pPr>
      <w:r>
        <w:t xml:space="preserve">The Contractor or </w:t>
      </w:r>
      <w:r w:rsidR="007B2F18">
        <w:t xml:space="preserve">the </w:t>
      </w:r>
      <w:r>
        <w:t>Superintendent may carry out compliance testing using a testing laboratory registered with NATA for the particular test.</w:t>
      </w:r>
    </w:p>
    <w:p w14:paraId="0247154B" w14:textId="77777777" w:rsidR="009F0B66" w:rsidRPr="00F67683" w:rsidRDefault="00F67683" w:rsidP="00D75BD4">
      <w:pPr>
        <w:pStyle w:val="Heading3"/>
      </w:pPr>
      <w:bookmarkStart w:id="12" w:name="_Toc76047062"/>
      <w:r w:rsidRPr="00F67683">
        <w:t>Contractor’s Submissions</w:t>
      </w:r>
      <w:bookmarkEnd w:id="12"/>
    </w:p>
    <w:p w14:paraId="0247154C" w14:textId="77777777" w:rsidR="009F0B66" w:rsidRDefault="009F0B66" w:rsidP="00473F79">
      <w:pPr>
        <w:pStyle w:val="BodyTextIndentBoldUnderline"/>
      </w:pPr>
      <w:r>
        <w:t>Test program</w:t>
      </w:r>
    </w:p>
    <w:p w14:paraId="0247154D" w14:textId="77777777" w:rsidR="009F0B66" w:rsidRDefault="009F0B66" w:rsidP="00473F79">
      <w:pPr>
        <w:pStyle w:val="BodyTextIndent"/>
      </w:pPr>
      <w:r>
        <w:t xml:space="preserve">On request, submit details of the supplier's inspection and test program covering all specified properties of the materials.  On request, submit details of recent test results demonstrating sustained compliance of the work and similar work with the required properties.  </w:t>
      </w:r>
      <w:r>
        <w:rPr>
          <w:i/>
        </w:rPr>
        <w:t>Refer annexure</w:t>
      </w:r>
      <w:r>
        <w:t>.</w:t>
      </w:r>
    </w:p>
    <w:p w14:paraId="0247154E" w14:textId="77777777" w:rsidR="009F0B66" w:rsidRDefault="009F0B66" w:rsidP="00473F79">
      <w:pPr>
        <w:pStyle w:val="BodyTextIndentBoldUnderline"/>
      </w:pPr>
      <w:r>
        <w:t>Deliveries</w:t>
      </w:r>
    </w:p>
    <w:p w14:paraId="0247154F" w14:textId="77777777" w:rsidR="009F0B66" w:rsidRDefault="009F0B66" w:rsidP="00473F79">
      <w:pPr>
        <w:pStyle w:val="BodyTextIndent"/>
      </w:pPr>
      <w:r w:rsidRPr="00290554">
        <w:rPr>
          <w:u w:val="single"/>
        </w:rPr>
        <w:t>Delivery docket</w:t>
      </w:r>
      <w:r>
        <w:t>: Submit a delivery docket at the time and place of delivery for each truckload of material showing:</w:t>
      </w:r>
    </w:p>
    <w:p w14:paraId="02471550" w14:textId="77777777" w:rsidR="009F0B66" w:rsidRDefault="009F0B66" w:rsidP="00473F79">
      <w:pPr>
        <w:pStyle w:val="BodyTextIndentDot"/>
      </w:pPr>
      <w:r>
        <w:t>Empty and loaded mass of the vehicle.</w:t>
      </w:r>
    </w:p>
    <w:p w14:paraId="02471551" w14:textId="77777777" w:rsidR="009F0B66" w:rsidRDefault="009F0B66" w:rsidP="00473F79">
      <w:pPr>
        <w:pStyle w:val="BodyTextIndentDot"/>
      </w:pPr>
      <w:r>
        <w:t>Date and time of dispatch.</w:t>
      </w:r>
    </w:p>
    <w:p w14:paraId="02471552" w14:textId="77777777" w:rsidR="009F0B66" w:rsidRDefault="009F0B66" w:rsidP="00473F79">
      <w:pPr>
        <w:pStyle w:val="BodyTextIndentDot"/>
      </w:pPr>
      <w:r>
        <w:t>Supplier and location of mixing plant.</w:t>
      </w:r>
    </w:p>
    <w:p w14:paraId="02471553" w14:textId="77777777" w:rsidR="009F0B66" w:rsidRDefault="009F0B66" w:rsidP="00473F79">
      <w:pPr>
        <w:pStyle w:val="BodyTextIndentDot"/>
      </w:pPr>
      <w:r>
        <w:t>Registration number of the vehicle.</w:t>
      </w:r>
    </w:p>
    <w:p w14:paraId="02471554" w14:textId="77777777" w:rsidR="009F0B66" w:rsidRDefault="009F0B66" w:rsidP="00473F79">
      <w:pPr>
        <w:pStyle w:val="BodyTextIndentDot"/>
      </w:pPr>
      <w:r>
        <w:t>Size and type of asphalt mix.</w:t>
      </w:r>
    </w:p>
    <w:p w14:paraId="02471555" w14:textId="77777777" w:rsidR="009F0B66" w:rsidRDefault="009F0B66" w:rsidP="00473F79">
      <w:pPr>
        <w:pStyle w:val="BodyTextIndentDot"/>
      </w:pPr>
      <w:r>
        <w:t>Class of binder.</w:t>
      </w:r>
    </w:p>
    <w:p w14:paraId="02471556" w14:textId="77777777" w:rsidR="009F0B66" w:rsidRDefault="009F0B66" w:rsidP="00473F79">
      <w:pPr>
        <w:pStyle w:val="BodyTextIndentDot"/>
      </w:pPr>
      <w:r>
        <w:t>Temperature of load at mixing plant.</w:t>
      </w:r>
    </w:p>
    <w:p w14:paraId="02471557" w14:textId="77777777" w:rsidR="009F0B66" w:rsidRDefault="009F0B66" w:rsidP="00473F79">
      <w:pPr>
        <w:pStyle w:val="BodyTextIndentDot"/>
      </w:pPr>
      <w:r>
        <w:lastRenderedPageBreak/>
        <w:t xml:space="preserve">If required, laboratory stamp or other </w:t>
      </w:r>
      <w:r w:rsidR="00C93A97">
        <w:t xml:space="preserve">evidence </w:t>
      </w:r>
      <w:r>
        <w:t>certifying compliance with the specified properties.</w:t>
      </w:r>
    </w:p>
    <w:p w14:paraId="02471558" w14:textId="77777777" w:rsidR="009F0B66" w:rsidRDefault="009F0B66" w:rsidP="00473F79">
      <w:pPr>
        <w:pStyle w:val="BodyTextIndentBoldUnderline"/>
      </w:pPr>
      <w:r>
        <w:t>Laying program and rolling pattern</w:t>
      </w:r>
    </w:p>
    <w:p w14:paraId="02471559" w14:textId="77777777" w:rsidR="009F0B66" w:rsidRDefault="009F0B66" w:rsidP="00473F79">
      <w:pPr>
        <w:pStyle w:val="BodyTextIndent"/>
      </w:pPr>
      <w:r>
        <w:t xml:space="preserve">On request, submit laying program and rolling pattern prior to commencement of work.  </w:t>
      </w:r>
      <w:r>
        <w:rPr>
          <w:i/>
        </w:rPr>
        <w:t>Refer annexure</w:t>
      </w:r>
      <w:r>
        <w:t>.</w:t>
      </w:r>
    </w:p>
    <w:p w14:paraId="0247155A" w14:textId="77777777" w:rsidR="009F0B66" w:rsidRDefault="009F0B66" w:rsidP="00D75BD4">
      <w:pPr>
        <w:pStyle w:val="Heading2"/>
      </w:pPr>
      <w:bookmarkStart w:id="13" w:name="_Toc76047063"/>
      <w:r>
        <w:t>TOLERANCES</w:t>
      </w:r>
      <w:bookmarkEnd w:id="13"/>
    </w:p>
    <w:p w14:paraId="0247155B" w14:textId="77777777" w:rsidR="009F0B66" w:rsidRDefault="009F0B66" w:rsidP="00F67683">
      <w:pPr>
        <w:pStyle w:val="BodyTextIndentBoldUnderline"/>
      </w:pPr>
      <w:r>
        <w:t>General</w:t>
      </w:r>
    </w:p>
    <w:p w14:paraId="0247155C" w14:textId="1129684B" w:rsidR="009F0B66" w:rsidRDefault="009F0B66" w:rsidP="00F67683">
      <w:pPr>
        <w:pStyle w:val="BodyTextIndent"/>
      </w:pPr>
      <w:r w:rsidRPr="00290554">
        <w:rPr>
          <w:u w:val="single"/>
        </w:rPr>
        <w:t>Sampling frequency</w:t>
      </w:r>
      <w:r>
        <w:t>: In accordance with</w:t>
      </w:r>
      <w:r>
        <w:rPr>
          <w:i/>
        </w:rPr>
        <w:t xml:space="preserve"> </w:t>
      </w:r>
      <w:r w:rsidR="007B4C11" w:rsidRPr="007B4C11">
        <w:rPr>
          <w:i/>
        </w:rPr>
        <w:t xml:space="preserve">Reference Specification </w:t>
      </w:r>
      <w:r>
        <w:rPr>
          <w:i/>
        </w:rPr>
        <w:t>S120 Quality</w:t>
      </w:r>
      <w:r w:rsidR="008963A8">
        <w:rPr>
          <w:i/>
        </w:rPr>
        <w:t xml:space="preserve">, </w:t>
      </w:r>
      <w:r>
        <w:rPr>
          <w:i/>
        </w:rPr>
        <w:t>Clause 7.1</w:t>
      </w:r>
      <w:r>
        <w:t>.</w:t>
      </w:r>
    </w:p>
    <w:p w14:paraId="0247155D" w14:textId="7C92BA4B" w:rsidR="009F0B66" w:rsidRDefault="009F0B66" w:rsidP="00F67683">
      <w:pPr>
        <w:pStyle w:val="BodyTextIndent"/>
      </w:pPr>
      <w:r w:rsidRPr="00290554">
        <w:rPr>
          <w:u w:val="single"/>
        </w:rPr>
        <w:t>Conformance criteria</w:t>
      </w:r>
      <w:r>
        <w:t xml:space="preserve">: In accordance with </w:t>
      </w:r>
      <w:r w:rsidR="007B4C11" w:rsidRPr="007B4C11">
        <w:rPr>
          <w:i/>
        </w:rPr>
        <w:t>Reference Specification</w:t>
      </w:r>
      <w:r w:rsidR="007B4C11" w:rsidRPr="007B4C11">
        <w:t xml:space="preserve"> </w:t>
      </w:r>
      <w:r>
        <w:rPr>
          <w:i/>
        </w:rPr>
        <w:t>S120 Quality</w:t>
      </w:r>
      <w:r w:rsidR="008963A8">
        <w:rPr>
          <w:i/>
        </w:rPr>
        <w:t xml:space="preserve">, </w:t>
      </w:r>
      <w:r>
        <w:rPr>
          <w:i/>
        </w:rPr>
        <w:t>Clause 7.2</w:t>
      </w:r>
      <w:r>
        <w:t>.</w:t>
      </w:r>
    </w:p>
    <w:p w14:paraId="0247155E" w14:textId="77777777" w:rsidR="009F0B66" w:rsidRDefault="009F0B66" w:rsidP="00F67683">
      <w:pPr>
        <w:pStyle w:val="BodyTextIndentBoldUnderline"/>
      </w:pPr>
      <w:r>
        <w:t>Finished surface level</w:t>
      </w:r>
    </w:p>
    <w:p w14:paraId="0247155F" w14:textId="77777777" w:rsidR="009F0B66" w:rsidRDefault="009F0B66" w:rsidP="00F67683">
      <w:pPr>
        <w:pStyle w:val="BodyTextIndent"/>
      </w:pPr>
      <w:r w:rsidRPr="00290554">
        <w:rPr>
          <w:u w:val="single"/>
        </w:rPr>
        <w:t>General</w:t>
      </w:r>
      <w:r>
        <w:t>: Provide a finished surface that is free draining and evenly graded between level points.</w:t>
      </w:r>
    </w:p>
    <w:p w14:paraId="02471560" w14:textId="7235DAE7" w:rsidR="009F0B66" w:rsidRDefault="009F0B66" w:rsidP="00F67683">
      <w:pPr>
        <w:pStyle w:val="BodyTextIndent"/>
      </w:pPr>
      <w:r w:rsidRPr="00891B9D">
        <w:rPr>
          <w:u w:val="single"/>
        </w:rPr>
        <w:t xml:space="preserve">Edges abutting </w:t>
      </w:r>
      <w:r w:rsidR="00C36DC9" w:rsidRPr="00891B9D">
        <w:rPr>
          <w:u w:val="single"/>
        </w:rPr>
        <w:t>ker</w:t>
      </w:r>
      <w:r w:rsidR="009772A5" w:rsidRPr="00891B9D">
        <w:rPr>
          <w:u w:val="single"/>
        </w:rPr>
        <w:t>b and channel</w:t>
      </w:r>
      <w:r w:rsidRPr="00891B9D">
        <w:t xml:space="preserve">: Within </w:t>
      </w:r>
      <w:r w:rsidR="009F1F5B" w:rsidRPr="00891B9D">
        <w:t>+ </w:t>
      </w:r>
      <w:r w:rsidRPr="00891B9D">
        <w:t>5 mm or flush with the level of the actual lip of channel.</w:t>
      </w:r>
    </w:p>
    <w:p w14:paraId="02471561" w14:textId="77777777" w:rsidR="009F0B66" w:rsidRDefault="009F0B66" w:rsidP="00F67683">
      <w:pPr>
        <w:pStyle w:val="BodyTextIndent"/>
      </w:pPr>
      <w:r w:rsidRPr="00F32C4F">
        <w:rPr>
          <w:u w:val="single"/>
        </w:rPr>
        <w:t>Crossfall</w:t>
      </w:r>
      <w:r>
        <w:t>: Measure crossfall between any two points more than 2 m apart transversely to the centreline.  Do not depart from the corresponding design crossfall by more than 0.2% absolute.  Maintain positive drainage slope towards pavement drainage system.</w:t>
      </w:r>
    </w:p>
    <w:p w14:paraId="02471562" w14:textId="171BD358" w:rsidR="009F0B66" w:rsidRDefault="009F0B66" w:rsidP="00F67683">
      <w:pPr>
        <w:pStyle w:val="BodyTextIndent"/>
      </w:pPr>
      <w:r w:rsidRPr="008B3479">
        <w:rPr>
          <w:u w:val="single"/>
        </w:rPr>
        <w:t>Primary vertical tolerance</w:t>
      </w:r>
      <w:r>
        <w:t xml:space="preserve">: </w:t>
      </w:r>
      <w:r w:rsidR="00CB465B">
        <w:t>+</w:t>
      </w:r>
      <w:r>
        <w:t>10</w:t>
      </w:r>
      <w:bookmarkStart w:id="14" w:name="_Hlk42681056"/>
      <w:r>
        <w:t> </w:t>
      </w:r>
      <w:bookmarkEnd w:id="14"/>
      <w:r>
        <w:t>mm, -0 mm at any point on the surface layer.</w:t>
      </w:r>
    </w:p>
    <w:p w14:paraId="02471563" w14:textId="77777777" w:rsidR="009F0B66" w:rsidRDefault="009F0B66" w:rsidP="00F67683">
      <w:pPr>
        <w:pStyle w:val="BodyTextIndent"/>
      </w:pPr>
      <w:r w:rsidRPr="008B3479">
        <w:rPr>
          <w:u w:val="single"/>
        </w:rPr>
        <w:t>Deviation from a 3 m straightedge</w:t>
      </w:r>
      <w:r>
        <w:t>: Maximum 5 mm except where due allowance for design shape dictates otherwise.</w:t>
      </w:r>
    </w:p>
    <w:p w14:paraId="02471564" w14:textId="77777777" w:rsidR="009F0B66" w:rsidRDefault="009F0B66" w:rsidP="00F67683">
      <w:pPr>
        <w:pStyle w:val="BodyTextIndentBoldUnderline"/>
      </w:pPr>
      <w:r>
        <w:t xml:space="preserve">Horizontal </w:t>
      </w:r>
      <w:r w:rsidRPr="00F67683">
        <w:t>surfaces</w:t>
      </w:r>
    </w:p>
    <w:p w14:paraId="02471565" w14:textId="2187A186" w:rsidR="009F0B66" w:rsidRDefault="009F0B66" w:rsidP="00F67683">
      <w:pPr>
        <w:pStyle w:val="BodyTextIndent"/>
      </w:pPr>
      <w:r w:rsidRPr="008B3479">
        <w:rPr>
          <w:u w:val="single"/>
        </w:rPr>
        <w:t>Absolute tolerance</w:t>
      </w:r>
      <w:r>
        <w:t xml:space="preserve">: </w:t>
      </w:r>
      <w:r w:rsidR="001B607F">
        <w:rPr>
          <w:rFonts w:cs="Arial"/>
        </w:rPr>
        <w:t>±</w:t>
      </w:r>
      <w:r>
        <w:t>50</w:t>
      </w:r>
      <w:r w:rsidR="00B92548">
        <w:t> </w:t>
      </w:r>
      <w:r>
        <w:t>mm, except where alignment with an existing road structure is necessary.  Join new construction to the existing work in a smooth manner.</w:t>
      </w:r>
    </w:p>
    <w:p w14:paraId="02471566" w14:textId="77777777" w:rsidR="009F0B66" w:rsidRDefault="009F0B66" w:rsidP="00F67683">
      <w:pPr>
        <w:pStyle w:val="BodyTextIndentBoldUnderline"/>
      </w:pPr>
      <w:r>
        <w:t>Roughness</w:t>
      </w:r>
    </w:p>
    <w:p w14:paraId="675F36B4" w14:textId="77B09D1F" w:rsidR="00100DD7" w:rsidRPr="00891B9D" w:rsidRDefault="009F0B66" w:rsidP="00F67683">
      <w:pPr>
        <w:pStyle w:val="BodyTextIndent"/>
      </w:pPr>
      <w:r w:rsidRPr="10D69A81">
        <w:rPr>
          <w:u w:val="single"/>
        </w:rPr>
        <w:t>Definition</w:t>
      </w:r>
      <w:r>
        <w:t xml:space="preserve">: Roughness is a measure of ride quality or smoothness of a road surface.  The vertical irregularities in the longitudinal profile of a road are assessed in terms of the displacement of a </w:t>
      </w:r>
      <w:r w:rsidRPr="00891B9D">
        <w:t>standard test vehicle relative to the axle as the vehicle travels over the surface at a standard speed.</w:t>
      </w:r>
      <w:r w:rsidR="009B5700" w:rsidRPr="00891B9D">
        <w:t xml:space="preserve">  </w:t>
      </w:r>
      <w:r w:rsidR="00100DD7" w:rsidRPr="00891B9D">
        <w:t>Roughness is reported</w:t>
      </w:r>
      <w:r w:rsidR="00DC493D" w:rsidRPr="00891B9D">
        <w:t xml:space="preserve"> by </w:t>
      </w:r>
      <w:r w:rsidR="605F28FC" w:rsidRPr="00891B9D">
        <w:t xml:space="preserve">either of </w:t>
      </w:r>
      <w:r w:rsidR="00DC493D" w:rsidRPr="00891B9D">
        <w:t>two methods:</w:t>
      </w:r>
    </w:p>
    <w:p w14:paraId="139CA232" w14:textId="4AB1CAAF" w:rsidR="008B507F" w:rsidRPr="00891B9D" w:rsidRDefault="00837FE2" w:rsidP="00D25187">
      <w:pPr>
        <w:pStyle w:val="BodyTextIndentDot"/>
      </w:pPr>
      <w:r w:rsidRPr="00891B9D">
        <w:t xml:space="preserve">The </w:t>
      </w:r>
      <w:r w:rsidR="008B507F" w:rsidRPr="00891B9D">
        <w:t xml:space="preserve">International Roughness Index (IRI) </w:t>
      </w:r>
      <w:r w:rsidR="000938B4" w:rsidRPr="00891B9D">
        <w:t xml:space="preserve">is a </w:t>
      </w:r>
      <w:r w:rsidR="008B507F" w:rsidRPr="00891B9D">
        <w:t>mathematical model of the dynamic response of a real</w:t>
      </w:r>
      <w:r w:rsidR="00B05BD0" w:rsidRPr="00891B9D">
        <w:t xml:space="preserve"> </w:t>
      </w:r>
      <w:r w:rsidR="008B507F" w:rsidRPr="00891B9D">
        <w:t>motor vehicle travelling along a single wheel path (or wheel track) of longitudinal road profile,</w:t>
      </w:r>
      <w:r w:rsidR="00B05BD0" w:rsidRPr="00891B9D">
        <w:t xml:space="preserve"> r</w:t>
      </w:r>
      <w:r w:rsidR="008B507F" w:rsidRPr="00891B9D">
        <w:t xml:space="preserve">eferred to as the quarter-car (or World Bank) model. </w:t>
      </w:r>
      <w:r w:rsidR="006F1021" w:rsidRPr="00891B9D">
        <w:t xml:space="preserve"> </w:t>
      </w:r>
      <w:r w:rsidR="008B507F" w:rsidRPr="00891B9D">
        <w:t>The IRI is expressed in terms of</w:t>
      </w:r>
      <w:r w:rsidR="00B05BD0" w:rsidRPr="00891B9D">
        <w:t xml:space="preserve"> </w:t>
      </w:r>
      <w:r w:rsidR="008B507F" w:rsidRPr="00891B9D">
        <w:t>accumulated displacement of the simulated suspension in metres per measured kilometre</w:t>
      </w:r>
      <w:r w:rsidR="00B05BD0" w:rsidRPr="00891B9D">
        <w:t xml:space="preserve"> </w:t>
      </w:r>
      <w:r w:rsidR="008B507F" w:rsidRPr="00891B9D">
        <w:t>(m/km).</w:t>
      </w:r>
    </w:p>
    <w:p w14:paraId="4BAB480E" w14:textId="2E7BFC6F" w:rsidR="00B05BD0" w:rsidRPr="00891B9D" w:rsidRDefault="00837FE2" w:rsidP="0073172E">
      <w:pPr>
        <w:pStyle w:val="BodyTextIndentDot"/>
      </w:pPr>
      <w:r w:rsidRPr="00891B9D">
        <w:t xml:space="preserve">The </w:t>
      </w:r>
      <w:r w:rsidR="00E02E30" w:rsidRPr="00891B9D">
        <w:t>NAASRA Roughness Meter has been the standard mechanical device used extensively in Australia and New Zealand since the 1970</w:t>
      </w:r>
      <w:r w:rsidR="009C01D8" w:rsidRPr="00891B9D">
        <w:t>’</w:t>
      </w:r>
      <w:r w:rsidR="00E02E30" w:rsidRPr="00891B9D">
        <w:t>s for measuring road roughness by recording the upward</w:t>
      </w:r>
      <w:r w:rsidR="006F1021" w:rsidRPr="00891B9D">
        <w:t xml:space="preserve"> </w:t>
      </w:r>
      <w:r w:rsidR="00E02E30" w:rsidRPr="00891B9D">
        <w:t>movement of the rear axle of a standard station wagon relative to the vehicle’s body as the</w:t>
      </w:r>
      <w:r w:rsidR="006F1021" w:rsidRPr="00891B9D">
        <w:t xml:space="preserve"> </w:t>
      </w:r>
      <w:r w:rsidR="00E02E30" w:rsidRPr="00891B9D">
        <w:t xml:space="preserve">vehicle travels at a standard speed along the road being tested. </w:t>
      </w:r>
      <w:r w:rsidR="006F1021" w:rsidRPr="00891B9D">
        <w:t xml:space="preserve"> </w:t>
      </w:r>
      <w:r w:rsidR="00E02E30" w:rsidRPr="00891B9D">
        <w:t>A cumulative upward vertical</w:t>
      </w:r>
      <w:r w:rsidR="006F1021" w:rsidRPr="00891B9D">
        <w:t xml:space="preserve"> </w:t>
      </w:r>
      <w:r w:rsidR="00E02E30" w:rsidRPr="00891B9D">
        <w:t>movement of 15.2</w:t>
      </w:r>
      <w:r w:rsidR="00A74D71" w:rsidRPr="00891B9D">
        <w:t> </w:t>
      </w:r>
      <w:r w:rsidR="00E02E30" w:rsidRPr="00891B9D">
        <w:t>mm corresponds to 1</w:t>
      </w:r>
      <w:r w:rsidR="009C01D8" w:rsidRPr="00891B9D">
        <w:t> </w:t>
      </w:r>
      <w:r w:rsidR="00E02E30" w:rsidRPr="00891B9D">
        <w:t>NAASRA</w:t>
      </w:r>
      <w:r w:rsidR="009C01D8" w:rsidRPr="00891B9D">
        <w:t> </w:t>
      </w:r>
      <w:r w:rsidR="00E02E30" w:rsidRPr="00891B9D">
        <w:t>Roughness</w:t>
      </w:r>
      <w:r w:rsidR="009C01D8" w:rsidRPr="00891B9D">
        <w:t> </w:t>
      </w:r>
      <w:r w:rsidR="00DC493D" w:rsidRPr="00891B9D">
        <w:t>Count.</w:t>
      </w:r>
      <w:r w:rsidR="006F1021" w:rsidRPr="00891B9D">
        <w:t xml:space="preserve">  NAASRA Roughness is </w:t>
      </w:r>
      <w:r w:rsidR="005759FE" w:rsidRPr="00891B9D">
        <w:t>reported as Counts/km.</w:t>
      </w:r>
    </w:p>
    <w:p w14:paraId="02471568" w14:textId="77777777" w:rsidR="009F0B66" w:rsidRDefault="009F0B66" w:rsidP="00F67683">
      <w:pPr>
        <w:pStyle w:val="BodyTextIndent"/>
      </w:pPr>
      <w:r w:rsidRPr="00891B9D">
        <w:rPr>
          <w:u w:val="single"/>
        </w:rPr>
        <w:t>Requirements</w:t>
      </w:r>
      <w:r w:rsidRPr="00891B9D">
        <w:t>: Achieve target surface roughness of the final</w:t>
      </w:r>
      <w:r>
        <w:t xml:space="preserve"> pavement layer to within the values specified in Table 3.1.  Do not exceed the maximum limits specified in Table 3.1 for new construction and pavement rehabilitation work.</w:t>
      </w:r>
      <w:r>
        <w:rPr>
          <w:i/>
        </w:rPr>
        <w:t xml:space="preserve">  Refer annexure</w:t>
      </w:r>
      <w:r>
        <w:t>.</w:t>
      </w:r>
    </w:p>
    <w:p w14:paraId="02471569" w14:textId="77777777" w:rsidR="009F0B66" w:rsidRDefault="009F0B66" w:rsidP="00F67683">
      <w:pPr>
        <w:pStyle w:val="BodyTextIndent"/>
      </w:pPr>
      <w:r w:rsidRPr="00934D53">
        <w:rPr>
          <w:u w:val="single"/>
        </w:rPr>
        <w:t>Test method</w:t>
      </w:r>
      <w:r>
        <w:t xml:space="preserve">: </w:t>
      </w:r>
      <w:r w:rsidR="00767B9D" w:rsidRPr="00B83D8E">
        <w:rPr>
          <w:i/>
        </w:rPr>
        <w:t>DTMR</w:t>
      </w:r>
      <w:r w:rsidR="00B83D8E" w:rsidRPr="00B83D8E">
        <w:rPr>
          <w:i/>
        </w:rPr>
        <w:t> </w:t>
      </w:r>
      <w:r w:rsidRPr="00B83D8E">
        <w:rPr>
          <w:i/>
        </w:rPr>
        <w:t>Q708</w:t>
      </w:r>
      <w:r w:rsidR="00B83D8E" w:rsidRPr="00B83D8E">
        <w:rPr>
          <w:i/>
        </w:rPr>
        <w:t>B</w:t>
      </w:r>
      <w:r w:rsidR="00B83D8E">
        <w:rPr>
          <w:i/>
        </w:rPr>
        <w:t xml:space="preserve"> or DTMR</w:t>
      </w:r>
      <w:r w:rsidR="00B83D8E" w:rsidRPr="00B83D8E">
        <w:rPr>
          <w:i/>
        </w:rPr>
        <w:t> </w:t>
      </w:r>
      <w:r w:rsidR="00B83D8E">
        <w:rPr>
          <w:i/>
        </w:rPr>
        <w:t>Q708C</w:t>
      </w:r>
      <w:r>
        <w:t>.</w:t>
      </w:r>
    </w:p>
    <w:p w14:paraId="0247156A" w14:textId="77777777" w:rsidR="009F0B66" w:rsidRDefault="009F0B66" w:rsidP="00F67683">
      <w:pPr>
        <w:pStyle w:val="BodyTextIndent"/>
      </w:pPr>
      <w:r w:rsidRPr="00934D53">
        <w:rPr>
          <w:u w:val="single"/>
        </w:rPr>
        <w:t>Test lot</w:t>
      </w:r>
      <w:r>
        <w:t>: Minimum length 100 m, maximum length 500 m.</w:t>
      </w:r>
    </w:p>
    <w:p w14:paraId="0247156B" w14:textId="51D65C99" w:rsidR="009F0B66" w:rsidRDefault="00D75BD4" w:rsidP="00F67683">
      <w:pPr>
        <w:pStyle w:val="TableIDNum"/>
      </w:pPr>
      <w:r>
        <w:br w:type="page"/>
      </w:r>
      <w:r w:rsidR="009F0B66">
        <w:lastRenderedPageBreak/>
        <w:t>Table</w:t>
      </w:r>
      <w:r w:rsidR="00261FA2">
        <w:t> </w:t>
      </w:r>
      <w:r w:rsidR="009F0B66">
        <w:t xml:space="preserve">3.1 </w:t>
      </w:r>
      <w:r w:rsidR="00F67683">
        <w:t>–</w:t>
      </w:r>
      <w:r w:rsidR="00FE6BF5">
        <w:t xml:space="preserve"> </w:t>
      </w:r>
      <w:r w:rsidR="009B5700">
        <w:t>R</w:t>
      </w:r>
      <w:r w:rsidR="009F0B66">
        <w:t>oughness counts</w:t>
      </w:r>
    </w:p>
    <w:tbl>
      <w:tblPr>
        <w:tblW w:w="8789" w:type="dxa"/>
        <w:tblInd w:w="817" w:type="dxa"/>
        <w:tblBorders>
          <w:insideH w:val="single" w:sz="4" w:space="0" w:color="auto"/>
        </w:tblBorders>
        <w:tblLayout w:type="fixed"/>
        <w:tblLook w:val="00A0" w:firstRow="1" w:lastRow="0" w:firstColumn="1" w:lastColumn="0" w:noHBand="0" w:noVBand="0"/>
      </w:tblPr>
      <w:tblGrid>
        <w:gridCol w:w="2693"/>
        <w:gridCol w:w="1016"/>
        <w:gridCol w:w="1016"/>
        <w:gridCol w:w="1016"/>
        <w:gridCol w:w="1016"/>
        <w:gridCol w:w="1016"/>
        <w:gridCol w:w="1016"/>
      </w:tblGrid>
      <w:tr w:rsidR="0073172E" w14:paraId="0247156E" w14:textId="0D61CC57" w:rsidTr="00045FE4">
        <w:trPr>
          <w:cantSplit/>
          <w:trHeight w:val="340"/>
          <w:tblHeader/>
        </w:trPr>
        <w:tc>
          <w:tcPr>
            <w:tcW w:w="2693" w:type="dxa"/>
            <w:vMerge w:val="restart"/>
            <w:tcBorders>
              <w:top w:val="single" w:sz="12" w:space="0" w:color="auto"/>
              <w:right w:val="single" w:sz="2" w:space="0" w:color="auto"/>
            </w:tcBorders>
            <w:shd w:val="pct10" w:color="auto" w:fill="auto"/>
            <w:vAlign w:val="center"/>
          </w:tcPr>
          <w:p w14:paraId="0247156C" w14:textId="77777777" w:rsidR="0073172E" w:rsidRDefault="0073172E" w:rsidP="00B275B3">
            <w:pPr>
              <w:pStyle w:val="TableHead"/>
            </w:pPr>
            <w:r>
              <w:t>Road classification</w:t>
            </w:r>
          </w:p>
        </w:tc>
        <w:tc>
          <w:tcPr>
            <w:tcW w:w="2032" w:type="dxa"/>
            <w:gridSpan w:val="2"/>
            <w:tcBorders>
              <w:top w:val="single" w:sz="12" w:space="0" w:color="auto"/>
              <w:left w:val="single" w:sz="2" w:space="0" w:color="auto"/>
              <w:bottom w:val="single" w:sz="2" w:space="0" w:color="auto"/>
              <w:right w:val="single" w:sz="2" w:space="0" w:color="auto"/>
            </w:tcBorders>
            <w:shd w:val="pct10" w:color="auto" w:fill="auto"/>
            <w:vAlign w:val="center"/>
          </w:tcPr>
          <w:p w14:paraId="0928A840" w14:textId="648CCD37" w:rsidR="0073172E" w:rsidRDefault="0073172E" w:rsidP="00B275B3">
            <w:pPr>
              <w:pStyle w:val="TableHeadCen"/>
              <w:rPr>
                <w:sz w:val="17"/>
              </w:rPr>
            </w:pPr>
            <w:r>
              <w:rPr>
                <w:sz w:val="17"/>
              </w:rPr>
              <w:t>Target</w:t>
            </w:r>
          </w:p>
        </w:tc>
        <w:tc>
          <w:tcPr>
            <w:tcW w:w="2032" w:type="dxa"/>
            <w:gridSpan w:val="2"/>
            <w:tcBorders>
              <w:top w:val="single" w:sz="12" w:space="0" w:color="auto"/>
              <w:left w:val="single" w:sz="2" w:space="0" w:color="auto"/>
              <w:bottom w:val="single" w:sz="2" w:space="0" w:color="auto"/>
              <w:right w:val="single" w:sz="2" w:space="0" w:color="auto"/>
            </w:tcBorders>
            <w:shd w:val="pct10" w:color="auto" w:fill="auto"/>
            <w:vAlign w:val="center"/>
          </w:tcPr>
          <w:p w14:paraId="7D5B773A" w14:textId="63EE880D" w:rsidR="0073172E" w:rsidRDefault="0073172E" w:rsidP="00B275B3">
            <w:pPr>
              <w:pStyle w:val="TableHeadCen"/>
              <w:rPr>
                <w:sz w:val="17"/>
              </w:rPr>
            </w:pPr>
            <w:r>
              <w:rPr>
                <w:sz w:val="17"/>
              </w:rPr>
              <w:t>Maximum limit – new construction</w:t>
            </w:r>
          </w:p>
        </w:tc>
        <w:tc>
          <w:tcPr>
            <w:tcW w:w="2032" w:type="dxa"/>
            <w:gridSpan w:val="2"/>
            <w:tcBorders>
              <w:top w:val="single" w:sz="12" w:space="0" w:color="auto"/>
              <w:left w:val="single" w:sz="2" w:space="0" w:color="auto"/>
              <w:bottom w:val="single" w:sz="2" w:space="0" w:color="auto"/>
            </w:tcBorders>
            <w:shd w:val="pct10" w:color="auto" w:fill="auto"/>
            <w:vAlign w:val="center"/>
          </w:tcPr>
          <w:p w14:paraId="7BE8D136" w14:textId="70D76BA9" w:rsidR="0073172E" w:rsidRDefault="0073172E" w:rsidP="00B275B3">
            <w:pPr>
              <w:pStyle w:val="TableHeadCen"/>
              <w:rPr>
                <w:sz w:val="17"/>
              </w:rPr>
            </w:pPr>
            <w:r>
              <w:rPr>
                <w:sz w:val="17"/>
              </w:rPr>
              <w:t>Maximum limit – after rehabilitation</w:t>
            </w:r>
          </w:p>
        </w:tc>
      </w:tr>
      <w:tr w:rsidR="0073172E" w:rsidRPr="00D75BD4" w14:paraId="02471573" w14:textId="3956DB97" w:rsidTr="00045FE4">
        <w:trPr>
          <w:cantSplit/>
          <w:trHeight w:val="340"/>
          <w:tblHeader/>
        </w:trPr>
        <w:tc>
          <w:tcPr>
            <w:tcW w:w="2693" w:type="dxa"/>
            <w:vMerge/>
            <w:tcBorders>
              <w:bottom w:val="single" w:sz="12" w:space="0" w:color="auto"/>
              <w:right w:val="single" w:sz="2" w:space="0" w:color="auto"/>
            </w:tcBorders>
            <w:shd w:val="pct10" w:color="auto" w:fill="auto"/>
          </w:tcPr>
          <w:p w14:paraId="0247156F" w14:textId="77777777" w:rsidR="0073172E" w:rsidRDefault="0073172E" w:rsidP="00A97B5E">
            <w:pPr>
              <w:pStyle w:val="BodyTextIndent2"/>
              <w:spacing w:after="0"/>
              <w:ind w:left="0"/>
              <w:jc w:val="both"/>
              <w:rPr>
                <w:b/>
                <w:color w:val="808080"/>
                <w:sz w:val="18"/>
              </w:rPr>
            </w:pPr>
          </w:p>
        </w:tc>
        <w:tc>
          <w:tcPr>
            <w:tcW w:w="1016" w:type="dxa"/>
            <w:tcBorders>
              <w:top w:val="single" w:sz="2" w:space="0" w:color="auto"/>
              <w:left w:val="single" w:sz="2" w:space="0" w:color="auto"/>
              <w:bottom w:val="single" w:sz="12" w:space="0" w:color="auto"/>
              <w:right w:val="single" w:sz="2" w:space="0" w:color="auto"/>
            </w:tcBorders>
            <w:shd w:val="pct10" w:color="auto" w:fill="auto"/>
            <w:vAlign w:val="center"/>
          </w:tcPr>
          <w:p w14:paraId="02471570" w14:textId="42C9B980" w:rsidR="0073172E" w:rsidRPr="00D75BD4" w:rsidRDefault="0073172E" w:rsidP="0074160F">
            <w:pPr>
              <w:pStyle w:val="TableHeadCen"/>
              <w:rPr>
                <w:sz w:val="17"/>
              </w:rPr>
            </w:pPr>
            <w:r w:rsidRPr="00D75BD4">
              <w:rPr>
                <w:sz w:val="17"/>
              </w:rPr>
              <w:t>IRI</w:t>
            </w:r>
          </w:p>
        </w:tc>
        <w:tc>
          <w:tcPr>
            <w:tcW w:w="1016" w:type="dxa"/>
            <w:tcBorders>
              <w:top w:val="single" w:sz="2" w:space="0" w:color="auto"/>
              <w:left w:val="single" w:sz="2" w:space="0" w:color="auto"/>
              <w:bottom w:val="single" w:sz="12" w:space="0" w:color="auto"/>
              <w:right w:val="single" w:sz="2" w:space="0" w:color="auto"/>
            </w:tcBorders>
            <w:shd w:val="pct10" w:color="auto" w:fill="auto"/>
          </w:tcPr>
          <w:p w14:paraId="7D6A6173" w14:textId="19F845BB" w:rsidR="0073172E" w:rsidRPr="00D75BD4" w:rsidRDefault="0073172E" w:rsidP="0074160F">
            <w:pPr>
              <w:pStyle w:val="TableHeadCen"/>
              <w:rPr>
                <w:sz w:val="17"/>
              </w:rPr>
            </w:pPr>
            <w:r w:rsidRPr="00D75BD4">
              <w:rPr>
                <w:sz w:val="17"/>
              </w:rPr>
              <w:t>NAASRA</w:t>
            </w:r>
          </w:p>
        </w:tc>
        <w:tc>
          <w:tcPr>
            <w:tcW w:w="1016" w:type="dxa"/>
            <w:tcBorders>
              <w:top w:val="single" w:sz="2" w:space="0" w:color="auto"/>
              <w:left w:val="single" w:sz="2" w:space="0" w:color="auto"/>
              <w:bottom w:val="single" w:sz="12" w:space="0" w:color="auto"/>
              <w:right w:val="single" w:sz="2" w:space="0" w:color="auto"/>
            </w:tcBorders>
            <w:shd w:val="pct10" w:color="auto" w:fill="auto"/>
            <w:vAlign w:val="center"/>
          </w:tcPr>
          <w:p w14:paraId="02471571" w14:textId="4B96368F" w:rsidR="0073172E" w:rsidRPr="00D75BD4" w:rsidRDefault="0073172E" w:rsidP="00A97B5E">
            <w:pPr>
              <w:pStyle w:val="TableHeadCen"/>
              <w:rPr>
                <w:sz w:val="17"/>
              </w:rPr>
            </w:pPr>
            <w:r w:rsidRPr="00D75BD4">
              <w:rPr>
                <w:sz w:val="17"/>
              </w:rPr>
              <w:t>IRI</w:t>
            </w:r>
          </w:p>
        </w:tc>
        <w:tc>
          <w:tcPr>
            <w:tcW w:w="1016" w:type="dxa"/>
            <w:tcBorders>
              <w:top w:val="single" w:sz="2" w:space="0" w:color="auto"/>
              <w:left w:val="single" w:sz="2" w:space="0" w:color="auto"/>
              <w:bottom w:val="single" w:sz="12" w:space="0" w:color="auto"/>
              <w:right w:val="single" w:sz="2" w:space="0" w:color="auto"/>
            </w:tcBorders>
            <w:shd w:val="pct10" w:color="auto" w:fill="auto"/>
          </w:tcPr>
          <w:p w14:paraId="3D031FF0" w14:textId="5CB7D7ED" w:rsidR="0073172E" w:rsidRPr="00D75BD4" w:rsidRDefault="0073172E" w:rsidP="00A97B5E">
            <w:pPr>
              <w:pStyle w:val="TableHeadCen"/>
              <w:rPr>
                <w:sz w:val="17"/>
              </w:rPr>
            </w:pPr>
            <w:r w:rsidRPr="00D75BD4">
              <w:rPr>
                <w:sz w:val="17"/>
              </w:rPr>
              <w:t>NAASRA</w:t>
            </w:r>
          </w:p>
        </w:tc>
        <w:tc>
          <w:tcPr>
            <w:tcW w:w="1016" w:type="dxa"/>
            <w:tcBorders>
              <w:top w:val="single" w:sz="2" w:space="0" w:color="auto"/>
              <w:left w:val="single" w:sz="2" w:space="0" w:color="auto"/>
              <w:bottom w:val="single" w:sz="12" w:space="0" w:color="auto"/>
              <w:right w:val="single" w:sz="2" w:space="0" w:color="auto"/>
            </w:tcBorders>
            <w:shd w:val="pct10" w:color="auto" w:fill="auto"/>
            <w:vAlign w:val="center"/>
          </w:tcPr>
          <w:p w14:paraId="02471572" w14:textId="2CE5DD5C" w:rsidR="0073172E" w:rsidRPr="00D75BD4" w:rsidRDefault="0073172E" w:rsidP="00A97B5E">
            <w:pPr>
              <w:pStyle w:val="TableHeadCen"/>
              <w:rPr>
                <w:sz w:val="17"/>
              </w:rPr>
            </w:pPr>
            <w:r w:rsidRPr="00D75BD4">
              <w:rPr>
                <w:sz w:val="17"/>
              </w:rPr>
              <w:t>IRI</w:t>
            </w:r>
          </w:p>
        </w:tc>
        <w:tc>
          <w:tcPr>
            <w:tcW w:w="1016" w:type="dxa"/>
            <w:tcBorders>
              <w:top w:val="single" w:sz="2" w:space="0" w:color="auto"/>
              <w:left w:val="single" w:sz="2" w:space="0" w:color="auto"/>
              <w:bottom w:val="single" w:sz="12" w:space="0" w:color="auto"/>
            </w:tcBorders>
            <w:shd w:val="pct10" w:color="auto" w:fill="auto"/>
          </w:tcPr>
          <w:p w14:paraId="54330FFD" w14:textId="0969E512" w:rsidR="0073172E" w:rsidRPr="00D75BD4" w:rsidRDefault="0073172E" w:rsidP="00A97B5E">
            <w:pPr>
              <w:pStyle w:val="TableHeadCen"/>
              <w:rPr>
                <w:sz w:val="17"/>
              </w:rPr>
            </w:pPr>
            <w:r w:rsidRPr="00D75BD4">
              <w:rPr>
                <w:sz w:val="17"/>
              </w:rPr>
              <w:t>NAASRA</w:t>
            </w:r>
          </w:p>
        </w:tc>
      </w:tr>
      <w:tr w:rsidR="00A97B5E" w14:paraId="02471578" w14:textId="457FCD1C" w:rsidTr="00045FE4">
        <w:trPr>
          <w:trHeight w:val="340"/>
        </w:trPr>
        <w:tc>
          <w:tcPr>
            <w:tcW w:w="2693" w:type="dxa"/>
            <w:tcBorders>
              <w:top w:val="single" w:sz="12" w:space="0" w:color="auto"/>
              <w:bottom w:val="single" w:sz="2" w:space="0" w:color="auto"/>
              <w:right w:val="single" w:sz="2" w:space="0" w:color="auto"/>
            </w:tcBorders>
            <w:vAlign w:val="center"/>
          </w:tcPr>
          <w:p w14:paraId="02471574" w14:textId="77777777" w:rsidR="00A97B5E" w:rsidRDefault="00A97B5E" w:rsidP="00A97B5E">
            <w:pPr>
              <w:pStyle w:val="Table"/>
            </w:pPr>
            <w:r>
              <w:t xml:space="preserve">Local </w:t>
            </w:r>
            <w:r w:rsidRPr="00AF64B6">
              <w:t>road</w:t>
            </w:r>
          </w:p>
        </w:tc>
        <w:tc>
          <w:tcPr>
            <w:tcW w:w="1016" w:type="dxa"/>
            <w:tcBorders>
              <w:top w:val="single" w:sz="12" w:space="0" w:color="auto"/>
              <w:left w:val="single" w:sz="2" w:space="0" w:color="auto"/>
              <w:bottom w:val="single" w:sz="2" w:space="0" w:color="auto"/>
              <w:right w:val="single" w:sz="2" w:space="0" w:color="auto"/>
            </w:tcBorders>
            <w:vAlign w:val="center"/>
          </w:tcPr>
          <w:p w14:paraId="02471575" w14:textId="3FA35FBD" w:rsidR="00A97B5E" w:rsidRPr="00891B9D" w:rsidRDefault="00670EA2" w:rsidP="00A97B5E">
            <w:pPr>
              <w:pStyle w:val="TableCen"/>
            </w:pPr>
            <w:r w:rsidRPr="00891B9D">
              <w:rPr>
                <w:rFonts w:ascii="Symbol" w:eastAsia="Symbol" w:hAnsi="Symbol" w:cs="Symbol"/>
              </w:rPr>
              <w:t>£</w:t>
            </w:r>
            <w:r w:rsidR="00233375" w:rsidRPr="00891B9D">
              <w:t>2.</w:t>
            </w:r>
            <w:r w:rsidRPr="00891B9D">
              <w:t>7</w:t>
            </w:r>
          </w:p>
        </w:tc>
        <w:tc>
          <w:tcPr>
            <w:tcW w:w="1016" w:type="dxa"/>
            <w:tcBorders>
              <w:top w:val="single" w:sz="12" w:space="0" w:color="auto"/>
              <w:left w:val="single" w:sz="2" w:space="0" w:color="auto"/>
              <w:bottom w:val="single" w:sz="2" w:space="0" w:color="auto"/>
              <w:right w:val="single" w:sz="2" w:space="0" w:color="auto"/>
            </w:tcBorders>
            <w:vAlign w:val="center"/>
          </w:tcPr>
          <w:p w14:paraId="23045508" w14:textId="77AA0B58" w:rsidR="00A97B5E" w:rsidRPr="00891B9D" w:rsidRDefault="00A97B5E" w:rsidP="00A97B5E">
            <w:pPr>
              <w:pStyle w:val="TableCen"/>
            </w:pPr>
            <w:r w:rsidRPr="00891B9D">
              <w:rPr>
                <w:rFonts w:ascii="Symbol" w:eastAsia="Symbol" w:hAnsi="Symbol" w:cs="Symbol"/>
              </w:rPr>
              <w:t>£</w:t>
            </w:r>
            <w:r w:rsidRPr="00891B9D">
              <w:t>70</w:t>
            </w:r>
          </w:p>
        </w:tc>
        <w:tc>
          <w:tcPr>
            <w:tcW w:w="1016" w:type="dxa"/>
            <w:tcBorders>
              <w:top w:val="single" w:sz="12" w:space="0" w:color="auto"/>
              <w:left w:val="single" w:sz="2" w:space="0" w:color="auto"/>
              <w:bottom w:val="single" w:sz="2" w:space="0" w:color="auto"/>
              <w:right w:val="single" w:sz="2" w:space="0" w:color="auto"/>
            </w:tcBorders>
            <w:vAlign w:val="center"/>
          </w:tcPr>
          <w:p w14:paraId="02471576" w14:textId="310CB5DA" w:rsidR="00A97B5E" w:rsidRPr="00891B9D" w:rsidRDefault="008466A4" w:rsidP="00A97B5E">
            <w:pPr>
              <w:pStyle w:val="TableCen"/>
            </w:pPr>
            <w:r w:rsidRPr="00891B9D">
              <w:t>4.2</w:t>
            </w:r>
          </w:p>
        </w:tc>
        <w:tc>
          <w:tcPr>
            <w:tcW w:w="1016" w:type="dxa"/>
            <w:tcBorders>
              <w:top w:val="single" w:sz="12" w:space="0" w:color="auto"/>
              <w:left w:val="single" w:sz="2" w:space="0" w:color="auto"/>
              <w:bottom w:val="single" w:sz="2" w:space="0" w:color="auto"/>
              <w:right w:val="single" w:sz="2" w:space="0" w:color="auto"/>
            </w:tcBorders>
            <w:vAlign w:val="center"/>
          </w:tcPr>
          <w:p w14:paraId="28FB6174" w14:textId="38A57BC9" w:rsidR="00A97B5E" w:rsidRPr="00891B9D" w:rsidRDefault="00A97B5E" w:rsidP="00A97B5E">
            <w:pPr>
              <w:pStyle w:val="TableCen"/>
            </w:pPr>
            <w:r w:rsidRPr="00891B9D">
              <w:t>110</w:t>
            </w:r>
          </w:p>
        </w:tc>
        <w:tc>
          <w:tcPr>
            <w:tcW w:w="1016" w:type="dxa"/>
            <w:tcBorders>
              <w:top w:val="single" w:sz="12" w:space="0" w:color="auto"/>
              <w:left w:val="single" w:sz="2" w:space="0" w:color="auto"/>
              <w:bottom w:val="single" w:sz="2" w:space="0" w:color="auto"/>
              <w:right w:val="single" w:sz="2" w:space="0" w:color="auto"/>
            </w:tcBorders>
            <w:vAlign w:val="center"/>
          </w:tcPr>
          <w:p w14:paraId="02471577" w14:textId="1C59021A" w:rsidR="00A97B5E" w:rsidRPr="00891B9D" w:rsidRDefault="00E11490" w:rsidP="00A97B5E">
            <w:pPr>
              <w:pStyle w:val="TableCen"/>
            </w:pPr>
            <w:r w:rsidRPr="00891B9D">
              <w:t>5.0</w:t>
            </w:r>
          </w:p>
        </w:tc>
        <w:tc>
          <w:tcPr>
            <w:tcW w:w="1016" w:type="dxa"/>
            <w:tcBorders>
              <w:top w:val="single" w:sz="12" w:space="0" w:color="auto"/>
              <w:left w:val="single" w:sz="2" w:space="0" w:color="auto"/>
              <w:bottom w:val="single" w:sz="2" w:space="0" w:color="auto"/>
            </w:tcBorders>
            <w:vAlign w:val="center"/>
          </w:tcPr>
          <w:p w14:paraId="52EC8203" w14:textId="44735433" w:rsidR="00A97B5E" w:rsidRPr="00891B9D" w:rsidRDefault="00A97B5E" w:rsidP="00A97B5E">
            <w:pPr>
              <w:pStyle w:val="TableCen"/>
            </w:pPr>
            <w:r w:rsidRPr="00891B9D">
              <w:t>130</w:t>
            </w:r>
          </w:p>
        </w:tc>
      </w:tr>
      <w:tr w:rsidR="008466A4" w14:paraId="0247157D" w14:textId="7E42A48B" w:rsidTr="00045FE4">
        <w:trPr>
          <w:trHeight w:val="340"/>
        </w:trPr>
        <w:tc>
          <w:tcPr>
            <w:tcW w:w="2693" w:type="dxa"/>
            <w:tcBorders>
              <w:top w:val="single" w:sz="2" w:space="0" w:color="auto"/>
              <w:bottom w:val="single" w:sz="2" w:space="0" w:color="auto"/>
              <w:right w:val="single" w:sz="2" w:space="0" w:color="auto"/>
            </w:tcBorders>
            <w:vAlign w:val="center"/>
          </w:tcPr>
          <w:p w14:paraId="02471579" w14:textId="77777777" w:rsidR="008466A4" w:rsidRDefault="008466A4" w:rsidP="008466A4">
            <w:pPr>
              <w:pStyle w:val="Table"/>
            </w:pPr>
            <w:r>
              <w:t xml:space="preserve">Neighbourhood </w:t>
            </w:r>
            <w:r w:rsidRPr="00AF64B6">
              <w:t>road</w:t>
            </w:r>
          </w:p>
        </w:tc>
        <w:tc>
          <w:tcPr>
            <w:tcW w:w="1016" w:type="dxa"/>
            <w:tcBorders>
              <w:top w:val="single" w:sz="2" w:space="0" w:color="auto"/>
              <w:left w:val="single" w:sz="2" w:space="0" w:color="auto"/>
              <w:bottom w:val="single" w:sz="2" w:space="0" w:color="auto"/>
              <w:right w:val="single" w:sz="2" w:space="0" w:color="auto"/>
            </w:tcBorders>
            <w:vAlign w:val="center"/>
          </w:tcPr>
          <w:p w14:paraId="0247157A" w14:textId="4FDE3B64" w:rsidR="008466A4" w:rsidRPr="00891B9D" w:rsidRDefault="008466A4" w:rsidP="008466A4">
            <w:pPr>
              <w:pStyle w:val="TableCen"/>
            </w:pPr>
            <w:r w:rsidRPr="00891B9D">
              <w:rPr>
                <w:rFonts w:ascii="Symbol" w:eastAsia="Symbol" w:hAnsi="Symbol" w:cs="Symbol"/>
              </w:rPr>
              <w:t>£</w:t>
            </w:r>
            <w:r w:rsidRPr="00891B9D">
              <w:t>2.7</w:t>
            </w:r>
          </w:p>
        </w:tc>
        <w:tc>
          <w:tcPr>
            <w:tcW w:w="1016" w:type="dxa"/>
            <w:tcBorders>
              <w:top w:val="single" w:sz="2" w:space="0" w:color="auto"/>
              <w:left w:val="single" w:sz="2" w:space="0" w:color="auto"/>
              <w:bottom w:val="single" w:sz="2" w:space="0" w:color="auto"/>
              <w:right w:val="single" w:sz="2" w:space="0" w:color="auto"/>
            </w:tcBorders>
            <w:vAlign w:val="center"/>
          </w:tcPr>
          <w:p w14:paraId="715B1C0D" w14:textId="51823816" w:rsidR="008466A4" w:rsidRPr="00891B9D" w:rsidRDefault="008466A4" w:rsidP="008466A4">
            <w:pPr>
              <w:pStyle w:val="TableCen"/>
            </w:pPr>
            <w:r w:rsidRPr="00891B9D">
              <w:rPr>
                <w:rFonts w:ascii="Symbol" w:eastAsia="Symbol" w:hAnsi="Symbol" w:cs="Symbol"/>
              </w:rPr>
              <w:t>£</w:t>
            </w:r>
            <w:r w:rsidRPr="00891B9D">
              <w:t>70</w:t>
            </w:r>
          </w:p>
        </w:tc>
        <w:tc>
          <w:tcPr>
            <w:tcW w:w="1016" w:type="dxa"/>
            <w:tcBorders>
              <w:top w:val="single" w:sz="2" w:space="0" w:color="auto"/>
              <w:left w:val="single" w:sz="2" w:space="0" w:color="auto"/>
              <w:bottom w:val="single" w:sz="2" w:space="0" w:color="auto"/>
              <w:right w:val="single" w:sz="2" w:space="0" w:color="auto"/>
            </w:tcBorders>
            <w:vAlign w:val="center"/>
          </w:tcPr>
          <w:p w14:paraId="0247157B" w14:textId="4BAFBA0B" w:rsidR="008466A4" w:rsidRPr="00891B9D" w:rsidRDefault="008466A4" w:rsidP="008466A4">
            <w:pPr>
              <w:pStyle w:val="TableCen"/>
            </w:pPr>
            <w:r w:rsidRPr="00891B9D">
              <w:t>3.4</w:t>
            </w:r>
          </w:p>
        </w:tc>
        <w:tc>
          <w:tcPr>
            <w:tcW w:w="1016" w:type="dxa"/>
            <w:tcBorders>
              <w:top w:val="single" w:sz="2" w:space="0" w:color="auto"/>
              <w:left w:val="single" w:sz="2" w:space="0" w:color="auto"/>
              <w:bottom w:val="single" w:sz="2" w:space="0" w:color="auto"/>
              <w:right w:val="single" w:sz="2" w:space="0" w:color="auto"/>
            </w:tcBorders>
            <w:vAlign w:val="center"/>
          </w:tcPr>
          <w:p w14:paraId="792B0A5C" w14:textId="3F8AA922" w:rsidR="008466A4" w:rsidRPr="00891B9D" w:rsidRDefault="008466A4" w:rsidP="008466A4">
            <w:pPr>
              <w:pStyle w:val="TableCen"/>
            </w:pPr>
            <w:r w:rsidRPr="00891B9D">
              <w:t>90</w:t>
            </w:r>
          </w:p>
        </w:tc>
        <w:tc>
          <w:tcPr>
            <w:tcW w:w="1016" w:type="dxa"/>
            <w:tcBorders>
              <w:top w:val="single" w:sz="2" w:space="0" w:color="auto"/>
              <w:left w:val="single" w:sz="2" w:space="0" w:color="auto"/>
              <w:bottom w:val="single" w:sz="2" w:space="0" w:color="auto"/>
              <w:right w:val="single" w:sz="2" w:space="0" w:color="auto"/>
            </w:tcBorders>
            <w:vAlign w:val="center"/>
          </w:tcPr>
          <w:p w14:paraId="0247157C" w14:textId="1CAB430A" w:rsidR="008466A4" w:rsidRPr="00891B9D" w:rsidRDefault="008466A4" w:rsidP="008466A4">
            <w:pPr>
              <w:pStyle w:val="TableCen"/>
            </w:pPr>
            <w:r w:rsidRPr="00891B9D">
              <w:t>4.2</w:t>
            </w:r>
          </w:p>
        </w:tc>
        <w:tc>
          <w:tcPr>
            <w:tcW w:w="1016" w:type="dxa"/>
            <w:tcBorders>
              <w:top w:val="single" w:sz="2" w:space="0" w:color="auto"/>
              <w:left w:val="single" w:sz="2" w:space="0" w:color="auto"/>
              <w:bottom w:val="single" w:sz="2" w:space="0" w:color="auto"/>
            </w:tcBorders>
            <w:vAlign w:val="center"/>
          </w:tcPr>
          <w:p w14:paraId="5DAF7463" w14:textId="17720990" w:rsidR="008466A4" w:rsidRPr="00891B9D" w:rsidRDefault="008466A4" w:rsidP="008466A4">
            <w:pPr>
              <w:pStyle w:val="TableCen"/>
            </w:pPr>
            <w:r w:rsidRPr="00891B9D">
              <w:t>110</w:t>
            </w:r>
          </w:p>
        </w:tc>
      </w:tr>
      <w:tr w:rsidR="008466A4" w14:paraId="02471582" w14:textId="54B6689E" w:rsidTr="00045FE4">
        <w:trPr>
          <w:trHeight w:val="340"/>
        </w:trPr>
        <w:tc>
          <w:tcPr>
            <w:tcW w:w="2693" w:type="dxa"/>
            <w:tcBorders>
              <w:top w:val="single" w:sz="2" w:space="0" w:color="auto"/>
              <w:bottom w:val="single" w:sz="2" w:space="0" w:color="auto"/>
              <w:right w:val="single" w:sz="2" w:space="0" w:color="auto"/>
            </w:tcBorders>
            <w:vAlign w:val="center"/>
          </w:tcPr>
          <w:p w14:paraId="0247157E" w14:textId="77777777" w:rsidR="008466A4" w:rsidRDefault="008466A4" w:rsidP="008466A4">
            <w:pPr>
              <w:pStyle w:val="Table"/>
            </w:pPr>
            <w:r>
              <w:t xml:space="preserve">District </w:t>
            </w:r>
            <w:r w:rsidRPr="00AF64B6">
              <w:t>road</w:t>
            </w:r>
          </w:p>
        </w:tc>
        <w:tc>
          <w:tcPr>
            <w:tcW w:w="1016" w:type="dxa"/>
            <w:tcBorders>
              <w:top w:val="single" w:sz="2" w:space="0" w:color="auto"/>
              <w:left w:val="single" w:sz="2" w:space="0" w:color="auto"/>
              <w:bottom w:val="single" w:sz="2" w:space="0" w:color="auto"/>
              <w:right w:val="single" w:sz="2" w:space="0" w:color="auto"/>
            </w:tcBorders>
            <w:vAlign w:val="center"/>
          </w:tcPr>
          <w:p w14:paraId="0247157F" w14:textId="783B9C4E" w:rsidR="008466A4" w:rsidRPr="00891B9D" w:rsidRDefault="008466A4" w:rsidP="008466A4">
            <w:pPr>
              <w:pStyle w:val="TableCen"/>
            </w:pPr>
            <w:r w:rsidRPr="00891B9D">
              <w:rPr>
                <w:rFonts w:ascii="Symbol" w:eastAsia="Symbol" w:hAnsi="Symbol" w:cs="Symbol"/>
              </w:rPr>
              <w:t>£</w:t>
            </w:r>
            <w:r w:rsidRPr="00891B9D">
              <w:t>2.3</w:t>
            </w:r>
          </w:p>
        </w:tc>
        <w:tc>
          <w:tcPr>
            <w:tcW w:w="1016" w:type="dxa"/>
            <w:tcBorders>
              <w:top w:val="single" w:sz="2" w:space="0" w:color="auto"/>
              <w:left w:val="single" w:sz="2" w:space="0" w:color="auto"/>
              <w:bottom w:val="single" w:sz="2" w:space="0" w:color="auto"/>
              <w:right w:val="single" w:sz="2" w:space="0" w:color="auto"/>
            </w:tcBorders>
            <w:vAlign w:val="center"/>
          </w:tcPr>
          <w:p w14:paraId="4DEA9D8A" w14:textId="0BAE8D6B" w:rsidR="008466A4" w:rsidRPr="00891B9D" w:rsidRDefault="008466A4" w:rsidP="008466A4">
            <w:pPr>
              <w:pStyle w:val="TableCen"/>
            </w:pPr>
            <w:r w:rsidRPr="00891B9D">
              <w:rPr>
                <w:rFonts w:ascii="Symbol" w:eastAsia="Symbol" w:hAnsi="Symbol" w:cs="Symbol"/>
              </w:rPr>
              <w:t>£</w:t>
            </w:r>
            <w:r w:rsidRPr="00891B9D">
              <w:t>60</w:t>
            </w:r>
          </w:p>
        </w:tc>
        <w:tc>
          <w:tcPr>
            <w:tcW w:w="1016" w:type="dxa"/>
            <w:tcBorders>
              <w:top w:val="single" w:sz="2" w:space="0" w:color="auto"/>
              <w:left w:val="single" w:sz="2" w:space="0" w:color="auto"/>
              <w:bottom w:val="single" w:sz="2" w:space="0" w:color="auto"/>
              <w:right w:val="single" w:sz="2" w:space="0" w:color="auto"/>
            </w:tcBorders>
            <w:vAlign w:val="center"/>
          </w:tcPr>
          <w:p w14:paraId="02471580" w14:textId="54FABF35" w:rsidR="008466A4" w:rsidRPr="00891B9D" w:rsidRDefault="008466A4" w:rsidP="008466A4">
            <w:pPr>
              <w:pStyle w:val="TableCen"/>
            </w:pPr>
            <w:r w:rsidRPr="00891B9D">
              <w:t>3.4</w:t>
            </w:r>
          </w:p>
        </w:tc>
        <w:tc>
          <w:tcPr>
            <w:tcW w:w="1016" w:type="dxa"/>
            <w:tcBorders>
              <w:top w:val="single" w:sz="2" w:space="0" w:color="auto"/>
              <w:left w:val="single" w:sz="2" w:space="0" w:color="auto"/>
              <w:bottom w:val="single" w:sz="2" w:space="0" w:color="auto"/>
              <w:right w:val="single" w:sz="2" w:space="0" w:color="auto"/>
            </w:tcBorders>
            <w:vAlign w:val="center"/>
          </w:tcPr>
          <w:p w14:paraId="68044B87" w14:textId="45875265" w:rsidR="008466A4" w:rsidRPr="00891B9D" w:rsidRDefault="008466A4" w:rsidP="008466A4">
            <w:pPr>
              <w:pStyle w:val="TableCen"/>
            </w:pPr>
            <w:r w:rsidRPr="00891B9D">
              <w:t>90</w:t>
            </w:r>
          </w:p>
        </w:tc>
        <w:tc>
          <w:tcPr>
            <w:tcW w:w="1016" w:type="dxa"/>
            <w:tcBorders>
              <w:top w:val="single" w:sz="2" w:space="0" w:color="auto"/>
              <w:left w:val="single" w:sz="2" w:space="0" w:color="auto"/>
              <w:bottom w:val="single" w:sz="2" w:space="0" w:color="auto"/>
              <w:right w:val="single" w:sz="2" w:space="0" w:color="auto"/>
            </w:tcBorders>
            <w:vAlign w:val="center"/>
          </w:tcPr>
          <w:p w14:paraId="02471581" w14:textId="7137A47B" w:rsidR="008466A4" w:rsidRPr="00891B9D" w:rsidRDefault="008466A4" w:rsidP="008466A4">
            <w:pPr>
              <w:pStyle w:val="TableCen"/>
            </w:pPr>
            <w:r w:rsidRPr="00891B9D">
              <w:t>4.2</w:t>
            </w:r>
          </w:p>
        </w:tc>
        <w:tc>
          <w:tcPr>
            <w:tcW w:w="1016" w:type="dxa"/>
            <w:tcBorders>
              <w:top w:val="single" w:sz="2" w:space="0" w:color="auto"/>
              <w:left w:val="single" w:sz="2" w:space="0" w:color="auto"/>
              <w:bottom w:val="single" w:sz="2" w:space="0" w:color="auto"/>
            </w:tcBorders>
            <w:vAlign w:val="center"/>
          </w:tcPr>
          <w:p w14:paraId="74D85B99" w14:textId="0CE59569" w:rsidR="008466A4" w:rsidRPr="00891B9D" w:rsidRDefault="008466A4" w:rsidP="008466A4">
            <w:pPr>
              <w:pStyle w:val="TableCen"/>
            </w:pPr>
            <w:r w:rsidRPr="00891B9D">
              <w:t>110</w:t>
            </w:r>
          </w:p>
        </w:tc>
      </w:tr>
      <w:tr w:rsidR="008466A4" w14:paraId="02471587" w14:textId="67C8011E" w:rsidTr="00045FE4">
        <w:trPr>
          <w:trHeight w:val="340"/>
        </w:trPr>
        <w:tc>
          <w:tcPr>
            <w:tcW w:w="2693" w:type="dxa"/>
            <w:tcBorders>
              <w:top w:val="single" w:sz="2" w:space="0" w:color="auto"/>
              <w:bottom w:val="single" w:sz="2" w:space="0" w:color="auto"/>
              <w:right w:val="single" w:sz="2" w:space="0" w:color="auto"/>
            </w:tcBorders>
            <w:vAlign w:val="center"/>
          </w:tcPr>
          <w:p w14:paraId="02471583" w14:textId="77777777" w:rsidR="008466A4" w:rsidRDefault="008466A4" w:rsidP="008466A4">
            <w:pPr>
              <w:pStyle w:val="Table"/>
            </w:pPr>
            <w:r>
              <w:t xml:space="preserve">Suburban </w:t>
            </w:r>
            <w:r w:rsidRPr="00AF64B6">
              <w:t>road</w:t>
            </w:r>
          </w:p>
        </w:tc>
        <w:tc>
          <w:tcPr>
            <w:tcW w:w="1016" w:type="dxa"/>
            <w:tcBorders>
              <w:top w:val="single" w:sz="2" w:space="0" w:color="auto"/>
              <w:left w:val="single" w:sz="2" w:space="0" w:color="auto"/>
              <w:bottom w:val="single" w:sz="2" w:space="0" w:color="auto"/>
              <w:right w:val="single" w:sz="2" w:space="0" w:color="auto"/>
            </w:tcBorders>
            <w:vAlign w:val="center"/>
          </w:tcPr>
          <w:p w14:paraId="02471584" w14:textId="7DC045D0" w:rsidR="008466A4" w:rsidRPr="00891B9D" w:rsidRDefault="008466A4" w:rsidP="008466A4">
            <w:pPr>
              <w:pStyle w:val="TableCen"/>
            </w:pPr>
            <w:r w:rsidRPr="00891B9D">
              <w:rPr>
                <w:rFonts w:ascii="Symbol" w:eastAsia="Symbol" w:hAnsi="Symbol" w:cs="Symbol"/>
              </w:rPr>
              <w:t>£</w:t>
            </w:r>
            <w:r w:rsidRPr="00891B9D">
              <w:t>2.3</w:t>
            </w:r>
          </w:p>
        </w:tc>
        <w:tc>
          <w:tcPr>
            <w:tcW w:w="1016" w:type="dxa"/>
            <w:tcBorders>
              <w:top w:val="single" w:sz="2" w:space="0" w:color="auto"/>
              <w:left w:val="single" w:sz="2" w:space="0" w:color="auto"/>
              <w:bottom w:val="single" w:sz="2" w:space="0" w:color="auto"/>
              <w:right w:val="single" w:sz="2" w:space="0" w:color="auto"/>
            </w:tcBorders>
            <w:vAlign w:val="center"/>
          </w:tcPr>
          <w:p w14:paraId="50DC097F" w14:textId="42740B27" w:rsidR="008466A4" w:rsidRPr="00891B9D" w:rsidRDefault="008466A4" w:rsidP="008466A4">
            <w:pPr>
              <w:pStyle w:val="TableCen"/>
            </w:pPr>
            <w:r w:rsidRPr="00891B9D">
              <w:rPr>
                <w:rFonts w:ascii="Symbol" w:eastAsia="Symbol" w:hAnsi="Symbol" w:cs="Symbol"/>
              </w:rPr>
              <w:t>£</w:t>
            </w:r>
            <w:r w:rsidRPr="00891B9D">
              <w:t>60</w:t>
            </w:r>
          </w:p>
        </w:tc>
        <w:tc>
          <w:tcPr>
            <w:tcW w:w="1016" w:type="dxa"/>
            <w:tcBorders>
              <w:top w:val="single" w:sz="2" w:space="0" w:color="auto"/>
              <w:left w:val="single" w:sz="2" w:space="0" w:color="auto"/>
              <w:bottom w:val="single" w:sz="2" w:space="0" w:color="auto"/>
              <w:right w:val="single" w:sz="2" w:space="0" w:color="auto"/>
            </w:tcBorders>
            <w:vAlign w:val="center"/>
          </w:tcPr>
          <w:p w14:paraId="02471585" w14:textId="6AB24B2C" w:rsidR="008466A4" w:rsidRPr="00891B9D" w:rsidRDefault="008466A4" w:rsidP="008466A4">
            <w:pPr>
              <w:pStyle w:val="TableCen"/>
            </w:pPr>
            <w:r w:rsidRPr="00891B9D">
              <w:t>3.4</w:t>
            </w:r>
          </w:p>
        </w:tc>
        <w:tc>
          <w:tcPr>
            <w:tcW w:w="1016" w:type="dxa"/>
            <w:tcBorders>
              <w:top w:val="single" w:sz="2" w:space="0" w:color="auto"/>
              <w:left w:val="single" w:sz="2" w:space="0" w:color="auto"/>
              <w:bottom w:val="single" w:sz="2" w:space="0" w:color="auto"/>
              <w:right w:val="single" w:sz="2" w:space="0" w:color="auto"/>
            </w:tcBorders>
            <w:vAlign w:val="center"/>
          </w:tcPr>
          <w:p w14:paraId="2036F734" w14:textId="7370CCBF" w:rsidR="008466A4" w:rsidRPr="00891B9D" w:rsidRDefault="008466A4" w:rsidP="008466A4">
            <w:pPr>
              <w:pStyle w:val="TableCen"/>
            </w:pPr>
            <w:r w:rsidRPr="00891B9D">
              <w:t>90</w:t>
            </w:r>
          </w:p>
        </w:tc>
        <w:tc>
          <w:tcPr>
            <w:tcW w:w="1016" w:type="dxa"/>
            <w:tcBorders>
              <w:top w:val="single" w:sz="2" w:space="0" w:color="auto"/>
              <w:left w:val="single" w:sz="2" w:space="0" w:color="auto"/>
              <w:bottom w:val="single" w:sz="2" w:space="0" w:color="auto"/>
              <w:right w:val="single" w:sz="2" w:space="0" w:color="auto"/>
            </w:tcBorders>
            <w:vAlign w:val="center"/>
          </w:tcPr>
          <w:p w14:paraId="02471586" w14:textId="7EADF851" w:rsidR="008466A4" w:rsidRPr="00891B9D" w:rsidRDefault="008466A4" w:rsidP="008466A4">
            <w:pPr>
              <w:pStyle w:val="TableCen"/>
            </w:pPr>
            <w:r w:rsidRPr="00891B9D">
              <w:t>4.2</w:t>
            </w:r>
          </w:p>
        </w:tc>
        <w:tc>
          <w:tcPr>
            <w:tcW w:w="1016" w:type="dxa"/>
            <w:tcBorders>
              <w:top w:val="single" w:sz="2" w:space="0" w:color="auto"/>
              <w:left w:val="single" w:sz="2" w:space="0" w:color="auto"/>
              <w:bottom w:val="single" w:sz="2" w:space="0" w:color="auto"/>
            </w:tcBorders>
            <w:vAlign w:val="center"/>
          </w:tcPr>
          <w:p w14:paraId="7EDFC445" w14:textId="5EA1842E" w:rsidR="008466A4" w:rsidRPr="00891B9D" w:rsidRDefault="008466A4" w:rsidP="008466A4">
            <w:pPr>
              <w:pStyle w:val="TableCen"/>
            </w:pPr>
            <w:r w:rsidRPr="00891B9D">
              <w:t>110</w:t>
            </w:r>
          </w:p>
        </w:tc>
      </w:tr>
      <w:tr w:rsidR="008466A4" w14:paraId="0247158C" w14:textId="3D2337A1" w:rsidTr="00045FE4">
        <w:trPr>
          <w:trHeight w:val="340"/>
        </w:trPr>
        <w:tc>
          <w:tcPr>
            <w:tcW w:w="2693" w:type="dxa"/>
            <w:tcBorders>
              <w:top w:val="single" w:sz="2" w:space="0" w:color="auto"/>
              <w:bottom w:val="single" w:sz="2" w:space="0" w:color="auto"/>
              <w:right w:val="single" w:sz="2" w:space="0" w:color="auto"/>
            </w:tcBorders>
            <w:vAlign w:val="center"/>
          </w:tcPr>
          <w:p w14:paraId="02471588" w14:textId="77777777" w:rsidR="008466A4" w:rsidRDefault="008466A4" w:rsidP="008466A4">
            <w:r w:rsidRPr="00F864E9">
              <w:rPr>
                <w:snapToGrid w:val="0"/>
                <w:sz w:val="18"/>
                <w:lang w:eastAsia="en-US"/>
              </w:rPr>
              <w:t>Primary freight access routes</w:t>
            </w:r>
          </w:p>
        </w:tc>
        <w:tc>
          <w:tcPr>
            <w:tcW w:w="1016" w:type="dxa"/>
            <w:tcBorders>
              <w:top w:val="single" w:sz="2" w:space="0" w:color="auto"/>
              <w:left w:val="single" w:sz="2" w:space="0" w:color="auto"/>
              <w:bottom w:val="single" w:sz="2" w:space="0" w:color="auto"/>
              <w:right w:val="single" w:sz="2" w:space="0" w:color="auto"/>
            </w:tcBorders>
            <w:vAlign w:val="center"/>
          </w:tcPr>
          <w:p w14:paraId="02471589" w14:textId="47814103" w:rsidR="008466A4" w:rsidRPr="00891B9D" w:rsidRDefault="008466A4" w:rsidP="008466A4">
            <w:pPr>
              <w:pStyle w:val="TableCen"/>
            </w:pPr>
            <w:r w:rsidRPr="00891B9D">
              <w:rPr>
                <w:rFonts w:ascii="Symbol" w:eastAsia="Symbol" w:hAnsi="Symbol" w:cs="Symbol"/>
              </w:rPr>
              <w:t>£</w:t>
            </w:r>
            <w:r w:rsidRPr="00891B9D">
              <w:t>2.3</w:t>
            </w:r>
          </w:p>
        </w:tc>
        <w:tc>
          <w:tcPr>
            <w:tcW w:w="1016" w:type="dxa"/>
            <w:tcBorders>
              <w:top w:val="single" w:sz="2" w:space="0" w:color="auto"/>
              <w:left w:val="single" w:sz="2" w:space="0" w:color="auto"/>
              <w:bottom w:val="single" w:sz="2" w:space="0" w:color="auto"/>
              <w:right w:val="single" w:sz="2" w:space="0" w:color="auto"/>
            </w:tcBorders>
            <w:vAlign w:val="center"/>
          </w:tcPr>
          <w:p w14:paraId="64AFE5FC" w14:textId="78DCA35E" w:rsidR="008466A4" w:rsidRPr="00891B9D" w:rsidRDefault="008466A4" w:rsidP="008466A4">
            <w:pPr>
              <w:pStyle w:val="TableCen"/>
            </w:pPr>
            <w:r w:rsidRPr="00891B9D">
              <w:rPr>
                <w:rFonts w:ascii="Symbol" w:eastAsia="Symbol" w:hAnsi="Symbol" w:cs="Symbol"/>
              </w:rPr>
              <w:t>£</w:t>
            </w:r>
            <w:r w:rsidRPr="00891B9D">
              <w:t>60</w:t>
            </w:r>
          </w:p>
        </w:tc>
        <w:tc>
          <w:tcPr>
            <w:tcW w:w="1016" w:type="dxa"/>
            <w:tcBorders>
              <w:top w:val="single" w:sz="2" w:space="0" w:color="auto"/>
              <w:left w:val="single" w:sz="2" w:space="0" w:color="auto"/>
              <w:bottom w:val="single" w:sz="2" w:space="0" w:color="auto"/>
              <w:right w:val="single" w:sz="2" w:space="0" w:color="auto"/>
            </w:tcBorders>
            <w:vAlign w:val="center"/>
          </w:tcPr>
          <w:p w14:paraId="0247158A" w14:textId="22A516CF" w:rsidR="008466A4" w:rsidRPr="00891B9D" w:rsidRDefault="008466A4" w:rsidP="008466A4">
            <w:pPr>
              <w:pStyle w:val="TableCen"/>
            </w:pPr>
            <w:r w:rsidRPr="00891B9D">
              <w:t>3.8</w:t>
            </w:r>
          </w:p>
        </w:tc>
        <w:tc>
          <w:tcPr>
            <w:tcW w:w="1016" w:type="dxa"/>
            <w:tcBorders>
              <w:top w:val="single" w:sz="2" w:space="0" w:color="auto"/>
              <w:left w:val="single" w:sz="2" w:space="0" w:color="auto"/>
              <w:bottom w:val="single" w:sz="2" w:space="0" w:color="auto"/>
              <w:right w:val="single" w:sz="2" w:space="0" w:color="auto"/>
            </w:tcBorders>
            <w:vAlign w:val="center"/>
          </w:tcPr>
          <w:p w14:paraId="6AE6054F" w14:textId="496BB658" w:rsidR="008466A4" w:rsidRPr="00891B9D" w:rsidRDefault="008466A4" w:rsidP="008466A4">
            <w:pPr>
              <w:pStyle w:val="TableCen"/>
            </w:pPr>
            <w:r w:rsidRPr="00891B9D">
              <w:t>100</w:t>
            </w:r>
          </w:p>
        </w:tc>
        <w:tc>
          <w:tcPr>
            <w:tcW w:w="1016" w:type="dxa"/>
            <w:tcBorders>
              <w:top w:val="single" w:sz="2" w:space="0" w:color="auto"/>
              <w:left w:val="single" w:sz="2" w:space="0" w:color="auto"/>
              <w:bottom w:val="single" w:sz="2" w:space="0" w:color="auto"/>
              <w:right w:val="single" w:sz="2" w:space="0" w:color="auto"/>
            </w:tcBorders>
            <w:vAlign w:val="center"/>
          </w:tcPr>
          <w:p w14:paraId="0247158B" w14:textId="5671C1B8" w:rsidR="008466A4" w:rsidRPr="00891B9D" w:rsidRDefault="00C5785F" w:rsidP="008466A4">
            <w:pPr>
              <w:pStyle w:val="TableCen"/>
            </w:pPr>
            <w:r w:rsidRPr="00891B9D">
              <w:t>4.6</w:t>
            </w:r>
          </w:p>
        </w:tc>
        <w:tc>
          <w:tcPr>
            <w:tcW w:w="1016" w:type="dxa"/>
            <w:tcBorders>
              <w:top w:val="single" w:sz="2" w:space="0" w:color="auto"/>
              <w:left w:val="single" w:sz="2" w:space="0" w:color="auto"/>
              <w:bottom w:val="single" w:sz="2" w:space="0" w:color="auto"/>
            </w:tcBorders>
            <w:vAlign w:val="center"/>
          </w:tcPr>
          <w:p w14:paraId="0B19EEBD" w14:textId="7558CAE6" w:rsidR="008466A4" w:rsidRPr="00891B9D" w:rsidRDefault="008466A4" w:rsidP="008466A4">
            <w:pPr>
              <w:pStyle w:val="TableCen"/>
            </w:pPr>
            <w:r w:rsidRPr="00891B9D">
              <w:t>120</w:t>
            </w:r>
          </w:p>
        </w:tc>
      </w:tr>
      <w:tr w:rsidR="008466A4" w14:paraId="02471591" w14:textId="57591479" w:rsidTr="00045FE4">
        <w:trPr>
          <w:trHeight w:val="340"/>
        </w:trPr>
        <w:tc>
          <w:tcPr>
            <w:tcW w:w="2693" w:type="dxa"/>
            <w:tcBorders>
              <w:top w:val="single" w:sz="2" w:space="0" w:color="auto"/>
              <w:bottom w:val="single" w:sz="2" w:space="0" w:color="auto"/>
              <w:right w:val="single" w:sz="2" w:space="0" w:color="auto"/>
            </w:tcBorders>
            <w:vAlign w:val="center"/>
          </w:tcPr>
          <w:p w14:paraId="0247158D" w14:textId="77777777" w:rsidR="008466A4" w:rsidRDefault="008466A4" w:rsidP="008466A4">
            <w:pPr>
              <w:pStyle w:val="Table"/>
            </w:pPr>
            <w:r w:rsidRPr="00F864E9">
              <w:t>Primary freight routes</w:t>
            </w:r>
          </w:p>
        </w:tc>
        <w:tc>
          <w:tcPr>
            <w:tcW w:w="1016" w:type="dxa"/>
            <w:tcBorders>
              <w:top w:val="single" w:sz="2" w:space="0" w:color="auto"/>
              <w:left w:val="single" w:sz="2" w:space="0" w:color="auto"/>
              <w:bottom w:val="single" w:sz="2" w:space="0" w:color="auto"/>
              <w:right w:val="single" w:sz="2" w:space="0" w:color="auto"/>
            </w:tcBorders>
            <w:vAlign w:val="center"/>
          </w:tcPr>
          <w:p w14:paraId="0247158E" w14:textId="5DF3E3CB" w:rsidR="008466A4" w:rsidRPr="00891B9D" w:rsidRDefault="008466A4" w:rsidP="008466A4">
            <w:pPr>
              <w:pStyle w:val="TableCen"/>
            </w:pPr>
            <w:r w:rsidRPr="00891B9D">
              <w:rPr>
                <w:rFonts w:ascii="Symbol" w:eastAsia="Symbol" w:hAnsi="Symbol" w:cs="Symbol"/>
              </w:rPr>
              <w:t>£</w:t>
            </w:r>
            <w:r w:rsidRPr="00891B9D">
              <w:t>1.9</w:t>
            </w:r>
          </w:p>
        </w:tc>
        <w:tc>
          <w:tcPr>
            <w:tcW w:w="1016" w:type="dxa"/>
            <w:tcBorders>
              <w:top w:val="single" w:sz="2" w:space="0" w:color="auto"/>
              <w:left w:val="single" w:sz="2" w:space="0" w:color="auto"/>
              <w:bottom w:val="single" w:sz="2" w:space="0" w:color="auto"/>
              <w:right w:val="single" w:sz="2" w:space="0" w:color="auto"/>
            </w:tcBorders>
            <w:vAlign w:val="center"/>
          </w:tcPr>
          <w:p w14:paraId="70D3D445" w14:textId="437442F0" w:rsidR="008466A4" w:rsidRPr="00891B9D" w:rsidRDefault="008466A4" w:rsidP="008466A4">
            <w:pPr>
              <w:pStyle w:val="TableCen"/>
            </w:pPr>
            <w:r w:rsidRPr="00891B9D">
              <w:rPr>
                <w:rFonts w:ascii="Symbol" w:eastAsia="Symbol" w:hAnsi="Symbol" w:cs="Symbol"/>
              </w:rPr>
              <w:t>£</w:t>
            </w:r>
            <w:r w:rsidRPr="00891B9D">
              <w:t>50</w:t>
            </w:r>
          </w:p>
        </w:tc>
        <w:tc>
          <w:tcPr>
            <w:tcW w:w="1016" w:type="dxa"/>
            <w:tcBorders>
              <w:top w:val="single" w:sz="2" w:space="0" w:color="auto"/>
              <w:left w:val="single" w:sz="2" w:space="0" w:color="auto"/>
              <w:bottom w:val="single" w:sz="2" w:space="0" w:color="auto"/>
              <w:right w:val="single" w:sz="2" w:space="0" w:color="auto"/>
            </w:tcBorders>
            <w:vAlign w:val="center"/>
          </w:tcPr>
          <w:p w14:paraId="0247158F" w14:textId="2CDCD039" w:rsidR="008466A4" w:rsidRPr="00891B9D" w:rsidRDefault="008466A4" w:rsidP="008466A4">
            <w:pPr>
              <w:pStyle w:val="TableCen"/>
            </w:pPr>
            <w:r w:rsidRPr="00891B9D">
              <w:t>2.7</w:t>
            </w:r>
          </w:p>
        </w:tc>
        <w:tc>
          <w:tcPr>
            <w:tcW w:w="1016" w:type="dxa"/>
            <w:tcBorders>
              <w:top w:val="single" w:sz="2" w:space="0" w:color="auto"/>
              <w:left w:val="single" w:sz="2" w:space="0" w:color="auto"/>
              <w:bottom w:val="single" w:sz="2" w:space="0" w:color="auto"/>
              <w:right w:val="single" w:sz="2" w:space="0" w:color="auto"/>
            </w:tcBorders>
            <w:vAlign w:val="center"/>
          </w:tcPr>
          <w:p w14:paraId="1A319DAB" w14:textId="443F2AA8" w:rsidR="008466A4" w:rsidRPr="00891B9D" w:rsidRDefault="008466A4" w:rsidP="008466A4">
            <w:pPr>
              <w:pStyle w:val="TableCen"/>
            </w:pPr>
            <w:r w:rsidRPr="00891B9D">
              <w:t>70</w:t>
            </w:r>
          </w:p>
        </w:tc>
        <w:tc>
          <w:tcPr>
            <w:tcW w:w="1016" w:type="dxa"/>
            <w:tcBorders>
              <w:top w:val="single" w:sz="2" w:space="0" w:color="auto"/>
              <w:left w:val="single" w:sz="2" w:space="0" w:color="auto"/>
              <w:bottom w:val="single" w:sz="2" w:space="0" w:color="auto"/>
              <w:right w:val="single" w:sz="2" w:space="0" w:color="auto"/>
            </w:tcBorders>
            <w:vAlign w:val="center"/>
          </w:tcPr>
          <w:p w14:paraId="02471590" w14:textId="731C4285" w:rsidR="008466A4" w:rsidRPr="00891B9D" w:rsidRDefault="008466A4" w:rsidP="008466A4">
            <w:pPr>
              <w:pStyle w:val="TableCen"/>
            </w:pPr>
            <w:r w:rsidRPr="00891B9D">
              <w:t>3.4</w:t>
            </w:r>
          </w:p>
        </w:tc>
        <w:tc>
          <w:tcPr>
            <w:tcW w:w="1016" w:type="dxa"/>
            <w:tcBorders>
              <w:top w:val="single" w:sz="2" w:space="0" w:color="auto"/>
              <w:left w:val="single" w:sz="2" w:space="0" w:color="auto"/>
              <w:bottom w:val="single" w:sz="2" w:space="0" w:color="auto"/>
            </w:tcBorders>
            <w:vAlign w:val="center"/>
          </w:tcPr>
          <w:p w14:paraId="0F733BC1" w14:textId="6A6CD2DD" w:rsidR="008466A4" w:rsidRPr="00891B9D" w:rsidRDefault="008466A4" w:rsidP="008466A4">
            <w:pPr>
              <w:pStyle w:val="TableCen"/>
            </w:pPr>
            <w:r w:rsidRPr="00891B9D">
              <w:t>90</w:t>
            </w:r>
          </w:p>
        </w:tc>
      </w:tr>
      <w:tr w:rsidR="008466A4" w14:paraId="02471596" w14:textId="204FEFA3" w:rsidTr="00045FE4">
        <w:trPr>
          <w:trHeight w:val="340"/>
        </w:trPr>
        <w:tc>
          <w:tcPr>
            <w:tcW w:w="2693" w:type="dxa"/>
            <w:tcBorders>
              <w:top w:val="single" w:sz="2" w:space="0" w:color="auto"/>
              <w:bottom w:val="single" w:sz="2" w:space="0" w:color="auto"/>
              <w:right w:val="single" w:sz="2" w:space="0" w:color="auto"/>
            </w:tcBorders>
            <w:vAlign w:val="center"/>
          </w:tcPr>
          <w:p w14:paraId="02471592" w14:textId="77777777" w:rsidR="008466A4" w:rsidRDefault="008466A4" w:rsidP="008466A4">
            <w:pPr>
              <w:pStyle w:val="Table"/>
            </w:pPr>
            <w:r>
              <w:t xml:space="preserve">Arterial </w:t>
            </w:r>
            <w:r w:rsidRPr="00AF64B6">
              <w:t>road</w:t>
            </w:r>
          </w:p>
        </w:tc>
        <w:tc>
          <w:tcPr>
            <w:tcW w:w="1016" w:type="dxa"/>
            <w:tcBorders>
              <w:top w:val="single" w:sz="2" w:space="0" w:color="auto"/>
              <w:left w:val="single" w:sz="2" w:space="0" w:color="auto"/>
              <w:bottom w:val="single" w:sz="2" w:space="0" w:color="auto"/>
              <w:right w:val="single" w:sz="2" w:space="0" w:color="auto"/>
            </w:tcBorders>
            <w:vAlign w:val="center"/>
          </w:tcPr>
          <w:p w14:paraId="02471593" w14:textId="1BDB30BC" w:rsidR="008466A4" w:rsidRPr="00891B9D" w:rsidRDefault="008466A4" w:rsidP="008466A4">
            <w:pPr>
              <w:pStyle w:val="TableCen"/>
            </w:pPr>
            <w:r w:rsidRPr="00891B9D">
              <w:rPr>
                <w:rFonts w:ascii="Symbol" w:eastAsia="Symbol" w:hAnsi="Symbol" w:cs="Symbol"/>
              </w:rPr>
              <w:t>£</w:t>
            </w:r>
            <w:r w:rsidRPr="00891B9D">
              <w:t>1.9</w:t>
            </w:r>
          </w:p>
        </w:tc>
        <w:tc>
          <w:tcPr>
            <w:tcW w:w="1016" w:type="dxa"/>
            <w:tcBorders>
              <w:top w:val="single" w:sz="2" w:space="0" w:color="auto"/>
              <w:left w:val="single" w:sz="2" w:space="0" w:color="auto"/>
              <w:bottom w:val="single" w:sz="2" w:space="0" w:color="auto"/>
              <w:right w:val="single" w:sz="2" w:space="0" w:color="auto"/>
            </w:tcBorders>
            <w:vAlign w:val="center"/>
          </w:tcPr>
          <w:p w14:paraId="4CBE7B09" w14:textId="5E38B958" w:rsidR="008466A4" w:rsidRPr="00891B9D" w:rsidRDefault="008466A4" w:rsidP="008466A4">
            <w:pPr>
              <w:pStyle w:val="TableCen"/>
            </w:pPr>
            <w:r w:rsidRPr="00891B9D">
              <w:rPr>
                <w:rFonts w:ascii="Symbol" w:eastAsia="Symbol" w:hAnsi="Symbol" w:cs="Symbol"/>
              </w:rPr>
              <w:t>£</w:t>
            </w:r>
            <w:r w:rsidRPr="00891B9D">
              <w:t>50</w:t>
            </w:r>
          </w:p>
        </w:tc>
        <w:tc>
          <w:tcPr>
            <w:tcW w:w="1016" w:type="dxa"/>
            <w:tcBorders>
              <w:top w:val="single" w:sz="2" w:space="0" w:color="auto"/>
              <w:left w:val="single" w:sz="2" w:space="0" w:color="auto"/>
              <w:bottom w:val="single" w:sz="2" w:space="0" w:color="auto"/>
              <w:right w:val="single" w:sz="2" w:space="0" w:color="auto"/>
            </w:tcBorders>
            <w:vAlign w:val="center"/>
          </w:tcPr>
          <w:p w14:paraId="02471594" w14:textId="2E2CE2A4" w:rsidR="008466A4" w:rsidRPr="00891B9D" w:rsidRDefault="008466A4" w:rsidP="008466A4">
            <w:pPr>
              <w:pStyle w:val="TableCen"/>
            </w:pPr>
            <w:r w:rsidRPr="00891B9D">
              <w:t>2.7</w:t>
            </w:r>
          </w:p>
        </w:tc>
        <w:tc>
          <w:tcPr>
            <w:tcW w:w="1016" w:type="dxa"/>
            <w:tcBorders>
              <w:top w:val="single" w:sz="2" w:space="0" w:color="auto"/>
              <w:left w:val="single" w:sz="2" w:space="0" w:color="auto"/>
              <w:bottom w:val="single" w:sz="2" w:space="0" w:color="auto"/>
              <w:right w:val="single" w:sz="2" w:space="0" w:color="auto"/>
            </w:tcBorders>
            <w:vAlign w:val="center"/>
          </w:tcPr>
          <w:p w14:paraId="54E2D15F" w14:textId="46543CF5" w:rsidR="008466A4" w:rsidRPr="00891B9D" w:rsidRDefault="008466A4" w:rsidP="008466A4">
            <w:pPr>
              <w:pStyle w:val="TableCen"/>
            </w:pPr>
            <w:r w:rsidRPr="00891B9D">
              <w:t>70</w:t>
            </w:r>
          </w:p>
        </w:tc>
        <w:tc>
          <w:tcPr>
            <w:tcW w:w="1016" w:type="dxa"/>
            <w:tcBorders>
              <w:top w:val="single" w:sz="2" w:space="0" w:color="auto"/>
              <w:left w:val="single" w:sz="2" w:space="0" w:color="auto"/>
              <w:bottom w:val="single" w:sz="2" w:space="0" w:color="auto"/>
              <w:right w:val="single" w:sz="2" w:space="0" w:color="auto"/>
            </w:tcBorders>
            <w:vAlign w:val="center"/>
          </w:tcPr>
          <w:p w14:paraId="02471595" w14:textId="1E30D557" w:rsidR="008466A4" w:rsidRPr="00891B9D" w:rsidRDefault="008466A4" w:rsidP="008466A4">
            <w:pPr>
              <w:pStyle w:val="TableCen"/>
            </w:pPr>
            <w:r w:rsidRPr="00891B9D">
              <w:t>3.4</w:t>
            </w:r>
          </w:p>
        </w:tc>
        <w:tc>
          <w:tcPr>
            <w:tcW w:w="1016" w:type="dxa"/>
            <w:tcBorders>
              <w:top w:val="single" w:sz="2" w:space="0" w:color="auto"/>
              <w:left w:val="single" w:sz="2" w:space="0" w:color="auto"/>
              <w:bottom w:val="single" w:sz="2" w:space="0" w:color="auto"/>
            </w:tcBorders>
            <w:vAlign w:val="center"/>
          </w:tcPr>
          <w:p w14:paraId="35A90A52" w14:textId="6BE2451E" w:rsidR="008466A4" w:rsidRPr="00891B9D" w:rsidRDefault="008466A4" w:rsidP="008466A4">
            <w:pPr>
              <w:pStyle w:val="TableCen"/>
            </w:pPr>
            <w:r w:rsidRPr="00891B9D">
              <w:t>90</w:t>
            </w:r>
          </w:p>
        </w:tc>
      </w:tr>
      <w:tr w:rsidR="008466A4" w14:paraId="0247159B" w14:textId="6BC5E34A" w:rsidTr="00045FE4">
        <w:trPr>
          <w:trHeight w:val="340"/>
        </w:trPr>
        <w:tc>
          <w:tcPr>
            <w:tcW w:w="2693" w:type="dxa"/>
            <w:tcBorders>
              <w:top w:val="single" w:sz="2" w:space="0" w:color="auto"/>
              <w:bottom w:val="single" w:sz="12" w:space="0" w:color="auto"/>
              <w:right w:val="single" w:sz="2" w:space="0" w:color="auto"/>
            </w:tcBorders>
            <w:vAlign w:val="center"/>
          </w:tcPr>
          <w:p w14:paraId="02471597" w14:textId="77777777" w:rsidR="008466A4" w:rsidRDefault="008466A4" w:rsidP="008466A4">
            <w:pPr>
              <w:pStyle w:val="Table"/>
            </w:pPr>
            <w:r w:rsidRPr="00AF64B6">
              <w:t>Motorway</w:t>
            </w:r>
          </w:p>
        </w:tc>
        <w:tc>
          <w:tcPr>
            <w:tcW w:w="1016" w:type="dxa"/>
            <w:tcBorders>
              <w:top w:val="single" w:sz="2" w:space="0" w:color="auto"/>
              <w:left w:val="single" w:sz="2" w:space="0" w:color="auto"/>
              <w:bottom w:val="single" w:sz="12" w:space="0" w:color="auto"/>
              <w:right w:val="single" w:sz="2" w:space="0" w:color="auto"/>
            </w:tcBorders>
            <w:vAlign w:val="center"/>
          </w:tcPr>
          <w:p w14:paraId="02471598" w14:textId="0CCE7B82" w:rsidR="008466A4" w:rsidRPr="00891B9D" w:rsidRDefault="008466A4" w:rsidP="008466A4">
            <w:pPr>
              <w:pStyle w:val="TableCen"/>
            </w:pPr>
            <w:r w:rsidRPr="00891B9D">
              <w:rPr>
                <w:rFonts w:ascii="Symbol" w:eastAsia="Symbol" w:hAnsi="Symbol" w:cs="Symbol"/>
              </w:rPr>
              <w:t>£</w:t>
            </w:r>
            <w:r w:rsidRPr="00891B9D">
              <w:t>1.9</w:t>
            </w:r>
          </w:p>
        </w:tc>
        <w:tc>
          <w:tcPr>
            <w:tcW w:w="1016" w:type="dxa"/>
            <w:tcBorders>
              <w:top w:val="single" w:sz="2" w:space="0" w:color="auto"/>
              <w:left w:val="single" w:sz="2" w:space="0" w:color="auto"/>
              <w:bottom w:val="single" w:sz="12" w:space="0" w:color="auto"/>
              <w:right w:val="single" w:sz="2" w:space="0" w:color="auto"/>
            </w:tcBorders>
            <w:vAlign w:val="center"/>
          </w:tcPr>
          <w:p w14:paraId="4DB3D185" w14:textId="412B3BBC" w:rsidR="008466A4" w:rsidRPr="00891B9D" w:rsidRDefault="008466A4" w:rsidP="008466A4">
            <w:pPr>
              <w:pStyle w:val="TableCen"/>
            </w:pPr>
            <w:r w:rsidRPr="00891B9D">
              <w:rPr>
                <w:rFonts w:ascii="Symbol" w:eastAsia="Symbol" w:hAnsi="Symbol" w:cs="Symbol"/>
              </w:rPr>
              <w:t>£</w:t>
            </w:r>
            <w:r w:rsidRPr="00891B9D">
              <w:t>50</w:t>
            </w:r>
          </w:p>
        </w:tc>
        <w:tc>
          <w:tcPr>
            <w:tcW w:w="1016" w:type="dxa"/>
            <w:tcBorders>
              <w:top w:val="single" w:sz="2" w:space="0" w:color="auto"/>
              <w:left w:val="single" w:sz="2" w:space="0" w:color="auto"/>
              <w:bottom w:val="single" w:sz="12" w:space="0" w:color="auto"/>
              <w:right w:val="single" w:sz="2" w:space="0" w:color="auto"/>
            </w:tcBorders>
            <w:vAlign w:val="center"/>
          </w:tcPr>
          <w:p w14:paraId="02471599" w14:textId="31136463" w:rsidR="008466A4" w:rsidRPr="00891B9D" w:rsidRDefault="008466A4" w:rsidP="008466A4">
            <w:pPr>
              <w:pStyle w:val="TableCen"/>
            </w:pPr>
            <w:r w:rsidRPr="00891B9D">
              <w:t>2.7</w:t>
            </w:r>
          </w:p>
        </w:tc>
        <w:tc>
          <w:tcPr>
            <w:tcW w:w="1016" w:type="dxa"/>
            <w:tcBorders>
              <w:top w:val="single" w:sz="2" w:space="0" w:color="auto"/>
              <w:left w:val="single" w:sz="2" w:space="0" w:color="auto"/>
              <w:bottom w:val="single" w:sz="12" w:space="0" w:color="auto"/>
              <w:right w:val="single" w:sz="2" w:space="0" w:color="auto"/>
            </w:tcBorders>
            <w:vAlign w:val="center"/>
          </w:tcPr>
          <w:p w14:paraId="2D8570AC" w14:textId="28B35940" w:rsidR="008466A4" w:rsidRPr="00891B9D" w:rsidRDefault="008466A4" w:rsidP="008466A4">
            <w:pPr>
              <w:pStyle w:val="TableCen"/>
            </w:pPr>
            <w:r w:rsidRPr="00891B9D">
              <w:t>70</w:t>
            </w:r>
          </w:p>
        </w:tc>
        <w:tc>
          <w:tcPr>
            <w:tcW w:w="1016" w:type="dxa"/>
            <w:tcBorders>
              <w:top w:val="single" w:sz="2" w:space="0" w:color="auto"/>
              <w:left w:val="single" w:sz="2" w:space="0" w:color="auto"/>
              <w:bottom w:val="single" w:sz="12" w:space="0" w:color="auto"/>
              <w:right w:val="single" w:sz="2" w:space="0" w:color="auto"/>
            </w:tcBorders>
            <w:vAlign w:val="center"/>
          </w:tcPr>
          <w:p w14:paraId="0247159A" w14:textId="5275292B" w:rsidR="008466A4" w:rsidRPr="00891B9D" w:rsidRDefault="008466A4" w:rsidP="008466A4">
            <w:pPr>
              <w:pStyle w:val="TableCen"/>
            </w:pPr>
            <w:r w:rsidRPr="00891B9D">
              <w:t>3.4</w:t>
            </w:r>
          </w:p>
        </w:tc>
        <w:tc>
          <w:tcPr>
            <w:tcW w:w="1016" w:type="dxa"/>
            <w:tcBorders>
              <w:top w:val="single" w:sz="2" w:space="0" w:color="auto"/>
              <w:left w:val="single" w:sz="2" w:space="0" w:color="auto"/>
              <w:bottom w:val="single" w:sz="12" w:space="0" w:color="auto"/>
            </w:tcBorders>
            <w:vAlign w:val="center"/>
          </w:tcPr>
          <w:p w14:paraId="21AD8AA4" w14:textId="6282921F" w:rsidR="008466A4" w:rsidRPr="00891B9D" w:rsidRDefault="008466A4" w:rsidP="008466A4">
            <w:pPr>
              <w:pStyle w:val="TableCen"/>
            </w:pPr>
            <w:r w:rsidRPr="00891B9D">
              <w:t>90</w:t>
            </w:r>
          </w:p>
        </w:tc>
      </w:tr>
    </w:tbl>
    <w:p w14:paraId="0247159C" w14:textId="30474890" w:rsidR="009F0B66" w:rsidRDefault="009F0B66" w:rsidP="00D75BD4">
      <w:pPr>
        <w:pStyle w:val="Heading2"/>
      </w:pPr>
      <w:bookmarkStart w:id="15" w:name="_Toc76047064"/>
      <w:r>
        <w:t>PREPARATION</w:t>
      </w:r>
      <w:bookmarkEnd w:id="15"/>
    </w:p>
    <w:p w14:paraId="0247159D" w14:textId="77777777" w:rsidR="009F0B66" w:rsidRPr="00EB1CBF" w:rsidRDefault="00EB1CBF" w:rsidP="00D75BD4">
      <w:pPr>
        <w:pStyle w:val="Heading3"/>
      </w:pPr>
      <w:bookmarkStart w:id="16" w:name="_Toc76047065"/>
      <w:r w:rsidRPr="00EB1CBF">
        <w:t>Cleaning</w:t>
      </w:r>
      <w:bookmarkEnd w:id="16"/>
    </w:p>
    <w:p w14:paraId="0247159E" w14:textId="77777777" w:rsidR="009F0B66" w:rsidRDefault="009F0B66" w:rsidP="00F67683">
      <w:pPr>
        <w:pStyle w:val="BodyTextIndent"/>
      </w:pPr>
      <w:r>
        <w:t>Immediately before priming or tack coating remove loose stones, dust and foreign material from the base surface or existing surfacing using a power broom or blower.  Keep traffic off the cleaned surface.</w:t>
      </w:r>
    </w:p>
    <w:p w14:paraId="0247159F" w14:textId="77777777" w:rsidR="009F0B66" w:rsidRPr="00F67683" w:rsidRDefault="00F67683" w:rsidP="00D75BD4">
      <w:pPr>
        <w:pStyle w:val="Heading3"/>
      </w:pPr>
      <w:bookmarkStart w:id="17" w:name="_Toc76047066"/>
      <w:r w:rsidRPr="00F67683">
        <w:t>Protection</w:t>
      </w:r>
      <w:bookmarkEnd w:id="17"/>
    </w:p>
    <w:p w14:paraId="024715A0" w14:textId="77777777" w:rsidR="009F0B66" w:rsidRDefault="009F0B66" w:rsidP="00F67683">
      <w:pPr>
        <w:pStyle w:val="BodyTextIndent"/>
      </w:pPr>
      <w:r>
        <w:t>Protect adjacent surfaces</w:t>
      </w:r>
      <w:r w:rsidR="00572BC0">
        <w:t xml:space="preserve"> (such as kerbs, driveways, etc.)</w:t>
      </w:r>
      <w:r>
        <w:t xml:space="preserve"> during spraying of bituminous material.  Protect freshly sprayed surfaces from contamination.  Where required, clean adjacent surfaces or replace and make good.</w:t>
      </w:r>
    </w:p>
    <w:p w14:paraId="024715A1" w14:textId="77777777" w:rsidR="009F0B66" w:rsidRPr="00F67683" w:rsidRDefault="00F67683" w:rsidP="00D75BD4">
      <w:pPr>
        <w:pStyle w:val="Heading3"/>
      </w:pPr>
      <w:bookmarkStart w:id="18" w:name="_Toc76047067"/>
      <w:r w:rsidRPr="00F67683">
        <w:t>Priming And Primer Sealing</w:t>
      </w:r>
      <w:bookmarkEnd w:id="18"/>
    </w:p>
    <w:p w14:paraId="024715A2" w14:textId="27DD470E" w:rsidR="009F0B66" w:rsidRDefault="009F0B66" w:rsidP="00F67683">
      <w:pPr>
        <w:pStyle w:val="BodyTextIndent"/>
      </w:pPr>
      <w:r>
        <w:t xml:space="preserve">Prime or primer seal the granular base before any asphalt is placed, generally in accordance with the requirements of </w:t>
      </w:r>
      <w:r w:rsidR="007B4C11" w:rsidRPr="007B4C11">
        <w:rPr>
          <w:i/>
        </w:rPr>
        <w:t>Reference Specification</w:t>
      </w:r>
      <w:r w:rsidR="007B4C11">
        <w:t xml:space="preserve"> </w:t>
      </w:r>
      <w:r>
        <w:rPr>
          <w:i/>
        </w:rPr>
        <w:t>S330 Sprayed Bituminous Surfacing</w:t>
      </w:r>
      <w:r w:rsidR="00CB465B">
        <w:rPr>
          <w:i/>
        </w:rPr>
        <w:t>,</w:t>
      </w:r>
      <w:r>
        <w:rPr>
          <w:i/>
        </w:rPr>
        <w:t xml:space="preserve"> Clause 6.6 </w:t>
      </w:r>
      <w:r>
        <w:t>and</w:t>
      </w:r>
      <w:r>
        <w:rPr>
          <w:i/>
        </w:rPr>
        <w:t xml:space="preserve"> Clause 6.7</w:t>
      </w:r>
      <w:r>
        <w:t>.</w:t>
      </w:r>
    </w:p>
    <w:p w14:paraId="024715A3" w14:textId="77777777" w:rsidR="009F0B66" w:rsidRPr="00F67683" w:rsidRDefault="00F67683" w:rsidP="00D75BD4">
      <w:pPr>
        <w:pStyle w:val="Heading3"/>
      </w:pPr>
      <w:bookmarkStart w:id="19" w:name="_Toc76047068"/>
      <w:r w:rsidRPr="00F67683">
        <w:t>Potholes</w:t>
      </w:r>
      <w:bookmarkEnd w:id="19"/>
    </w:p>
    <w:p w14:paraId="024715A4" w14:textId="77777777" w:rsidR="009F0B66" w:rsidRDefault="009F0B66">
      <w:pPr>
        <w:pStyle w:val="BodyTextIndent2"/>
        <w:spacing w:after="0"/>
        <w:jc w:val="both"/>
      </w:pPr>
      <w:r>
        <w:t>Trim to a regular shape and a uniform depth of at least 75 mm.</w:t>
      </w:r>
      <w:r w:rsidR="00572BC0">
        <w:t xml:space="preserve">  If there are apparent signs that the pothole is a direct result of structural performance of the pavement (i.e. depression, total disintegration, etc.) investigate the cause and identify suitable depth of replacement accordingly.  The depth should be selected in line with the allowable maximum thickness of the </w:t>
      </w:r>
      <w:r w:rsidR="00FF0458">
        <w:t>applied</w:t>
      </w:r>
      <w:r w:rsidR="00572BC0">
        <w:t xml:space="preserve"> asphalt mix.</w:t>
      </w:r>
      <w:r>
        <w:t xml:space="preserve">  Tack coat the edges and bottom, and patch with asphaltic concrete.</w:t>
      </w:r>
    </w:p>
    <w:p w14:paraId="024715A5" w14:textId="77777777" w:rsidR="009F0B66" w:rsidRPr="00EB1CBF" w:rsidRDefault="00EB1CBF" w:rsidP="00D75BD4">
      <w:pPr>
        <w:pStyle w:val="Heading3"/>
      </w:pPr>
      <w:bookmarkStart w:id="20" w:name="_Toc76047069"/>
      <w:r w:rsidRPr="00EB1CBF">
        <w:t>Cold Planing</w:t>
      </w:r>
      <w:bookmarkEnd w:id="20"/>
    </w:p>
    <w:p w14:paraId="024715A6" w14:textId="4C7E593E" w:rsidR="009F0B66" w:rsidRDefault="009F0B66" w:rsidP="00EB1CBF">
      <w:pPr>
        <w:pStyle w:val="BodyTextIndent"/>
      </w:pPr>
      <w:r w:rsidRPr="009317FF">
        <w:rPr>
          <w:u w:val="single"/>
        </w:rPr>
        <w:t>Definition</w:t>
      </w:r>
      <w:r>
        <w:t xml:space="preserve">: Cold planing, or profiling, is the controlled milling of pavement surfaces using a revolving drum, having spirally set teeth, incorporated in a heavy </w:t>
      </w:r>
      <w:r w:rsidR="00E14706">
        <w:t>self-propelled</w:t>
      </w:r>
      <w:r>
        <w:t xml:space="preserve"> unit.</w:t>
      </w:r>
    </w:p>
    <w:p w14:paraId="024715A7" w14:textId="77777777" w:rsidR="009F0B66" w:rsidRDefault="009F0B66" w:rsidP="00EB1CBF">
      <w:pPr>
        <w:pStyle w:val="BodyTextIndent"/>
      </w:pPr>
      <w:r w:rsidRPr="009317FF">
        <w:rPr>
          <w:u w:val="single"/>
        </w:rPr>
        <w:t>Planning</w:t>
      </w:r>
      <w:r>
        <w:t xml:space="preserve">: Prepare for resurfacing by cold planing the pavement surface.  Determine job requirements such as area, depth of cut, and location of services (pit covers and the like). </w:t>
      </w:r>
      <w:r>
        <w:rPr>
          <w:i/>
        </w:rPr>
        <w:t xml:space="preserve"> Refer annexure</w:t>
      </w:r>
      <w:r>
        <w:t>.</w:t>
      </w:r>
    </w:p>
    <w:p w14:paraId="024715A8" w14:textId="77777777" w:rsidR="009F0B66" w:rsidRDefault="009F0B66" w:rsidP="00EB1CBF">
      <w:pPr>
        <w:pStyle w:val="BodyTextIndent"/>
      </w:pPr>
      <w:r w:rsidRPr="009317FF">
        <w:rPr>
          <w:u w:val="single"/>
        </w:rPr>
        <w:t>Correcting pavement shape</w:t>
      </w:r>
      <w:r>
        <w:t xml:space="preserve">: Take out ruts, bumps, depressions or other uneven areas of </w:t>
      </w:r>
      <w:r w:rsidR="00572BC0">
        <w:t xml:space="preserve">the </w:t>
      </w:r>
      <w:r>
        <w:t xml:space="preserve">pavement to allow a uniform thickness of </w:t>
      </w:r>
      <w:r w:rsidR="00572BC0">
        <w:t xml:space="preserve">the </w:t>
      </w:r>
      <w:r>
        <w:t>new asphalt surface to be placed.</w:t>
      </w:r>
    </w:p>
    <w:p w14:paraId="024715A9" w14:textId="77777777" w:rsidR="009F0B66" w:rsidRDefault="009F0B66" w:rsidP="00EB1CBF">
      <w:pPr>
        <w:pStyle w:val="BodyTextIndent"/>
      </w:pPr>
      <w:r w:rsidRPr="009317FF">
        <w:rPr>
          <w:u w:val="single"/>
        </w:rPr>
        <w:t>Deteriorated asphalt surfacing</w:t>
      </w:r>
      <w:r>
        <w:t>: Remove old asphalt which is fatty, bleeding, ravelling, cracked or otherwise deteriorated, prior to placing new surface.</w:t>
      </w:r>
    </w:p>
    <w:p w14:paraId="024715AA" w14:textId="77777777" w:rsidR="009F0B66" w:rsidRDefault="009F0B66" w:rsidP="00EB1CBF">
      <w:pPr>
        <w:pStyle w:val="BodyTextIndent"/>
      </w:pPr>
      <w:r w:rsidRPr="009317FF">
        <w:rPr>
          <w:u w:val="single"/>
        </w:rPr>
        <w:t>Slope and camber</w:t>
      </w:r>
      <w:r>
        <w:t>: If required, correct the slope or crossfall of a pavement.</w:t>
      </w:r>
    </w:p>
    <w:p w14:paraId="024715AB" w14:textId="77777777" w:rsidR="009F0B66" w:rsidRDefault="009F0B66" w:rsidP="00EB1CBF">
      <w:pPr>
        <w:pStyle w:val="BodyTextIndent"/>
      </w:pPr>
      <w:r w:rsidRPr="009317FF">
        <w:rPr>
          <w:u w:val="single"/>
        </w:rPr>
        <w:lastRenderedPageBreak/>
        <w:t>Edge planing</w:t>
      </w:r>
      <w:r>
        <w:t>: Remove asphalt adjacent to kerb and channel or adjoining asphalt surfaces to enable asphalt to be placed without creating height differences and to produce a smooth riding pavement joint.</w:t>
      </w:r>
    </w:p>
    <w:p w14:paraId="024715AC" w14:textId="77777777" w:rsidR="009F0B66" w:rsidRDefault="009F0B66" w:rsidP="00EB1CBF">
      <w:pPr>
        <w:pStyle w:val="BodyTextIndent"/>
      </w:pPr>
      <w:r w:rsidRPr="009317FF">
        <w:rPr>
          <w:u w:val="single"/>
        </w:rPr>
        <w:t>Texturing</w:t>
      </w:r>
      <w:r>
        <w:t>: Where asphalt resurfacing is to be placed in areas of high shearing stresses, such as roundabouts and intersections, cold plan to provide a well textured surface to create a strong bond to the new surface.</w:t>
      </w:r>
    </w:p>
    <w:p w14:paraId="024715AD" w14:textId="77777777" w:rsidR="009F0B66" w:rsidRDefault="009F0B66" w:rsidP="00EB1CBF">
      <w:pPr>
        <w:pStyle w:val="BodyTextIndent"/>
      </w:pPr>
      <w:r w:rsidRPr="009317FF">
        <w:rPr>
          <w:u w:val="single"/>
        </w:rPr>
        <w:t>Edge ramps</w:t>
      </w:r>
      <w:r>
        <w:t>: Where the cold planed surface is open to traffic and where the change in level exceeds 30 mm, provide suitable edge ramps by placing asphalt wedges.  Limit the maximum slope for longitudinal edges to 1V</w:t>
      </w:r>
      <w:r w:rsidR="009B190F">
        <w:t> </w:t>
      </w:r>
      <w:r>
        <w:t>in</w:t>
      </w:r>
      <w:r w:rsidR="009B190F">
        <w:t> </w:t>
      </w:r>
      <w:r>
        <w:t>5H.  Limit the maximum slope for transverse edges to 1V</w:t>
      </w:r>
      <w:r w:rsidR="009B190F">
        <w:t> </w:t>
      </w:r>
      <w:r>
        <w:t>in</w:t>
      </w:r>
      <w:r w:rsidR="009B190F">
        <w:t> </w:t>
      </w:r>
      <w:r>
        <w:t>10H for low speed roads and 1V</w:t>
      </w:r>
      <w:r w:rsidR="009B190F">
        <w:t> </w:t>
      </w:r>
      <w:r>
        <w:t>in</w:t>
      </w:r>
      <w:r w:rsidR="009B190F">
        <w:t> </w:t>
      </w:r>
      <w:r>
        <w:t>20H for roads with traffic speeds over 75 km/h.</w:t>
      </w:r>
    </w:p>
    <w:p w14:paraId="024715AE" w14:textId="77777777" w:rsidR="009F0B66" w:rsidRPr="00EB1CBF" w:rsidRDefault="00EB1CBF" w:rsidP="00D75BD4">
      <w:pPr>
        <w:pStyle w:val="Heading3"/>
      </w:pPr>
      <w:bookmarkStart w:id="21" w:name="_Toc76047070"/>
      <w:r w:rsidRPr="00EB1CBF">
        <w:t>Tack Coating</w:t>
      </w:r>
      <w:bookmarkEnd w:id="21"/>
    </w:p>
    <w:p w14:paraId="024715AF" w14:textId="3CE8479E" w:rsidR="009F0B66" w:rsidRDefault="009F0B66" w:rsidP="00EB1CBF">
      <w:pPr>
        <w:pStyle w:val="BodyTextIndent"/>
      </w:pPr>
      <w:r w:rsidRPr="009317FF">
        <w:rPr>
          <w:u w:val="single"/>
        </w:rPr>
        <w:t>Tack coat</w:t>
      </w:r>
      <w:r>
        <w:t>: A light application of bitum</w:t>
      </w:r>
      <w:r w:rsidR="000A6DCF">
        <w:t xml:space="preserve">en </w:t>
      </w:r>
      <w:r w:rsidR="00EB1CBF">
        <w:t>emulsion (</w:t>
      </w:r>
      <w:r w:rsidR="000A6DCF">
        <w:t xml:space="preserve">for example </w:t>
      </w:r>
      <w:r>
        <w:t>3</w:t>
      </w:r>
      <w:r w:rsidR="001128B8">
        <w:t> </w:t>
      </w:r>
      <w:r>
        <w:t xml:space="preserve">parts </w:t>
      </w:r>
      <w:r w:rsidR="00EB1CBF">
        <w:t>bitumen to</w:t>
      </w:r>
      <w:r>
        <w:t xml:space="preserve"> 2</w:t>
      </w:r>
      <w:r w:rsidR="001128B8">
        <w:t> </w:t>
      </w:r>
      <w:r>
        <w:t>parts water, by volume or weight) on or against existing asphalt, concrete or sealed surfaces, to promote the adhesion of subsequent asphalt layer to that surface.</w:t>
      </w:r>
      <w:r w:rsidR="000A6DCF">
        <w:t xml:space="preserve">  Select bitumen emulsion type in line with the required residual bitumen on the surface.</w:t>
      </w:r>
    </w:p>
    <w:p w14:paraId="024715B0" w14:textId="6B4C6140" w:rsidR="009F0B66" w:rsidRDefault="009F0B66" w:rsidP="00EB1CBF">
      <w:pPr>
        <w:pStyle w:val="BodyTextIndent"/>
      </w:pPr>
      <w:r w:rsidRPr="009317FF">
        <w:rPr>
          <w:u w:val="single"/>
        </w:rPr>
        <w:t>Timing</w:t>
      </w:r>
      <w:r>
        <w:t>: Apply tack coat 30 - 120</w:t>
      </w:r>
      <w:r w:rsidR="00A30A8F">
        <w:t> </w:t>
      </w:r>
      <w:r>
        <w:t>minutes before asphalt surfacing is placed.  If the pavement structure consists of a number of asphalt layers and where the elapsed time exceeds 3</w:t>
      </w:r>
      <w:r w:rsidR="00D06644">
        <w:t> </w:t>
      </w:r>
      <w:r>
        <w:t xml:space="preserve">days between the construction of these layers, </w:t>
      </w:r>
      <w:r w:rsidR="000A6DCF">
        <w:t xml:space="preserve">apply </w:t>
      </w:r>
      <w:r>
        <w:t>tack coat between the</w:t>
      </w:r>
      <w:r w:rsidR="000A6DCF">
        <w:t xml:space="preserve"> asphalt</w:t>
      </w:r>
      <w:r>
        <w:t xml:space="preserve"> layers.</w:t>
      </w:r>
    </w:p>
    <w:p w14:paraId="024715B1" w14:textId="14FB5644" w:rsidR="009F0B66" w:rsidRDefault="009F0B66" w:rsidP="00EB1CBF">
      <w:pPr>
        <w:pStyle w:val="BodyTextIndent"/>
      </w:pPr>
      <w:r w:rsidRPr="009317FF">
        <w:rPr>
          <w:u w:val="single"/>
        </w:rPr>
        <w:t>Application</w:t>
      </w:r>
      <w:r>
        <w:t>: Cover the surface uniformly at an application rate of 0.10 - 0.30 L/m</w:t>
      </w:r>
      <w:r w:rsidR="00A30A8F" w:rsidRPr="006157BD">
        <w:rPr>
          <w:vertAlign w:val="superscript"/>
        </w:rPr>
        <w:t>2</w:t>
      </w:r>
      <w:r>
        <w:t xml:space="preserve"> of residual bitumen.  Vary rate to suit the site conditions.  </w:t>
      </w:r>
      <w:r>
        <w:rPr>
          <w:i/>
        </w:rPr>
        <w:t>Refer annexure</w:t>
      </w:r>
      <w:r>
        <w:t>.</w:t>
      </w:r>
    </w:p>
    <w:p w14:paraId="024715B2" w14:textId="5F74AB18" w:rsidR="009F0B66" w:rsidRDefault="00045FE4" w:rsidP="00D75BD4">
      <w:pPr>
        <w:pStyle w:val="Heading2"/>
      </w:pPr>
      <w:bookmarkStart w:id="22" w:name="_Toc76047071"/>
      <w:r>
        <w:rPr>
          <w:caps w:val="0"/>
        </w:rPr>
        <w:t>PLACING AND COMPACTION</w:t>
      </w:r>
      <w:bookmarkEnd w:id="22"/>
    </w:p>
    <w:p w14:paraId="024715B3" w14:textId="77777777" w:rsidR="009F0B66" w:rsidRPr="00EB1CBF" w:rsidRDefault="00EB1CBF" w:rsidP="00D75BD4">
      <w:pPr>
        <w:pStyle w:val="Heading3"/>
      </w:pPr>
      <w:bookmarkStart w:id="23" w:name="_Toc76047072"/>
      <w:r w:rsidRPr="00EB1CBF">
        <w:t>Preliminary Trial</w:t>
      </w:r>
      <w:bookmarkEnd w:id="23"/>
    </w:p>
    <w:p w14:paraId="024715B4" w14:textId="77777777" w:rsidR="009F0B66" w:rsidRDefault="009F0B66" w:rsidP="00EB1CBF">
      <w:pPr>
        <w:pStyle w:val="BodyTextIndent"/>
      </w:pPr>
      <w:r w:rsidRPr="009317FF">
        <w:rPr>
          <w:u w:val="single"/>
        </w:rPr>
        <w:t>Requirement</w:t>
      </w:r>
      <w:r>
        <w:t xml:space="preserve">: Where directed, carry out a trial of the procedure for the laying operations if the rate of laying asphalt exceeds 60 tonnes per hour.  </w:t>
      </w:r>
      <w:r>
        <w:rPr>
          <w:i/>
        </w:rPr>
        <w:t>Refer annexure</w:t>
      </w:r>
      <w:r>
        <w:t>.</w:t>
      </w:r>
    </w:p>
    <w:p w14:paraId="024715B5" w14:textId="09292EFF" w:rsidR="009F0B66" w:rsidRDefault="009F0B66" w:rsidP="00EB1CBF">
      <w:pPr>
        <w:pStyle w:val="BodyTextIndent"/>
      </w:pPr>
      <w:r w:rsidRPr="009317FF">
        <w:rPr>
          <w:u w:val="single"/>
        </w:rPr>
        <w:t>Trial section</w:t>
      </w:r>
      <w:r>
        <w:t>: Site area of not less than 1000 m</w:t>
      </w:r>
      <w:r w:rsidR="00674484" w:rsidRPr="00674484">
        <w:rPr>
          <w:vertAlign w:val="superscript"/>
        </w:rPr>
        <w:t>2</w:t>
      </w:r>
      <w:r>
        <w:t>.  Determine the rolling pattern and the number of roller passes to achieve an acceptable compacted layer.</w:t>
      </w:r>
    </w:p>
    <w:p w14:paraId="024715B6" w14:textId="1F02EA6C" w:rsidR="009F0B66" w:rsidRDefault="009F0B66" w:rsidP="00EB1CBF">
      <w:pPr>
        <w:pStyle w:val="BodyTextIndent"/>
      </w:pPr>
      <w:r w:rsidRPr="009317FF">
        <w:rPr>
          <w:u w:val="single"/>
        </w:rPr>
        <w:t>Rolling pattern</w:t>
      </w:r>
      <w:r w:rsidR="007A0700">
        <w:t>:</w:t>
      </w:r>
      <w:r>
        <w:t xml:space="preserve"> Do not vary the established rolling pattern without prior approval of the Superintendent.</w:t>
      </w:r>
    </w:p>
    <w:p w14:paraId="024715B7" w14:textId="77777777" w:rsidR="009F0B66" w:rsidRPr="00886DC1" w:rsidRDefault="00886DC1" w:rsidP="00D75BD4">
      <w:pPr>
        <w:pStyle w:val="Heading3"/>
      </w:pPr>
      <w:bookmarkStart w:id="24" w:name="_Toc76047073"/>
      <w:r w:rsidRPr="00886DC1">
        <w:t>Placing</w:t>
      </w:r>
      <w:bookmarkEnd w:id="24"/>
    </w:p>
    <w:p w14:paraId="024715B8" w14:textId="77777777" w:rsidR="009F0B66" w:rsidRDefault="009F0B66" w:rsidP="00EB1CBF">
      <w:pPr>
        <w:pStyle w:val="BodyTextIndentBoldUnderline"/>
      </w:pPr>
      <w:r>
        <w:t>Weather restrictions</w:t>
      </w:r>
    </w:p>
    <w:p w14:paraId="024715B9" w14:textId="77777777" w:rsidR="009F0B66" w:rsidRDefault="009F0B66" w:rsidP="00EB1CBF">
      <w:pPr>
        <w:pStyle w:val="BodyTextIndent"/>
      </w:pPr>
      <w:r w:rsidRPr="009317FF">
        <w:rPr>
          <w:u w:val="single"/>
        </w:rPr>
        <w:t>Weather</w:t>
      </w:r>
      <w:r>
        <w:t>: Place asphalt surfacing on a pavement surface that is essentially dry and free of any surface water.  Do not place asphalt during periods of heavy or continuous rain or when rain is likely to fall during the laying and compaction of asphalt.</w:t>
      </w:r>
    </w:p>
    <w:p w14:paraId="024715BA" w14:textId="0BFC9A46" w:rsidR="009F0B66" w:rsidRDefault="009F0B66" w:rsidP="00EB1CBF">
      <w:pPr>
        <w:pStyle w:val="BodyTextIndent"/>
      </w:pPr>
      <w:r w:rsidRPr="009317FF">
        <w:rPr>
          <w:u w:val="single"/>
        </w:rPr>
        <w:t>Temperature and wind speed</w:t>
      </w:r>
      <w:r>
        <w:t>: Low pavement temperature and high wind speed adversely affects the compaction of thin layers of asphalt.  If the pavement temperature falls below 25</w:t>
      </w:r>
      <w:r w:rsidR="00980F65">
        <w:rPr>
          <w:rFonts w:cs="Arial"/>
        </w:rPr>
        <w:t>°</w:t>
      </w:r>
      <w:r>
        <w:t>C and wind speed exceeds 25 km/h, supply at least one additional roller and/or increase the asphalt discharge temperature</w:t>
      </w:r>
      <w:r w:rsidR="007528EA">
        <w:t xml:space="preserve"> within the specified limits</w:t>
      </w:r>
      <w:r>
        <w:t>.</w:t>
      </w:r>
    </w:p>
    <w:p w14:paraId="024715BB" w14:textId="77777777" w:rsidR="009F0B66" w:rsidRDefault="009F0B66" w:rsidP="00EB1CBF">
      <w:pPr>
        <w:pStyle w:val="BodyTextIndentBoldUnderline"/>
      </w:pPr>
      <w:r>
        <w:t>Discharge temperatures</w:t>
      </w:r>
    </w:p>
    <w:p w14:paraId="024715BC" w14:textId="77777777" w:rsidR="009F0B66" w:rsidRDefault="009F0B66" w:rsidP="00EB1CBF">
      <w:pPr>
        <w:pStyle w:val="BodyTextIndent"/>
      </w:pPr>
      <w:r w:rsidRPr="009317FF">
        <w:rPr>
          <w:u w:val="single"/>
        </w:rPr>
        <w:t>Discharge temperature</w:t>
      </w:r>
      <w:r>
        <w:t>: Temperature of asphalt at the time of discharge from the delivery vehicle into the receiving hopper of the paver.  Vary the discharge temperatures to suit</w:t>
      </w:r>
      <w:r w:rsidR="007528EA">
        <w:t>:</w:t>
      </w:r>
    </w:p>
    <w:p w14:paraId="024715BD" w14:textId="2E92692C" w:rsidR="009F0B66" w:rsidRDefault="009F0B66" w:rsidP="00EB1CBF">
      <w:pPr>
        <w:pStyle w:val="BodyTextIndent"/>
      </w:pPr>
      <w:r w:rsidRPr="009317FF">
        <w:rPr>
          <w:u w:val="single"/>
        </w:rPr>
        <w:t xml:space="preserve">Layer thickness </w:t>
      </w:r>
      <w:r w:rsidR="00986C81">
        <w:rPr>
          <w:rFonts w:cs="Arial"/>
          <w:u w:val="single"/>
        </w:rPr>
        <w:t>≤</w:t>
      </w:r>
      <w:r w:rsidRPr="009317FF">
        <w:rPr>
          <w:u w:val="single"/>
        </w:rPr>
        <w:t>40 mm</w:t>
      </w:r>
      <w:r>
        <w:t>: Maintain discharge temperature range 135 - 175</w:t>
      </w:r>
      <w:r w:rsidR="00986C81">
        <w:rPr>
          <w:rFonts w:cs="Arial"/>
        </w:rPr>
        <w:t>°</w:t>
      </w:r>
      <w:r>
        <w:t>C.</w:t>
      </w:r>
    </w:p>
    <w:p w14:paraId="024715BE" w14:textId="41D9946D" w:rsidR="009F0B66" w:rsidRDefault="009F0B66" w:rsidP="00EB1CBF">
      <w:pPr>
        <w:pStyle w:val="BodyTextIndent"/>
      </w:pPr>
      <w:r w:rsidRPr="009317FF">
        <w:rPr>
          <w:u w:val="single"/>
        </w:rPr>
        <w:t xml:space="preserve">Layer thickness </w:t>
      </w:r>
      <w:r w:rsidR="00986C81">
        <w:rPr>
          <w:u w:val="single"/>
        </w:rPr>
        <w:t>&gt;</w:t>
      </w:r>
      <w:r w:rsidRPr="009317FF">
        <w:rPr>
          <w:u w:val="single"/>
        </w:rPr>
        <w:t>40 mm</w:t>
      </w:r>
      <w:r>
        <w:t>: Maintain discharge temperature range 125 - 175</w:t>
      </w:r>
      <w:r w:rsidR="00A41D71">
        <w:rPr>
          <w:rFonts w:cs="Arial"/>
        </w:rPr>
        <w:t>°</w:t>
      </w:r>
      <w:r>
        <w:t>C.</w:t>
      </w:r>
    </w:p>
    <w:p w14:paraId="024715BF" w14:textId="77777777" w:rsidR="009F0B66" w:rsidRDefault="009F0B66" w:rsidP="00EB1CBF">
      <w:pPr>
        <w:pStyle w:val="BodyTextIndentBoldUnderline"/>
      </w:pPr>
      <w:r>
        <w:t>Mechanical placement</w:t>
      </w:r>
    </w:p>
    <w:p w14:paraId="024715C0" w14:textId="77777777" w:rsidR="009F0B66" w:rsidRDefault="009F0B66" w:rsidP="00EB1CBF">
      <w:pPr>
        <w:pStyle w:val="BodyTextIndent"/>
      </w:pPr>
      <w:r w:rsidRPr="009317FF">
        <w:rPr>
          <w:u w:val="single"/>
        </w:rPr>
        <w:t>Paver operation</w:t>
      </w:r>
      <w:r>
        <w:t xml:space="preserve">: Commence asphalt placement immediately following discharge of the asphalt into the receiving hopper.  Adjust operating speed of the paver to achieve continuous asphalt laying to the maximum practicable extent.  Do not leave spreader box in contact with the </w:t>
      </w:r>
      <w:r>
        <w:lastRenderedPageBreak/>
        <w:t>previously laid asphalt for any prolonged periods whilst awaiting asphalt delivery.  Do not allow asphalt to segregate or to accumulate along the sides of the receiving hopper.  Achieve uniform appearance with no evidence of segregation in the finished mat.</w:t>
      </w:r>
    </w:p>
    <w:p w14:paraId="024715C1" w14:textId="77777777" w:rsidR="009F0B66" w:rsidRDefault="009F0B66" w:rsidP="00EB1CBF">
      <w:pPr>
        <w:pStyle w:val="BodyTextIndent"/>
      </w:pPr>
      <w:r w:rsidRPr="009317FF">
        <w:rPr>
          <w:u w:val="single"/>
        </w:rPr>
        <w:t>Laying pattern</w:t>
      </w:r>
      <w:r>
        <w:t>: Lay the main paving runs first.  Plan the placing operation to minimise the number of joints.</w:t>
      </w:r>
    </w:p>
    <w:p w14:paraId="024715C2" w14:textId="77777777" w:rsidR="009F0B66" w:rsidRDefault="009F0B66" w:rsidP="00EB1CBF">
      <w:pPr>
        <w:pStyle w:val="BodyTextIndent"/>
      </w:pPr>
      <w:r w:rsidRPr="009317FF">
        <w:rPr>
          <w:u w:val="single"/>
        </w:rPr>
        <w:t>Layer thickness</w:t>
      </w:r>
      <w:r>
        <w:t>: Comply with the limits specified in Table 5.1 when selecting target thickness of each layer chosen to suit the construction process and the thickness of the compacted asphalt course.</w:t>
      </w:r>
    </w:p>
    <w:p w14:paraId="024715C3" w14:textId="7E95F29B" w:rsidR="009F0B66" w:rsidRPr="009317FF" w:rsidRDefault="009F0B66" w:rsidP="00EC46AE">
      <w:pPr>
        <w:pStyle w:val="TableIDNum"/>
      </w:pPr>
      <w:r w:rsidRPr="009A058B">
        <w:t>Table</w:t>
      </w:r>
      <w:r w:rsidR="009A058B" w:rsidRPr="009A058B">
        <w:t> </w:t>
      </w:r>
      <w:r w:rsidRPr="00EC46AE">
        <w:t xml:space="preserve">5.1 </w:t>
      </w:r>
      <w:r w:rsidR="0040715B" w:rsidRPr="002768B1">
        <w:t>–</w:t>
      </w:r>
      <w:r w:rsidRPr="00290554">
        <w:t xml:space="preserve"> </w:t>
      </w:r>
      <w:r w:rsidRPr="009317FF">
        <w:t>Layer thickness limits</w:t>
      </w:r>
    </w:p>
    <w:tbl>
      <w:tblPr>
        <w:tblW w:w="8789" w:type="dxa"/>
        <w:tblInd w:w="817"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945"/>
        <w:gridCol w:w="1181"/>
        <w:gridCol w:w="1665"/>
        <w:gridCol w:w="1666"/>
        <w:gridCol w:w="1666"/>
        <w:gridCol w:w="1666"/>
      </w:tblGrid>
      <w:tr w:rsidR="0013618B" w:rsidRPr="009317FF" w14:paraId="024715C7" w14:textId="77777777" w:rsidTr="00305AAA">
        <w:trPr>
          <w:cantSplit/>
          <w:trHeight w:val="397"/>
          <w:tblHeader/>
        </w:trPr>
        <w:tc>
          <w:tcPr>
            <w:tcW w:w="945" w:type="dxa"/>
            <w:vMerge w:val="restart"/>
            <w:tcBorders>
              <w:top w:val="single" w:sz="12" w:space="0" w:color="000000"/>
              <w:left w:val="nil"/>
              <w:bottom w:val="single" w:sz="8" w:space="0" w:color="000000"/>
              <w:right w:val="nil"/>
            </w:tcBorders>
            <w:shd w:val="pct10" w:color="auto" w:fill="auto"/>
            <w:vAlign w:val="center"/>
          </w:tcPr>
          <w:p w14:paraId="024715C4" w14:textId="77777777" w:rsidR="0013618B" w:rsidRPr="009317FF" w:rsidRDefault="0013618B" w:rsidP="00EB1CBF">
            <w:pPr>
              <w:pStyle w:val="TableHeadCen"/>
              <w:rPr>
                <w:u w:val="single"/>
              </w:rPr>
            </w:pPr>
            <w:r w:rsidRPr="009317FF">
              <w:rPr>
                <w:u w:val="single"/>
              </w:rPr>
              <w:t>Mix type</w:t>
            </w:r>
          </w:p>
        </w:tc>
        <w:tc>
          <w:tcPr>
            <w:tcW w:w="1181" w:type="dxa"/>
            <w:vMerge w:val="restart"/>
            <w:tcBorders>
              <w:top w:val="single" w:sz="12" w:space="0" w:color="000000"/>
              <w:left w:val="nil"/>
              <w:bottom w:val="single" w:sz="8" w:space="0" w:color="000000"/>
              <w:right w:val="nil"/>
            </w:tcBorders>
            <w:shd w:val="pct10" w:color="auto" w:fill="auto"/>
            <w:vAlign w:val="center"/>
          </w:tcPr>
          <w:p w14:paraId="024715C5" w14:textId="59890D35" w:rsidR="0013618B" w:rsidRPr="009317FF" w:rsidRDefault="0013618B" w:rsidP="00EB1CBF">
            <w:pPr>
              <w:pStyle w:val="TableHeadCen"/>
              <w:rPr>
                <w:u w:val="single"/>
              </w:rPr>
            </w:pPr>
            <w:r w:rsidRPr="009317FF">
              <w:rPr>
                <w:u w:val="single"/>
              </w:rPr>
              <w:t>Nominal aggregate size</w:t>
            </w:r>
            <w:r w:rsidRPr="009317FF">
              <w:rPr>
                <w:i/>
                <w:iCs/>
                <w:u w:val="single"/>
                <w:vertAlign w:val="superscript"/>
              </w:rPr>
              <w:t>(1)</w:t>
            </w:r>
          </w:p>
        </w:tc>
        <w:tc>
          <w:tcPr>
            <w:tcW w:w="6663" w:type="dxa"/>
            <w:gridSpan w:val="4"/>
            <w:tcBorders>
              <w:top w:val="single" w:sz="12" w:space="0" w:color="000000"/>
              <w:left w:val="nil"/>
              <w:bottom w:val="single" w:sz="8" w:space="0" w:color="000000"/>
              <w:right w:val="nil"/>
            </w:tcBorders>
            <w:shd w:val="pct10" w:color="auto" w:fill="auto"/>
            <w:vAlign w:val="center"/>
          </w:tcPr>
          <w:p w14:paraId="024715C6" w14:textId="77777777" w:rsidR="0013618B" w:rsidRPr="009317FF" w:rsidRDefault="0013618B" w:rsidP="00EB1CBF">
            <w:pPr>
              <w:pStyle w:val="TableHeadCen"/>
              <w:rPr>
                <w:u w:val="single"/>
              </w:rPr>
            </w:pPr>
            <w:r w:rsidRPr="009317FF">
              <w:rPr>
                <w:u w:val="single"/>
              </w:rPr>
              <w:t>Compacted layer thickness</w:t>
            </w:r>
          </w:p>
        </w:tc>
      </w:tr>
      <w:tr w:rsidR="0013618B" w:rsidRPr="009317FF" w14:paraId="024715CC" w14:textId="77777777" w:rsidTr="00305AAA">
        <w:trPr>
          <w:cantSplit/>
          <w:trHeight w:val="397"/>
          <w:tblHeader/>
        </w:trPr>
        <w:tc>
          <w:tcPr>
            <w:tcW w:w="945" w:type="dxa"/>
            <w:vMerge/>
            <w:tcBorders>
              <w:top w:val="single" w:sz="8" w:space="0" w:color="000000"/>
              <w:left w:val="nil"/>
              <w:bottom w:val="single" w:sz="8" w:space="0" w:color="000000"/>
              <w:right w:val="nil"/>
            </w:tcBorders>
            <w:shd w:val="pct10" w:color="auto" w:fill="auto"/>
            <w:vAlign w:val="center"/>
          </w:tcPr>
          <w:p w14:paraId="024715C8" w14:textId="77777777" w:rsidR="0013618B" w:rsidRPr="009317FF" w:rsidRDefault="0013618B" w:rsidP="0040715B">
            <w:pPr>
              <w:pStyle w:val="TableHeadCen"/>
              <w:rPr>
                <w:u w:val="single"/>
              </w:rPr>
            </w:pPr>
          </w:p>
        </w:tc>
        <w:tc>
          <w:tcPr>
            <w:tcW w:w="1181" w:type="dxa"/>
            <w:vMerge/>
            <w:tcBorders>
              <w:top w:val="single" w:sz="8" w:space="0" w:color="000000"/>
              <w:left w:val="nil"/>
              <w:bottom w:val="single" w:sz="8" w:space="0" w:color="000000"/>
              <w:right w:val="nil"/>
            </w:tcBorders>
            <w:shd w:val="pct10" w:color="auto" w:fill="auto"/>
            <w:vAlign w:val="center"/>
          </w:tcPr>
          <w:p w14:paraId="024715C9" w14:textId="77777777" w:rsidR="0013618B" w:rsidRPr="009317FF" w:rsidRDefault="0013618B" w:rsidP="0040715B">
            <w:pPr>
              <w:pStyle w:val="TableHeadCen"/>
              <w:rPr>
                <w:u w:val="single"/>
              </w:rPr>
            </w:pPr>
          </w:p>
        </w:tc>
        <w:tc>
          <w:tcPr>
            <w:tcW w:w="3331" w:type="dxa"/>
            <w:gridSpan w:val="2"/>
            <w:tcBorders>
              <w:top w:val="single" w:sz="8" w:space="0" w:color="000000"/>
              <w:left w:val="nil"/>
              <w:bottom w:val="single" w:sz="8" w:space="0" w:color="000000"/>
              <w:right w:val="single" w:sz="2" w:space="0" w:color="000000"/>
            </w:tcBorders>
            <w:shd w:val="pct10" w:color="auto" w:fill="auto"/>
            <w:vAlign w:val="center"/>
          </w:tcPr>
          <w:p w14:paraId="024715CA" w14:textId="77777777" w:rsidR="0013618B" w:rsidRPr="009317FF" w:rsidRDefault="0013618B" w:rsidP="0040715B">
            <w:pPr>
              <w:pStyle w:val="TableHeadCen"/>
              <w:rPr>
                <w:u w:val="single"/>
              </w:rPr>
            </w:pPr>
            <w:r w:rsidRPr="009317FF">
              <w:rPr>
                <w:u w:val="single"/>
              </w:rPr>
              <w:t>Structural layer</w:t>
            </w:r>
          </w:p>
        </w:tc>
        <w:tc>
          <w:tcPr>
            <w:tcW w:w="3332" w:type="dxa"/>
            <w:gridSpan w:val="2"/>
            <w:tcBorders>
              <w:top w:val="single" w:sz="8" w:space="0" w:color="000000"/>
              <w:left w:val="single" w:sz="2" w:space="0" w:color="000000"/>
              <w:bottom w:val="single" w:sz="8" w:space="0" w:color="000000"/>
              <w:right w:val="nil"/>
            </w:tcBorders>
            <w:shd w:val="pct10" w:color="auto" w:fill="auto"/>
            <w:vAlign w:val="center"/>
          </w:tcPr>
          <w:p w14:paraId="024715CB" w14:textId="77777777" w:rsidR="0013618B" w:rsidRPr="009317FF" w:rsidRDefault="0013618B" w:rsidP="0040715B">
            <w:pPr>
              <w:pStyle w:val="TableHeadCen"/>
              <w:rPr>
                <w:u w:val="single"/>
              </w:rPr>
            </w:pPr>
            <w:r w:rsidRPr="009317FF">
              <w:rPr>
                <w:u w:val="single"/>
              </w:rPr>
              <w:t>Surfacing layer</w:t>
            </w:r>
          </w:p>
        </w:tc>
      </w:tr>
      <w:tr w:rsidR="00305AAA" w:rsidRPr="009317FF" w14:paraId="5A1D0BE4" w14:textId="77777777" w:rsidTr="00305AAA">
        <w:trPr>
          <w:cantSplit/>
          <w:trHeight w:val="340"/>
        </w:trPr>
        <w:tc>
          <w:tcPr>
            <w:tcW w:w="945" w:type="dxa"/>
            <w:vMerge/>
            <w:tcBorders>
              <w:top w:val="single" w:sz="8" w:space="0" w:color="000000"/>
              <w:left w:val="nil"/>
              <w:bottom w:val="single" w:sz="12" w:space="0" w:color="000000"/>
            </w:tcBorders>
            <w:vAlign w:val="center"/>
          </w:tcPr>
          <w:p w14:paraId="016EA9CB" w14:textId="77777777" w:rsidR="00305AAA" w:rsidRPr="00900DD4" w:rsidRDefault="00305AAA" w:rsidP="00305AAA">
            <w:pPr>
              <w:pStyle w:val="TableCen"/>
            </w:pPr>
          </w:p>
        </w:tc>
        <w:tc>
          <w:tcPr>
            <w:tcW w:w="1181" w:type="dxa"/>
            <w:vMerge/>
            <w:tcBorders>
              <w:top w:val="single" w:sz="8" w:space="0" w:color="000000"/>
              <w:bottom w:val="single" w:sz="12" w:space="0" w:color="000000"/>
            </w:tcBorders>
            <w:vAlign w:val="center"/>
          </w:tcPr>
          <w:p w14:paraId="0D747DC8" w14:textId="77777777" w:rsidR="00305AAA" w:rsidRPr="00900DD4" w:rsidRDefault="00305AAA" w:rsidP="00305AAA">
            <w:pPr>
              <w:pStyle w:val="TableCen"/>
            </w:pPr>
          </w:p>
        </w:tc>
        <w:tc>
          <w:tcPr>
            <w:tcW w:w="1665" w:type="dxa"/>
            <w:tcBorders>
              <w:top w:val="single" w:sz="8" w:space="0" w:color="000000"/>
              <w:bottom w:val="single" w:sz="12" w:space="0" w:color="000000"/>
            </w:tcBorders>
            <w:vAlign w:val="center"/>
          </w:tcPr>
          <w:p w14:paraId="490A1B80" w14:textId="03D5CF17" w:rsidR="00305AAA" w:rsidRPr="00900DD4" w:rsidRDefault="00305AAA" w:rsidP="00305AAA">
            <w:pPr>
              <w:pStyle w:val="TableCen"/>
            </w:pPr>
            <w:r>
              <w:t>Minimum thickness (mm)</w:t>
            </w:r>
          </w:p>
        </w:tc>
        <w:tc>
          <w:tcPr>
            <w:tcW w:w="1666" w:type="dxa"/>
            <w:tcBorders>
              <w:top w:val="single" w:sz="8" w:space="0" w:color="000000"/>
              <w:bottom w:val="single" w:sz="12" w:space="0" w:color="000000"/>
              <w:right w:val="single" w:sz="2" w:space="0" w:color="000000"/>
            </w:tcBorders>
            <w:vAlign w:val="center"/>
          </w:tcPr>
          <w:p w14:paraId="23CDEB89" w14:textId="7B412FEA" w:rsidR="00305AAA" w:rsidRPr="00900DD4" w:rsidRDefault="00305AAA" w:rsidP="00305AAA">
            <w:pPr>
              <w:pStyle w:val="TableCen"/>
            </w:pPr>
            <w:r>
              <w:t>Maximum thickness (mm)</w:t>
            </w:r>
          </w:p>
        </w:tc>
        <w:tc>
          <w:tcPr>
            <w:tcW w:w="1666" w:type="dxa"/>
            <w:tcBorders>
              <w:top w:val="single" w:sz="8" w:space="0" w:color="000000"/>
              <w:left w:val="single" w:sz="2" w:space="0" w:color="000000"/>
              <w:bottom w:val="single" w:sz="12" w:space="0" w:color="000000"/>
            </w:tcBorders>
            <w:vAlign w:val="center"/>
          </w:tcPr>
          <w:p w14:paraId="2DD1A376" w14:textId="11063C95" w:rsidR="00305AAA" w:rsidRPr="00900DD4" w:rsidRDefault="00305AAA" w:rsidP="00305AAA">
            <w:pPr>
              <w:pStyle w:val="TableCen"/>
            </w:pPr>
            <w:r>
              <w:t>Minimum thickness (mm)</w:t>
            </w:r>
          </w:p>
        </w:tc>
        <w:tc>
          <w:tcPr>
            <w:tcW w:w="1666" w:type="dxa"/>
            <w:tcBorders>
              <w:top w:val="single" w:sz="8" w:space="0" w:color="000000"/>
              <w:bottom w:val="single" w:sz="12" w:space="0" w:color="000000"/>
              <w:right w:val="nil"/>
            </w:tcBorders>
            <w:vAlign w:val="center"/>
          </w:tcPr>
          <w:p w14:paraId="5E78C4A6" w14:textId="188EE807" w:rsidR="00305AAA" w:rsidRPr="00900DD4" w:rsidRDefault="00305AAA" w:rsidP="00305AAA">
            <w:pPr>
              <w:pStyle w:val="TableCen"/>
            </w:pPr>
            <w:r>
              <w:t>Maximum thickness (mm)</w:t>
            </w:r>
          </w:p>
        </w:tc>
      </w:tr>
      <w:tr w:rsidR="00305AAA" w:rsidRPr="009317FF" w14:paraId="024715D3" w14:textId="77777777" w:rsidTr="00305AAA">
        <w:trPr>
          <w:cantSplit/>
          <w:trHeight w:val="340"/>
        </w:trPr>
        <w:tc>
          <w:tcPr>
            <w:tcW w:w="945" w:type="dxa"/>
            <w:tcBorders>
              <w:top w:val="single" w:sz="12" w:space="0" w:color="000000"/>
              <w:bottom w:val="single" w:sz="6" w:space="0" w:color="000000"/>
            </w:tcBorders>
            <w:vAlign w:val="center"/>
          </w:tcPr>
          <w:p w14:paraId="024715CD" w14:textId="457B1CF0" w:rsidR="00305AAA" w:rsidRPr="00900DD4" w:rsidRDefault="00305AAA" w:rsidP="00305AAA">
            <w:pPr>
              <w:pStyle w:val="TableCen"/>
            </w:pPr>
            <w:r w:rsidRPr="00900DD4">
              <w:t>Type 1</w:t>
            </w:r>
          </w:p>
        </w:tc>
        <w:tc>
          <w:tcPr>
            <w:tcW w:w="1181" w:type="dxa"/>
            <w:tcBorders>
              <w:top w:val="single" w:sz="12" w:space="0" w:color="000000"/>
              <w:bottom w:val="single" w:sz="6" w:space="0" w:color="000000"/>
            </w:tcBorders>
            <w:vAlign w:val="center"/>
          </w:tcPr>
          <w:p w14:paraId="024715CE" w14:textId="77777777" w:rsidR="00305AAA" w:rsidRPr="00900DD4" w:rsidRDefault="00305AAA" w:rsidP="00305AAA">
            <w:pPr>
              <w:pStyle w:val="TableCen"/>
            </w:pPr>
            <w:r w:rsidRPr="00900DD4">
              <w:t>5 mm</w:t>
            </w:r>
          </w:p>
        </w:tc>
        <w:tc>
          <w:tcPr>
            <w:tcW w:w="1665" w:type="dxa"/>
            <w:tcBorders>
              <w:top w:val="single" w:sz="12" w:space="0" w:color="000000"/>
              <w:bottom w:val="single" w:sz="6" w:space="0" w:color="000000"/>
            </w:tcBorders>
            <w:vAlign w:val="center"/>
          </w:tcPr>
          <w:p w14:paraId="024715CF" w14:textId="77777777" w:rsidR="00305AAA" w:rsidRPr="00900DD4" w:rsidRDefault="00305AAA" w:rsidP="00305AAA">
            <w:pPr>
              <w:pStyle w:val="TableCen"/>
            </w:pPr>
            <w:r w:rsidRPr="00900DD4">
              <w:t>Not suitable</w:t>
            </w:r>
          </w:p>
        </w:tc>
        <w:tc>
          <w:tcPr>
            <w:tcW w:w="1666" w:type="dxa"/>
            <w:tcBorders>
              <w:top w:val="single" w:sz="12" w:space="0" w:color="000000"/>
              <w:bottom w:val="single" w:sz="6" w:space="0" w:color="000000"/>
              <w:right w:val="single" w:sz="2" w:space="0" w:color="000000"/>
            </w:tcBorders>
            <w:vAlign w:val="center"/>
          </w:tcPr>
          <w:p w14:paraId="024715D0" w14:textId="77777777" w:rsidR="00305AAA" w:rsidRPr="00900DD4" w:rsidRDefault="00305AAA" w:rsidP="00305AAA">
            <w:pPr>
              <w:pStyle w:val="TableCen"/>
            </w:pPr>
            <w:r w:rsidRPr="00900DD4">
              <w:t>Not suitable</w:t>
            </w:r>
          </w:p>
        </w:tc>
        <w:tc>
          <w:tcPr>
            <w:tcW w:w="1666" w:type="dxa"/>
            <w:tcBorders>
              <w:top w:val="single" w:sz="12" w:space="0" w:color="000000"/>
              <w:left w:val="single" w:sz="2" w:space="0" w:color="000000"/>
              <w:bottom w:val="single" w:sz="6" w:space="0" w:color="000000"/>
            </w:tcBorders>
            <w:vAlign w:val="center"/>
          </w:tcPr>
          <w:p w14:paraId="024715D1" w14:textId="7FDC3688" w:rsidR="00305AAA" w:rsidRPr="00900DD4" w:rsidRDefault="00305AAA" w:rsidP="00305AAA">
            <w:pPr>
              <w:pStyle w:val="TableCen"/>
            </w:pPr>
            <w:r w:rsidRPr="00900DD4">
              <w:t>15</w:t>
            </w:r>
          </w:p>
        </w:tc>
        <w:tc>
          <w:tcPr>
            <w:tcW w:w="1666" w:type="dxa"/>
            <w:tcBorders>
              <w:top w:val="single" w:sz="12" w:space="0" w:color="000000"/>
              <w:bottom w:val="single" w:sz="6" w:space="0" w:color="000000"/>
            </w:tcBorders>
            <w:vAlign w:val="center"/>
          </w:tcPr>
          <w:p w14:paraId="024715D2" w14:textId="52BFEB8E" w:rsidR="00305AAA" w:rsidRPr="00900DD4" w:rsidRDefault="00305AAA" w:rsidP="00305AAA">
            <w:pPr>
              <w:pStyle w:val="TableCen"/>
            </w:pPr>
            <w:r w:rsidRPr="00900DD4">
              <w:t>25</w:t>
            </w:r>
          </w:p>
        </w:tc>
      </w:tr>
      <w:tr w:rsidR="00305AAA" w14:paraId="024715DA" w14:textId="77777777" w:rsidTr="00B32490">
        <w:trPr>
          <w:cantSplit/>
          <w:trHeight w:val="340"/>
        </w:trPr>
        <w:tc>
          <w:tcPr>
            <w:tcW w:w="945" w:type="dxa"/>
            <w:tcBorders>
              <w:top w:val="single" w:sz="6" w:space="0" w:color="000000"/>
              <w:bottom w:val="single" w:sz="6" w:space="0" w:color="000000"/>
            </w:tcBorders>
            <w:vAlign w:val="center"/>
          </w:tcPr>
          <w:p w14:paraId="024715D4" w14:textId="703BE989" w:rsidR="00305AAA" w:rsidRDefault="00305AAA" w:rsidP="00305AAA">
            <w:pPr>
              <w:pStyle w:val="TableCen"/>
            </w:pPr>
            <w:r>
              <w:t>Type 2</w:t>
            </w:r>
          </w:p>
        </w:tc>
        <w:tc>
          <w:tcPr>
            <w:tcW w:w="1181" w:type="dxa"/>
            <w:tcBorders>
              <w:top w:val="single" w:sz="6" w:space="0" w:color="000000"/>
              <w:bottom w:val="single" w:sz="6" w:space="0" w:color="000000"/>
            </w:tcBorders>
            <w:vAlign w:val="center"/>
          </w:tcPr>
          <w:p w14:paraId="024715D5" w14:textId="77777777" w:rsidR="00305AAA" w:rsidRDefault="00305AAA" w:rsidP="00305AAA">
            <w:pPr>
              <w:pStyle w:val="TableCen"/>
            </w:pPr>
            <w:r>
              <w:t>10 mm</w:t>
            </w:r>
          </w:p>
        </w:tc>
        <w:tc>
          <w:tcPr>
            <w:tcW w:w="1665" w:type="dxa"/>
            <w:tcBorders>
              <w:top w:val="single" w:sz="6" w:space="0" w:color="000000"/>
              <w:bottom w:val="single" w:sz="6" w:space="0" w:color="000000"/>
            </w:tcBorders>
            <w:vAlign w:val="center"/>
          </w:tcPr>
          <w:p w14:paraId="024715D6" w14:textId="77777777" w:rsidR="00305AAA" w:rsidRDefault="00305AAA" w:rsidP="00305AAA">
            <w:pPr>
              <w:pStyle w:val="TableCen"/>
            </w:pPr>
            <w:r>
              <w:t>Not suitable</w:t>
            </w:r>
          </w:p>
        </w:tc>
        <w:tc>
          <w:tcPr>
            <w:tcW w:w="1666" w:type="dxa"/>
            <w:tcBorders>
              <w:top w:val="single" w:sz="6" w:space="0" w:color="000000"/>
              <w:bottom w:val="single" w:sz="6" w:space="0" w:color="000000"/>
              <w:right w:val="single" w:sz="2" w:space="0" w:color="000000"/>
            </w:tcBorders>
            <w:vAlign w:val="center"/>
          </w:tcPr>
          <w:p w14:paraId="024715D7" w14:textId="77777777" w:rsidR="00305AAA" w:rsidRDefault="00305AAA" w:rsidP="00305AAA">
            <w:pPr>
              <w:pStyle w:val="TableCen"/>
            </w:pPr>
            <w:r>
              <w:t>Not suitable</w:t>
            </w:r>
          </w:p>
        </w:tc>
        <w:tc>
          <w:tcPr>
            <w:tcW w:w="1666" w:type="dxa"/>
            <w:tcBorders>
              <w:top w:val="single" w:sz="6" w:space="0" w:color="000000"/>
              <w:left w:val="single" w:sz="2" w:space="0" w:color="000000"/>
              <w:bottom w:val="single" w:sz="6" w:space="0" w:color="000000"/>
            </w:tcBorders>
            <w:vAlign w:val="center"/>
          </w:tcPr>
          <w:p w14:paraId="024715D8" w14:textId="19D4D46F" w:rsidR="00305AAA" w:rsidRDefault="00305AAA" w:rsidP="00305AAA">
            <w:pPr>
              <w:pStyle w:val="TableCen"/>
            </w:pPr>
            <w:r>
              <w:t>30</w:t>
            </w:r>
          </w:p>
        </w:tc>
        <w:tc>
          <w:tcPr>
            <w:tcW w:w="1666" w:type="dxa"/>
            <w:tcBorders>
              <w:top w:val="single" w:sz="6" w:space="0" w:color="000000"/>
              <w:bottom w:val="single" w:sz="6" w:space="0" w:color="000000"/>
            </w:tcBorders>
            <w:vAlign w:val="center"/>
          </w:tcPr>
          <w:p w14:paraId="024715D9" w14:textId="2C6962C7" w:rsidR="00305AAA" w:rsidRDefault="00305AAA" w:rsidP="00305AAA">
            <w:pPr>
              <w:pStyle w:val="TableCen"/>
            </w:pPr>
            <w:r>
              <w:t>40</w:t>
            </w:r>
          </w:p>
        </w:tc>
      </w:tr>
      <w:tr w:rsidR="00305AAA" w14:paraId="024715E1" w14:textId="77777777" w:rsidTr="00B32490">
        <w:trPr>
          <w:cantSplit/>
          <w:trHeight w:val="340"/>
        </w:trPr>
        <w:tc>
          <w:tcPr>
            <w:tcW w:w="945" w:type="dxa"/>
            <w:tcBorders>
              <w:top w:val="single" w:sz="6" w:space="0" w:color="000000"/>
              <w:bottom w:val="single" w:sz="6" w:space="0" w:color="000000"/>
            </w:tcBorders>
            <w:vAlign w:val="center"/>
          </w:tcPr>
          <w:p w14:paraId="024715DB" w14:textId="1C365CA4" w:rsidR="00305AAA" w:rsidRDefault="00305AAA" w:rsidP="00305AAA">
            <w:pPr>
              <w:pStyle w:val="TableCen"/>
            </w:pPr>
            <w:r>
              <w:t>Type 3</w:t>
            </w:r>
          </w:p>
        </w:tc>
        <w:tc>
          <w:tcPr>
            <w:tcW w:w="1181" w:type="dxa"/>
            <w:tcBorders>
              <w:top w:val="single" w:sz="6" w:space="0" w:color="000000"/>
              <w:bottom w:val="single" w:sz="6" w:space="0" w:color="000000"/>
            </w:tcBorders>
            <w:vAlign w:val="center"/>
          </w:tcPr>
          <w:p w14:paraId="024715DC" w14:textId="3CBF914F" w:rsidR="00305AAA" w:rsidRPr="00891B9D" w:rsidRDefault="00305AAA" w:rsidP="00305AAA">
            <w:pPr>
              <w:pStyle w:val="TableCen"/>
            </w:pPr>
            <w:r w:rsidRPr="00891B9D">
              <w:t>14 mm</w:t>
            </w:r>
          </w:p>
        </w:tc>
        <w:tc>
          <w:tcPr>
            <w:tcW w:w="1665" w:type="dxa"/>
            <w:tcBorders>
              <w:top w:val="single" w:sz="6" w:space="0" w:color="000000"/>
              <w:bottom w:val="single" w:sz="6" w:space="0" w:color="000000"/>
            </w:tcBorders>
            <w:vAlign w:val="center"/>
          </w:tcPr>
          <w:p w14:paraId="024715DD" w14:textId="0D67B23B" w:rsidR="00305AAA" w:rsidRDefault="00305AAA" w:rsidP="00305AAA">
            <w:pPr>
              <w:pStyle w:val="TableCen"/>
            </w:pPr>
            <w:r>
              <w:t>50</w:t>
            </w:r>
          </w:p>
        </w:tc>
        <w:tc>
          <w:tcPr>
            <w:tcW w:w="1666" w:type="dxa"/>
            <w:tcBorders>
              <w:top w:val="single" w:sz="6" w:space="0" w:color="000000"/>
              <w:bottom w:val="single" w:sz="6" w:space="0" w:color="000000"/>
              <w:right w:val="single" w:sz="2" w:space="0" w:color="000000"/>
            </w:tcBorders>
            <w:vAlign w:val="center"/>
          </w:tcPr>
          <w:p w14:paraId="024715DE" w14:textId="02A2E273" w:rsidR="00305AAA" w:rsidRDefault="00305AAA" w:rsidP="00305AAA">
            <w:pPr>
              <w:pStyle w:val="TableCen"/>
            </w:pPr>
            <w:r>
              <w:t>80</w:t>
            </w:r>
          </w:p>
        </w:tc>
        <w:tc>
          <w:tcPr>
            <w:tcW w:w="1666" w:type="dxa"/>
            <w:tcBorders>
              <w:top w:val="single" w:sz="6" w:space="0" w:color="000000"/>
              <w:left w:val="single" w:sz="2" w:space="0" w:color="000000"/>
              <w:bottom w:val="single" w:sz="6" w:space="0" w:color="000000"/>
            </w:tcBorders>
            <w:vAlign w:val="center"/>
          </w:tcPr>
          <w:p w14:paraId="024715DF" w14:textId="450B6DD3" w:rsidR="00305AAA" w:rsidRDefault="00305AAA" w:rsidP="00305AAA">
            <w:pPr>
              <w:pStyle w:val="TableCen"/>
            </w:pPr>
            <w:r>
              <w:t>50</w:t>
            </w:r>
          </w:p>
        </w:tc>
        <w:tc>
          <w:tcPr>
            <w:tcW w:w="1666" w:type="dxa"/>
            <w:tcBorders>
              <w:top w:val="single" w:sz="6" w:space="0" w:color="000000"/>
              <w:bottom w:val="single" w:sz="6" w:space="0" w:color="000000"/>
            </w:tcBorders>
            <w:vAlign w:val="center"/>
          </w:tcPr>
          <w:p w14:paraId="024715E0" w14:textId="6A06628B" w:rsidR="00305AAA" w:rsidRDefault="00305AAA" w:rsidP="00305AAA">
            <w:pPr>
              <w:pStyle w:val="TableCen"/>
            </w:pPr>
            <w:r>
              <w:t>60</w:t>
            </w:r>
          </w:p>
        </w:tc>
      </w:tr>
      <w:tr w:rsidR="00305AAA" w14:paraId="024715E8" w14:textId="77777777" w:rsidTr="00B32490">
        <w:trPr>
          <w:cantSplit/>
          <w:trHeight w:val="340"/>
        </w:trPr>
        <w:tc>
          <w:tcPr>
            <w:tcW w:w="945" w:type="dxa"/>
            <w:tcBorders>
              <w:top w:val="single" w:sz="6" w:space="0" w:color="000000"/>
            </w:tcBorders>
            <w:vAlign w:val="center"/>
          </w:tcPr>
          <w:p w14:paraId="024715E2" w14:textId="6C8CCA5B" w:rsidR="00305AAA" w:rsidRDefault="00305AAA" w:rsidP="00305AAA">
            <w:pPr>
              <w:pStyle w:val="TableCen"/>
            </w:pPr>
            <w:r>
              <w:t>Type 4</w:t>
            </w:r>
          </w:p>
        </w:tc>
        <w:tc>
          <w:tcPr>
            <w:tcW w:w="1181" w:type="dxa"/>
            <w:tcBorders>
              <w:top w:val="single" w:sz="6" w:space="0" w:color="000000"/>
            </w:tcBorders>
            <w:vAlign w:val="center"/>
          </w:tcPr>
          <w:p w14:paraId="024715E3" w14:textId="77777777" w:rsidR="00305AAA" w:rsidRDefault="00305AAA" w:rsidP="00305AAA">
            <w:pPr>
              <w:pStyle w:val="TableCen"/>
            </w:pPr>
            <w:r>
              <w:t>35 mm</w:t>
            </w:r>
          </w:p>
        </w:tc>
        <w:tc>
          <w:tcPr>
            <w:tcW w:w="1665" w:type="dxa"/>
            <w:tcBorders>
              <w:top w:val="single" w:sz="6" w:space="0" w:color="000000"/>
            </w:tcBorders>
            <w:vAlign w:val="center"/>
          </w:tcPr>
          <w:p w14:paraId="024715E4" w14:textId="3DD60129" w:rsidR="00305AAA" w:rsidRDefault="00305AAA" w:rsidP="00305AAA">
            <w:pPr>
              <w:pStyle w:val="TableCen"/>
            </w:pPr>
            <w:r>
              <w:t>70</w:t>
            </w:r>
          </w:p>
        </w:tc>
        <w:tc>
          <w:tcPr>
            <w:tcW w:w="1666" w:type="dxa"/>
            <w:tcBorders>
              <w:top w:val="single" w:sz="6" w:space="0" w:color="000000"/>
              <w:bottom w:val="single" w:sz="12" w:space="0" w:color="000000"/>
              <w:right w:val="single" w:sz="2" w:space="0" w:color="000000"/>
            </w:tcBorders>
            <w:vAlign w:val="center"/>
          </w:tcPr>
          <w:p w14:paraId="024715E5" w14:textId="11FF54ED" w:rsidR="00305AAA" w:rsidRDefault="00305AAA" w:rsidP="00305AAA">
            <w:pPr>
              <w:pStyle w:val="TableCen"/>
            </w:pPr>
            <w:r>
              <w:t>100</w:t>
            </w:r>
          </w:p>
        </w:tc>
        <w:tc>
          <w:tcPr>
            <w:tcW w:w="1666" w:type="dxa"/>
            <w:tcBorders>
              <w:top w:val="single" w:sz="6" w:space="0" w:color="000000"/>
              <w:left w:val="single" w:sz="2" w:space="0" w:color="000000"/>
              <w:bottom w:val="single" w:sz="12" w:space="0" w:color="000000"/>
            </w:tcBorders>
            <w:vAlign w:val="center"/>
          </w:tcPr>
          <w:p w14:paraId="024715E6" w14:textId="77777777" w:rsidR="00305AAA" w:rsidRDefault="00305AAA" w:rsidP="00305AAA">
            <w:pPr>
              <w:pStyle w:val="TableCen"/>
            </w:pPr>
            <w:r>
              <w:t>Not suitable</w:t>
            </w:r>
          </w:p>
        </w:tc>
        <w:tc>
          <w:tcPr>
            <w:tcW w:w="1666" w:type="dxa"/>
            <w:tcBorders>
              <w:top w:val="single" w:sz="6" w:space="0" w:color="000000"/>
            </w:tcBorders>
            <w:vAlign w:val="center"/>
          </w:tcPr>
          <w:p w14:paraId="024715E7" w14:textId="77777777" w:rsidR="00305AAA" w:rsidRDefault="00305AAA" w:rsidP="00305AAA">
            <w:pPr>
              <w:pStyle w:val="TableCen"/>
            </w:pPr>
            <w:r>
              <w:t>Not suitable</w:t>
            </w:r>
          </w:p>
        </w:tc>
      </w:tr>
    </w:tbl>
    <w:p w14:paraId="024715E9" w14:textId="6E348A45" w:rsidR="00076050" w:rsidRPr="007B4C11" w:rsidRDefault="009F420F" w:rsidP="00AB3EC0">
      <w:pPr>
        <w:pStyle w:val="BodyTextIndent"/>
        <w:tabs>
          <w:tab w:val="left" w:pos="1134"/>
        </w:tabs>
        <w:ind w:left="1134" w:hanging="425"/>
        <w:rPr>
          <w:i/>
          <w:sz w:val="16"/>
          <w:szCs w:val="16"/>
        </w:rPr>
      </w:pPr>
      <w:r w:rsidRPr="00E538B7">
        <w:rPr>
          <w:i/>
          <w:sz w:val="16"/>
          <w:szCs w:val="16"/>
          <w:vertAlign w:val="superscript"/>
        </w:rPr>
        <w:t>(1)</w:t>
      </w:r>
      <w:r w:rsidR="00AB3EC0" w:rsidRPr="007B4C11">
        <w:rPr>
          <w:i/>
          <w:sz w:val="16"/>
          <w:szCs w:val="16"/>
        </w:rPr>
        <w:tab/>
      </w:r>
      <w:r w:rsidR="00076050" w:rsidRPr="007B4C11">
        <w:rPr>
          <w:i/>
          <w:sz w:val="16"/>
          <w:szCs w:val="16"/>
        </w:rPr>
        <w:t xml:space="preserve">Designation for a mix chosen to give an indication of the largest particle </w:t>
      </w:r>
      <w:r w:rsidR="00FF0458" w:rsidRPr="007B4C11">
        <w:rPr>
          <w:i/>
          <w:sz w:val="16"/>
          <w:szCs w:val="16"/>
        </w:rPr>
        <w:t xml:space="preserve">present; </w:t>
      </w:r>
      <w:r w:rsidR="00767B9D" w:rsidRPr="00767B9D">
        <w:rPr>
          <w:i/>
          <w:sz w:val="16"/>
          <w:szCs w:val="16"/>
        </w:rPr>
        <w:t xml:space="preserve">DTMR </w:t>
      </w:r>
      <w:r w:rsidR="00FF0458" w:rsidRPr="007B4C11">
        <w:rPr>
          <w:i/>
          <w:sz w:val="16"/>
          <w:szCs w:val="16"/>
        </w:rPr>
        <w:t>mixes are defined i</w:t>
      </w:r>
      <w:r w:rsidR="00076050" w:rsidRPr="007B4C11">
        <w:rPr>
          <w:i/>
          <w:sz w:val="16"/>
          <w:szCs w:val="16"/>
        </w:rPr>
        <w:t>n a different way.</w:t>
      </w:r>
    </w:p>
    <w:p w14:paraId="024715EA" w14:textId="77777777" w:rsidR="009F0B66" w:rsidRDefault="009F0B66" w:rsidP="00AB3EC0">
      <w:pPr>
        <w:pStyle w:val="BodyTextIndentBoldUnderline"/>
      </w:pPr>
      <w:r>
        <w:t>Hand spreading</w:t>
      </w:r>
    </w:p>
    <w:p w14:paraId="024715EB" w14:textId="77777777" w:rsidR="009F0B66" w:rsidRDefault="009F0B66" w:rsidP="00AB3EC0">
      <w:pPr>
        <w:pStyle w:val="BodyTextIndent"/>
      </w:pPr>
      <w:r w:rsidRPr="009317FF">
        <w:rPr>
          <w:u w:val="single"/>
        </w:rPr>
        <w:t>Execution</w:t>
      </w:r>
      <w:r>
        <w:t>: Take asphalt directly from the receiving hopper (or other approved location), distribute immediately into place using shovels, spread to the required loose depth using metal rake or board rakes (lutes), and roll immediately.</w:t>
      </w:r>
      <w:r w:rsidR="00AE6DC1">
        <w:t xml:space="preserve">  Remove segregated large aggregates from the surface before commencing rolling.</w:t>
      </w:r>
    </w:p>
    <w:p w14:paraId="024715EC" w14:textId="77777777" w:rsidR="009F0B66" w:rsidRDefault="009F0B66" w:rsidP="00AB3EC0">
      <w:pPr>
        <w:pStyle w:val="BodyTextIndent"/>
      </w:pPr>
      <w:r w:rsidRPr="009317FF">
        <w:rPr>
          <w:u w:val="single"/>
        </w:rPr>
        <w:t>Limitations</w:t>
      </w:r>
      <w:r>
        <w:t>: Confine hand spreading operations to the correction of minor surface irregularities, to work on or very close to drainage channels, to work in tapers, and to work in other areas normally inaccessible to pavers.</w:t>
      </w:r>
    </w:p>
    <w:p w14:paraId="024715ED" w14:textId="77777777" w:rsidR="009F0B66" w:rsidRPr="00886DC1" w:rsidRDefault="00886DC1" w:rsidP="00D75BD4">
      <w:pPr>
        <w:pStyle w:val="Heading3"/>
      </w:pPr>
      <w:bookmarkStart w:id="25" w:name="_Toc76047074"/>
      <w:r w:rsidRPr="00886DC1">
        <w:t>Compaction</w:t>
      </w:r>
      <w:bookmarkEnd w:id="25"/>
    </w:p>
    <w:p w14:paraId="024715EE" w14:textId="77777777" w:rsidR="009F0B66" w:rsidRDefault="009F0B66" w:rsidP="00AB3EC0">
      <w:pPr>
        <w:pStyle w:val="BodyTextIndentBoldUnderline"/>
      </w:pPr>
      <w:r>
        <w:t>Execution</w:t>
      </w:r>
    </w:p>
    <w:p w14:paraId="024715EF" w14:textId="77777777" w:rsidR="009F0B66" w:rsidRDefault="009F0B66" w:rsidP="00AB3EC0">
      <w:pPr>
        <w:pStyle w:val="BodyTextIndent"/>
      </w:pPr>
      <w:r w:rsidRPr="009317FF">
        <w:rPr>
          <w:u w:val="single"/>
        </w:rPr>
        <w:t>Surface preparation</w:t>
      </w:r>
      <w:r>
        <w:t>: Before commencing compaction, correct promptly any irregularities in line or level.  Trim lane edges to a straight line.</w:t>
      </w:r>
    </w:p>
    <w:p w14:paraId="024715F0" w14:textId="77777777" w:rsidR="009F0B66" w:rsidRDefault="009F0B66" w:rsidP="00AB3EC0">
      <w:pPr>
        <w:pStyle w:val="BodyTextIndent"/>
      </w:pPr>
      <w:r w:rsidRPr="009317FF">
        <w:rPr>
          <w:u w:val="single"/>
        </w:rPr>
        <w:t>Compaction</w:t>
      </w:r>
      <w:r>
        <w:t>: Compact asphalt surfacing uniformly as soon as it will support rollers without undue displacement.</w:t>
      </w:r>
    </w:p>
    <w:p w14:paraId="024715F1" w14:textId="7BCC287A" w:rsidR="009F0B66" w:rsidRDefault="009F0B66" w:rsidP="00AB3EC0">
      <w:pPr>
        <w:pStyle w:val="BodyTextIndent"/>
      </w:pPr>
      <w:r w:rsidRPr="563F9DD3">
        <w:rPr>
          <w:u w:val="single"/>
        </w:rPr>
        <w:t>Rolling temperatures</w:t>
      </w:r>
      <w:r>
        <w:t>: At the commencement of rolling, maintain minimum mix temperatures of 115</w:t>
      </w:r>
      <w:r w:rsidR="001753AB" w:rsidRPr="563F9DD3">
        <w:rPr>
          <w:rFonts w:cs="Arial"/>
        </w:rPr>
        <w:t>°</w:t>
      </w:r>
      <w:r w:rsidR="0040715B">
        <w:t>C</w:t>
      </w:r>
      <w:r w:rsidR="00AE6DC1">
        <w:t xml:space="preserve"> (for layer thickness </w:t>
      </w:r>
      <w:r w:rsidR="009D745B" w:rsidRPr="563F9DD3">
        <w:rPr>
          <w:rFonts w:cs="Arial"/>
        </w:rPr>
        <w:t>≤</w:t>
      </w:r>
      <w:r w:rsidR="00AE6DC1">
        <w:t>40 mm)</w:t>
      </w:r>
      <w:r>
        <w:t xml:space="preserve"> and 105</w:t>
      </w:r>
      <w:r w:rsidR="002102F3">
        <w:rPr>
          <w:rFonts w:cs="Arial"/>
        </w:rPr>
        <w:t>°</w:t>
      </w:r>
      <w:r>
        <w:t>C</w:t>
      </w:r>
      <w:r w:rsidR="00AE6DC1">
        <w:t xml:space="preserve"> (for layer thickness </w:t>
      </w:r>
      <w:r w:rsidR="00781689">
        <w:t>&gt;</w:t>
      </w:r>
      <w:r w:rsidR="00AE6DC1">
        <w:t>40 mm)</w:t>
      </w:r>
      <w:r>
        <w:t>.  Vary the rolling temperatures to suit.  Complete rolling while the mix temperature is above 95</w:t>
      </w:r>
      <w:r w:rsidR="001753AB" w:rsidRPr="563F9DD3">
        <w:rPr>
          <w:rFonts w:cs="Arial"/>
        </w:rPr>
        <w:t>°</w:t>
      </w:r>
      <w:r>
        <w:t>C.</w:t>
      </w:r>
    </w:p>
    <w:p w14:paraId="29D17E4C" w14:textId="2A0C2939" w:rsidR="003D3F3E" w:rsidRDefault="7B536E17" w:rsidP="563F9DD3">
      <w:pPr>
        <w:pStyle w:val="BodyTextIndent"/>
      </w:pPr>
      <w:r w:rsidRPr="00891B9D">
        <w:t xml:space="preserve">Where a warm mix asphalt additive is included in the mix design and </w:t>
      </w:r>
      <w:r w:rsidR="66EEDB56" w:rsidRPr="00891B9D">
        <w:t xml:space="preserve">it is </w:t>
      </w:r>
      <w:r w:rsidRPr="00891B9D">
        <w:t>propose</w:t>
      </w:r>
      <w:r w:rsidR="39F85349" w:rsidRPr="00891B9D">
        <w:t>d</w:t>
      </w:r>
      <w:r w:rsidRPr="00891B9D">
        <w:t xml:space="preserve"> to use a lower temperature than that specified </w:t>
      </w:r>
      <w:r w:rsidR="497135DF" w:rsidRPr="00891B9D">
        <w:t xml:space="preserve">above, submit evidence </w:t>
      </w:r>
      <w:r w:rsidR="1FB15C46" w:rsidRPr="00891B9D">
        <w:t xml:space="preserve">to demonstrate </w:t>
      </w:r>
      <w:r w:rsidRPr="00891B9D">
        <w:t>the suitability of the temperature to be adopted.</w:t>
      </w:r>
      <w:permStart w:id="522808981" w:edGrp="everyone"/>
      <w:permEnd w:id="522808981"/>
    </w:p>
    <w:p w14:paraId="024715F2" w14:textId="77777777" w:rsidR="009F0B66" w:rsidRDefault="009F0B66" w:rsidP="00AB3EC0">
      <w:pPr>
        <w:pStyle w:val="BodyTextIndent"/>
      </w:pPr>
      <w:r w:rsidRPr="0090699E">
        <w:rPr>
          <w:u w:val="single"/>
        </w:rPr>
        <w:t>Surface finish</w:t>
      </w:r>
      <w:r>
        <w:t>: Provide a surface uniform in appearance and free from depressions in which water can lie.</w:t>
      </w:r>
    </w:p>
    <w:p w14:paraId="024715F3" w14:textId="520B4D2C" w:rsidR="009F0B66" w:rsidRDefault="009F0B66" w:rsidP="00AB3EC0">
      <w:pPr>
        <w:pStyle w:val="BodyTextIndentBoldUnderline"/>
      </w:pPr>
      <w:r>
        <w:t>Testing</w:t>
      </w:r>
    </w:p>
    <w:p w14:paraId="024715F4" w14:textId="77777777" w:rsidR="009F0B66" w:rsidRDefault="009F0B66" w:rsidP="00AB3EC0">
      <w:pPr>
        <w:pStyle w:val="BodyTextIndent"/>
      </w:pPr>
      <w:r w:rsidRPr="0090699E">
        <w:rPr>
          <w:u w:val="single"/>
        </w:rPr>
        <w:t>Test methods</w:t>
      </w:r>
      <w:r>
        <w:t>: Perform a field bulk density test for each test site using one of the following methods.</w:t>
      </w:r>
    </w:p>
    <w:p w14:paraId="024715F5" w14:textId="07F16963" w:rsidR="009F0B66" w:rsidRDefault="009F0B66" w:rsidP="00DF338C">
      <w:pPr>
        <w:pStyle w:val="BodyTextIndentDot"/>
      </w:pPr>
      <w:r>
        <w:t>Core sampling of the asphalt layer in accordance with</w:t>
      </w:r>
      <w:r w:rsidRPr="00AB3EC0">
        <w:rPr>
          <w:i/>
        </w:rPr>
        <w:t xml:space="preserve"> </w:t>
      </w:r>
      <w:r w:rsidR="00AC1D88" w:rsidRPr="00AC1D88">
        <w:rPr>
          <w:i/>
        </w:rPr>
        <w:t>AS</w:t>
      </w:r>
      <w:r w:rsidR="00AC1D88" w:rsidRPr="00AB3EC0">
        <w:rPr>
          <w:i/>
        </w:rPr>
        <w:t> </w:t>
      </w:r>
      <w:r w:rsidR="00AC1D88" w:rsidRPr="00AC1D88">
        <w:rPr>
          <w:i/>
        </w:rPr>
        <w:t>2891.1.2</w:t>
      </w:r>
      <w:r w:rsidR="00AC1D88" w:rsidRPr="00AC1D88" w:rsidDel="00AC1D88">
        <w:rPr>
          <w:i/>
        </w:rPr>
        <w:t xml:space="preserve"> </w:t>
      </w:r>
      <w:r w:rsidR="00AF7DD9">
        <w:t>(dry coring)</w:t>
      </w:r>
      <w:r>
        <w:t>,</w:t>
      </w:r>
      <w:r w:rsidR="00DF338C" w:rsidRPr="00DF338C">
        <w:t xml:space="preserve"> </w:t>
      </w:r>
      <w:r w:rsidR="00DF338C" w:rsidRPr="00DF338C">
        <w:rPr>
          <w:i/>
        </w:rPr>
        <w:t>AS 2891.9.2</w:t>
      </w:r>
      <w:r>
        <w:t xml:space="preserve"> </w:t>
      </w:r>
      <w:r w:rsidR="00082F5A" w:rsidRPr="008B46A9">
        <w:rPr>
          <w:i/>
        </w:rPr>
        <w:t xml:space="preserve">DTMR </w:t>
      </w:r>
      <w:r w:rsidR="00CE64E2">
        <w:rPr>
          <w:i/>
        </w:rPr>
        <w:t>T</w:t>
      </w:r>
      <w:r w:rsidR="00CE64E2" w:rsidRPr="00AB3EC0">
        <w:rPr>
          <w:i/>
        </w:rPr>
        <w:t xml:space="preserve">est </w:t>
      </w:r>
      <w:r w:rsidR="00CE64E2">
        <w:rPr>
          <w:i/>
        </w:rPr>
        <w:t>M</w:t>
      </w:r>
      <w:r w:rsidR="00CE64E2" w:rsidRPr="00AB3EC0">
        <w:rPr>
          <w:i/>
        </w:rPr>
        <w:t>ethod</w:t>
      </w:r>
      <w:r w:rsidR="00537AB8">
        <w:rPr>
          <w:i/>
        </w:rPr>
        <w:t>s</w:t>
      </w:r>
      <w:r w:rsidR="00CE64E2" w:rsidRPr="00AB3EC0">
        <w:rPr>
          <w:i/>
        </w:rPr>
        <w:t xml:space="preserve"> </w:t>
      </w:r>
      <w:r w:rsidRPr="00AB3EC0">
        <w:rPr>
          <w:i/>
        </w:rPr>
        <w:t>Q303</w:t>
      </w:r>
      <w:r w:rsidR="00AF7DD9">
        <w:t xml:space="preserve"> (preparation of cored sample)</w:t>
      </w:r>
      <w:r>
        <w:t xml:space="preserve"> and </w:t>
      </w:r>
      <w:r w:rsidRPr="00AB3EC0">
        <w:rPr>
          <w:i/>
        </w:rPr>
        <w:t>Q306C</w:t>
      </w:r>
      <w:r>
        <w:t xml:space="preserve">.  </w:t>
      </w:r>
      <w:r w:rsidR="008B46A9" w:rsidRPr="008B46A9">
        <w:rPr>
          <w:i/>
        </w:rPr>
        <w:t xml:space="preserve">DTMR </w:t>
      </w:r>
      <w:r w:rsidR="00537AB8">
        <w:rPr>
          <w:i/>
        </w:rPr>
        <w:t>T</w:t>
      </w:r>
      <w:r w:rsidR="00537AB8" w:rsidRPr="00AB3EC0">
        <w:rPr>
          <w:i/>
        </w:rPr>
        <w:t xml:space="preserve">est </w:t>
      </w:r>
      <w:r w:rsidR="00537AB8">
        <w:rPr>
          <w:i/>
        </w:rPr>
        <w:t>M</w:t>
      </w:r>
      <w:r w:rsidR="00537AB8" w:rsidRPr="00AB3EC0">
        <w:rPr>
          <w:i/>
        </w:rPr>
        <w:t xml:space="preserve">ethod </w:t>
      </w:r>
      <w:r w:rsidR="007B4C11" w:rsidRPr="007B4C11">
        <w:rPr>
          <w:i/>
        </w:rPr>
        <w:t>Q</w:t>
      </w:r>
      <w:r w:rsidRPr="007B4C11">
        <w:rPr>
          <w:i/>
        </w:rPr>
        <w:t>306</w:t>
      </w:r>
      <w:r w:rsidR="00AF7DD9" w:rsidRPr="007B4C11">
        <w:rPr>
          <w:i/>
        </w:rPr>
        <w:t>B</w:t>
      </w:r>
      <w:r>
        <w:t xml:space="preserve"> must not be used for samples taken from areas within the pavement that are </w:t>
      </w:r>
      <w:r>
        <w:lastRenderedPageBreak/>
        <w:t xml:space="preserve">coarsely segregated or poorly compacted.  </w:t>
      </w:r>
      <w:r w:rsidR="00082F5A" w:rsidRPr="008B46A9">
        <w:rPr>
          <w:i/>
        </w:rPr>
        <w:t xml:space="preserve">DTMR </w:t>
      </w:r>
      <w:r w:rsidR="00537AB8">
        <w:rPr>
          <w:i/>
        </w:rPr>
        <w:t>T</w:t>
      </w:r>
      <w:r w:rsidR="00537AB8" w:rsidRPr="00AB3EC0">
        <w:rPr>
          <w:i/>
        </w:rPr>
        <w:t xml:space="preserve">est </w:t>
      </w:r>
      <w:r w:rsidR="00537AB8">
        <w:rPr>
          <w:i/>
        </w:rPr>
        <w:t>M</w:t>
      </w:r>
      <w:r w:rsidR="00537AB8" w:rsidRPr="00AB3EC0">
        <w:rPr>
          <w:i/>
        </w:rPr>
        <w:t xml:space="preserve">ethod </w:t>
      </w:r>
      <w:r w:rsidR="007B4C11" w:rsidRPr="009B190F">
        <w:rPr>
          <w:i/>
        </w:rPr>
        <w:t>Q</w:t>
      </w:r>
      <w:r w:rsidRPr="009B190F">
        <w:rPr>
          <w:i/>
        </w:rPr>
        <w:t>306C</w:t>
      </w:r>
      <w:r>
        <w:t xml:space="preserve"> must be used for these areas.</w:t>
      </w:r>
    </w:p>
    <w:p w14:paraId="024715F6" w14:textId="2D81A87C" w:rsidR="009F0B66" w:rsidRDefault="009F0B66" w:rsidP="00DF338C">
      <w:pPr>
        <w:pStyle w:val="BodyTextIndentDot"/>
      </w:pPr>
      <w:r>
        <w:t xml:space="preserve">In situ density measurement using a nuclear gauge (non-destructive measurement method) in accordance with </w:t>
      </w:r>
      <w:r w:rsidR="00767B9D" w:rsidRPr="00767B9D">
        <w:rPr>
          <w:i/>
        </w:rPr>
        <w:t xml:space="preserve">DTMR </w:t>
      </w:r>
      <w:r w:rsidR="00CE64E2">
        <w:rPr>
          <w:i/>
        </w:rPr>
        <w:t>T</w:t>
      </w:r>
      <w:r w:rsidR="00CE64E2" w:rsidRPr="00AB3EC0">
        <w:rPr>
          <w:i/>
        </w:rPr>
        <w:t xml:space="preserve">est </w:t>
      </w:r>
      <w:r w:rsidR="00CE64E2">
        <w:rPr>
          <w:i/>
        </w:rPr>
        <w:t>M</w:t>
      </w:r>
      <w:r w:rsidR="00CE64E2" w:rsidRPr="00AB3EC0">
        <w:rPr>
          <w:i/>
        </w:rPr>
        <w:t>ethod</w:t>
      </w:r>
      <w:r w:rsidR="00781689" w:rsidRPr="00B53325">
        <w:rPr>
          <w:i/>
          <w:iCs/>
        </w:rPr>
        <w:t> </w:t>
      </w:r>
      <w:r w:rsidR="00DF338C" w:rsidRPr="00DF338C">
        <w:rPr>
          <w:i/>
        </w:rPr>
        <w:t>N04</w:t>
      </w:r>
      <w:r>
        <w:t>.  At least 6</w:t>
      </w:r>
      <w:r w:rsidR="00537AB8">
        <w:t> </w:t>
      </w:r>
      <w:r>
        <w:t xml:space="preserve">core samples in a test lot must be taken for the purpose of field calibration and validation.  For nominal layer thickness less than 50 mm, use a thin layer nuclear gauge only.  </w:t>
      </w:r>
      <w:r>
        <w:rPr>
          <w:i/>
        </w:rPr>
        <w:t>Refer annexure</w:t>
      </w:r>
      <w:r>
        <w:t>.</w:t>
      </w:r>
    </w:p>
    <w:p w14:paraId="024715F7" w14:textId="69FC8891" w:rsidR="009F0B66" w:rsidRDefault="009F0B66" w:rsidP="00AB3EC0">
      <w:pPr>
        <w:pStyle w:val="BodyTextIndent"/>
      </w:pPr>
      <w:r w:rsidRPr="0090699E">
        <w:rPr>
          <w:u w:val="single"/>
        </w:rPr>
        <w:t>Sample preparation</w:t>
      </w:r>
      <w:r>
        <w:t xml:space="preserve">: </w:t>
      </w:r>
      <w:r w:rsidR="003B1079">
        <w:t>According t</w:t>
      </w:r>
      <w:r>
        <w:t xml:space="preserve">o </w:t>
      </w:r>
      <w:r w:rsidRPr="00AB3EC0">
        <w:rPr>
          <w:i/>
        </w:rPr>
        <w:t>AS</w:t>
      </w:r>
      <w:r w:rsidR="00767B9D">
        <w:rPr>
          <w:i/>
        </w:rPr>
        <w:t>/NZS</w:t>
      </w:r>
      <w:r w:rsidRPr="00AB3EC0">
        <w:rPr>
          <w:i/>
        </w:rPr>
        <w:t> 2891.2</w:t>
      </w:r>
      <w:r w:rsidR="00767B9D">
        <w:rPr>
          <w:i/>
        </w:rPr>
        <w:t>.1, AS/NZS</w:t>
      </w:r>
      <w:r w:rsidR="00767B9D" w:rsidRPr="00AB3EC0">
        <w:rPr>
          <w:i/>
        </w:rPr>
        <w:t> </w:t>
      </w:r>
      <w:r w:rsidR="00767B9D">
        <w:rPr>
          <w:i/>
        </w:rPr>
        <w:t>2891.2.2</w:t>
      </w:r>
      <w:r>
        <w:t xml:space="preserve"> or </w:t>
      </w:r>
      <w:r w:rsidR="00767B9D" w:rsidRPr="00767B9D">
        <w:rPr>
          <w:i/>
        </w:rPr>
        <w:t>D</w:t>
      </w:r>
      <w:r w:rsidR="0040715B" w:rsidRPr="00767B9D">
        <w:rPr>
          <w:i/>
        </w:rPr>
        <w:t>TMR</w:t>
      </w:r>
      <w:r w:rsidR="0040715B" w:rsidRPr="00AB3EC0">
        <w:rPr>
          <w:i/>
        </w:rPr>
        <w:t xml:space="preserve"> </w:t>
      </w:r>
      <w:r w:rsidR="00B53325">
        <w:rPr>
          <w:i/>
        </w:rPr>
        <w:t>T</w:t>
      </w:r>
      <w:r w:rsidRPr="00AB3EC0">
        <w:rPr>
          <w:i/>
        </w:rPr>
        <w:t xml:space="preserve">est </w:t>
      </w:r>
      <w:r w:rsidR="00B53325">
        <w:rPr>
          <w:i/>
        </w:rPr>
        <w:t>M</w:t>
      </w:r>
      <w:r w:rsidR="00B53325" w:rsidRPr="00AB3EC0">
        <w:rPr>
          <w:i/>
        </w:rPr>
        <w:t>ethod</w:t>
      </w:r>
      <w:r w:rsidR="00B53325">
        <w:rPr>
          <w:i/>
        </w:rPr>
        <w:t>s</w:t>
      </w:r>
      <w:r w:rsidR="00B53325" w:rsidRPr="00AB3EC0">
        <w:rPr>
          <w:i/>
        </w:rPr>
        <w:t xml:space="preserve"> </w:t>
      </w:r>
      <w:r w:rsidRPr="00AB3EC0">
        <w:rPr>
          <w:i/>
        </w:rPr>
        <w:t>Q303</w:t>
      </w:r>
      <w:r w:rsidR="003B1079" w:rsidRPr="00AB3EC0">
        <w:rPr>
          <w:i/>
        </w:rPr>
        <w:t>A</w:t>
      </w:r>
      <w:r>
        <w:t xml:space="preserve"> and </w:t>
      </w:r>
      <w:r w:rsidRPr="00AB3EC0">
        <w:rPr>
          <w:i/>
        </w:rPr>
        <w:t>Q303B</w:t>
      </w:r>
      <w:r>
        <w:t>.</w:t>
      </w:r>
    </w:p>
    <w:p w14:paraId="024715F8" w14:textId="77777777" w:rsidR="009F0B66" w:rsidRDefault="009F0B66" w:rsidP="00AB3EC0">
      <w:pPr>
        <w:pStyle w:val="BodyTextIndent"/>
      </w:pPr>
      <w:r w:rsidRPr="0090699E">
        <w:rPr>
          <w:u w:val="single"/>
        </w:rPr>
        <w:t>Mix maximum density</w:t>
      </w:r>
      <w:r>
        <w:t xml:space="preserve">: </w:t>
      </w:r>
      <w:r w:rsidR="00E13D3B">
        <w:t>According t</w:t>
      </w:r>
      <w:r>
        <w:t xml:space="preserve">o </w:t>
      </w:r>
      <w:r w:rsidRPr="00DF338C">
        <w:rPr>
          <w:i/>
        </w:rPr>
        <w:t>AS 2891.7</w:t>
      </w:r>
      <w:r w:rsidR="00E13D3B" w:rsidRPr="00DF338C">
        <w:rPr>
          <w:i/>
        </w:rPr>
        <w:t>.1</w:t>
      </w:r>
      <w:r w:rsidRPr="00DF338C">
        <w:rPr>
          <w:i/>
        </w:rPr>
        <w:t>.</w:t>
      </w:r>
    </w:p>
    <w:p w14:paraId="024715F9" w14:textId="3DDD65FF" w:rsidR="009F0B66" w:rsidRDefault="009F0B66" w:rsidP="00AB3EC0">
      <w:pPr>
        <w:pStyle w:val="BodyTextIndent"/>
      </w:pPr>
      <w:r w:rsidRPr="0090699E">
        <w:rPr>
          <w:u w:val="single"/>
        </w:rPr>
        <w:t>Compaction standard</w:t>
      </w:r>
      <w:r>
        <w:t xml:space="preserve">: Achieve </w:t>
      </w:r>
      <w:r w:rsidR="00E13D3B">
        <w:t xml:space="preserve">minimum and maximum </w:t>
      </w:r>
      <w:r>
        <w:t xml:space="preserve">characteristic values as specified in </w:t>
      </w:r>
      <w:r w:rsidR="007B4C11" w:rsidRPr="007B4C11">
        <w:rPr>
          <w:i/>
        </w:rPr>
        <w:t>Reference Specification</w:t>
      </w:r>
      <w:r w:rsidR="007B4C11">
        <w:t xml:space="preserve"> </w:t>
      </w:r>
      <w:r>
        <w:rPr>
          <w:i/>
        </w:rPr>
        <w:t>S120 Quality</w:t>
      </w:r>
      <w:r w:rsidR="006F7FFB">
        <w:rPr>
          <w:i/>
        </w:rPr>
        <w:t>,</w:t>
      </w:r>
      <w:r w:rsidR="007B4C11">
        <w:rPr>
          <w:i/>
        </w:rPr>
        <w:t xml:space="preserve"> </w:t>
      </w:r>
      <w:r>
        <w:rPr>
          <w:i/>
        </w:rPr>
        <w:t>Clause 7.1</w:t>
      </w:r>
      <w:r>
        <w:t>.</w:t>
      </w:r>
    </w:p>
    <w:p w14:paraId="024715FA" w14:textId="77777777" w:rsidR="009F0B66" w:rsidRPr="00886DC1" w:rsidRDefault="00886DC1" w:rsidP="00D75BD4">
      <w:pPr>
        <w:pStyle w:val="Heading3"/>
      </w:pPr>
      <w:bookmarkStart w:id="26" w:name="_Toc76047075"/>
      <w:r w:rsidRPr="00886DC1">
        <w:t>Joints</w:t>
      </w:r>
      <w:bookmarkEnd w:id="26"/>
    </w:p>
    <w:p w14:paraId="024715FB" w14:textId="77777777" w:rsidR="009F0B66" w:rsidRDefault="009F0B66" w:rsidP="00AB3EC0">
      <w:pPr>
        <w:pStyle w:val="BodyTextIndentBoldUnderline"/>
      </w:pPr>
      <w:r>
        <w:t>General</w:t>
      </w:r>
    </w:p>
    <w:p w14:paraId="024715FC" w14:textId="77777777" w:rsidR="009F0B66" w:rsidRDefault="009F0B66" w:rsidP="00AB3EC0">
      <w:pPr>
        <w:pStyle w:val="BodyTextIndent"/>
      </w:pPr>
      <w:r w:rsidRPr="0090699E">
        <w:rPr>
          <w:u w:val="single"/>
        </w:rPr>
        <w:t>Planning</w:t>
      </w:r>
      <w:r>
        <w:t>: Plan the placing to minimise the number of joints.  Locate joints in areas of least stress, away from traffic wheel paths.  Make joints that are well bonded and sealed and provide a smooth riding surface across the joint.</w:t>
      </w:r>
    </w:p>
    <w:p w14:paraId="024715FD" w14:textId="5EFAA4D8" w:rsidR="009F0B66" w:rsidRDefault="009F0B66" w:rsidP="00AB3EC0">
      <w:pPr>
        <w:pStyle w:val="BodyTextIndent"/>
      </w:pPr>
      <w:r w:rsidRPr="0090699E">
        <w:rPr>
          <w:u w:val="single"/>
        </w:rPr>
        <w:t>Hot joints</w:t>
      </w:r>
      <w:r>
        <w:t>: The technique is feasible when using two pavers in echelon or very short paving runs.  Do not expose edges for more than 15</w:t>
      </w:r>
      <w:r w:rsidR="00537AB8">
        <w:t> </w:t>
      </w:r>
      <w:r>
        <w:t>minutes.  Form exposed edges of each spreader run while hot to a straight line with a dense face inclined between vertical and 45</w:t>
      </w:r>
      <w:r w:rsidR="00E932C5">
        <w:rPr>
          <w:rFonts w:cs="Arial"/>
        </w:rPr>
        <w:t>°</w:t>
      </w:r>
      <w:r>
        <w:t>.  Leave the outer 100 - 200 mm of the first paver run uncompacted until the adjoining asphalt is placed.  Roll over to achieve a seamless joint.</w:t>
      </w:r>
    </w:p>
    <w:p w14:paraId="024715FE" w14:textId="77777777" w:rsidR="009F0B66" w:rsidRDefault="009F0B66" w:rsidP="00AB3EC0">
      <w:pPr>
        <w:pStyle w:val="BodyTextIndent"/>
      </w:pPr>
      <w:r w:rsidRPr="0090699E">
        <w:rPr>
          <w:u w:val="single"/>
        </w:rPr>
        <w:t>Warm joints</w:t>
      </w:r>
      <w:r>
        <w:t>: Lay adjoining run with the uncompacted asphalt overlapping the previously laid run by between 25 mm and 75 mm.  Prior to rolling, push back the overlapping material to the line of the joint to form a ridge along the edge of the newly laid asphalt.</w:t>
      </w:r>
    </w:p>
    <w:p w14:paraId="024715FF" w14:textId="749824EC" w:rsidR="009F0B66" w:rsidRDefault="009F0B66" w:rsidP="00AB3EC0">
      <w:pPr>
        <w:pStyle w:val="BodyTextIndent"/>
      </w:pPr>
      <w:r w:rsidRPr="0090699E">
        <w:rPr>
          <w:u w:val="single"/>
        </w:rPr>
        <w:t>Cold joints</w:t>
      </w:r>
      <w:r>
        <w:t>: Form clean and straight joint by employing appropriate machine cutting or hand cutting methods.  For long lengths, trim back joint by sawing or using a cutting wheel (trimming angle of 45</w:t>
      </w:r>
      <w:r w:rsidR="00995533">
        <w:rPr>
          <w:rFonts w:cs="Arial"/>
        </w:rPr>
        <w:t>°</w:t>
      </w:r>
      <w:r w:rsidR="00D362B1">
        <w:rPr>
          <w:rFonts w:cs="Arial"/>
        </w:rPr>
        <w:t xml:space="preserve"> </w:t>
      </w:r>
      <w:r>
        <w:t>or 60</w:t>
      </w:r>
      <w:r w:rsidR="00995533">
        <w:rPr>
          <w:rFonts w:cs="Arial"/>
        </w:rPr>
        <w:t>°</w:t>
      </w:r>
      <w:r>
        <w:t xml:space="preserve">) mounted on a piece of heavy equipment such as a steel wheel roller.  Jack hammering may be suitable for small areas.  </w:t>
      </w:r>
      <w:r w:rsidR="00E13D3B">
        <w:t>Apply t</w:t>
      </w:r>
      <w:r>
        <w:t xml:space="preserve">ack coat </w:t>
      </w:r>
      <w:r w:rsidR="00E13D3B">
        <w:t xml:space="preserve">on </w:t>
      </w:r>
      <w:r>
        <w:t>the cut edges before placing the adjoining asphalt.</w:t>
      </w:r>
    </w:p>
    <w:p w14:paraId="02471600" w14:textId="77777777" w:rsidR="009F0B66" w:rsidRDefault="009F0B66" w:rsidP="00AB3EC0">
      <w:pPr>
        <w:pStyle w:val="BodyTextIndentBoldUnderline"/>
      </w:pPr>
      <w:r>
        <w:t>Longitudinal joints</w:t>
      </w:r>
    </w:p>
    <w:p w14:paraId="02471601" w14:textId="77777777" w:rsidR="009F0B66" w:rsidRDefault="009F0B66" w:rsidP="00AB3EC0">
      <w:pPr>
        <w:pStyle w:val="BodyTextIndent"/>
      </w:pPr>
      <w:r w:rsidRPr="0090699E">
        <w:rPr>
          <w:u w:val="single"/>
        </w:rPr>
        <w:t>General</w:t>
      </w:r>
      <w:r>
        <w:t>: Construct a longitudinal joint parallel to the pavement centreline if the width of the pavement is such that more than one paving run is necessary.</w:t>
      </w:r>
    </w:p>
    <w:p w14:paraId="02471602" w14:textId="77777777" w:rsidR="009F0B66" w:rsidRDefault="009F0B66" w:rsidP="00AB3EC0">
      <w:pPr>
        <w:pStyle w:val="BodyTextIndent"/>
      </w:pPr>
      <w:r w:rsidRPr="0090699E">
        <w:rPr>
          <w:u w:val="single"/>
        </w:rPr>
        <w:t>Location</w:t>
      </w:r>
      <w:r>
        <w:t>: In multiple layer work, offset joints in successive layers by at least 100 mm, except for longitudinal joints on a crowned pavement.  Position longitudinal joints in the wearing course to coincide with the line</w:t>
      </w:r>
      <w:r w:rsidR="00C51829">
        <w:t xml:space="preserve"> </w:t>
      </w:r>
      <w:r w:rsidR="00E13D3B">
        <w:t>marking</w:t>
      </w:r>
      <w:r>
        <w:t>.</w:t>
      </w:r>
    </w:p>
    <w:p w14:paraId="02471603" w14:textId="77777777" w:rsidR="009F0B66" w:rsidRDefault="009F0B66" w:rsidP="00AB3EC0">
      <w:pPr>
        <w:pStyle w:val="BodyTextIndentBoldUnderline"/>
      </w:pPr>
      <w:r>
        <w:t>Transverse joints</w:t>
      </w:r>
    </w:p>
    <w:p w14:paraId="02471604" w14:textId="2494B08C" w:rsidR="009F0B66" w:rsidRDefault="009F0B66" w:rsidP="00AB3EC0">
      <w:pPr>
        <w:pStyle w:val="BodyTextIndent"/>
      </w:pPr>
      <w:r w:rsidRPr="0090699E">
        <w:rPr>
          <w:u w:val="single"/>
        </w:rPr>
        <w:t>General</w:t>
      </w:r>
      <w:r>
        <w:t>: Construct a transverse joint after the completion of a day’s paving operation or where a delay in the paving operation allows material temperature to fall below 90</w:t>
      </w:r>
      <w:r w:rsidR="001073C6">
        <w:rPr>
          <w:rFonts w:cs="Arial"/>
        </w:rPr>
        <w:t>°</w:t>
      </w:r>
      <w:r>
        <w:t>C or where the paving operation is stopped for more than 20</w:t>
      </w:r>
      <w:r w:rsidR="00914FF7">
        <w:t> </w:t>
      </w:r>
      <w:r>
        <w:t>minutes.</w:t>
      </w:r>
    </w:p>
    <w:p w14:paraId="02471605" w14:textId="77777777" w:rsidR="009F0B66" w:rsidRDefault="009F0B66" w:rsidP="00AB3EC0">
      <w:pPr>
        <w:pStyle w:val="BodyTextIndent"/>
      </w:pPr>
      <w:r w:rsidRPr="0090699E">
        <w:rPr>
          <w:u w:val="single"/>
        </w:rPr>
        <w:t>Location</w:t>
      </w:r>
      <w:r>
        <w:t>: Construct to a straight vertical face for the full depth of the layer, and offset in adjoining spreader runs and layer to layer by at least 2 m.</w:t>
      </w:r>
    </w:p>
    <w:p w14:paraId="02471606" w14:textId="77777777" w:rsidR="009F0B66" w:rsidRDefault="009F0B66" w:rsidP="00AB3EC0">
      <w:pPr>
        <w:pStyle w:val="BodyTextIndentBoldUnderline"/>
      </w:pPr>
      <w:r>
        <w:t>Temporary ramps</w:t>
      </w:r>
    </w:p>
    <w:p w14:paraId="02471607" w14:textId="4944A7F6" w:rsidR="009F0B66" w:rsidRDefault="009F0B66" w:rsidP="00AB3EC0">
      <w:pPr>
        <w:pStyle w:val="BodyTextIndent"/>
      </w:pPr>
      <w:r>
        <w:t>Provide temporary asphalt ramps down to the level of the adjacent road surface if traffic is required to run on the new asphalt work at the end of a day’s laying operations.  Construct ramp to provide safe passage for traffic at the allowable speed limit</w:t>
      </w:r>
      <w:r w:rsidR="00E61833">
        <w:t xml:space="preserve">; requirements for ramps are discussed in </w:t>
      </w:r>
      <w:r w:rsidR="00E61833" w:rsidRPr="007342C9">
        <w:rPr>
          <w:i/>
          <w:iCs/>
        </w:rPr>
        <w:t>Section</w:t>
      </w:r>
      <w:r w:rsidR="0040715B" w:rsidRPr="007342C9">
        <w:rPr>
          <w:i/>
          <w:iCs/>
        </w:rPr>
        <w:t> </w:t>
      </w:r>
      <w:r w:rsidR="00E61833" w:rsidRPr="007342C9">
        <w:rPr>
          <w:i/>
          <w:iCs/>
        </w:rPr>
        <w:t>4.5</w:t>
      </w:r>
      <w:r w:rsidR="00E61833">
        <w:t xml:space="preserve">, Cold </w:t>
      </w:r>
      <w:r w:rsidR="00076087">
        <w:t>planing.</w:t>
      </w:r>
      <w:r>
        <w:t xml:space="preserve">  Cut ramp back to from a transverse joint prior to laying the adjoining run.</w:t>
      </w:r>
    </w:p>
    <w:p w14:paraId="02471608" w14:textId="637BE2C0" w:rsidR="009F0B66" w:rsidRDefault="009F0B66" w:rsidP="00076087">
      <w:pPr>
        <w:pStyle w:val="BodyTextIndentBoldUnderline"/>
      </w:pPr>
      <w:r>
        <w:t>Abutting structures</w:t>
      </w:r>
    </w:p>
    <w:p w14:paraId="02471609" w14:textId="77777777" w:rsidR="009F0B66" w:rsidRDefault="009F0B66" w:rsidP="00076087">
      <w:pPr>
        <w:pStyle w:val="BodyTextIndent"/>
      </w:pPr>
      <w:r>
        <w:t xml:space="preserve">Place asphalt surfacing to match the level of abutting surfaces such as kerbs, gutters, edge strips, manholes, or adjoining pavement in the same manner as for longitudinal and transverse </w:t>
      </w:r>
      <w:r>
        <w:lastRenderedPageBreak/>
        <w:t>joints.  Fill spaces left unfilled between the spreader run and abutting edges with sufficient material to the proper height before compaction.  Where an existing service pit requires raising at a later date, cover the pit temporarily with a suitable separation fabric (such as hessian bags) during the spreader run.  Remove separation fabric before reconstructing the service pit.</w:t>
      </w:r>
    </w:p>
    <w:p w14:paraId="0247160A" w14:textId="77777777" w:rsidR="009F0B66" w:rsidRDefault="009F0B66" w:rsidP="00076087">
      <w:pPr>
        <w:pStyle w:val="BodyTextIndentBoldUnderline"/>
      </w:pPr>
      <w:r>
        <w:t>Matched junctions</w:t>
      </w:r>
    </w:p>
    <w:p w14:paraId="0247160B" w14:textId="77777777" w:rsidR="009F0B66" w:rsidRDefault="009F0B66" w:rsidP="00076087">
      <w:pPr>
        <w:pStyle w:val="BodyTextIndent"/>
      </w:pPr>
      <w:r>
        <w:t>General: If asphalt surfacing is to match an existing pavement, bridge deck, rail or other fixture, place the material to provide a smooth riding surface across the junction.  Where necessary, remove sufficient of the existing pavement for this purpose.  Where it is necessary to taper the thickness of a layer to provide a smooth riding junction, terminate the layer at a chase cut into the existing pavement 20 mm deep and 400 mm wide.  Where necessary, remove coarse particles from a layer of tapering thickness using hand raking.</w:t>
      </w:r>
    </w:p>
    <w:p w14:paraId="0247160C" w14:textId="77777777" w:rsidR="009F0B66" w:rsidRDefault="009F0B66" w:rsidP="00076087">
      <w:pPr>
        <w:pStyle w:val="BodyTextIndent"/>
      </w:pPr>
      <w:r>
        <w:t>Tack coat: Where the thickness of the layer tapers to less than twice the nominal size of the mix, tack coat the area upon which material of such thickness is to be placed.</w:t>
      </w:r>
    </w:p>
    <w:p w14:paraId="0247160D" w14:textId="77777777" w:rsidR="009F0B66" w:rsidRDefault="009F0B66" w:rsidP="00076087">
      <w:pPr>
        <w:pStyle w:val="BodyTextIndentBoldUnderline"/>
      </w:pPr>
      <w:r>
        <w:t>Surface finish</w:t>
      </w:r>
    </w:p>
    <w:p w14:paraId="0247160E" w14:textId="77777777" w:rsidR="009F0B66" w:rsidRDefault="009F0B66" w:rsidP="00076087">
      <w:pPr>
        <w:pStyle w:val="BodyTextIndent"/>
      </w:pPr>
      <w:r>
        <w:t>Provide a surface uniform in appearance and free from depressions.</w:t>
      </w:r>
    </w:p>
    <w:p w14:paraId="0247160F" w14:textId="77777777" w:rsidR="009F0B66" w:rsidRPr="00886DC1" w:rsidRDefault="00886DC1" w:rsidP="00D75BD4">
      <w:pPr>
        <w:pStyle w:val="Heading3"/>
      </w:pPr>
      <w:bookmarkStart w:id="27" w:name="_Toc76047076"/>
      <w:r w:rsidRPr="00886DC1">
        <w:t>Defective Surfacing</w:t>
      </w:r>
      <w:bookmarkEnd w:id="27"/>
    </w:p>
    <w:p w14:paraId="02471610" w14:textId="77777777" w:rsidR="009F0B66" w:rsidRDefault="009F0B66" w:rsidP="00076087">
      <w:pPr>
        <w:pStyle w:val="BodyTextIndentBoldUnderline"/>
      </w:pPr>
      <w:r>
        <w:t>Rejection</w:t>
      </w:r>
    </w:p>
    <w:p w14:paraId="02471611" w14:textId="77777777" w:rsidR="009F0B66" w:rsidRDefault="009F0B66" w:rsidP="00076087">
      <w:pPr>
        <w:pStyle w:val="BodyTextIndent"/>
      </w:pPr>
      <w:r w:rsidRPr="0090699E">
        <w:rPr>
          <w:u w:val="single"/>
        </w:rPr>
        <w:t>Extent</w:t>
      </w:r>
      <w:r>
        <w:t>: Remove areas of rejected asphalt surfacing, including defective joints and finish, to the full depth of the layer, and replace with complying surfacing.</w:t>
      </w:r>
    </w:p>
    <w:p w14:paraId="02471612" w14:textId="77777777" w:rsidR="009F0B66" w:rsidRDefault="009F0B66" w:rsidP="00076087">
      <w:pPr>
        <w:pStyle w:val="BodyTextIndent2"/>
        <w:spacing w:after="0"/>
        <w:jc w:val="both"/>
      </w:pPr>
      <w:r w:rsidRPr="0090699E">
        <w:rPr>
          <w:u w:val="single"/>
        </w:rPr>
        <w:t>Joints</w:t>
      </w:r>
      <w:r>
        <w:t>: Treat edges of remedial work as specified for cold joints.</w:t>
      </w:r>
    </w:p>
    <w:sectPr w:rsidR="009F0B66" w:rsidSect="00326F39">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A081" w14:textId="77777777" w:rsidR="00952A49" w:rsidRDefault="00952A49">
      <w:r>
        <w:separator/>
      </w:r>
    </w:p>
  </w:endnote>
  <w:endnote w:type="continuationSeparator" w:id="0">
    <w:p w14:paraId="0EC5D550" w14:textId="77777777" w:rsidR="00952A49" w:rsidRDefault="0095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161C" w14:textId="5526F35A" w:rsidR="009F0B66" w:rsidRDefault="00045FE4" w:rsidP="007761CB">
    <w:pPr>
      <w:pStyle w:val="Footer"/>
      <w:rPr>
        <w:sz w:val="20"/>
      </w:rPr>
    </w:pPr>
    <w:r>
      <w:pict w14:anchorId="7517D8E9">
        <v:shapetype id="_x0000_t202" coordsize="21600,21600" o:spt="202" path="m,l,21600r21600,l21600,xe">
          <v:stroke joinstyle="miter"/>
          <v:path gradientshapeok="t" o:connecttype="rect"/>
        </v:shapetype>
        <v:shape id="Text Box 14" o:spid="_x0000_s2096" type="#_x0000_t202" style="position:absolute;left:0;text-align:left;margin-left:400.3pt;margin-top:598.85pt;width:336.8pt;height:30.35pt;rotation:-5921140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" filled="f" stroked="f">
          <v:stroke joinstyle="round"/>
          <o:lock v:ext="edit" shapetype="t"/>
          <v:textbox style="layout-flow:vertical;mso-layout-flow-alt:bottom-to-top;mso-next-textbox:#Text Box 14">
            <w:txbxContent>
              <w:p w14:paraId="64A76846" w14:textId="1164F2C5" w:rsidR="00F57B79" w:rsidRPr="0095675E" w:rsidRDefault="00F57B79" w:rsidP="00F57B79">
                <w:pPr>
                  <w:pStyle w:val="NormalWeb"/>
                  <w:rPr>
                    <w:rFonts w:ascii="Arial Bold" w:hAnsi="Arial Bold"/>
                    <w:sz w:val="28"/>
                    <w:szCs w:val="28"/>
                  </w:rPr>
                </w:pPr>
                <w:r w:rsidRPr="00F57B79">
                  <w:rPr>
                    <w:rFonts w:ascii="Arial Bold" w:hAnsi="Arial Bold" w:cs="Arial"/>
                    <w:b/>
                    <w:bCs/>
                    <w:i/>
                    <w:iCs/>
                    <w:sz w:val="28"/>
                    <w:szCs w:val="28"/>
                  </w:rPr>
                  <w:t>S320 LAYING OF ASPHALT</w:t>
                </w:r>
              </w:p>
            </w:txbxContent>
          </v:textbox>
          <w10:wrap anchorx="page" anchory="page"/>
        </v:shape>
      </w:pict>
    </w:r>
    <w:r w:rsidR="00F57B79" w:rsidRPr="00F51C59">
      <w:t xml:space="preserve">Revision </w:t>
    </w:r>
    <w:r w:rsidR="00F57B79">
      <w:t>4</w:t>
    </w:r>
    <w:r w:rsidR="00F57B79" w:rsidRPr="00F51C59">
      <w:t xml:space="preserve">.0 – </w:t>
    </w:r>
    <w:r w:rsidR="006F1CC5">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1408" w14:textId="77777777" w:rsidR="007761CB" w:rsidRPr="007761CB" w:rsidRDefault="00045FE4" w:rsidP="007761CB">
    <w:pPr>
      <w:pStyle w:val="Footer"/>
    </w:pPr>
    <w:r>
      <w:pict w14:anchorId="390CF31D">
        <v:shapetype id="_x0000_t202" coordsize="21600,21600" o:spt="202" path="m,l,21600r21600,l21600,xe">
          <v:stroke joinstyle="miter"/>
          <v:path gradientshapeok="t" o:connecttype="rect"/>
        </v:shapetype>
        <v:shape id="_x0000_s2105" type="#_x0000_t202" style="position:absolute;left:0;text-align:left;margin-left:400.3pt;margin-top:598.85pt;width:336.8pt;height:30.35pt;rotation:-592114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" filled="f" stroked="f">
          <v:stroke joinstyle="round"/>
          <o:lock v:ext="edit" shapetype="t"/>
          <v:textbox style="layout-flow:vertical;mso-layout-flow-alt:bottom-to-top;mso-next-textbox:#_x0000_s2105">
            <w:txbxContent>
              <w:p w14:paraId="40D774BB" w14:textId="77777777" w:rsidR="007761CB" w:rsidRPr="0095675E" w:rsidRDefault="007761CB" w:rsidP="00F57B79">
                <w:pPr>
                  <w:pStyle w:val="NormalWeb"/>
                  <w:rPr>
                    <w:rFonts w:ascii="Arial Bold" w:hAnsi="Arial Bold"/>
                    <w:sz w:val="28"/>
                    <w:szCs w:val="28"/>
                  </w:rPr>
                </w:pPr>
                <w:r w:rsidRPr="00F57B79">
                  <w:rPr>
                    <w:rFonts w:ascii="Arial Bold" w:hAnsi="Arial Bold" w:cs="Arial"/>
                    <w:b/>
                    <w:bCs/>
                    <w:i/>
                    <w:iCs/>
                    <w:sz w:val="28"/>
                    <w:szCs w:val="28"/>
                  </w:rPr>
                  <w:t>S320 LAYING OF ASPHALT</w:t>
                </w:r>
              </w:p>
            </w:txbxContent>
          </v:textbox>
          <w10:wrap anchorx="page" anchory="page"/>
        </v:shape>
      </w:pict>
    </w:r>
    <w:r w:rsidR="007761CB" w:rsidRPr="007761CB">
      <w:t>Revision 4.0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5C27" w14:textId="5A3293EC" w:rsidR="00F57B79" w:rsidRDefault="00045FE4" w:rsidP="007761CB">
    <w:pPr>
      <w:pStyle w:val="Footer"/>
      <w:rPr>
        <w:sz w:val="20"/>
      </w:rPr>
    </w:pPr>
    <w:r>
      <w:pict w14:anchorId="5DAEB792">
        <v:shapetype id="_x0000_t202" coordsize="21600,21600" o:spt="202" path="m,l,21600r21600,l21600,xe">
          <v:stroke joinstyle="miter"/>
          <v:path gradientshapeok="t" o:connecttype="rect"/>
        </v:shapetype>
        <v:shape id="_x0000_s2097" type="#_x0000_t202" style="position:absolute;left:0;text-align:left;margin-left:400.3pt;margin-top:598.85pt;width:336.8pt;height:30.35pt;rotation:-5921140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" filled="f" stroked="f">
          <v:stroke joinstyle="round"/>
          <o:lock v:ext="edit" shapetype="t"/>
          <v:textbox style="layout-flow:vertical;mso-layout-flow-alt:bottom-to-top;mso-next-textbox:#_x0000_s2097">
            <w:txbxContent>
              <w:p w14:paraId="12C5325C" w14:textId="77777777" w:rsidR="00F57B79" w:rsidRPr="0095675E" w:rsidRDefault="00F57B79" w:rsidP="00F57B79">
                <w:pPr>
                  <w:pStyle w:val="NormalWeb"/>
                  <w:rPr>
                    <w:rFonts w:ascii="Arial Bold" w:hAnsi="Arial Bold"/>
                    <w:sz w:val="28"/>
                    <w:szCs w:val="28"/>
                  </w:rPr>
                </w:pPr>
                <w:r w:rsidRPr="00F57B79">
                  <w:rPr>
                    <w:rFonts w:ascii="Arial Bold" w:hAnsi="Arial Bold" w:cs="Arial"/>
                    <w:b/>
                    <w:bCs/>
                    <w:i/>
                    <w:iCs/>
                    <w:sz w:val="28"/>
                    <w:szCs w:val="28"/>
                  </w:rPr>
                  <w:t>S320 LAYING OF ASPHALT</w:t>
                </w:r>
              </w:p>
            </w:txbxContent>
          </v:textbox>
          <w10:wrap anchorx="page" anchory="page"/>
        </v:shape>
      </w:pict>
    </w:r>
    <w:r w:rsidR="00F57B79" w:rsidRPr="00F51C59">
      <w:t xml:space="preserve">Revision </w:t>
    </w:r>
    <w:r w:rsidR="00F57B79">
      <w:t>4</w:t>
    </w:r>
    <w:r w:rsidR="00F57B79" w:rsidRPr="00F51C59">
      <w:t xml:space="preserve">.0 – </w:t>
    </w:r>
    <w:r w:rsidR="006F1CC5" w:rsidRPr="006F1CC5">
      <w:t>March 2021</w:t>
    </w:r>
    <w:r w:rsidR="00C10F4F">
      <w:tab/>
    </w:r>
    <w:r w:rsidR="00F57B79" w:rsidRPr="00F57B79">
      <w:rPr>
        <w:noProof w:val="0"/>
      </w:rPr>
      <w:fldChar w:fldCharType="begin"/>
    </w:r>
    <w:r w:rsidR="00F57B79" w:rsidRPr="00F57B79">
      <w:instrText xml:space="preserve"> PAGE   \* MERGEFORMAT </w:instrText>
    </w:r>
    <w:r w:rsidR="00F57B79" w:rsidRPr="00F57B79">
      <w:rPr>
        <w:noProof w:val="0"/>
      </w:rPr>
      <w:fldChar w:fldCharType="separate"/>
    </w:r>
    <w:r w:rsidR="00F57B79" w:rsidRPr="00F57B79">
      <w:t>1</w:t>
    </w:r>
    <w:r w:rsidR="00F57B79" w:rsidRPr="00F57B7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BD68" w14:textId="497A7F86" w:rsidR="00F57B79" w:rsidRDefault="00045FE4" w:rsidP="007761CB">
    <w:pPr>
      <w:pStyle w:val="Footer"/>
      <w:rPr>
        <w:sz w:val="20"/>
      </w:rPr>
    </w:pPr>
    <w:r>
      <w:pict w14:anchorId="298AB8E8">
        <v:shapetype id="_x0000_t202" coordsize="21600,21600" o:spt="202" path="m,l,21600r21600,l21600,xe">
          <v:stroke joinstyle="miter"/>
          <v:path gradientshapeok="t" o:connecttype="rect"/>
        </v:shapetype>
        <v:shape id="_x0000_s2098" type="#_x0000_t202" style="position:absolute;left:0;text-align:left;margin-left:400.3pt;margin-top:598.85pt;width:336.8pt;height:30.35pt;rotation:-5921140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" filled="f" stroked="f">
          <v:stroke joinstyle="round"/>
          <o:lock v:ext="edit" shapetype="t"/>
          <v:textbox style="layout-flow:vertical;mso-layout-flow-alt:bottom-to-top;mso-next-textbox:#_x0000_s2098">
            <w:txbxContent>
              <w:p w14:paraId="49E4621D" w14:textId="77777777" w:rsidR="00F57B79" w:rsidRPr="0095675E" w:rsidRDefault="00F57B79" w:rsidP="00F57B79">
                <w:pPr>
                  <w:pStyle w:val="NormalWeb"/>
                  <w:rPr>
                    <w:rFonts w:ascii="Arial Bold" w:hAnsi="Arial Bold"/>
                    <w:sz w:val="28"/>
                    <w:szCs w:val="28"/>
                  </w:rPr>
                </w:pPr>
                <w:r w:rsidRPr="00F57B79">
                  <w:rPr>
                    <w:rFonts w:ascii="Arial Bold" w:hAnsi="Arial Bold" w:cs="Arial"/>
                    <w:b/>
                    <w:bCs/>
                    <w:i/>
                    <w:iCs/>
                    <w:sz w:val="28"/>
                    <w:szCs w:val="28"/>
                  </w:rPr>
                  <w:t>S320 LAYING OF ASPHALT</w:t>
                </w:r>
              </w:p>
            </w:txbxContent>
          </v:textbox>
          <w10:wrap anchorx="page" anchory="page"/>
        </v:shape>
      </w:pict>
    </w:r>
    <w:r w:rsidR="00F57B79" w:rsidRPr="00F51C59">
      <w:t xml:space="preserve">Revision </w:t>
    </w:r>
    <w:r w:rsidR="00F57B79">
      <w:t>4</w:t>
    </w:r>
    <w:r w:rsidR="00F57B79" w:rsidRPr="00F51C59">
      <w:t xml:space="preserve">.0 – </w:t>
    </w:r>
    <w:r w:rsidR="006F1CC5" w:rsidRPr="006F1CC5">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B378" w14:textId="0A144EAE" w:rsidR="00F57B79" w:rsidRDefault="00045FE4" w:rsidP="007761CB">
    <w:pPr>
      <w:pStyle w:val="Footer"/>
    </w:pPr>
    <w:r>
      <w:pict w14:anchorId="1B85242F">
        <v:shapetype id="_x0000_t202" coordsize="21600,21600" o:spt="202" path="m,l,21600r21600,l21600,xe">
          <v:stroke joinstyle="miter"/>
          <v:path gradientshapeok="t" o:connecttype="rect"/>
        </v:shapetype>
        <v:shape id="_x0000_s2099" type="#_x0000_t202" style="position:absolute;left:0;text-align:left;margin-left:400.3pt;margin-top:598.85pt;width:336.8pt;height:30.35pt;rotation:-5921140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" filled="f" stroked="f">
          <v:stroke joinstyle="round"/>
          <o:lock v:ext="edit" shapetype="t"/>
          <v:textbox style="layout-flow:vertical;mso-layout-flow-alt:bottom-to-top;mso-next-textbox:#_x0000_s2099">
            <w:txbxContent>
              <w:p w14:paraId="5DC9F158" w14:textId="77777777" w:rsidR="00F57B79" w:rsidRPr="0095675E" w:rsidRDefault="00F57B79" w:rsidP="00F57B79">
                <w:pPr>
                  <w:pStyle w:val="NormalWeb"/>
                  <w:rPr>
                    <w:rFonts w:ascii="Arial Bold" w:hAnsi="Arial Bold"/>
                    <w:sz w:val="28"/>
                    <w:szCs w:val="28"/>
                  </w:rPr>
                </w:pPr>
                <w:r w:rsidRPr="00F57B79">
                  <w:rPr>
                    <w:rFonts w:ascii="Arial Bold" w:hAnsi="Arial Bold" w:cs="Arial"/>
                    <w:b/>
                    <w:bCs/>
                    <w:i/>
                    <w:iCs/>
                    <w:sz w:val="28"/>
                    <w:szCs w:val="28"/>
                  </w:rPr>
                  <w:t>S320 LAYING OF ASPHALT</w:t>
                </w:r>
              </w:p>
            </w:txbxContent>
          </v:textbox>
          <w10:wrap anchorx="page" anchory="page"/>
        </v:shape>
      </w:pict>
    </w:r>
    <w:r w:rsidR="00F57B79" w:rsidRPr="00F51C59">
      <w:t xml:space="preserve">Revision </w:t>
    </w:r>
    <w:r w:rsidR="00F57B79">
      <w:t>4</w:t>
    </w:r>
    <w:r w:rsidR="00F57B79" w:rsidRPr="00F51C59">
      <w:t xml:space="preserve">.0 – </w:t>
    </w:r>
    <w:r w:rsidR="006F1CC5" w:rsidRPr="006F1CC5">
      <w:t>March 2021</w:t>
    </w:r>
    <w:r w:rsidR="00C10F4F">
      <w:tab/>
    </w:r>
    <w:r w:rsidR="00F57B79" w:rsidRPr="00F57B79">
      <w:rPr>
        <w:noProof w:val="0"/>
      </w:rPr>
      <w:fldChar w:fldCharType="begin"/>
    </w:r>
    <w:r w:rsidR="00F57B79" w:rsidRPr="00F57B79">
      <w:instrText xml:space="preserve"> PAGE   \* MERGEFORMAT </w:instrText>
    </w:r>
    <w:r w:rsidR="00F57B79" w:rsidRPr="00F57B79">
      <w:rPr>
        <w:noProof w:val="0"/>
      </w:rPr>
      <w:fldChar w:fldCharType="separate"/>
    </w:r>
    <w:r w:rsidR="00F57B79" w:rsidRPr="00F57B79">
      <w:t>1</w:t>
    </w:r>
    <w:r w:rsidR="00F57B79" w:rsidRPr="00F57B7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789B" w14:textId="77777777" w:rsidR="00952A49" w:rsidRDefault="00952A49">
      <w:r>
        <w:separator/>
      </w:r>
    </w:p>
  </w:footnote>
  <w:footnote w:type="continuationSeparator" w:id="0">
    <w:p w14:paraId="7B048DA1" w14:textId="77777777" w:rsidR="00952A49" w:rsidRDefault="0095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1617" w14:textId="77777777" w:rsidR="009F0B66" w:rsidRDefault="00045FE4">
    <w:pPr>
      <w:pStyle w:val="Header"/>
    </w:pPr>
    <w:r>
      <w:rPr>
        <w:noProof/>
      </w:rPr>
      <w:pict w14:anchorId="0247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5168"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161A" w14:textId="4179D96B" w:rsidR="009F0B66" w:rsidRDefault="00045FE4" w:rsidP="00C644C2">
    <w:pPr>
      <w:pStyle w:val="Header"/>
    </w:pPr>
    <w:r>
      <w:pict w14:anchorId="2F530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5208" w14:textId="709ED258" w:rsidR="007761CB" w:rsidRDefault="007761CB" w:rsidP="00C644C2">
    <w:pPr>
      <w:pStyle w:val="Header"/>
    </w:pPr>
    <w:r w:rsidRPr="00C644C2">
      <w:t>Brisbane City Council</w:t>
    </w:r>
    <w:r w:rsidR="00253D44">
      <w:tab/>
    </w:r>
    <w:r w:rsidRPr="00891B9D">
      <w:t>Reference Specifications for Engineering Work</w:t>
    </w:r>
    <w:r w:rsidR="00253D44">
      <w:t xml:space="preserve"> </w:t>
    </w:r>
    <w:r>
      <w:t>S320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38CE94"/>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C1BE27C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C929A6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8E4A928"/>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26001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A91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5E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60D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9E1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0B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11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2F162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C841EC8"/>
    <w:multiLevelType w:val="multilevel"/>
    <w:tmpl w:val="FBB02878"/>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14" w15:restartNumberingAfterBreak="0">
    <w:nsid w:val="32907F65"/>
    <w:multiLevelType w:val="singleLevel"/>
    <w:tmpl w:val="6E2E34A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A5502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28069C2"/>
    <w:multiLevelType w:val="multilevel"/>
    <w:tmpl w:val="B436E8CA"/>
    <w:lvl w:ilvl="0">
      <w:start w:val="1"/>
      <w:numFmt w:val="bullet"/>
      <w:pStyle w:val="BodyTextIndentDo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8916A4"/>
    <w:multiLevelType w:val="multilevel"/>
    <w:tmpl w:val="84B0D13A"/>
    <w:lvl w:ilvl="0">
      <w:start w:val="1"/>
      <w:numFmt w:val="bullet"/>
      <w:pStyle w:val="bullets"/>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2"/>
  </w:num>
  <w:num w:numId="3">
    <w:abstractNumId w:val="17"/>
  </w:num>
  <w:num w:numId="4">
    <w:abstractNumId w:val="10"/>
  </w:num>
  <w:num w:numId="5">
    <w:abstractNumId w:val="15"/>
  </w:num>
  <w:num w:numId="6">
    <w:abstractNumId w:val="11"/>
  </w:num>
  <w:num w:numId="7">
    <w:abstractNumId w:val="16"/>
  </w:num>
  <w:num w:numId="8">
    <w:abstractNumId w:val="13"/>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E00"/>
    <w:rsid w:val="00006FA8"/>
    <w:rsid w:val="00030697"/>
    <w:rsid w:val="00031C8F"/>
    <w:rsid w:val="00045FE4"/>
    <w:rsid w:val="00076050"/>
    <w:rsid w:val="00076087"/>
    <w:rsid w:val="00082F5A"/>
    <w:rsid w:val="000938B4"/>
    <w:rsid w:val="00094517"/>
    <w:rsid w:val="000A6DCF"/>
    <w:rsid w:val="000C2EF0"/>
    <w:rsid w:val="000C3132"/>
    <w:rsid w:val="00100DD7"/>
    <w:rsid w:val="001073C6"/>
    <w:rsid w:val="001128B8"/>
    <w:rsid w:val="0013618B"/>
    <w:rsid w:val="001753AB"/>
    <w:rsid w:val="001A2AB8"/>
    <w:rsid w:val="001A3D91"/>
    <w:rsid w:val="001A776C"/>
    <w:rsid w:val="001B40FC"/>
    <w:rsid w:val="001B607F"/>
    <w:rsid w:val="002016E5"/>
    <w:rsid w:val="002102F3"/>
    <w:rsid w:val="00233375"/>
    <w:rsid w:val="00253D44"/>
    <w:rsid w:val="00261FA2"/>
    <w:rsid w:val="0026414F"/>
    <w:rsid w:val="002768B1"/>
    <w:rsid w:val="00290554"/>
    <w:rsid w:val="00292CEB"/>
    <w:rsid w:val="00305AAA"/>
    <w:rsid w:val="0032245B"/>
    <w:rsid w:val="00326F39"/>
    <w:rsid w:val="003361C9"/>
    <w:rsid w:val="00352C14"/>
    <w:rsid w:val="00377ACD"/>
    <w:rsid w:val="003871CA"/>
    <w:rsid w:val="003B1079"/>
    <w:rsid w:val="003D0B07"/>
    <w:rsid w:val="003D3F3E"/>
    <w:rsid w:val="00404C71"/>
    <w:rsid w:val="0040715B"/>
    <w:rsid w:val="00430581"/>
    <w:rsid w:val="00433DD0"/>
    <w:rsid w:val="004433DA"/>
    <w:rsid w:val="00444864"/>
    <w:rsid w:val="0046633A"/>
    <w:rsid w:val="00466A1F"/>
    <w:rsid w:val="00473F79"/>
    <w:rsid w:val="00492EA1"/>
    <w:rsid w:val="005009C0"/>
    <w:rsid w:val="00534BC8"/>
    <w:rsid w:val="00537AB8"/>
    <w:rsid w:val="00551ABD"/>
    <w:rsid w:val="0056454A"/>
    <w:rsid w:val="00564679"/>
    <w:rsid w:val="00572BC0"/>
    <w:rsid w:val="005759FE"/>
    <w:rsid w:val="0058761D"/>
    <w:rsid w:val="00595A7F"/>
    <w:rsid w:val="005B4660"/>
    <w:rsid w:val="005E3B74"/>
    <w:rsid w:val="005F3C82"/>
    <w:rsid w:val="00605710"/>
    <w:rsid w:val="006157BD"/>
    <w:rsid w:val="0066560E"/>
    <w:rsid w:val="00670EA2"/>
    <w:rsid w:val="00674484"/>
    <w:rsid w:val="006A1A1A"/>
    <w:rsid w:val="006F1021"/>
    <w:rsid w:val="006F17A3"/>
    <w:rsid w:val="006F1CC5"/>
    <w:rsid w:val="006F7FFB"/>
    <w:rsid w:val="007035FD"/>
    <w:rsid w:val="007111AF"/>
    <w:rsid w:val="0073172E"/>
    <w:rsid w:val="00732D1D"/>
    <w:rsid w:val="007342C9"/>
    <w:rsid w:val="0074160F"/>
    <w:rsid w:val="00741C81"/>
    <w:rsid w:val="007503E1"/>
    <w:rsid w:val="007528EA"/>
    <w:rsid w:val="00767B9D"/>
    <w:rsid w:val="007761CB"/>
    <w:rsid w:val="00781689"/>
    <w:rsid w:val="007A0700"/>
    <w:rsid w:val="007B2F18"/>
    <w:rsid w:val="007B4C11"/>
    <w:rsid w:val="007F400B"/>
    <w:rsid w:val="007F6CFC"/>
    <w:rsid w:val="00837FE2"/>
    <w:rsid w:val="008466A4"/>
    <w:rsid w:val="00856E2E"/>
    <w:rsid w:val="00886DC1"/>
    <w:rsid w:val="00891B9D"/>
    <w:rsid w:val="008963A8"/>
    <w:rsid w:val="008B3479"/>
    <w:rsid w:val="008B46A9"/>
    <w:rsid w:val="008B507F"/>
    <w:rsid w:val="00900DD4"/>
    <w:rsid w:val="0090699E"/>
    <w:rsid w:val="00914FF7"/>
    <w:rsid w:val="00923A6D"/>
    <w:rsid w:val="009317FF"/>
    <w:rsid w:val="00934D53"/>
    <w:rsid w:val="00952A49"/>
    <w:rsid w:val="00963B62"/>
    <w:rsid w:val="00964388"/>
    <w:rsid w:val="009772A5"/>
    <w:rsid w:val="00980F65"/>
    <w:rsid w:val="00986C81"/>
    <w:rsid w:val="00995533"/>
    <w:rsid w:val="0099716C"/>
    <w:rsid w:val="009A058B"/>
    <w:rsid w:val="009A651D"/>
    <w:rsid w:val="009B190F"/>
    <w:rsid w:val="009B5700"/>
    <w:rsid w:val="009C01D8"/>
    <w:rsid w:val="009D745B"/>
    <w:rsid w:val="009F0B66"/>
    <w:rsid w:val="009F1F5B"/>
    <w:rsid w:val="009F420F"/>
    <w:rsid w:val="00A15BF7"/>
    <w:rsid w:val="00A2104B"/>
    <w:rsid w:val="00A30A8F"/>
    <w:rsid w:val="00A41D71"/>
    <w:rsid w:val="00A5203A"/>
    <w:rsid w:val="00A56771"/>
    <w:rsid w:val="00A74D71"/>
    <w:rsid w:val="00A97B5E"/>
    <w:rsid w:val="00AB3EC0"/>
    <w:rsid w:val="00AC1D88"/>
    <w:rsid w:val="00AC354C"/>
    <w:rsid w:val="00AE6DC1"/>
    <w:rsid w:val="00AF64B6"/>
    <w:rsid w:val="00AF7DD9"/>
    <w:rsid w:val="00B05BD0"/>
    <w:rsid w:val="00B16613"/>
    <w:rsid w:val="00B2502F"/>
    <w:rsid w:val="00B275B3"/>
    <w:rsid w:val="00B32490"/>
    <w:rsid w:val="00B53325"/>
    <w:rsid w:val="00B76825"/>
    <w:rsid w:val="00B80CE5"/>
    <w:rsid w:val="00B83D8E"/>
    <w:rsid w:val="00B92548"/>
    <w:rsid w:val="00BC4AE3"/>
    <w:rsid w:val="00BE3E00"/>
    <w:rsid w:val="00BF1EFA"/>
    <w:rsid w:val="00C10F4F"/>
    <w:rsid w:val="00C233CF"/>
    <w:rsid w:val="00C26EC2"/>
    <w:rsid w:val="00C34841"/>
    <w:rsid w:val="00C36DC9"/>
    <w:rsid w:val="00C466B4"/>
    <w:rsid w:val="00C51829"/>
    <w:rsid w:val="00C5785F"/>
    <w:rsid w:val="00C57D4F"/>
    <w:rsid w:val="00C644C2"/>
    <w:rsid w:val="00C67971"/>
    <w:rsid w:val="00C93A97"/>
    <w:rsid w:val="00CB465B"/>
    <w:rsid w:val="00CB7D85"/>
    <w:rsid w:val="00CC1DEE"/>
    <w:rsid w:val="00CD6EB5"/>
    <w:rsid w:val="00CE64E2"/>
    <w:rsid w:val="00D06644"/>
    <w:rsid w:val="00D30435"/>
    <w:rsid w:val="00D362B1"/>
    <w:rsid w:val="00D75BD4"/>
    <w:rsid w:val="00D847DD"/>
    <w:rsid w:val="00DB5428"/>
    <w:rsid w:val="00DC2BB0"/>
    <w:rsid w:val="00DC493D"/>
    <w:rsid w:val="00DF338C"/>
    <w:rsid w:val="00E02E30"/>
    <w:rsid w:val="00E11490"/>
    <w:rsid w:val="00E13D3B"/>
    <w:rsid w:val="00E14706"/>
    <w:rsid w:val="00E16635"/>
    <w:rsid w:val="00E26CBB"/>
    <w:rsid w:val="00E524DF"/>
    <w:rsid w:val="00E538B7"/>
    <w:rsid w:val="00E61833"/>
    <w:rsid w:val="00E932C5"/>
    <w:rsid w:val="00EB0AB1"/>
    <w:rsid w:val="00EB1CBF"/>
    <w:rsid w:val="00EC46AE"/>
    <w:rsid w:val="00ED4EF2"/>
    <w:rsid w:val="00ED7B9D"/>
    <w:rsid w:val="00EF1BCD"/>
    <w:rsid w:val="00EF21D7"/>
    <w:rsid w:val="00F32C4F"/>
    <w:rsid w:val="00F4556D"/>
    <w:rsid w:val="00F57B79"/>
    <w:rsid w:val="00F67683"/>
    <w:rsid w:val="00F864E9"/>
    <w:rsid w:val="00FA4629"/>
    <w:rsid w:val="00FE2655"/>
    <w:rsid w:val="00FE6BF5"/>
    <w:rsid w:val="00FE7302"/>
    <w:rsid w:val="00FF0458"/>
    <w:rsid w:val="05E142CC"/>
    <w:rsid w:val="063E7DA1"/>
    <w:rsid w:val="0B27BD22"/>
    <w:rsid w:val="10D69A81"/>
    <w:rsid w:val="1748645E"/>
    <w:rsid w:val="1FB15C46"/>
    <w:rsid w:val="2578A16C"/>
    <w:rsid w:val="2824517A"/>
    <w:rsid w:val="2E7A6AA1"/>
    <w:rsid w:val="39F85349"/>
    <w:rsid w:val="4422E052"/>
    <w:rsid w:val="49120B47"/>
    <w:rsid w:val="497135DF"/>
    <w:rsid w:val="563F9DD3"/>
    <w:rsid w:val="605F28FC"/>
    <w:rsid w:val="64622D9F"/>
    <w:rsid w:val="66EEDB56"/>
    <w:rsid w:val="70901C7B"/>
    <w:rsid w:val="717E8299"/>
    <w:rsid w:val="733A769E"/>
    <w:rsid w:val="735324C8"/>
    <w:rsid w:val="73C7BD3D"/>
    <w:rsid w:val="7591873F"/>
    <w:rsid w:val="7B536E17"/>
    <w:rsid w:val="7FE8647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o:shapelayout v:ext="edit">
      <o:idmap v:ext="edit" data="1"/>
    </o:shapelayout>
  </w:shapeDefaults>
  <w:decimalSymbol w:val="."/>
  <w:listSeparator w:val=","/>
  <w14:docId w14:val="024714AC"/>
  <w15:docId w15:val="{20266B18-6AAD-42A7-BDB9-9B6A7B9A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79"/>
    <w:rPr>
      <w:rFonts w:ascii="Arial" w:hAnsi="Arial"/>
      <w:lang w:eastAsia="en-AU" w:bidi="ar-SA"/>
    </w:rPr>
  </w:style>
  <w:style w:type="paragraph" w:styleId="Heading1">
    <w:name w:val="heading 1"/>
    <w:basedOn w:val="Normal"/>
    <w:next w:val="Normal"/>
    <w:qFormat/>
    <w:rsid w:val="00253D44"/>
    <w:pPr>
      <w:keepNext/>
      <w:spacing w:before="240" w:after="60"/>
      <w:outlineLvl w:val="0"/>
    </w:pPr>
    <w:rPr>
      <w:b/>
      <w:caps/>
      <w:kern w:val="28"/>
      <w:sz w:val="24"/>
      <w:szCs w:val="18"/>
    </w:rPr>
  </w:style>
  <w:style w:type="paragraph" w:styleId="Heading2">
    <w:name w:val="heading 2"/>
    <w:basedOn w:val="Normal"/>
    <w:next w:val="BodyTextIndent"/>
    <w:qFormat/>
    <w:rsid w:val="00D75BD4"/>
    <w:pPr>
      <w:keepNext/>
      <w:numPr>
        <w:numId w:val="1"/>
      </w:numPr>
      <w:spacing w:before="240" w:after="60"/>
      <w:outlineLvl w:val="1"/>
    </w:pPr>
    <w:rPr>
      <w:b/>
      <w:caps/>
      <w:sz w:val="28"/>
      <w:szCs w:val="22"/>
    </w:rPr>
  </w:style>
  <w:style w:type="paragraph" w:styleId="Heading3">
    <w:name w:val="heading 3"/>
    <w:basedOn w:val="Heading2"/>
    <w:next w:val="Normal"/>
    <w:qFormat/>
    <w:rsid w:val="00D75BD4"/>
    <w:pPr>
      <w:numPr>
        <w:ilvl w:val="1"/>
      </w:numPr>
      <w:tabs>
        <w:tab w:val="clear" w:pos="1440"/>
        <w:tab w:val="num" w:pos="709"/>
      </w:tabs>
      <w:ind w:left="709" w:hanging="709"/>
      <w:outlineLvl w:val="2"/>
    </w:pPr>
    <w:rPr>
      <w:sz w:val="24"/>
      <w:szCs w:val="20"/>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253D44"/>
    <w:pPr>
      <w:pBdr>
        <w:bottom w:val="single" w:sz="2" w:space="4" w:color="auto"/>
      </w:pBdr>
      <w:tabs>
        <w:tab w:val="right" w:pos="9356"/>
      </w:tabs>
      <w:spacing w:before="20" w:after="20"/>
      <w:jc w:val="both"/>
    </w:pPr>
    <w:rPr>
      <w:i/>
      <w:sz w:val="16"/>
    </w:rPr>
  </w:style>
  <w:style w:type="paragraph" w:styleId="Footer">
    <w:name w:val="footer"/>
    <w:basedOn w:val="Normal"/>
    <w:semiHidden/>
    <w:rsid w:val="007761CB"/>
    <w:pPr>
      <w:pBdr>
        <w:top w:val="single" w:sz="2" w:space="4" w:color="auto"/>
      </w:pBdr>
      <w:tabs>
        <w:tab w:val="right" w:pos="9356"/>
      </w:tabs>
      <w:jc w:val="both"/>
    </w:pPr>
    <w:rPr>
      <w:b/>
      <w:bCs/>
      <w:i/>
      <w:iCs/>
      <w:noProof/>
      <w:sz w:val="16"/>
    </w:rPr>
  </w:style>
  <w:style w:type="character" w:styleId="PageNumber">
    <w:name w:val="page number"/>
    <w:semiHidden/>
    <w:rPr>
      <w:rFonts w:ascii="Arial" w:hAnsi="Arial"/>
      <w:sz w:val="16"/>
    </w:rPr>
  </w:style>
  <w:style w:type="paragraph" w:styleId="BodyText">
    <w:name w:val="Body Text"/>
    <w:basedOn w:val="Normal"/>
    <w:link w:val="BodyTextChar"/>
    <w:semiHidden/>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rsid w:val="00473F79"/>
    <w:pPr>
      <w:spacing w:before="60" w:after="60"/>
      <w:ind w:left="709"/>
      <w:jc w:val="both"/>
    </w:pPr>
  </w:style>
  <w:style w:type="paragraph" w:styleId="TOC1">
    <w:name w:val="toc 1"/>
    <w:basedOn w:val="Normal"/>
    <w:next w:val="Normal"/>
    <w:autoRedefine/>
    <w:uiPriority w:val="39"/>
    <w:rsid w:val="0032245B"/>
    <w:pPr>
      <w:tabs>
        <w:tab w:val="left" w:pos="567"/>
        <w:tab w:val="right" w:leader="dot" w:pos="9498"/>
      </w:tabs>
      <w:spacing w:before="120" w:after="120"/>
      <w:ind w:left="567" w:hanging="567"/>
    </w:pPr>
    <w:rPr>
      <w:b/>
      <w:caps/>
      <w:sz w:val="24"/>
    </w:rPr>
  </w:style>
  <w:style w:type="paragraph" w:styleId="TOC2">
    <w:name w:val="toc 2"/>
    <w:basedOn w:val="Normal"/>
    <w:next w:val="Normal"/>
    <w:autoRedefine/>
    <w:uiPriority w:val="39"/>
    <w:rsid w:val="00E16635"/>
    <w:pPr>
      <w:tabs>
        <w:tab w:val="left" w:pos="993"/>
        <w:tab w:val="right" w:leader="dot" w:pos="9498"/>
      </w:tabs>
      <w:ind w:left="993" w:hanging="426"/>
    </w:pPr>
    <w:rPr>
      <w:b/>
      <w:smallCaps/>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styleId="BodyTextIndent2">
    <w:name w:val="Body Text Indent 2"/>
    <w:basedOn w:val="Normal"/>
    <w:semiHidden/>
    <w:pPr>
      <w:spacing w:after="100"/>
      <w:ind w:left="709"/>
    </w:pPr>
  </w:style>
  <w:style w:type="paragraph" w:styleId="BlockText">
    <w:name w:val="Block Text"/>
    <w:basedOn w:val="Normal"/>
    <w:semiHidden/>
    <w:pPr>
      <w:spacing w:after="120"/>
      <w:ind w:left="1440" w:right="1440"/>
    </w:pPr>
  </w:style>
  <w:style w:type="character" w:styleId="CommentReference">
    <w:name w:val="annotation reference"/>
    <w:uiPriority w:val="99"/>
    <w:semiHidden/>
    <w:unhideWhenUsed/>
    <w:rsid w:val="007528EA"/>
    <w:rPr>
      <w:sz w:val="16"/>
      <w:szCs w:val="16"/>
    </w:rPr>
  </w:style>
  <w:style w:type="paragraph" w:styleId="CommentText">
    <w:name w:val="annotation text"/>
    <w:basedOn w:val="Normal"/>
    <w:link w:val="CommentTextChar"/>
    <w:uiPriority w:val="99"/>
    <w:semiHidden/>
    <w:unhideWhenUsed/>
    <w:rsid w:val="007528EA"/>
  </w:style>
  <w:style w:type="character" w:customStyle="1" w:styleId="CommentTextChar">
    <w:name w:val="Comment Text Char"/>
    <w:link w:val="CommentText"/>
    <w:uiPriority w:val="99"/>
    <w:semiHidden/>
    <w:rsid w:val="007528EA"/>
    <w:rPr>
      <w:rFonts w:ascii="Arial" w:hAnsi="Arial"/>
    </w:rPr>
  </w:style>
  <w:style w:type="paragraph" w:styleId="CommentSubject">
    <w:name w:val="annotation subject"/>
    <w:basedOn w:val="CommentText"/>
    <w:next w:val="CommentText"/>
    <w:link w:val="CommentSubjectChar"/>
    <w:uiPriority w:val="99"/>
    <w:semiHidden/>
    <w:unhideWhenUsed/>
    <w:rsid w:val="007528EA"/>
    <w:rPr>
      <w:b/>
      <w:bCs/>
    </w:rPr>
  </w:style>
  <w:style w:type="character" w:customStyle="1" w:styleId="CommentSubjectChar">
    <w:name w:val="Comment Subject Char"/>
    <w:link w:val="CommentSubject"/>
    <w:uiPriority w:val="99"/>
    <w:semiHidden/>
    <w:rsid w:val="007528EA"/>
    <w:rPr>
      <w:rFonts w:ascii="Arial" w:hAnsi="Arial"/>
      <w:b/>
      <w:bCs/>
    </w:rPr>
  </w:style>
  <w:style w:type="paragraph" w:styleId="BalloonText">
    <w:name w:val="Balloon Text"/>
    <w:basedOn w:val="Normal"/>
    <w:link w:val="BalloonTextChar"/>
    <w:uiPriority w:val="99"/>
    <w:semiHidden/>
    <w:unhideWhenUsed/>
    <w:rsid w:val="007528EA"/>
    <w:rPr>
      <w:rFonts w:ascii="Tahoma" w:hAnsi="Tahoma" w:cs="Tahoma"/>
      <w:sz w:val="16"/>
      <w:szCs w:val="16"/>
    </w:rPr>
  </w:style>
  <w:style w:type="character" w:customStyle="1" w:styleId="BalloonTextChar">
    <w:name w:val="Balloon Text Char"/>
    <w:link w:val="BalloonText"/>
    <w:uiPriority w:val="99"/>
    <w:semiHidden/>
    <w:rsid w:val="007528EA"/>
    <w:rPr>
      <w:rFonts w:ascii="Tahoma" w:hAnsi="Tahoma" w:cs="Tahoma"/>
      <w:sz w:val="16"/>
      <w:szCs w:val="16"/>
    </w:rPr>
  </w:style>
  <w:style w:type="paragraph" w:styleId="BodyTextIndent3">
    <w:name w:val="Body Text Indent 3"/>
    <w:basedOn w:val="Normal"/>
    <w:link w:val="BodyTextIndent3Char"/>
    <w:uiPriority w:val="99"/>
    <w:semiHidden/>
    <w:unhideWhenUsed/>
    <w:rsid w:val="00076050"/>
    <w:pPr>
      <w:spacing w:after="120"/>
      <w:ind w:left="283"/>
    </w:pPr>
    <w:rPr>
      <w:sz w:val="16"/>
      <w:szCs w:val="16"/>
    </w:rPr>
  </w:style>
  <w:style w:type="character" w:customStyle="1" w:styleId="BodyTextIndent3Char">
    <w:name w:val="Body Text Indent 3 Char"/>
    <w:link w:val="BodyTextIndent3"/>
    <w:uiPriority w:val="99"/>
    <w:semiHidden/>
    <w:rsid w:val="00076050"/>
    <w:rPr>
      <w:rFonts w:ascii="Arial" w:hAnsi="Arial"/>
      <w:sz w:val="16"/>
      <w:szCs w:val="16"/>
    </w:rPr>
  </w:style>
  <w:style w:type="paragraph" w:customStyle="1" w:styleId="BodyTextIndentBoldUnderline">
    <w:name w:val="Body Text Indent Bold Underline"/>
    <w:basedOn w:val="Normal"/>
    <w:qFormat/>
    <w:rsid w:val="00076087"/>
    <w:pPr>
      <w:spacing w:before="60" w:after="60"/>
      <w:ind w:left="709"/>
      <w:jc w:val="both"/>
    </w:pPr>
    <w:rPr>
      <w:b/>
      <w:u w:val="single"/>
    </w:rPr>
  </w:style>
  <w:style w:type="paragraph" w:customStyle="1" w:styleId="BodyTextIndentDot">
    <w:name w:val="Body Text Indent Dot"/>
    <w:basedOn w:val="BodyTextIndent2"/>
    <w:qFormat/>
    <w:rsid w:val="00076087"/>
    <w:pPr>
      <w:numPr>
        <w:numId w:val="7"/>
      </w:numPr>
      <w:tabs>
        <w:tab w:val="clear" w:pos="360"/>
      </w:tabs>
      <w:spacing w:before="40" w:after="40"/>
      <w:ind w:left="1134" w:hanging="425"/>
      <w:jc w:val="both"/>
    </w:pPr>
    <w:rPr>
      <w:snapToGrid w:val="0"/>
    </w:rPr>
  </w:style>
  <w:style w:type="paragraph" w:customStyle="1" w:styleId="TableIDNum">
    <w:name w:val="Table ID Num"/>
    <w:basedOn w:val="Normal"/>
    <w:qFormat/>
    <w:rsid w:val="00D75BD4"/>
    <w:pPr>
      <w:spacing w:before="120" w:after="60"/>
      <w:ind w:left="709"/>
      <w:jc w:val="both"/>
    </w:pPr>
    <w:rPr>
      <w:rFonts w:ascii="Arial Bold" w:hAnsi="Arial Bold"/>
      <w:b/>
      <w:i/>
      <w:sz w:val="18"/>
    </w:rPr>
  </w:style>
  <w:style w:type="paragraph" w:customStyle="1" w:styleId="CoverHeading">
    <w:name w:val="Cover Heading"/>
    <w:basedOn w:val="Normal"/>
    <w:rsid w:val="00F67683"/>
    <w:pPr>
      <w:spacing w:before="240" w:after="120"/>
      <w:jc w:val="center"/>
      <w:outlineLvl w:val="0"/>
    </w:pPr>
    <w:rPr>
      <w:b/>
      <w:caps/>
      <w:sz w:val="24"/>
    </w:rPr>
  </w:style>
  <w:style w:type="paragraph" w:customStyle="1" w:styleId="TableHeadCen">
    <w:name w:val="Table Head Cen"/>
    <w:basedOn w:val="Normal"/>
    <w:rsid w:val="00F67683"/>
    <w:pPr>
      <w:spacing w:before="60" w:after="60"/>
      <w:jc w:val="center"/>
    </w:pPr>
    <w:rPr>
      <w:rFonts w:ascii="Arial Bold" w:hAnsi="Arial Bold"/>
      <w:b/>
      <w:sz w:val="18"/>
    </w:rPr>
  </w:style>
  <w:style w:type="paragraph" w:customStyle="1" w:styleId="Table">
    <w:name w:val="Table"/>
    <w:basedOn w:val="BodyTextIndent3"/>
    <w:rsid w:val="00F67683"/>
    <w:pPr>
      <w:spacing w:before="40" w:after="40"/>
      <w:ind w:left="0"/>
    </w:pPr>
    <w:rPr>
      <w:snapToGrid w:val="0"/>
      <w:sz w:val="18"/>
      <w:szCs w:val="20"/>
      <w:lang w:eastAsia="en-US"/>
    </w:rPr>
  </w:style>
  <w:style w:type="paragraph" w:customStyle="1" w:styleId="TableCen">
    <w:name w:val="Table Cen"/>
    <w:basedOn w:val="Table"/>
    <w:rsid w:val="00F67683"/>
    <w:pPr>
      <w:jc w:val="center"/>
    </w:pPr>
  </w:style>
  <w:style w:type="paragraph" w:customStyle="1" w:styleId="TableHead">
    <w:name w:val="Table Head"/>
    <w:basedOn w:val="Normal"/>
    <w:rsid w:val="00F67683"/>
    <w:pPr>
      <w:spacing w:before="60" w:after="60"/>
    </w:pPr>
    <w:rPr>
      <w:b/>
      <w:sz w:val="18"/>
    </w:rPr>
  </w:style>
  <w:style w:type="paragraph" w:customStyle="1" w:styleId="BodyTextIndentDot2">
    <w:name w:val="Body Text Indent Dot2"/>
    <w:basedOn w:val="Normal"/>
    <w:rsid w:val="00F67683"/>
    <w:pPr>
      <w:numPr>
        <w:numId w:val="8"/>
      </w:numPr>
      <w:tabs>
        <w:tab w:val="clear" w:pos="360"/>
        <w:tab w:val="num" w:pos="1134"/>
      </w:tabs>
      <w:spacing w:before="40" w:after="40"/>
      <w:ind w:left="1134" w:hanging="425"/>
      <w:jc w:val="both"/>
    </w:pPr>
  </w:style>
  <w:style w:type="paragraph" w:customStyle="1" w:styleId="TableDot1">
    <w:name w:val="Table Dot1"/>
    <w:basedOn w:val="BodyTextIndentDot2"/>
    <w:rsid w:val="00F67683"/>
    <w:pPr>
      <w:tabs>
        <w:tab w:val="num" w:pos="459"/>
      </w:tabs>
      <w:spacing w:before="20" w:after="20"/>
      <w:ind w:left="459" w:hanging="283"/>
    </w:pPr>
    <w:rPr>
      <w:sz w:val="18"/>
    </w:rPr>
  </w:style>
  <w:style w:type="paragraph" w:customStyle="1" w:styleId="BodyTextIndentBoldItalicCen">
    <w:name w:val="Body Text Indent Bold Italic Cen"/>
    <w:basedOn w:val="BodyTextIndent"/>
    <w:rsid w:val="00076087"/>
    <w:pPr>
      <w:jc w:val="center"/>
    </w:pPr>
    <w:rPr>
      <w:b/>
      <w:i/>
    </w:rPr>
  </w:style>
  <w:style w:type="paragraph" w:styleId="NormalWeb">
    <w:name w:val="Normal (Web)"/>
    <w:basedOn w:val="Normal"/>
    <w:uiPriority w:val="99"/>
    <w:semiHidden/>
    <w:unhideWhenUsed/>
    <w:rsid w:val="00F57B79"/>
    <w:pPr>
      <w:spacing w:before="100" w:beforeAutospacing="1" w:after="100" w:afterAutospacing="1"/>
    </w:pPr>
    <w:rPr>
      <w:rFonts w:ascii="Times New Roman" w:hAnsi="Times New Roman"/>
      <w:sz w:val="24"/>
      <w:szCs w:val="24"/>
    </w:rPr>
  </w:style>
  <w:style w:type="character" w:customStyle="1" w:styleId="BodyTextChar">
    <w:name w:val="Body Text Char"/>
    <w:link w:val="BodyText"/>
    <w:semiHidden/>
    <w:rsid w:val="00261FA2"/>
    <w:rPr>
      <w:rFonts w:ascii="Arial" w:hAnsi="Arial"/>
      <w:lang w:eastAsia="en-AU" w:bidi="ar-SA"/>
    </w:rPr>
  </w:style>
  <w:style w:type="character" w:customStyle="1" w:styleId="BodyTextIndentChar">
    <w:name w:val="Body Text Indent Char"/>
    <w:link w:val="BodyTextIndent"/>
    <w:semiHidden/>
    <w:rsid w:val="00261FA2"/>
    <w:rPr>
      <w:rFonts w:ascii="Arial" w:hAnsi="Arial"/>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c26e5-4c41-468c-83b0-97e8e79a919c">
      <UserInfo>
        <DisplayName>Greg Stephenson</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A244F-6280-4CBD-BEC3-985600E4C446}">
  <ds:schemaRefs>
    <ds:schemaRef ds:uri="http://schemas.microsoft.com/office/2006/documentManagement/types"/>
    <ds:schemaRef ds:uri="http://schemas.microsoft.com/office/2006/metadata/properties"/>
    <ds:schemaRef ds:uri="1aac26e5-4c41-468c-83b0-97e8e79a919c"/>
    <ds:schemaRef ds:uri="4f40705d-e7da-4f43-bdce-ad8c70b86017"/>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5D9A6FC-F423-4D0F-A303-11557D7762B5}">
  <ds:schemaRefs>
    <ds:schemaRef ds:uri="http://schemas.microsoft.com/sharepoint/v3/contenttype/forms"/>
  </ds:schemaRefs>
</ds:datastoreItem>
</file>

<file path=customXml/itemProps3.xml><?xml version="1.0" encoding="utf-8"?>
<ds:datastoreItem xmlns:ds="http://schemas.openxmlformats.org/officeDocument/2006/customXml" ds:itemID="{5D55B098-F0CC-4D5E-BE46-70165E98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3352</Words>
  <Characters>19108</Characters>
  <Application>Microsoft Office Word</Application>
  <DocSecurity>0</DocSecurity>
  <Lines>159</Lines>
  <Paragraphs>44</Paragraphs>
  <ScaleCrop>false</ScaleCrop>
  <Manager>Bruce Hansen</Manager>
  <Company>Brisbane City Council</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S320 Asphalt Laying</dc:subject>
  <dc:creator>Lucy Ting</dc:creator>
  <cp:keywords/>
  <dc:description/>
  <cp:lastModifiedBy>David Brady</cp:lastModifiedBy>
  <cp:revision>150</cp:revision>
  <cp:lastPrinted>2013-06-21T07:25:00Z</cp:lastPrinted>
  <dcterms:created xsi:type="dcterms:W3CDTF">2014-04-23T03:29:00Z</dcterms:created>
  <dcterms:modified xsi:type="dcterms:W3CDTF">2021-11-17T21:41:00Z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