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31702" w14:textId="05C1A28A" w:rsidR="00FA4B51" w:rsidRPr="00761DC0" w:rsidRDefault="000D3EBC" w:rsidP="00761DC0">
      <w:pPr>
        <w:pStyle w:val="Heading1"/>
      </w:pPr>
      <w:bookmarkStart w:id="0" w:name="_Toc334690139"/>
      <w:r w:rsidRPr="00761DC0">
        <w:rPr>
          <w:caps w:val="0"/>
        </w:rPr>
        <w:t>BRISBANE CITY COUNCIL</w:t>
      </w:r>
    </w:p>
    <w:p w14:paraId="4EF65F53" w14:textId="2491ADF2" w:rsidR="00FA4B51" w:rsidRDefault="000D3EBC" w:rsidP="00761DC0">
      <w:pPr>
        <w:pStyle w:val="Heading1"/>
      </w:pPr>
      <w:r>
        <w:rPr>
          <w:caps w:val="0"/>
        </w:rPr>
        <w:t>REFERENCE SPECIFICATIONS FOR ENGINEERING WORK</w:t>
      </w:r>
    </w:p>
    <w:p w14:paraId="3B0AAEAD" w14:textId="16FF9A1F" w:rsidR="00F72C46" w:rsidRDefault="000D3EBC" w:rsidP="00761DC0">
      <w:pPr>
        <w:pStyle w:val="Heading1"/>
      </w:pPr>
      <w:r>
        <w:rPr>
          <w:caps w:val="0"/>
        </w:rPr>
        <w:t>S330 SPRAYED BITUMINOUS SURFACING</w:t>
      </w:r>
    </w:p>
    <w:p w14:paraId="66F706D4" w14:textId="6BF542A5" w:rsidR="00FA4B51" w:rsidRDefault="00FA4B51" w:rsidP="00FA4B51">
      <w:pPr>
        <w:pStyle w:val="CoverHeading"/>
        <w:sectPr w:rsidR="00FA4B51" w:rsidSect="00960636">
          <w:headerReference w:type="even" r:id="rId10"/>
          <w:headerReference w:type="default" r:id="rId11"/>
          <w:footerReference w:type="default" r:id="rId12"/>
          <w:pgSz w:w="11906" w:h="16838" w:code="9"/>
          <w:pgMar w:top="1134" w:right="1134" w:bottom="992" w:left="1418" w:header="1134" w:footer="851" w:gutter="0"/>
          <w:pgNumType w:fmt="lowerRoman" w:start="1"/>
          <w:cols w:space="720"/>
        </w:sectPr>
      </w:pPr>
    </w:p>
    <w:p w14:paraId="22E2FC7A" w14:textId="4AFA6209" w:rsidR="00960636" w:rsidRDefault="00200E30" w:rsidP="00200E30">
      <w:pPr>
        <w:pStyle w:val="Heading2"/>
        <w:numPr>
          <w:ilvl w:val="0"/>
          <w:numId w:val="0"/>
        </w:numPr>
        <w:ind w:left="720" w:hanging="720"/>
      </w:pPr>
      <w:r>
        <w:rPr>
          <w:caps w:val="0"/>
        </w:rPr>
        <w:lastRenderedPageBreak/>
        <w:t>AMENDMENT REGISTER</w:t>
      </w:r>
      <w:bookmarkEnd w:id="0"/>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310"/>
        <w:gridCol w:w="5386"/>
        <w:gridCol w:w="1418"/>
      </w:tblGrid>
      <w:tr w:rsidR="00960636" w14:paraId="6A0B005F" w14:textId="77777777" w:rsidTr="00200E30">
        <w:tc>
          <w:tcPr>
            <w:tcW w:w="1242" w:type="dxa"/>
            <w:tcBorders>
              <w:top w:val="single" w:sz="12" w:space="0" w:color="auto"/>
              <w:left w:val="nil"/>
              <w:bottom w:val="single" w:sz="12" w:space="0" w:color="auto"/>
              <w:right w:val="single" w:sz="2" w:space="0" w:color="auto"/>
            </w:tcBorders>
            <w:shd w:val="pct10" w:color="auto" w:fill="auto"/>
            <w:vAlign w:val="center"/>
          </w:tcPr>
          <w:p w14:paraId="78FC991A" w14:textId="77777777" w:rsidR="00960636" w:rsidRDefault="00960636" w:rsidP="0067023B">
            <w:pPr>
              <w:pStyle w:val="TableHeadCen"/>
            </w:pPr>
            <w:r>
              <w:t>Ed/Rev Number</w:t>
            </w:r>
          </w:p>
        </w:tc>
        <w:tc>
          <w:tcPr>
            <w:tcW w:w="1310" w:type="dxa"/>
            <w:tcBorders>
              <w:top w:val="single" w:sz="12" w:space="0" w:color="auto"/>
              <w:left w:val="single" w:sz="2" w:space="0" w:color="auto"/>
              <w:bottom w:val="single" w:sz="12" w:space="0" w:color="auto"/>
              <w:right w:val="single" w:sz="2" w:space="0" w:color="auto"/>
            </w:tcBorders>
            <w:shd w:val="pct10" w:color="auto" w:fill="auto"/>
            <w:vAlign w:val="center"/>
          </w:tcPr>
          <w:p w14:paraId="0D8A70E9" w14:textId="77777777" w:rsidR="00960636" w:rsidRDefault="00960636" w:rsidP="0067023B">
            <w:pPr>
              <w:pStyle w:val="TableHeadCen"/>
            </w:pPr>
            <w:r>
              <w:t>Section Number</w:t>
            </w:r>
          </w:p>
        </w:tc>
        <w:tc>
          <w:tcPr>
            <w:tcW w:w="5386" w:type="dxa"/>
            <w:tcBorders>
              <w:top w:val="single" w:sz="12" w:space="0" w:color="auto"/>
              <w:left w:val="single" w:sz="2" w:space="0" w:color="auto"/>
              <w:bottom w:val="single" w:sz="12" w:space="0" w:color="auto"/>
              <w:right w:val="single" w:sz="2" w:space="0" w:color="auto"/>
            </w:tcBorders>
            <w:shd w:val="pct10" w:color="auto" w:fill="auto"/>
            <w:vAlign w:val="center"/>
          </w:tcPr>
          <w:p w14:paraId="131A54DE" w14:textId="77777777" w:rsidR="00960636" w:rsidRDefault="00960636" w:rsidP="0067023B">
            <w:pPr>
              <w:pStyle w:val="TableHead"/>
            </w:pPr>
            <w:r>
              <w:t>Description</w:t>
            </w:r>
          </w:p>
        </w:tc>
        <w:tc>
          <w:tcPr>
            <w:tcW w:w="1418" w:type="dxa"/>
            <w:tcBorders>
              <w:top w:val="single" w:sz="12" w:space="0" w:color="auto"/>
              <w:left w:val="single" w:sz="2" w:space="0" w:color="auto"/>
              <w:bottom w:val="single" w:sz="12" w:space="0" w:color="auto"/>
              <w:right w:val="nil"/>
            </w:tcBorders>
            <w:shd w:val="pct10" w:color="auto" w:fill="auto"/>
            <w:vAlign w:val="center"/>
          </w:tcPr>
          <w:p w14:paraId="7436814B" w14:textId="77777777" w:rsidR="00960636" w:rsidRDefault="00960636" w:rsidP="0067023B">
            <w:pPr>
              <w:pStyle w:val="TableHeadCen"/>
            </w:pPr>
            <w:r>
              <w:t>Date</w:t>
            </w:r>
          </w:p>
        </w:tc>
      </w:tr>
      <w:tr w:rsidR="00960636" w14:paraId="79D7C965" w14:textId="77777777" w:rsidTr="00200E30">
        <w:trPr>
          <w:trHeight w:val="340"/>
        </w:trPr>
        <w:tc>
          <w:tcPr>
            <w:tcW w:w="1242" w:type="dxa"/>
            <w:tcBorders>
              <w:top w:val="single" w:sz="12" w:space="0" w:color="auto"/>
              <w:left w:val="nil"/>
              <w:bottom w:val="single" w:sz="8" w:space="0" w:color="auto"/>
              <w:right w:val="single" w:sz="2" w:space="0" w:color="auto"/>
            </w:tcBorders>
            <w:vAlign w:val="center"/>
          </w:tcPr>
          <w:p w14:paraId="431A2C88" w14:textId="77777777" w:rsidR="00960636" w:rsidRDefault="00960636" w:rsidP="0067023B">
            <w:pPr>
              <w:pStyle w:val="TableCen"/>
            </w:pPr>
            <w:r>
              <w:t>1.0</w:t>
            </w:r>
          </w:p>
        </w:tc>
        <w:tc>
          <w:tcPr>
            <w:tcW w:w="1310" w:type="dxa"/>
            <w:tcBorders>
              <w:top w:val="single" w:sz="12" w:space="0" w:color="auto"/>
              <w:left w:val="single" w:sz="2" w:space="0" w:color="auto"/>
              <w:bottom w:val="single" w:sz="8" w:space="0" w:color="auto"/>
              <w:right w:val="single" w:sz="2" w:space="0" w:color="auto"/>
            </w:tcBorders>
            <w:vAlign w:val="center"/>
          </w:tcPr>
          <w:p w14:paraId="5E2B2616" w14:textId="77777777" w:rsidR="00960636" w:rsidRDefault="00960636" w:rsidP="0067023B">
            <w:pPr>
              <w:pStyle w:val="TableCen"/>
            </w:pPr>
          </w:p>
        </w:tc>
        <w:tc>
          <w:tcPr>
            <w:tcW w:w="5386" w:type="dxa"/>
            <w:tcBorders>
              <w:top w:val="single" w:sz="12" w:space="0" w:color="auto"/>
              <w:left w:val="single" w:sz="2" w:space="0" w:color="auto"/>
              <w:bottom w:val="single" w:sz="8" w:space="0" w:color="auto"/>
              <w:right w:val="single" w:sz="2" w:space="0" w:color="auto"/>
            </w:tcBorders>
            <w:vAlign w:val="center"/>
          </w:tcPr>
          <w:p w14:paraId="3860FB2D" w14:textId="77777777" w:rsidR="00960636" w:rsidRDefault="00960636" w:rsidP="0067023B">
            <w:pPr>
              <w:pStyle w:val="Table"/>
            </w:pPr>
            <w:r>
              <w:t>Original issue</w:t>
            </w:r>
          </w:p>
        </w:tc>
        <w:tc>
          <w:tcPr>
            <w:tcW w:w="1418" w:type="dxa"/>
            <w:tcBorders>
              <w:top w:val="single" w:sz="12" w:space="0" w:color="auto"/>
              <w:left w:val="single" w:sz="2" w:space="0" w:color="auto"/>
              <w:bottom w:val="single" w:sz="8" w:space="0" w:color="auto"/>
              <w:right w:val="nil"/>
            </w:tcBorders>
            <w:vAlign w:val="center"/>
          </w:tcPr>
          <w:p w14:paraId="7B90B760" w14:textId="77777777" w:rsidR="00960636" w:rsidRDefault="00960636" w:rsidP="0067023B">
            <w:pPr>
              <w:pStyle w:val="TableCen"/>
            </w:pPr>
            <w:r>
              <w:t>Oct 2001</w:t>
            </w:r>
          </w:p>
        </w:tc>
      </w:tr>
      <w:tr w:rsidR="00960636" w14:paraId="329042EA" w14:textId="77777777" w:rsidTr="00200E30">
        <w:trPr>
          <w:trHeight w:val="340"/>
        </w:trPr>
        <w:tc>
          <w:tcPr>
            <w:tcW w:w="1242" w:type="dxa"/>
            <w:tcBorders>
              <w:top w:val="single" w:sz="8" w:space="0" w:color="auto"/>
              <w:left w:val="nil"/>
              <w:bottom w:val="single" w:sz="8" w:space="0" w:color="auto"/>
              <w:right w:val="single" w:sz="2" w:space="0" w:color="auto"/>
            </w:tcBorders>
            <w:vAlign w:val="center"/>
          </w:tcPr>
          <w:p w14:paraId="66561AB4" w14:textId="77777777" w:rsidR="00960636" w:rsidRDefault="00960636" w:rsidP="0067023B">
            <w:pPr>
              <w:pStyle w:val="TableCen"/>
            </w:pPr>
            <w:r>
              <w:t>2.0</w:t>
            </w:r>
          </w:p>
        </w:tc>
        <w:tc>
          <w:tcPr>
            <w:tcW w:w="1310" w:type="dxa"/>
            <w:tcBorders>
              <w:top w:val="single" w:sz="8" w:space="0" w:color="auto"/>
              <w:left w:val="single" w:sz="2" w:space="0" w:color="auto"/>
              <w:bottom w:val="single" w:sz="8" w:space="0" w:color="auto"/>
              <w:right w:val="single" w:sz="2" w:space="0" w:color="auto"/>
            </w:tcBorders>
            <w:vAlign w:val="center"/>
          </w:tcPr>
          <w:p w14:paraId="104B64B4" w14:textId="77777777" w:rsidR="00960636" w:rsidRDefault="00960636" w:rsidP="0067023B">
            <w:pPr>
              <w:pStyle w:val="TableCen"/>
            </w:pPr>
          </w:p>
        </w:tc>
        <w:tc>
          <w:tcPr>
            <w:tcW w:w="5386" w:type="dxa"/>
            <w:tcBorders>
              <w:top w:val="single" w:sz="8" w:space="0" w:color="auto"/>
              <w:left w:val="single" w:sz="2" w:space="0" w:color="auto"/>
              <w:bottom w:val="single" w:sz="8" w:space="0" w:color="auto"/>
              <w:right w:val="single" w:sz="2" w:space="0" w:color="auto"/>
            </w:tcBorders>
            <w:vAlign w:val="center"/>
          </w:tcPr>
          <w:p w14:paraId="376303CA" w14:textId="77777777" w:rsidR="00960636" w:rsidRDefault="00960636" w:rsidP="0067023B">
            <w:pPr>
              <w:pStyle w:val="Table"/>
            </w:pPr>
            <w:r>
              <w:t>Specification reviewed</w:t>
            </w:r>
          </w:p>
        </w:tc>
        <w:tc>
          <w:tcPr>
            <w:tcW w:w="1418" w:type="dxa"/>
            <w:tcBorders>
              <w:top w:val="single" w:sz="8" w:space="0" w:color="auto"/>
              <w:left w:val="single" w:sz="2" w:space="0" w:color="auto"/>
              <w:bottom w:val="single" w:sz="8" w:space="0" w:color="auto"/>
              <w:right w:val="nil"/>
            </w:tcBorders>
            <w:vAlign w:val="center"/>
          </w:tcPr>
          <w:p w14:paraId="6C953146" w14:textId="77777777" w:rsidR="00960636" w:rsidRDefault="00960636" w:rsidP="0067023B">
            <w:pPr>
              <w:pStyle w:val="TableCen"/>
            </w:pPr>
            <w:r>
              <w:t>Apr 2014</w:t>
            </w:r>
          </w:p>
        </w:tc>
      </w:tr>
      <w:tr w:rsidR="00960636" w14:paraId="5EB7199E" w14:textId="77777777" w:rsidTr="00200E30">
        <w:trPr>
          <w:trHeight w:val="340"/>
        </w:trPr>
        <w:tc>
          <w:tcPr>
            <w:tcW w:w="1242" w:type="dxa"/>
            <w:vMerge w:val="restart"/>
            <w:tcBorders>
              <w:top w:val="single" w:sz="8" w:space="0" w:color="auto"/>
              <w:left w:val="nil"/>
              <w:bottom w:val="single" w:sz="2" w:space="0" w:color="auto"/>
              <w:right w:val="single" w:sz="2" w:space="0" w:color="auto"/>
            </w:tcBorders>
            <w:vAlign w:val="center"/>
          </w:tcPr>
          <w:p w14:paraId="6363E7D8" w14:textId="77777777" w:rsidR="00960636" w:rsidRDefault="00960636" w:rsidP="0067023B">
            <w:pPr>
              <w:pStyle w:val="TableCen"/>
            </w:pPr>
            <w:r>
              <w:t>3.0</w:t>
            </w:r>
          </w:p>
        </w:tc>
        <w:tc>
          <w:tcPr>
            <w:tcW w:w="1310" w:type="dxa"/>
            <w:tcBorders>
              <w:top w:val="single" w:sz="8" w:space="0" w:color="auto"/>
              <w:left w:val="single" w:sz="2" w:space="0" w:color="auto"/>
              <w:bottom w:val="single" w:sz="2" w:space="0" w:color="auto"/>
              <w:right w:val="single" w:sz="2" w:space="0" w:color="auto"/>
            </w:tcBorders>
            <w:vAlign w:val="center"/>
          </w:tcPr>
          <w:p w14:paraId="0AC22556" w14:textId="77777777" w:rsidR="00960636" w:rsidRDefault="00960636" w:rsidP="0067023B">
            <w:pPr>
              <w:pStyle w:val="TableCen"/>
            </w:pPr>
            <w:r>
              <w:t>1.2 and 1.3</w:t>
            </w:r>
          </w:p>
        </w:tc>
        <w:tc>
          <w:tcPr>
            <w:tcW w:w="5386" w:type="dxa"/>
            <w:tcBorders>
              <w:top w:val="single" w:sz="8" w:space="0" w:color="auto"/>
              <w:left w:val="single" w:sz="2" w:space="0" w:color="auto"/>
              <w:bottom w:val="single" w:sz="2" w:space="0" w:color="auto"/>
              <w:right w:val="single" w:sz="2" w:space="0" w:color="auto"/>
            </w:tcBorders>
            <w:vAlign w:val="center"/>
          </w:tcPr>
          <w:p w14:paraId="551EFBE1" w14:textId="77777777" w:rsidR="00960636" w:rsidRDefault="00960636" w:rsidP="0067023B">
            <w:pPr>
              <w:pStyle w:val="Table"/>
            </w:pPr>
            <w:r>
              <w:t>References list revised and updated</w:t>
            </w:r>
          </w:p>
        </w:tc>
        <w:tc>
          <w:tcPr>
            <w:tcW w:w="1418" w:type="dxa"/>
            <w:vMerge w:val="restart"/>
            <w:tcBorders>
              <w:top w:val="single" w:sz="8" w:space="0" w:color="auto"/>
              <w:left w:val="single" w:sz="2" w:space="0" w:color="auto"/>
              <w:right w:val="nil"/>
            </w:tcBorders>
            <w:vAlign w:val="center"/>
          </w:tcPr>
          <w:p w14:paraId="20B1C3F4" w14:textId="77777777" w:rsidR="00960636" w:rsidRDefault="00960636" w:rsidP="0067023B">
            <w:pPr>
              <w:pStyle w:val="TableCen"/>
            </w:pPr>
            <w:r>
              <w:t>May 2016</w:t>
            </w:r>
          </w:p>
        </w:tc>
      </w:tr>
      <w:tr w:rsidR="00960636" w14:paraId="6930DDA6" w14:textId="77777777" w:rsidTr="00200E30">
        <w:trPr>
          <w:trHeight w:val="340"/>
        </w:trPr>
        <w:tc>
          <w:tcPr>
            <w:tcW w:w="1242" w:type="dxa"/>
            <w:vMerge/>
            <w:tcBorders>
              <w:top w:val="single" w:sz="2" w:space="0" w:color="auto"/>
              <w:left w:val="nil"/>
              <w:bottom w:val="single" w:sz="2" w:space="0" w:color="auto"/>
              <w:right w:val="single" w:sz="2" w:space="0" w:color="auto"/>
            </w:tcBorders>
            <w:vAlign w:val="center"/>
          </w:tcPr>
          <w:p w14:paraId="315EA228" w14:textId="77777777" w:rsidR="00960636" w:rsidRDefault="00960636" w:rsidP="0067023B">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167FB79E" w14:textId="77777777" w:rsidR="00960636" w:rsidRDefault="0081572B" w:rsidP="0067023B">
            <w:pPr>
              <w:pStyle w:val="TableCen"/>
            </w:pPr>
            <w:r>
              <w:t>4.3</w:t>
            </w:r>
          </w:p>
        </w:tc>
        <w:tc>
          <w:tcPr>
            <w:tcW w:w="5386" w:type="dxa"/>
            <w:tcBorders>
              <w:top w:val="single" w:sz="2" w:space="0" w:color="auto"/>
              <w:left w:val="single" w:sz="2" w:space="0" w:color="auto"/>
              <w:bottom w:val="single" w:sz="2" w:space="0" w:color="auto"/>
              <w:right w:val="single" w:sz="2" w:space="0" w:color="auto"/>
            </w:tcBorders>
            <w:vAlign w:val="center"/>
          </w:tcPr>
          <w:p w14:paraId="3CB3EF22" w14:textId="77777777" w:rsidR="00960636" w:rsidRDefault="0081572B" w:rsidP="0067023B">
            <w:pPr>
              <w:pStyle w:val="Table"/>
            </w:pPr>
            <w:r>
              <w:t>Section references updated</w:t>
            </w:r>
          </w:p>
        </w:tc>
        <w:tc>
          <w:tcPr>
            <w:tcW w:w="1418" w:type="dxa"/>
            <w:vMerge/>
            <w:tcBorders>
              <w:left w:val="single" w:sz="2" w:space="0" w:color="auto"/>
              <w:right w:val="nil"/>
            </w:tcBorders>
            <w:vAlign w:val="center"/>
          </w:tcPr>
          <w:p w14:paraId="5DE9B0CF" w14:textId="77777777" w:rsidR="00960636" w:rsidRDefault="00960636" w:rsidP="0067023B">
            <w:pPr>
              <w:pStyle w:val="TableCen"/>
            </w:pPr>
          </w:p>
        </w:tc>
      </w:tr>
      <w:tr w:rsidR="0081572B" w14:paraId="0047F006" w14:textId="77777777" w:rsidTr="00200E30">
        <w:trPr>
          <w:trHeight w:val="340"/>
        </w:trPr>
        <w:tc>
          <w:tcPr>
            <w:tcW w:w="1242" w:type="dxa"/>
            <w:vMerge/>
            <w:tcBorders>
              <w:top w:val="single" w:sz="2" w:space="0" w:color="auto"/>
              <w:left w:val="nil"/>
              <w:bottom w:val="single" w:sz="8" w:space="0" w:color="auto"/>
              <w:right w:val="single" w:sz="2" w:space="0" w:color="auto"/>
            </w:tcBorders>
            <w:vAlign w:val="center"/>
          </w:tcPr>
          <w:p w14:paraId="12B40B17" w14:textId="77777777" w:rsidR="0081572B" w:rsidRDefault="0081572B" w:rsidP="0067023B">
            <w:pPr>
              <w:pStyle w:val="TableCen"/>
            </w:pPr>
          </w:p>
        </w:tc>
        <w:tc>
          <w:tcPr>
            <w:tcW w:w="1310" w:type="dxa"/>
            <w:tcBorders>
              <w:top w:val="single" w:sz="2" w:space="0" w:color="auto"/>
              <w:left w:val="single" w:sz="2" w:space="0" w:color="auto"/>
              <w:bottom w:val="single" w:sz="8" w:space="0" w:color="auto"/>
              <w:right w:val="single" w:sz="2" w:space="0" w:color="auto"/>
            </w:tcBorders>
            <w:vAlign w:val="center"/>
          </w:tcPr>
          <w:p w14:paraId="201A2668" w14:textId="77777777" w:rsidR="0081572B" w:rsidRDefault="0081572B" w:rsidP="0067023B">
            <w:pPr>
              <w:pStyle w:val="TableCen"/>
            </w:pPr>
            <w:r>
              <w:t>4.5 and 4.6</w:t>
            </w:r>
          </w:p>
        </w:tc>
        <w:tc>
          <w:tcPr>
            <w:tcW w:w="5386" w:type="dxa"/>
            <w:tcBorders>
              <w:top w:val="single" w:sz="2" w:space="0" w:color="auto"/>
              <w:left w:val="single" w:sz="2" w:space="0" w:color="auto"/>
              <w:bottom w:val="single" w:sz="8" w:space="0" w:color="auto"/>
              <w:right w:val="single" w:sz="2" w:space="0" w:color="auto"/>
            </w:tcBorders>
            <w:vAlign w:val="center"/>
          </w:tcPr>
          <w:p w14:paraId="26402E56" w14:textId="77777777" w:rsidR="0081572B" w:rsidRDefault="0081572B" w:rsidP="00010EDF">
            <w:pPr>
              <w:pStyle w:val="Table"/>
            </w:pPr>
            <w:r>
              <w:t xml:space="preserve">Sections for Polymer Modified Bitumen and </w:t>
            </w:r>
            <w:r w:rsidR="00010EDF">
              <w:t>Pe</w:t>
            </w:r>
            <w:r>
              <w:t>netrating Emulsion Prime added</w:t>
            </w:r>
          </w:p>
        </w:tc>
        <w:tc>
          <w:tcPr>
            <w:tcW w:w="1418" w:type="dxa"/>
            <w:vMerge/>
            <w:tcBorders>
              <w:left w:val="single" w:sz="2" w:space="0" w:color="auto"/>
              <w:bottom w:val="single" w:sz="8" w:space="0" w:color="auto"/>
              <w:right w:val="nil"/>
            </w:tcBorders>
            <w:vAlign w:val="center"/>
          </w:tcPr>
          <w:p w14:paraId="073E68D2" w14:textId="77777777" w:rsidR="0081572B" w:rsidRDefault="0081572B" w:rsidP="0067023B">
            <w:pPr>
              <w:pStyle w:val="TableCen"/>
            </w:pPr>
          </w:p>
        </w:tc>
      </w:tr>
      <w:tr w:rsidR="00407745" w14:paraId="7B0AEB24" w14:textId="77777777" w:rsidTr="00200E30">
        <w:trPr>
          <w:trHeight w:val="340"/>
        </w:trPr>
        <w:tc>
          <w:tcPr>
            <w:tcW w:w="1242" w:type="dxa"/>
            <w:vMerge w:val="restart"/>
            <w:tcBorders>
              <w:top w:val="single" w:sz="8" w:space="0" w:color="auto"/>
              <w:left w:val="nil"/>
              <w:right w:val="single" w:sz="2" w:space="0" w:color="auto"/>
            </w:tcBorders>
            <w:vAlign w:val="center"/>
          </w:tcPr>
          <w:p w14:paraId="62CFBE57" w14:textId="77777777" w:rsidR="00407745" w:rsidRDefault="00407745" w:rsidP="00407745">
            <w:pPr>
              <w:pStyle w:val="TableCen"/>
            </w:pPr>
            <w:r>
              <w:t>4.0</w:t>
            </w:r>
          </w:p>
        </w:tc>
        <w:tc>
          <w:tcPr>
            <w:tcW w:w="1310" w:type="dxa"/>
            <w:tcBorders>
              <w:top w:val="single" w:sz="8" w:space="0" w:color="auto"/>
              <w:left w:val="single" w:sz="2" w:space="0" w:color="auto"/>
              <w:bottom w:val="single" w:sz="2" w:space="0" w:color="auto"/>
              <w:right w:val="single" w:sz="2" w:space="0" w:color="auto"/>
            </w:tcBorders>
            <w:vAlign w:val="center"/>
          </w:tcPr>
          <w:p w14:paraId="56C5F73B" w14:textId="77777777" w:rsidR="00407745" w:rsidRDefault="00407745" w:rsidP="00407745">
            <w:pPr>
              <w:pStyle w:val="TableCen"/>
            </w:pPr>
            <w:r>
              <w:t>1.2 and 1.3</w:t>
            </w:r>
          </w:p>
        </w:tc>
        <w:tc>
          <w:tcPr>
            <w:tcW w:w="5386" w:type="dxa"/>
            <w:tcBorders>
              <w:top w:val="single" w:sz="8" w:space="0" w:color="auto"/>
              <w:left w:val="single" w:sz="2" w:space="0" w:color="auto"/>
              <w:bottom w:val="single" w:sz="2" w:space="0" w:color="auto"/>
              <w:right w:val="single" w:sz="2" w:space="0" w:color="auto"/>
            </w:tcBorders>
            <w:vAlign w:val="center"/>
          </w:tcPr>
          <w:p w14:paraId="03AA82AE" w14:textId="77777777" w:rsidR="00407745" w:rsidRDefault="00407745" w:rsidP="00407745">
            <w:pPr>
              <w:pStyle w:val="Table"/>
            </w:pPr>
            <w:r>
              <w:t>References list revised and updated</w:t>
            </w:r>
          </w:p>
        </w:tc>
        <w:tc>
          <w:tcPr>
            <w:tcW w:w="1418" w:type="dxa"/>
            <w:vMerge w:val="restart"/>
            <w:tcBorders>
              <w:top w:val="single" w:sz="8" w:space="0" w:color="auto"/>
              <w:left w:val="single" w:sz="2" w:space="0" w:color="auto"/>
              <w:right w:val="nil"/>
            </w:tcBorders>
            <w:vAlign w:val="center"/>
          </w:tcPr>
          <w:p w14:paraId="3F64046F" w14:textId="77777777" w:rsidR="00407745" w:rsidRDefault="00407745" w:rsidP="00407745">
            <w:pPr>
              <w:pStyle w:val="TableCen"/>
            </w:pPr>
            <w:r>
              <w:t>July 2018</w:t>
            </w:r>
          </w:p>
        </w:tc>
      </w:tr>
      <w:tr w:rsidR="00407745" w14:paraId="34365B40" w14:textId="77777777" w:rsidTr="00200E30">
        <w:trPr>
          <w:trHeight w:val="340"/>
        </w:trPr>
        <w:tc>
          <w:tcPr>
            <w:tcW w:w="1242" w:type="dxa"/>
            <w:vMerge/>
            <w:tcBorders>
              <w:left w:val="nil"/>
              <w:right w:val="single" w:sz="2" w:space="0" w:color="auto"/>
            </w:tcBorders>
            <w:vAlign w:val="center"/>
          </w:tcPr>
          <w:p w14:paraId="6CEBB598" w14:textId="77777777" w:rsidR="00407745" w:rsidRDefault="00407745" w:rsidP="00407745">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29A26941" w14:textId="77777777" w:rsidR="00407745" w:rsidRDefault="00407745" w:rsidP="00407745">
            <w:pPr>
              <w:pStyle w:val="TableCen"/>
            </w:pPr>
            <w:r>
              <w:t>2.5</w:t>
            </w:r>
          </w:p>
        </w:tc>
        <w:tc>
          <w:tcPr>
            <w:tcW w:w="5386" w:type="dxa"/>
            <w:tcBorders>
              <w:top w:val="single" w:sz="2" w:space="0" w:color="auto"/>
              <w:left w:val="single" w:sz="2" w:space="0" w:color="auto"/>
              <w:bottom w:val="single" w:sz="2" w:space="0" w:color="auto"/>
              <w:right w:val="single" w:sz="2" w:space="0" w:color="auto"/>
            </w:tcBorders>
            <w:vAlign w:val="center"/>
          </w:tcPr>
          <w:p w14:paraId="56AC9EC8" w14:textId="77777777" w:rsidR="00407745" w:rsidRDefault="005B066B" w:rsidP="00407745">
            <w:pPr>
              <w:pStyle w:val="Table"/>
            </w:pPr>
            <w:r>
              <w:t>Submit</w:t>
            </w:r>
            <w:r w:rsidR="00407745" w:rsidRPr="005807CD">
              <w:t xml:space="preserve"> seal design report</w:t>
            </w:r>
            <w:r>
              <w:t>, if requested</w:t>
            </w:r>
          </w:p>
        </w:tc>
        <w:tc>
          <w:tcPr>
            <w:tcW w:w="1418" w:type="dxa"/>
            <w:vMerge/>
            <w:tcBorders>
              <w:left w:val="single" w:sz="2" w:space="0" w:color="auto"/>
              <w:right w:val="nil"/>
            </w:tcBorders>
            <w:vAlign w:val="center"/>
          </w:tcPr>
          <w:p w14:paraId="37543307" w14:textId="77777777" w:rsidR="00407745" w:rsidRDefault="00407745" w:rsidP="00407745">
            <w:pPr>
              <w:pStyle w:val="TableCen"/>
            </w:pPr>
          </w:p>
        </w:tc>
      </w:tr>
      <w:tr w:rsidR="00407745" w14:paraId="7603F15F" w14:textId="77777777" w:rsidTr="00200E30">
        <w:trPr>
          <w:trHeight w:val="340"/>
        </w:trPr>
        <w:tc>
          <w:tcPr>
            <w:tcW w:w="1242" w:type="dxa"/>
            <w:vMerge/>
            <w:tcBorders>
              <w:left w:val="nil"/>
              <w:right w:val="single" w:sz="2" w:space="0" w:color="auto"/>
            </w:tcBorders>
            <w:vAlign w:val="center"/>
          </w:tcPr>
          <w:p w14:paraId="24577993" w14:textId="77777777" w:rsidR="00407745" w:rsidRDefault="00407745" w:rsidP="00407745">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4ADFAF47" w14:textId="77777777" w:rsidR="00407745" w:rsidRDefault="005B066B" w:rsidP="00407745">
            <w:pPr>
              <w:pStyle w:val="TableCen"/>
            </w:pPr>
            <w:r>
              <w:t>4.1</w:t>
            </w:r>
          </w:p>
        </w:tc>
        <w:tc>
          <w:tcPr>
            <w:tcW w:w="5386" w:type="dxa"/>
            <w:tcBorders>
              <w:top w:val="single" w:sz="2" w:space="0" w:color="auto"/>
              <w:left w:val="single" w:sz="2" w:space="0" w:color="auto"/>
              <w:bottom w:val="single" w:sz="2" w:space="0" w:color="auto"/>
              <w:right w:val="single" w:sz="2" w:space="0" w:color="auto"/>
            </w:tcBorders>
            <w:vAlign w:val="center"/>
          </w:tcPr>
          <w:p w14:paraId="02541D73" w14:textId="1BE0EAF0" w:rsidR="00407745" w:rsidRDefault="005B066B" w:rsidP="00407745">
            <w:pPr>
              <w:pStyle w:val="Table"/>
            </w:pPr>
            <w:r>
              <w:t>Table</w:t>
            </w:r>
            <w:r w:rsidR="002C4220">
              <w:t> </w:t>
            </w:r>
            <w:r>
              <w:t>4.2 – Aggregate Quality Category “D” removed</w:t>
            </w:r>
          </w:p>
        </w:tc>
        <w:tc>
          <w:tcPr>
            <w:tcW w:w="1418" w:type="dxa"/>
            <w:vMerge/>
            <w:tcBorders>
              <w:left w:val="single" w:sz="2" w:space="0" w:color="auto"/>
              <w:right w:val="nil"/>
            </w:tcBorders>
            <w:vAlign w:val="center"/>
          </w:tcPr>
          <w:p w14:paraId="6FFA7268" w14:textId="77777777" w:rsidR="00407745" w:rsidRDefault="00407745" w:rsidP="00407745">
            <w:pPr>
              <w:pStyle w:val="TableCen"/>
            </w:pPr>
          </w:p>
        </w:tc>
      </w:tr>
      <w:tr w:rsidR="00407745" w14:paraId="5F3F7866" w14:textId="77777777" w:rsidTr="00200E30">
        <w:trPr>
          <w:trHeight w:val="340"/>
        </w:trPr>
        <w:tc>
          <w:tcPr>
            <w:tcW w:w="1242" w:type="dxa"/>
            <w:vMerge/>
            <w:tcBorders>
              <w:left w:val="nil"/>
              <w:right w:val="single" w:sz="2" w:space="0" w:color="auto"/>
            </w:tcBorders>
            <w:vAlign w:val="center"/>
          </w:tcPr>
          <w:p w14:paraId="104FC885" w14:textId="77777777" w:rsidR="00407745" w:rsidRDefault="00407745" w:rsidP="00407745">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5FCC454B" w14:textId="77777777" w:rsidR="00407745" w:rsidRDefault="005B066B" w:rsidP="00407745">
            <w:pPr>
              <w:pStyle w:val="TableCen"/>
            </w:pPr>
            <w:r>
              <w:t>4.6</w:t>
            </w:r>
          </w:p>
        </w:tc>
        <w:tc>
          <w:tcPr>
            <w:tcW w:w="5386" w:type="dxa"/>
            <w:tcBorders>
              <w:top w:val="single" w:sz="2" w:space="0" w:color="auto"/>
              <w:left w:val="single" w:sz="2" w:space="0" w:color="auto"/>
              <w:bottom w:val="single" w:sz="2" w:space="0" w:color="auto"/>
              <w:right w:val="single" w:sz="2" w:space="0" w:color="auto"/>
            </w:tcBorders>
            <w:vAlign w:val="center"/>
          </w:tcPr>
          <w:p w14:paraId="3A8B4A2E" w14:textId="77777777" w:rsidR="00407745" w:rsidRDefault="005B066B" w:rsidP="00E33635">
            <w:pPr>
              <w:pStyle w:val="Table"/>
            </w:pPr>
            <w:r>
              <w:t>New Section for Crumb Rubber Modified Bitumen</w:t>
            </w:r>
          </w:p>
        </w:tc>
        <w:tc>
          <w:tcPr>
            <w:tcW w:w="1418" w:type="dxa"/>
            <w:vMerge/>
            <w:tcBorders>
              <w:left w:val="single" w:sz="2" w:space="0" w:color="auto"/>
              <w:right w:val="nil"/>
            </w:tcBorders>
            <w:vAlign w:val="center"/>
          </w:tcPr>
          <w:p w14:paraId="0CA98AD3" w14:textId="77777777" w:rsidR="00407745" w:rsidRDefault="00407745" w:rsidP="00407745">
            <w:pPr>
              <w:pStyle w:val="TableCen"/>
            </w:pPr>
          </w:p>
        </w:tc>
      </w:tr>
      <w:tr w:rsidR="00407745" w14:paraId="1023F847" w14:textId="77777777" w:rsidTr="00200E30">
        <w:trPr>
          <w:trHeight w:val="340"/>
        </w:trPr>
        <w:tc>
          <w:tcPr>
            <w:tcW w:w="1242" w:type="dxa"/>
            <w:vMerge/>
            <w:tcBorders>
              <w:left w:val="nil"/>
              <w:right w:val="single" w:sz="2" w:space="0" w:color="auto"/>
            </w:tcBorders>
            <w:vAlign w:val="center"/>
          </w:tcPr>
          <w:p w14:paraId="20FAC04A" w14:textId="77777777" w:rsidR="00407745" w:rsidRDefault="00407745" w:rsidP="00407745">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4EAFAB8D" w14:textId="77777777" w:rsidR="00407745" w:rsidRDefault="00D41CEC" w:rsidP="00407745">
            <w:pPr>
              <w:pStyle w:val="TableCen"/>
            </w:pPr>
            <w:r>
              <w:t>6.2</w:t>
            </w:r>
          </w:p>
        </w:tc>
        <w:tc>
          <w:tcPr>
            <w:tcW w:w="5386" w:type="dxa"/>
            <w:tcBorders>
              <w:top w:val="single" w:sz="2" w:space="0" w:color="auto"/>
              <w:left w:val="single" w:sz="2" w:space="0" w:color="auto"/>
              <w:bottom w:val="single" w:sz="2" w:space="0" w:color="auto"/>
              <w:right w:val="single" w:sz="2" w:space="0" w:color="auto"/>
            </w:tcBorders>
            <w:vAlign w:val="center"/>
          </w:tcPr>
          <w:p w14:paraId="445523CD" w14:textId="77777777" w:rsidR="00407745" w:rsidRDefault="00D41CEC" w:rsidP="00407745">
            <w:pPr>
              <w:pStyle w:val="Table"/>
            </w:pPr>
            <w:r>
              <w:t xml:space="preserve">Use of precoat </w:t>
            </w:r>
            <w:r w:rsidR="00912315">
              <w:t xml:space="preserve">material </w:t>
            </w:r>
            <w:r>
              <w:t>containing tar prohibited</w:t>
            </w:r>
          </w:p>
          <w:p w14:paraId="114B58AD" w14:textId="77777777" w:rsidR="00D41CEC" w:rsidRDefault="00D41CEC" w:rsidP="00912315">
            <w:pPr>
              <w:pStyle w:val="Table"/>
            </w:pPr>
            <w:r>
              <w:t xml:space="preserve">Lead time between precoating </w:t>
            </w:r>
            <w:r w:rsidR="00912315">
              <w:t xml:space="preserve">aggregate </w:t>
            </w:r>
            <w:r>
              <w:t xml:space="preserve">and </w:t>
            </w:r>
            <w:r w:rsidR="003A56C3">
              <w:t>sealing revised</w:t>
            </w:r>
          </w:p>
        </w:tc>
        <w:tc>
          <w:tcPr>
            <w:tcW w:w="1418" w:type="dxa"/>
            <w:vMerge/>
            <w:tcBorders>
              <w:left w:val="single" w:sz="2" w:space="0" w:color="auto"/>
              <w:right w:val="nil"/>
            </w:tcBorders>
            <w:vAlign w:val="center"/>
          </w:tcPr>
          <w:p w14:paraId="1295993A" w14:textId="77777777" w:rsidR="00407745" w:rsidRDefault="00407745" w:rsidP="00407745">
            <w:pPr>
              <w:pStyle w:val="TableCen"/>
            </w:pPr>
          </w:p>
        </w:tc>
      </w:tr>
      <w:tr w:rsidR="00407745" w14:paraId="7CDE3E11" w14:textId="77777777" w:rsidTr="00200E30">
        <w:trPr>
          <w:trHeight w:val="340"/>
        </w:trPr>
        <w:tc>
          <w:tcPr>
            <w:tcW w:w="1242" w:type="dxa"/>
            <w:vMerge/>
            <w:tcBorders>
              <w:left w:val="nil"/>
              <w:right w:val="single" w:sz="2" w:space="0" w:color="auto"/>
            </w:tcBorders>
            <w:vAlign w:val="center"/>
          </w:tcPr>
          <w:p w14:paraId="4EF863BB" w14:textId="77777777" w:rsidR="00407745" w:rsidRDefault="00407745" w:rsidP="00407745">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2A16CFA8" w14:textId="77777777" w:rsidR="00407745" w:rsidRDefault="00912315" w:rsidP="00407745">
            <w:pPr>
              <w:pStyle w:val="TableCen"/>
            </w:pPr>
            <w:r>
              <w:t>6.5</w:t>
            </w:r>
          </w:p>
        </w:tc>
        <w:tc>
          <w:tcPr>
            <w:tcW w:w="5386" w:type="dxa"/>
            <w:tcBorders>
              <w:top w:val="single" w:sz="2" w:space="0" w:color="auto"/>
              <w:left w:val="single" w:sz="2" w:space="0" w:color="auto"/>
              <w:bottom w:val="single" w:sz="2" w:space="0" w:color="auto"/>
              <w:right w:val="single" w:sz="2" w:space="0" w:color="auto"/>
            </w:tcBorders>
            <w:vAlign w:val="center"/>
          </w:tcPr>
          <w:p w14:paraId="482927E3" w14:textId="77777777" w:rsidR="00B84C69" w:rsidRDefault="00B84C69" w:rsidP="00407745">
            <w:pPr>
              <w:pStyle w:val="Table"/>
            </w:pPr>
            <w:r>
              <w:t>Minimum period between treatments</w:t>
            </w:r>
            <w:r w:rsidR="00E33635">
              <w:t xml:space="preserve"> using Penetrating Emulsion Primer added</w:t>
            </w:r>
          </w:p>
          <w:p w14:paraId="6DEC10B8" w14:textId="1EA1BDE6" w:rsidR="00407745" w:rsidRDefault="00912315" w:rsidP="00407745">
            <w:pPr>
              <w:pStyle w:val="Table"/>
            </w:pPr>
            <w:r>
              <w:t>Table</w:t>
            </w:r>
            <w:r w:rsidR="002C4220">
              <w:t> </w:t>
            </w:r>
            <w:r>
              <w:t xml:space="preserve">6.2 Penetrating </w:t>
            </w:r>
            <w:r w:rsidR="00B84C69">
              <w:t>E</w:t>
            </w:r>
            <w:r>
              <w:t xml:space="preserve">mulsion </w:t>
            </w:r>
            <w:r w:rsidR="00B84C69">
              <w:t>P</w:t>
            </w:r>
            <w:r>
              <w:t>rimer added</w:t>
            </w:r>
          </w:p>
          <w:p w14:paraId="144A5A35" w14:textId="3DFEE9AF" w:rsidR="00912315" w:rsidRDefault="00912315" w:rsidP="00B84C69">
            <w:pPr>
              <w:pStyle w:val="Table"/>
            </w:pPr>
            <w:r>
              <w:t>Table</w:t>
            </w:r>
            <w:r w:rsidR="002C4220">
              <w:t> </w:t>
            </w:r>
            <w:r>
              <w:t xml:space="preserve">6.3 Penetrating </w:t>
            </w:r>
            <w:r w:rsidR="00B84C69">
              <w:t>E</w:t>
            </w:r>
            <w:r>
              <w:t xml:space="preserve">mulsion </w:t>
            </w:r>
            <w:r w:rsidR="00B84C69">
              <w:t>P</w:t>
            </w:r>
            <w:r>
              <w:t>rimer and Crumb Rubber Modified Bitumen</w:t>
            </w:r>
            <w:r w:rsidR="00B84C69">
              <w:t xml:space="preserve"> added</w:t>
            </w:r>
          </w:p>
        </w:tc>
        <w:tc>
          <w:tcPr>
            <w:tcW w:w="1418" w:type="dxa"/>
            <w:vMerge/>
            <w:tcBorders>
              <w:left w:val="single" w:sz="2" w:space="0" w:color="auto"/>
              <w:right w:val="nil"/>
            </w:tcBorders>
            <w:vAlign w:val="center"/>
          </w:tcPr>
          <w:p w14:paraId="0373645F" w14:textId="77777777" w:rsidR="00407745" w:rsidRDefault="00407745" w:rsidP="00407745">
            <w:pPr>
              <w:pStyle w:val="TableCen"/>
            </w:pPr>
          </w:p>
        </w:tc>
      </w:tr>
      <w:tr w:rsidR="00E33635" w14:paraId="3E08C6B6" w14:textId="77777777" w:rsidTr="00200E30">
        <w:trPr>
          <w:trHeight w:val="318"/>
        </w:trPr>
        <w:tc>
          <w:tcPr>
            <w:tcW w:w="1242" w:type="dxa"/>
            <w:vMerge/>
            <w:tcBorders>
              <w:left w:val="nil"/>
              <w:bottom w:val="single" w:sz="8" w:space="0" w:color="auto"/>
              <w:right w:val="single" w:sz="2" w:space="0" w:color="auto"/>
            </w:tcBorders>
            <w:vAlign w:val="center"/>
          </w:tcPr>
          <w:p w14:paraId="74FFFCCC" w14:textId="77777777" w:rsidR="00E33635" w:rsidRDefault="00E33635" w:rsidP="00407745">
            <w:pPr>
              <w:pStyle w:val="TableCen"/>
            </w:pPr>
          </w:p>
        </w:tc>
        <w:tc>
          <w:tcPr>
            <w:tcW w:w="1310" w:type="dxa"/>
            <w:tcBorders>
              <w:top w:val="single" w:sz="2" w:space="0" w:color="auto"/>
              <w:left w:val="single" w:sz="2" w:space="0" w:color="auto"/>
              <w:bottom w:val="single" w:sz="8" w:space="0" w:color="auto"/>
              <w:right w:val="single" w:sz="2" w:space="0" w:color="auto"/>
            </w:tcBorders>
            <w:vAlign w:val="center"/>
          </w:tcPr>
          <w:p w14:paraId="1B920A3C" w14:textId="77777777" w:rsidR="00E33635" w:rsidRDefault="00E33635" w:rsidP="00E33635">
            <w:pPr>
              <w:pStyle w:val="TableCen"/>
            </w:pPr>
            <w:r>
              <w:t>6.6 and 6.7</w:t>
            </w:r>
          </w:p>
        </w:tc>
        <w:tc>
          <w:tcPr>
            <w:tcW w:w="5386" w:type="dxa"/>
            <w:tcBorders>
              <w:top w:val="single" w:sz="2" w:space="0" w:color="auto"/>
              <w:left w:val="single" w:sz="2" w:space="0" w:color="auto"/>
              <w:bottom w:val="single" w:sz="8" w:space="0" w:color="auto"/>
              <w:right w:val="single" w:sz="2" w:space="0" w:color="auto"/>
            </w:tcBorders>
            <w:vAlign w:val="center"/>
          </w:tcPr>
          <w:p w14:paraId="4C9F5778" w14:textId="77777777" w:rsidR="00E33635" w:rsidRDefault="00E33635" w:rsidP="00E33635">
            <w:pPr>
              <w:pStyle w:val="Table"/>
            </w:pPr>
            <w:r>
              <w:t xml:space="preserve">Degree of saturation (DOS) to comply with </w:t>
            </w:r>
            <w:r w:rsidRPr="005F3168">
              <w:rPr>
                <w:i/>
              </w:rPr>
              <w:t>S150 Roadworks</w:t>
            </w:r>
          </w:p>
        </w:tc>
        <w:tc>
          <w:tcPr>
            <w:tcW w:w="1418" w:type="dxa"/>
            <w:vMerge/>
            <w:tcBorders>
              <w:left w:val="single" w:sz="2" w:space="0" w:color="auto"/>
              <w:bottom w:val="single" w:sz="8" w:space="0" w:color="auto"/>
              <w:right w:val="nil"/>
            </w:tcBorders>
            <w:vAlign w:val="center"/>
          </w:tcPr>
          <w:p w14:paraId="17EB6EDD" w14:textId="77777777" w:rsidR="00E33635" w:rsidRDefault="00E33635" w:rsidP="00407745">
            <w:pPr>
              <w:pStyle w:val="TableCen"/>
            </w:pPr>
          </w:p>
        </w:tc>
      </w:tr>
      <w:tr w:rsidR="00321C6E" w14:paraId="17D150DB" w14:textId="77777777" w:rsidTr="00200E30">
        <w:trPr>
          <w:trHeight w:val="318"/>
        </w:trPr>
        <w:tc>
          <w:tcPr>
            <w:tcW w:w="1242" w:type="dxa"/>
            <w:vMerge w:val="restart"/>
            <w:tcBorders>
              <w:top w:val="single" w:sz="8" w:space="0" w:color="auto"/>
              <w:left w:val="nil"/>
              <w:right w:val="single" w:sz="2" w:space="0" w:color="auto"/>
            </w:tcBorders>
            <w:vAlign w:val="center"/>
          </w:tcPr>
          <w:p w14:paraId="3202D944" w14:textId="48324F29" w:rsidR="00321C6E" w:rsidRDefault="00321C6E" w:rsidP="004F2367">
            <w:pPr>
              <w:pStyle w:val="TableCen"/>
            </w:pPr>
            <w:r>
              <w:t>5.0</w:t>
            </w:r>
          </w:p>
        </w:tc>
        <w:tc>
          <w:tcPr>
            <w:tcW w:w="1310" w:type="dxa"/>
            <w:tcBorders>
              <w:top w:val="single" w:sz="8" w:space="0" w:color="auto"/>
              <w:left w:val="single" w:sz="2" w:space="0" w:color="auto"/>
              <w:bottom w:val="single" w:sz="2" w:space="0" w:color="auto"/>
              <w:right w:val="single" w:sz="2" w:space="0" w:color="auto"/>
            </w:tcBorders>
            <w:vAlign w:val="center"/>
          </w:tcPr>
          <w:p w14:paraId="3255CDA3" w14:textId="31FA6011" w:rsidR="00321C6E" w:rsidRDefault="00321C6E" w:rsidP="004F2367">
            <w:pPr>
              <w:pStyle w:val="TableCen"/>
            </w:pPr>
            <w:r>
              <w:t>General</w:t>
            </w:r>
          </w:p>
        </w:tc>
        <w:tc>
          <w:tcPr>
            <w:tcW w:w="5386" w:type="dxa"/>
            <w:tcBorders>
              <w:top w:val="single" w:sz="8" w:space="0" w:color="auto"/>
              <w:left w:val="single" w:sz="2" w:space="0" w:color="auto"/>
              <w:bottom w:val="single" w:sz="2" w:space="0" w:color="auto"/>
              <w:right w:val="single" w:sz="2" w:space="0" w:color="auto"/>
            </w:tcBorders>
            <w:vAlign w:val="center"/>
          </w:tcPr>
          <w:p w14:paraId="20BEA814" w14:textId="6D44280B" w:rsidR="00321C6E" w:rsidRDefault="00321C6E" w:rsidP="004F2367">
            <w:pPr>
              <w:pStyle w:val="Table"/>
            </w:pPr>
            <w:r w:rsidRPr="00AB07DE">
              <w:t>Document name changed from ‘Reference Specifications for Civil Engineering Work’ to ‘Reference Specifications for Engineering Work’</w:t>
            </w:r>
          </w:p>
        </w:tc>
        <w:tc>
          <w:tcPr>
            <w:tcW w:w="1418" w:type="dxa"/>
            <w:vMerge w:val="restart"/>
            <w:tcBorders>
              <w:top w:val="single" w:sz="8" w:space="0" w:color="auto"/>
              <w:left w:val="single" w:sz="2" w:space="0" w:color="auto"/>
              <w:right w:val="nil"/>
            </w:tcBorders>
            <w:vAlign w:val="center"/>
          </w:tcPr>
          <w:p w14:paraId="4D42D424" w14:textId="4ACACF6B" w:rsidR="00321C6E" w:rsidRDefault="00321C6E" w:rsidP="004F2367">
            <w:pPr>
              <w:pStyle w:val="TableCen"/>
            </w:pPr>
            <w:r>
              <w:t>Ma</w:t>
            </w:r>
            <w:r w:rsidR="00834B11">
              <w:t>r</w:t>
            </w:r>
            <w:r>
              <w:t xml:space="preserve"> 202</w:t>
            </w:r>
            <w:r w:rsidR="00834B11">
              <w:t>1</w:t>
            </w:r>
            <w:permStart w:id="566256003" w:edGrp="everyone"/>
            <w:permEnd w:id="566256003"/>
          </w:p>
        </w:tc>
      </w:tr>
      <w:tr w:rsidR="00321C6E" w14:paraId="31A1DB57" w14:textId="77777777" w:rsidTr="00200E30">
        <w:trPr>
          <w:trHeight w:val="318"/>
        </w:trPr>
        <w:tc>
          <w:tcPr>
            <w:tcW w:w="1242" w:type="dxa"/>
            <w:vMerge/>
            <w:tcBorders>
              <w:left w:val="nil"/>
              <w:bottom w:val="single" w:sz="12" w:space="0" w:color="auto"/>
              <w:right w:val="single" w:sz="2" w:space="0" w:color="auto"/>
            </w:tcBorders>
            <w:vAlign w:val="center"/>
          </w:tcPr>
          <w:p w14:paraId="7A1ADEB3" w14:textId="77777777" w:rsidR="00321C6E" w:rsidRDefault="00321C6E" w:rsidP="004F2367">
            <w:pPr>
              <w:pStyle w:val="TableCen"/>
            </w:pPr>
          </w:p>
        </w:tc>
        <w:tc>
          <w:tcPr>
            <w:tcW w:w="1310" w:type="dxa"/>
            <w:tcBorders>
              <w:top w:val="single" w:sz="2" w:space="0" w:color="auto"/>
              <w:left w:val="single" w:sz="2" w:space="0" w:color="auto"/>
              <w:bottom w:val="single" w:sz="12" w:space="0" w:color="auto"/>
              <w:right w:val="single" w:sz="2" w:space="0" w:color="auto"/>
            </w:tcBorders>
            <w:vAlign w:val="center"/>
          </w:tcPr>
          <w:p w14:paraId="73DE76E7" w14:textId="5DD16196" w:rsidR="00321C6E" w:rsidRDefault="00321C6E" w:rsidP="004F2367">
            <w:pPr>
              <w:pStyle w:val="TableCen"/>
            </w:pPr>
            <w:r>
              <w:t>1.3</w:t>
            </w:r>
          </w:p>
        </w:tc>
        <w:tc>
          <w:tcPr>
            <w:tcW w:w="5386" w:type="dxa"/>
            <w:tcBorders>
              <w:top w:val="single" w:sz="2" w:space="0" w:color="auto"/>
              <w:left w:val="single" w:sz="2" w:space="0" w:color="auto"/>
              <w:bottom w:val="single" w:sz="12" w:space="0" w:color="auto"/>
              <w:right w:val="single" w:sz="2" w:space="0" w:color="auto"/>
            </w:tcBorders>
            <w:vAlign w:val="center"/>
          </w:tcPr>
          <w:p w14:paraId="3884821E" w14:textId="1F098E8D" w:rsidR="00321C6E" w:rsidRPr="00AB07DE" w:rsidRDefault="00AF1B9D" w:rsidP="004F2367">
            <w:pPr>
              <w:pStyle w:val="Table"/>
            </w:pPr>
            <w:r>
              <w:t>References updated</w:t>
            </w:r>
          </w:p>
        </w:tc>
        <w:tc>
          <w:tcPr>
            <w:tcW w:w="1418" w:type="dxa"/>
            <w:vMerge/>
            <w:tcBorders>
              <w:left w:val="single" w:sz="2" w:space="0" w:color="auto"/>
              <w:bottom w:val="single" w:sz="12" w:space="0" w:color="auto"/>
              <w:right w:val="nil"/>
            </w:tcBorders>
            <w:vAlign w:val="center"/>
          </w:tcPr>
          <w:p w14:paraId="4E8078A9" w14:textId="77777777" w:rsidR="00321C6E" w:rsidRDefault="00321C6E" w:rsidP="004F2367">
            <w:pPr>
              <w:pStyle w:val="TableCen"/>
            </w:pPr>
          </w:p>
        </w:tc>
      </w:tr>
    </w:tbl>
    <w:p w14:paraId="71BC1752" w14:textId="77777777" w:rsidR="00960636" w:rsidRDefault="00960636" w:rsidP="00960636">
      <w:pPr>
        <w:jc w:val="center"/>
      </w:pPr>
    </w:p>
    <w:p w14:paraId="57D79182" w14:textId="77777777" w:rsidR="00960636" w:rsidRDefault="00960636">
      <w:pPr>
        <w:jc w:val="center"/>
      </w:pPr>
    </w:p>
    <w:p w14:paraId="5AB25D4D" w14:textId="77777777" w:rsidR="00960636" w:rsidRDefault="00960636">
      <w:pPr>
        <w:jc w:val="center"/>
        <w:sectPr w:rsidR="00960636" w:rsidSect="00960636">
          <w:headerReference w:type="default" r:id="rId13"/>
          <w:footerReference w:type="default" r:id="rId14"/>
          <w:pgSz w:w="11906" w:h="16838" w:code="9"/>
          <w:pgMar w:top="1134" w:right="1134" w:bottom="992" w:left="1418" w:header="1134" w:footer="851" w:gutter="0"/>
          <w:pgNumType w:fmt="lowerRoman" w:start="1"/>
          <w:cols w:space="720"/>
        </w:sectPr>
      </w:pPr>
    </w:p>
    <w:p w14:paraId="07B24252" w14:textId="77777777" w:rsidR="00960636" w:rsidRDefault="007A108F" w:rsidP="00676FA3">
      <w:pPr>
        <w:pStyle w:val="BodyTextIndentBoldItalicCen"/>
      </w:pPr>
      <w:r w:rsidRPr="004A2005">
        <w:lastRenderedPageBreak/>
        <w:t>(</w:t>
      </w:r>
      <w:r w:rsidR="00676FA3" w:rsidRPr="004A2005">
        <w:t xml:space="preserve">This </w:t>
      </w:r>
      <w:r w:rsidRPr="004A2005">
        <w:t>Page Left Intentionally Blank)</w:t>
      </w:r>
    </w:p>
    <w:p w14:paraId="5CA6F41E" w14:textId="77777777" w:rsidR="00960636" w:rsidRDefault="00960636">
      <w:pPr>
        <w:jc w:val="center"/>
        <w:sectPr w:rsidR="00960636" w:rsidSect="00676FA3">
          <w:pgSz w:w="11906" w:h="16838" w:code="9"/>
          <w:pgMar w:top="1134" w:right="1134" w:bottom="992" w:left="1418" w:header="1134" w:footer="851" w:gutter="0"/>
          <w:pgNumType w:fmt="lowerRoman" w:start="1"/>
          <w:cols w:space="720"/>
          <w:vAlign w:val="center"/>
        </w:sectPr>
      </w:pPr>
    </w:p>
    <w:p w14:paraId="0BF002CF" w14:textId="77777777" w:rsidR="0067023B" w:rsidRDefault="0067023B" w:rsidP="00200E30">
      <w:pPr>
        <w:pStyle w:val="Heading2"/>
        <w:numPr>
          <w:ilvl w:val="0"/>
          <w:numId w:val="0"/>
        </w:numPr>
        <w:ind w:left="720" w:hanging="720"/>
      </w:pPr>
      <w:r>
        <w:lastRenderedPageBreak/>
        <w:t>TABLE OF CONTENTS</w:t>
      </w:r>
    </w:p>
    <w:p w14:paraId="2C2E3790" w14:textId="548E7AFD" w:rsidR="000669CF" w:rsidRDefault="000669CF">
      <w:pPr>
        <w:pStyle w:val="TOC1"/>
        <w:rPr>
          <w:rFonts w:asciiTheme="minorHAnsi" w:eastAsiaTheme="minorEastAsia" w:hAnsiTheme="minorHAnsi" w:cstheme="minorBidi"/>
          <w:b w:val="0"/>
          <w:caps w:val="0"/>
          <w:sz w:val="22"/>
          <w:szCs w:val="22"/>
          <w:lang w:eastAsia="en-AU"/>
        </w:rPr>
      </w:pPr>
      <w:r>
        <w:fldChar w:fldCharType="begin"/>
      </w:r>
      <w:r>
        <w:instrText xml:space="preserve"> TOC \t "Heading 2,1,Heading 3,2" </w:instrText>
      </w:r>
      <w:r>
        <w:fldChar w:fldCharType="separate"/>
      </w:r>
      <w:r>
        <w:t>1.0</w:t>
      </w:r>
      <w:r>
        <w:rPr>
          <w:rFonts w:asciiTheme="minorHAnsi" w:eastAsiaTheme="minorEastAsia" w:hAnsiTheme="minorHAnsi" w:cstheme="minorBidi"/>
          <w:b w:val="0"/>
          <w:caps w:val="0"/>
          <w:sz w:val="22"/>
          <w:szCs w:val="22"/>
          <w:lang w:eastAsia="en-AU"/>
        </w:rPr>
        <w:tab/>
      </w:r>
      <w:r>
        <w:t>General</w:t>
      </w:r>
      <w:r>
        <w:tab/>
      </w:r>
      <w:r>
        <w:fldChar w:fldCharType="begin"/>
      </w:r>
      <w:r>
        <w:instrText xml:space="preserve"> PAGEREF _Toc76106309 \h </w:instrText>
      </w:r>
      <w:r>
        <w:fldChar w:fldCharType="separate"/>
      </w:r>
      <w:r>
        <w:t>1</w:t>
      </w:r>
      <w:r>
        <w:fldChar w:fldCharType="end"/>
      </w:r>
    </w:p>
    <w:p w14:paraId="04165A78" w14:textId="14C36A09" w:rsidR="000669CF" w:rsidRDefault="000669CF">
      <w:pPr>
        <w:pStyle w:val="TOC2"/>
        <w:rPr>
          <w:rFonts w:asciiTheme="minorHAnsi" w:hAnsiTheme="minorHAnsi"/>
          <w:b w:val="0"/>
          <w:smallCaps w:val="0"/>
        </w:rPr>
      </w:pPr>
      <w:r>
        <w:t>1.1</w:t>
      </w:r>
      <w:r>
        <w:rPr>
          <w:rFonts w:asciiTheme="minorHAnsi" w:hAnsiTheme="minorHAnsi"/>
          <w:b w:val="0"/>
          <w:smallCaps w:val="0"/>
        </w:rPr>
        <w:tab/>
      </w:r>
      <w:r>
        <w:t>Section Content</w:t>
      </w:r>
      <w:r>
        <w:tab/>
      </w:r>
      <w:r>
        <w:fldChar w:fldCharType="begin"/>
      </w:r>
      <w:r>
        <w:instrText xml:space="preserve"> PAGEREF _Toc76106310 \h </w:instrText>
      </w:r>
      <w:r>
        <w:fldChar w:fldCharType="separate"/>
      </w:r>
      <w:r>
        <w:t>1</w:t>
      </w:r>
      <w:r>
        <w:fldChar w:fldCharType="end"/>
      </w:r>
    </w:p>
    <w:p w14:paraId="6899682F" w14:textId="605514B3" w:rsidR="000669CF" w:rsidRDefault="000669CF">
      <w:pPr>
        <w:pStyle w:val="TOC2"/>
        <w:rPr>
          <w:rFonts w:asciiTheme="minorHAnsi" w:hAnsiTheme="minorHAnsi"/>
          <w:b w:val="0"/>
          <w:smallCaps w:val="0"/>
        </w:rPr>
      </w:pPr>
      <w:r>
        <w:t>1.2</w:t>
      </w:r>
      <w:r>
        <w:rPr>
          <w:rFonts w:asciiTheme="minorHAnsi" w:hAnsiTheme="minorHAnsi"/>
          <w:b w:val="0"/>
          <w:smallCaps w:val="0"/>
        </w:rPr>
        <w:tab/>
      </w:r>
      <w:r>
        <w:t>Standards</w:t>
      </w:r>
      <w:r>
        <w:tab/>
      </w:r>
      <w:r>
        <w:fldChar w:fldCharType="begin"/>
      </w:r>
      <w:r>
        <w:instrText xml:space="preserve"> PAGEREF _Toc76106311 \h </w:instrText>
      </w:r>
      <w:r>
        <w:fldChar w:fldCharType="separate"/>
      </w:r>
      <w:r>
        <w:t>1</w:t>
      </w:r>
      <w:r>
        <w:fldChar w:fldCharType="end"/>
      </w:r>
    </w:p>
    <w:p w14:paraId="603ED4EC" w14:textId="0D87A86F" w:rsidR="000669CF" w:rsidRDefault="000669CF">
      <w:pPr>
        <w:pStyle w:val="TOC2"/>
        <w:rPr>
          <w:rFonts w:asciiTheme="minorHAnsi" w:hAnsiTheme="minorHAnsi"/>
          <w:b w:val="0"/>
          <w:smallCaps w:val="0"/>
        </w:rPr>
      </w:pPr>
      <w:r>
        <w:t>1.3</w:t>
      </w:r>
      <w:r>
        <w:rPr>
          <w:rFonts w:asciiTheme="minorHAnsi" w:hAnsiTheme="minorHAnsi"/>
          <w:b w:val="0"/>
          <w:smallCaps w:val="0"/>
        </w:rPr>
        <w:tab/>
      </w:r>
      <w:r>
        <w:t>References</w:t>
      </w:r>
      <w:r>
        <w:tab/>
      </w:r>
      <w:r>
        <w:fldChar w:fldCharType="begin"/>
      </w:r>
      <w:r>
        <w:instrText xml:space="preserve"> PAGEREF _Toc76106312 \h </w:instrText>
      </w:r>
      <w:r>
        <w:fldChar w:fldCharType="separate"/>
      </w:r>
      <w:r>
        <w:t>2</w:t>
      </w:r>
      <w:r>
        <w:fldChar w:fldCharType="end"/>
      </w:r>
    </w:p>
    <w:p w14:paraId="657B599E" w14:textId="0D71E30C" w:rsidR="000669CF" w:rsidRDefault="000669CF">
      <w:pPr>
        <w:pStyle w:val="TOC1"/>
        <w:rPr>
          <w:rFonts w:asciiTheme="minorHAnsi" w:eastAsiaTheme="minorEastAsia" w:hAnsiTheme="minorHAnsi" w:cstheme="minorBidi"/>
          <w:b w:val="0"/>
          <w:caps w:val="0"/>
          <w:sz w:val="22"/>
          <w:szCs w:val="22"/>
          <w:lang w:eastAsia="en-AU"/>
        </w:rPr>
      </w:pPr>
      <w:r>
        <w:t>2.0</w:t>
      </w:r>
      <w:r>
        <w:rPr>
          <w:rFonts w:asciiTheme="minorHAnsi" w:eastAsiaTheme="minorEastAsia" w:hAnsiTheme="minorHAnsi" w:cstheme="minorBidi"/>
          <w:b w:val="0"/>
          <w:caps w:val="0"/>
          <w:sz w:val="22"/>
          <w:szCs w:val="22"/>
          <w:lang w:eastAsia="en-AU"/>
        </w:rPr>
        <w:tab/>
      </w:r>
      <w:r>
        <w:t>QUALITY</w:t>
      </w:r>
      <w:r>
        <w:tab/>
      </w:r>
      <w:r>
        <w:fldChar w:fldCharType="begin"/>
      </w:r>
      <w:r>
        <w:instrText xml:space="preserve"> PAGEREF _Toc76106313 \h </w:instrText>
      </w:r>
      <w:r>
        <w:fldChar w:fldCharType="separate"/>
      </w:r>
      <w:r>
        <w:t>2</w:t>
      </w:r>
      <w:r>
        <w:fldChar w:fldCharType="end"/>
      </w:r>
    </w:p>
    <w:p w14:paraId="4829F437" w14:textId="5A0733A6" w:rsidR="000669CF" w:rsidRDefault="000669CF">
      <w:pPr>
        <w:pStyle w:val="TOC2"/>
        <w:rPr>
          <w:rFonts w:asciiTheme="minorHAnsi" w:hAnsiTheme="minorHAnsi"/>
          <w:b w:val="0"/>
          <w:smallCaps w:val="0"/>
        </w:rPr>
      </w:pPr>
      <w:r>
        <w:t>2.1</w:t>
      </w:r>
      <w:r>
        <w:rPr>
          <w:rFonts w:asciiTheme="minorHAnsi" w:hAnsiTheme="minorHAnsi"/>
          <w:b w:val="0"/>
          <w:smallCaps w:val="0"/>
        </w:rPr>
        <w:tab/>
      </w:r>
      <w:r>
        <w:t>Quality System</w:t>
      </w:r>
      <w:r>
        <w:tab/>
      </w:r>
      <w:r>
        <w:fldChar w:fldCharType="begin"/>
      </w:r>
      <w:r>
        <w:instrText xml:space="preserve"> PAGEREF _Toc76106314 \h </w:instrText>
      </w:r>
      <w:r>
        <w:fldChar w:fldCharType="separate"/>
      </w:r>
      <w:r>
        <w:t>2</w:t>
      </w:r>
      <w:r>
        <w:fldChar w:fldCharType="end"/>
      </w:r>
    </w:p>
    <w:p w14:paraId="0C8AB874" w14:textId="23D92CA2" w:rsidR="000669CF" w:rsidRDefault="000669CF">
      <w:pPr>
        <w:pStyle w:val="TOC2"/>
        <w:rPr>
          <w:rFonts w:asciiTheme="minorHAnsi" w:hAnsiTheme="minorHAnsi"/>
          <w:b w:val="0"/>
          <w:smallCaps w:val="0"/>
        </w:rPr>
      </w:pPr>
      <w:r>
        <w:t>2.2</w:t>
      </w:r>
      <w:r>
        <w:rPr>
          <w:rFonts w:asciiTheme="minorHAnsi" w:hAnsiTheme="minorHAnsi"/>
          <w:b w:val="0"/>
          <w:smallCaps w:val="0"/>
        </w:rPr>
        <w:tab/>
      </w:r>
      <w:r>
        <w:t>Inspection</w:t>
      </w:r>
      <w:r>
        <w:tab/>
      </w:r>
      <w:r>
        <w:fldChar w:fldCharType="begin"/>
      </w:r>
      <w:r>
        <w:instrText xml:space="preserve"> PAGEREF _Toc76106315 \h </w:instrText>
      </w:r>
      <w:r>
        <w:fldChar w:fldCharType="separate"/>
      </w:r>
      <w:r>
        <w:t>2</w:t>
      </w:r>
      <w:r>
        <w:fldChar w:fldCharType="end"/>
      </w:r>
    </w:p>
    <w:p w14:paraId="40D2DEC8" w14:textId="4B3AA74E" w:rsidR="000669CF" w:rsidRDefault="000669CF">
      <w:pPr>
        <w:pStyle w:val="TOC2"/>
        <w:rPr>
          <w:rFonts w:asciiTheme="minorHAnsi" w:hAnsiTheme="minorHAnsi"/>
          <w:b w:val="0"/>
          <w:smallCaps w:val="0"/>
        </w:rPr>
      </w:pPr>
      <w:r>
        <w:t>2.3</w:t>
      </w:r>
      <w:r>
        <w:rPr>
          <w:rFonts w:asciiTheme="minorHAnsi" w:hAnsiTheme="minorHAnsi"/>
          <w:b w:val="0"/>
          <w:smallCaps w:val="0"/>
        </w:rPr>
        <w:tab/>
      </w:r>
      <w:r>
        <w:t>Tests</w:t>
      </w:r>
      <w:r>
        <w:tab/>
      </w:r>
      <w:r>
        <w:fldChar w:fldCharType="begin"/>
      </w:r>
      <w:r>
        <w:instrText xml:space="preserve"> PAGEREF _Toc76106316 \h </w:instrText>
      </w:r>
      <w:r>
        <w:fldChar w:fldCharType="separate"/>
      </w:r>
      <w:r>
        <w:t>2</w:t>
      </w:r>
      <w:r>
        <w:fldChar w:fldCharType="end"/>
      </w:r>
    </w:p>
    <w:p w14:paraId="74B971AD" w14:textId="4B554182" w:rsidR="000669CF" w:rsidRDefault="000669CF">
      <w:pPr>
        <w:pStyle w:val="TOC2"/>
        <w:rPr>
          <w:rFonts w:asciiTheme="minorHAnsi" w:hAnsiTheme="minorHAnsi"/>
          <w:b w:val="0"/>
          <w:smallCaps w:val="0"/>
        </w:rPr>
      </w:pPr>
      <w:r>
        <w:t>2.4</w:t>
      </w:r>
      <w:r>
        <w:rPr>
          <w:rFonts w:asciiTheme="minorHAnsi" w:hAnsiTheme="minorHAnsi"/>
          <w:b w:val="0"/>
          <w:smallCaps w:val="0"/>
        </w:rPr>
        <w:tab/>
      </w:r>
      <w:r>
        <w:t>Samples</w:t>
      </w:r>
      <w:r>
        <w:tab/>
      </w:r>
      <w:r>
        <w:fldChar w:fldCharType="begin"/>
      </w:r>
      <w:r>
        <w:instrText xml:space="preserve"> PAGEREF _Toc76106317 \h </w:instrText>
      </w:r>
      <w:r>
        <w:fldChar w:fldCharType="separate"/>
      </w:r>
      <w:r>
        <w:t>3</w:t>
      </w:r>
      <w:r>
        <w:fldChar w:fldCharType="end"/>
      </w:r>
    </w:p>
    <w:p w14:paraId="094ADD95" w14:textId="6FDBECAA" w:rsidR="000669CF" w:rsidRDefault="000669CF">
      <w:pPr>
        <w:pStyle w:val="TOC2"/>
        <w:rPr>
          <w:rFonts w:asciiTheme="minorHAnsi" w:hAnsiTheme="minorHAnsi"/>
          <w:b w:val="0"/>
          <w:smallCaps w:val="0"/>
        </w:rPr>
      </w:pPr>
      <w:r>
        <w:t>2.5</w:t>
      </w:r>
      <w:r>
        <w:rPr>
          <w:rFonts w:asciiTheme="minorHAnsi" w:hAnsiTheme="minorHAnsi"/>
          <w:b w:val="0"/>
          <w:smallCaps w:val="0"/>
        </w:rPr>
        <w:tab/>
      </w:r>
      <w:r>
        <w:t>Submissions</w:t>
      </w:r>
      <w:r>
        <w:tab/>
      </w:r>
      <w:r>
        <w:fldChar w:fldCharType="begin"/>
      </w:r>
      <w:r>
        <w:instrText xml:space="preserve"> PAGEREF _Toc76106318 \h </w:instrText>
      </w:r>
      <w:r>
        <w:fldChar w:fldCharType="separate"/>
      </w:r>
      <w:r>
        <w:t>3</w:t>
      </w:r>
      <w:r>
        <w:fldChar w:fldCharType="end"/>
      </w:r>
    </w:p>
    <w:p w14:paraId="1823479E" w14:textId="6B8DAD27" w:rsidR="000669CF" w:rsidRDefault="000669CF">
      <w:pPr>
        <w:pStyle w:val="TOC1"/>
        <w:rPr>
          <w:rFonts w:asciiTheme="minorHAnsi" w:eastAsiaTheme="minorEastAsia" w:hAnsiTheme="minorHAnsi" w:cstheme="minorBidi"/>
          <w:b w:val="0"/>
          <w:caps w:val="0"/>
          <w:sz w:val="22"/>
          <w:szCs w:val="22"/>
          <w:lang w:eastAsia="en-AU"/>
        </w:rPr>
      </w:pPr>
      <w:r>
        <w:t>3.0</w:t>
      </w:r>
      <w:r>
        <w:rPr>
          <w:rFonts w:asciiTheme="minorHAnsi" w:eastAsiaTheme="minorEastAsia" w:hAnsiTheme="minorHAnsi" w:cstheme="minorBidi"/>
          <w:b w:val="0"/>
          <w:caps w:val="0"/>
          <w:sz w:val="22"/>
          <w:szCs w:val="22"/>
          <w:lang w:eastAsia="en-AU"/>
        </w:rPr>
        <w:tab/>
      </w:r>
      <w:r>
        <w:t>definitions</w:t>
      </w:r>
      <w:r>
        <w:tab/>
      </w:r>
      <w:r>
        <w:fldChar w:fldCharType="begin"/>
      </w:r>
      <w:r>
        <w:instrText xml:space="preserve"> PAGEREF _Toc76106319 \h </w:instrText>
      </w:r>
      <w:r>
        <w:fldChar w:fldCharType="separate"/>
      </w:r>
      <w:r>
        <w:t>3</w:t>
      </w:r>
      <w:r>
        <w:fldChar w:fldCharType="end"/>
      </w:r>
    </w:p>
    <w:p w14:paraId="1C7F2B81" w14:textId="1A10CEC3" w:rsidR="000669CF" w:rsidRDefault="000669CF">
      <w:pPr>
        <w:pStyle w:val="TOC1"/>
        <w:rPr>
          <w:rFonts w:asciiTheme="minorHAnsi" w:eastAsiaTheme="minorEastAsia" w:hAnsiTheme="minorHAnsi" w:cstheme="minorBidi"/>
          <w:b w:val="0"/>
          <w:caps w:val="0"/>
          <w:sz w:val="22"/>
          <w:szCs w:val="22"/>
          <w:lang w:eastAsia="en-AU"/>
        </w:rPr>
      </w:pPr>
      <w:r>
        <w:t>4.0</w:t>
      </w:r>
      <w:r>
        <w:rPr>
          <w:rFonts w:asciiTheme="minorHAnsi" w:eastAsiaTheme="minorEastAsia" w:hAnsiTheme="minorHAnsi" w:cstheme="minorBidi"/>
          <w:b w:val="0"/>
          <w:caps w:val="0"/>
          <w:sz w:val="22"/>
          <w:szCs w:val="22"/>
          <w:lang w:eastAsia="en-AU"/>
        </w:rPr>
        <w:tab/>
      </w:r>
      <w:r>
        <w:t>MATERIALS</w:t>
      </w:r>
      <w:r>
        <w:tab/>
      </w:r>
      <w:r>
        <w:fldChar w:fldCharType="begin"/>
      </w:r>
      <w:r>
        <w:instrText xml:space="preserve"> PAGEREF _Toc76106320 \h </w:instrText>
      </w:r>
      <w:r>
        <w:fldChar w:fldCharType="separate"/>
      </w:r>
      <w:r>
        <w:t>4</w:t>
      </w:r>
      <w:r>
        <w:fldChar w:fldCharType="end"/>
      </w:r>
    </w:p>
    <w:p w14:paraId="55B4A2B1" w14:textId="57E017A3" w:rsidR="000669CF" w:rsidRDefault="000669CF">
      <w:pPr>
        <w:pStyle w:val="TOC2"/>
        <w:rPr>
          <w:rFonts w:asciiTheme="minorHAnsi" w:hAnsiTheme="minorHAnsi"/>
          <w:b w:val="0"/>
          <w:smallCaps w:val="0"/>
        </w:rPr>
      </w:pPr>
      <w:r>
        <w:t>4.1</w:t>
      </w:r>
      <w:r>
        <w:rPr>
          <w:rFonts w:asciiTheme="minorHAnsi" w:hAnsiTheme="minorHAnsi"/>
          <w:b w:val="0"/>
          <w:smallCaps w:val="0"/>
        </w:rPr>
        <w:tab/>
      </w:r>
      <w:r>
        <w:t>Cover Aggregate</w:t>
      </w:r>
      <w:r>
        <w:tab/>
      </w:r>
      <w:r>
        <w:fldChar w:fldCharType="begin"/>
      </w:r>
      <w:r>
        <w:instrText xml:space="preserve"> PAGEREF _Toc76106321 \h </w:instrText>
      </w:r>
      <w:r>
        <w:fldChar w:fldCharType="separate"/>
      </w:r>
      <w:r>
        <w:t>4</w:t>
      </w:r>
      <w:r>
        <w:fldChar w:fldCharType="end"/>
      </w:r>
    </w:p>
    <w:p w14:paraId="0DD24E4D" w14:textId="5CDE4F98" w:rsidR="000669CF" w:rsidRDefault="000669CF">
      <w:pPr>
        <w:pStyle w:val="TOC2"/>
        <w:rPr>
          <w:rFonts w:asciiTheme="minorHAnsi" w:hAnsiTheme="minorHAnsi"/>
          <w:b w:val="0"/>
          <w:smallCaps w:val="0"/>
        </w:rPr>
      </w:pPr>
      <w:r>
        <w:t>4.2</w:t>
      </w:r>
      <w:r>
        <w:rPr>
          <w:rFonts w:asciiTheme="minorHAnsi" w:hAnsiTheme="minorHAnsi"/>
          <w:b w:val="0"/>
          <w:smallCaps w:val="0"/>
        </w:rPr>
        <w:tab/>
      </w:r>
      <w:r>
        <w:t>Prime Cover Material</w:t>
      </w:r>
      <w:r>
        <w:tab/>
      </w:r>
      <w:r>
        <w:fldChar w:fldCharType="begin"/>
      </w:r>
      <w:r>
        <w:instrText xml:space="preserve"> PAGEREF _Toc76106322 \h </w:instrText>
      </w:r>
      <w:r>
        <w:fldChar w:fldCharType="separate"/>
      </w:r>
      <w:r>
        <w:t>5</w:t>
      </w:r>
      <w:r>
        <w:fldChar w:fldCharType="end"/>
      </w:r>
    </w:p>
    <w:p w14:paraId="581285F6" w14:textId="2796014B" w:rsidR="000669CF" w:rsidRDefault="000669CF">
      <w:pPr>
        <w:pStyle w:val="TOC2"/>
        <w:rPr>
          <w:rFonts w:asciiTheme="minorHAnsi" w:hAnsiTheme="minorHAnsi"/>
          <w:b w:val="0"/>
          <w:smallCaps w:val="0"/>
        </w:rPr>
      </w:pPr>
      <w:r>
        <w:t>4.3</w:t>
      </w:r>
      <w:r>
        <w:rPr>
          <w:rFonts w:asciiTheme="minorHAnsi" w:hAnsiTheme="minorHAnsi"/>
          <w:b w:val="0"/>
          <w:smallCaps w:val="0"/>
        </w:rPr>
        <w:tab/>
      </w:r>
      <w:r>
        <w:t>Bitumen</w:t>
      </w:r>
      <w:r>
        <w:tab/>
      </w:r>
      <w:r>
        <w:fldChar w:fldCharType="begin"/>
      </w:r>
      <w:r>
        <w:instrText xml:space="preserve"> PAGEREF _Toc76106323 \h </w:instrText>
      </w:r>
      <w:r>
        <w:fldChar w:fldCharType="separate"/>
      </w:r>
      <w:r>
        <w:t>5</w:t>
      </w:r>
      <w:r>
        <w:fldChar w:fldCharType="end"/>
      </w:r>
    </w:p>
    <w:p w14:paraId="59AA0BBA" w14:textId="15159B3A" w:rsidR="000669CF" w:rsidRDefault="000669CF">
      <w:pPr>
        <w:pStyle w:val="TOC2"/>
        <w:rPr>
          <w:rFonts w:asciiTheme="minorHAnsi" w:hAnsiTheme="minorHAnsi"/>
          <w:b w:val="0"/>
          <w:smallCaps w:val="0"/>
        </w:rPr>
      </w:pPr>
      <w:r>
        <w:t>4.4</w:t>
      </w:r>
      <w:r>
        <w:rPr>
          <w:rFonts w:asciiTheme="minorHAnsi" w:hAnsiTheme="minorHAnsi"/>
          <w:b w:val="0"/>
          <w:smallCaps w:val="0"/>
        </w:rPr>
        <w:tab/>
      </w:r>
      <w:r>
        <w:t>Cutback Bitumen</w:t>
      </w:r>
      <w:r>
        <w:tab/>
      </w:r>
      <w:r>
        <w:fldChar w:fldCharType="begin"/>
      </w:r>
      <w:r>
        <w:instrText xml:space="preserve"> PAGEREF _Toc76106324 \h </w:instrText>
      </w:r>
      <w:r>
        <w:fldChar w:fldCharType="separate"/>
      </w:r>
      <w:r>
        <w:t>6</w:t>
      </w:r>
      <w:r>
        <w:fldChar w:fldCharType="end"/>
      </w:r>
    </w:p>
    <w:p w14:paraId="6B90C4D8" w14:textId="34DFE423" w:rsidR="000669CF" w:rsidRDefault="000669CF">
      <w:pPr>
        <w:pStyle w:val="TOC2"/>
        <w:rPr>
          <w:rFonts w:asciiTheme="minorHAnsi" w:hAnsiTheme="minorHAnsi"/>
          <w:b w:val="0"/>
          <w:smallCaps w:val="0"/>
        </w:rPr>
      </w:pPr>
      <w:r>
        <w:t>4.5</w:t>
      </w:r>
      <w:r>
        <w:rPr>
          <w:rFonts w:asciiTheme="minorHAnsi" w:hAnsiTheme="minorHAnsi"/>
          <w:b w:val="0"/>
          <w:smallCaps w:val="0"/>
        </w:rPr>
        <w:tab/>
      </w:r>
      <w:r>
        <w:t>Polymer Modified Bitumen</w:t>
      </w:r>
      <w:r>
        <w:tab/>
      </w:r>
      <w:r>
        <w:fldChar w:fldCharType="begin"/>
      </w:r>
      <w:r>
        <w:instrText xml:space="preserve"> PAGEREF _Toc76106325 \h </w:instrText>
      </w:r>
      <w:r>
        <w:fldChar w:fldCharType="separate"/>
      </w:r>
      <w:r>
        <w:t>6</w:t>
      </w:r>
      <w:r>
        <w:fldChar w:fldCharType="end"/>
      </w:r>
    </w:p>
    <w:p w14:paraId="2BDC905A" w14:textId="4609D50A" w:rsidR="000669CF" w:rsidRDefault="000669CF">
      <w:pPr>
        <w:pStyle w:val="TOC2"/>
        <w:rPr>
          <w:rFonts w:asciiTheme="minorHAnsi" w:hAnsiTheme="minorHAnsi"/>
          <w:b w:val="0"/>
          <w:smallCaps w:val="0"/>
        </w:rPr>
      </w:pPr>
      <w:r>
        <w:t>4.6</w:t>
      </w:r>
      <w:r>
        <w:rPr>
          <w:rFonts w:asciiTheme="minorHAnsi" w:hAnsiTheme="minorHAnsi"/>
          <w:b w:val="0"/>
          <w:smallCaps w:val="0"/>
        </w:rPr>
        <w:tab/>
      </w:r>
      <w:r>
        <w:t>Crumb Rubber Modified Bitumen</w:t>
      </w:r>
      <w:r>
        <w:tab/>
      </w:r>
      <w:r>
        <w:fldChar w:fldCharType="begin"/>
      </w:r>
      <w:r>
        <w:instrText xml:space="preserve"> PAGEREF _Toc76106326 \h </w:instrText>
      </w:r>
      <w:r>
        <w:fldChar w:fldCharType="separate"/>
      </w:r>
      <w:r>
        <w:t>6</w:t>
      </w:r>
      <w:r>
        <w:fldChar w:fldCharType="end"/>
      </w:r>
    </w:p>
    <w:p w14:paraId="479A862A" w14:textId="6F89BF32" w:rsidR="000669CF" w:rsidRDefault="000669CF">
      <w:pPr>
        <w:pStyle w:val="TOC2"/>
        <w:rPr>
          <w:rFonts w:asciiTheme="minorHAnsi" w:hAnsiTheme="minorHAnsi"/>
          <w:b w:val="0"/>
          <w:smallCaps w:val="0"/>
        </w:rPr>
      </w:pPr>
      <w:r>
        <w:t>4.7</w:t>
      </w:r>
      <w:r>
        <w:rPr>
          <w:rFonts w:asciiTheme="minorHAnsi" w:hAnsiTheme="minorHAnsi"/>
          <w:b w:val="0"/>
          <w:smallCaps w:val="0"/>
        </w:rPr>
        <w:tab/>
      </w:r>
      <w:r>
        <w:t>Penetrating Emulsion Prime</w:t>
      </w:r>
      <w:r>
        <w:tab/>
      </w:r>
      <w:r>
        <w:fldChar w:fldCharType="begin"/>
      </w:r>
      <w:r>
        <w:instrText xml:space="preserve"> PAGEREF _Toc76106327 \h </w:instrText>
      </w:r>
      <w:r>
        <w:fldChar w:fldCharType="separate"/>
      </w:r>
      <w:r>
        <w:t>6</w:t>
      </w:r>
      <w:r>
        <w:fldChar w:fldCharType="end"/>
      </w:r>
    </w:p>
    <w:p w14:paraId="0E19DF50" w14:textId="1FF85A7D" w:rsidR="000669CF" w:rsidRDefault="000669CF">
      <w:pPr>
        <w:pStyle w:val="TOC2"/>
        <w:rPr>
          <w:rFonts w:asciiTheme="minorHAnsi" w:hAnsiTheme="minorHAnsi"/>
          <w:b w:val="0"/>
          <w:smallCaps w:val="0"/>
        </w:rPr>
      </w:pPr>
      <w:r>
        <w:t>4.8</w:t>
      </w:r>
      <w:r>
        <w:rPr>
          <w:rFonts w:asciiTheme="minorHAnsi" w:hAnsiTheme="minorHAnsi"/>
          <w:b w:val="0"/>
          <w:smallCaps w:val="0"/>
        </w:rPr>
        <w:tab/>
      </w:r>
      <w:r>
        <w:t>Measuring Bituminous Materials</w:t>
      </w:r>
      <w:r>
        <w:tab/>
      </w:r>
      <w:r>
        <w:fldChar w:fldCharType="begin"/>
      </w:r>
      <w:r>
        <w:instrText xml:space="preserve"> PAGEREF _Toc76106328 \h </w:instrText>
      </w:r>
      <w:r>
        <w:fldChar w:fldCharType="separate"/>
      </w:r>
      <w:r>
        <w:t>7</w:t>
      </w:r>
      <w:r>
        <w:fldChar w:fldCharType="end"/>
      </w:r>
    </w:p>
    <w:p w14:paraId="1198C2AD" w14:textId="3A79C9C7" w:rsidR="000669CF" w:rsidRDefault="000669CF">
      <w:pPr>
        <w:pStyle w:val="TOC1"/>
        <w:rPr>
          <w:rFonts w:asciiTheme="minorHAnsi" w:eastAsiaTheme="minorEastAsia" w:hAnsiTheme="minorHAnsi" w:cstheme="minorBidi"/>
          <w:b w:val="0"/>
          <w:caps w:val="0"/>
          <w:sz w:val="22"/>
          <w:szCs w:val="22"/>
          <w:lang w:eastAsia="en-AU"/>
        </w:rPr>
      </w:pPr>
      <w:r>
        <w:t>5.0</w:t>
      </w:r>
      <w:r>
        <w:rPr>
          <w:rFonts w:asciiTheme="minorHAnsi" w:eastAsiaTheme="minorEastAsia" w:hAnsiTheme="minorHAnsi" w:cstheme="minorBidi"/>
          <w:b w:val="0"/>
          <w:caps w:val="0"/>
          <w:sz w:val="22"/>
          <w:szCs w:val="22"/>
          <w:lang w:eastAsia="en-AU"/>
        </w:rPr>
        <w:tab/>
      </w:r>
      <w:r>
        <w:t>PLANT</w:t>
      </w:r>
      <w:r>
        <w:tab/>
      </w:r>
      <w:r>
        <w:fldChar w:fldCharType="begin"/>
      </w:r>
      <w:r>
        <w:instrText xml:space="preserve"> PAGEREF _Toc76106329 \h </w:instrText>
      </w:r>
      <w:r>
        <w:fldChar w:fldCharType="separate"/>
      </w:r>
      <w:r>
        <w:t>7</w:t>
      </w:r>
      <w:r>
        <w:fldChar w:fldCharType="end"/>
      </w:r>
    </w:p>
    <w:p w14:paraId="2C712CAF" w14:textId="3B1E9FE1" w:rsidR="000669CF" w:rsidRDefault="000669CF">
      <w:pPr>
        <w:pStyle w:val="TOC1"/>
        <w:rPr>
          <w:rFonts w:asciiTheme="minorHAnsi" w:eastAsiaTheme="minorEastAsia" w:hAnsiTheme="minorHAnsi" w:cstheme="minorBidi"/>
          <w:b w:val="0"/>
          <w:caps w:val="0"/>
          <w:sz w:val="22"/>
          <w:szCs w:val="22"/>
          <w:lang w:eastAsia="en-AU"/>
        </w:rPr>
      </w:pPr>
      <w:r>
        <w:t>6.0</w:t>
      </w:r>
      <w:r>
        <w:rPr>
          <w:rFonts w:asciiTheme="minorHAnsi" w:eastAsiaTheme="minorEastAsia" w:hAnsiTheme="minorHAnsi" w:cstheme="minorBidi"/>
          <w:b w:val="0"/>
          <w:caps w:val="0"/>
          <w:sz w:val="22"/>
          <w:szCs w:val="22"/>
          <w:lang w:eastAsia="en-AU"/>
        </w:rPr>
        <w:tab/>
      </w:r>
      <w:r>
        <w:t>surfacing</w:t>
      </w:r>
      <w:r>
        <w:tab/>
      </w:r>
      <w:r>
        <w:fldChar w:fldCharType="begin"/>
      </w:r>
      <w:r>
        <w:instrText xml:space="preserve"> PAGEREF _Toc76106330 \h </w:instrText>
      </w:r>
      <w:r>
        <w:fldChar w:fldCharType="separate"/>
      </w:r>
      <w:r>
        <w:t>7</w:t>
      </w:r>
      <w:r>
        <w:fldChar w:fldCharType="end"/>
      </w:r>
    </w:p>
    <w:p w14:paraId="0CCBF425" w14:textId="0FAF0E08" w:rsidR="000669CF" w:rsidRDefault="000669CF">
      <w:pPr>
        <w:pStyle w:val="TOC2"/>
        <w:rPr>
          <w:rFonts w:asciiTheme="minorHAnsi" w:hAnsiTheme="minorHAnsi"/>
          <w:b w:val="0"/>
          <w:smallCaps w:val="0"/>
        </w:rPr>
      </w:pPr>
      <w:r>
        <w:t>6.1</w:t>
      </w:r>
      <w:r>
        <w:rPr>
          <w:rFonts w:asciiTheme="minorHAnsi" w:hAnsiTheme="minorHAnsi"/>
          <w:b w:val="0"/>
          <w:smallCaps w:val="0"/>
        </w:rPr>
        <w:tab/>
      </w:r>
      <w:r>
        <w:t>General</w:t>
      </w:r>
      <w:r>
        <w:tab/>
      </w:r>
      <w:r>
        <w:fldChar w:fldCharType="begin"/>
      </w:r>
      <w:r>
        <w:instrText xml:space="preserve"> PAGEREF _Toc76106331 \h </w:instrText>
      </w:r>
      <w:r>
        <w:fldChar w:fldCharType="separate"/>
      </w:r>
      <w:r>
        <w:t>7</w:t>
      </w:r>
      <w:r>
        <w:fldChar w:fldCharType="end"/>
      </w:r>
    </w:p>
    <w:p w14:paraId="0761D642" w14:textId="605DE38B" w:rsidR="000669CF" w:rsidRDefault="000669CF">
      <w:pPr>
        <w:pStyle w:val="TOC2"/>
        <w:rPr>
          <w:rFonts w:asciiTheme="minorHAnsi" w:hAnsiTheme="minorHAnsi"/>
          <w:b w:val="0"/>
          <w:smallCaps w:val="0"/>
        </w:rPr>
      </w:pPr>
      <w:r>
        <w:t>6.2</w:t>
      </w:r>
      <w:r>
        <w:rPr>
          <w:rFonts w:asciiTheme="minorHAnsi" w:hAnsiTheme="minorHAnsi"/>
          <w:b w:val="0"/>
          <w:smallCaps w:val="0"/>
        </w:rPr>
        <w:tab/>
      </w:r>
      <w:r>
        <w:t>Precoating</w:t>
      </w:r>
      <w:r>
        <w:tab/>
      </w:r>
      <w:r>
        <w:fldChar w:fldCharType="begin"/>
      </w:r>
      <w:r>
        <w:instrText xml:space="preserve"> PAGEREF _Toc76106332 \h </w:instrText>
      </w:r>
      <w:r>
        <w:fldChar w:fldCharType="separate"/>
      </w:r>
      <w:r>
        <w:t>8</w:t>
      </w:r>
      <w:r>
        <w:fldChar w:fldCharType="end"/>
      </w:r>
    </w:p>
    <w:p w14:paraId="4F6558E6" w14:textId="6AE4652C" w:rsidR="000669CF" w:rsidRDefault="000669CF">
      <w:pPr>
        <w:pStyle w:val="TOC2"/>
        <w:rPr>
          <w:rFonts w:asciiTheme="minorHAnsi" w:hAnsiTheme="minorHAnsi"/>
          <w:b w:val="0"/>
          <w:smallCaps w:val="0"/>
        </w:rPr>
      </w:pPr>
      <w:r>
        <w:t>6.3</w:t>
      </w:r>
      <w:r>
        <w:rPr>
          <w:rFonts w:asciiTheme="minorHAnsi" w:hAnsiTheme="minorHAnsi"/>
          <w:b w:val="0"/>
          <w:smallCaps w:val="0"/>
        </w:rPr>
        <w:tab/>
      </w:r>
      <w:r>
        <w:t>Cutting Bitumen</w:t>
      </w:r>
      <w:r>
        <w:tab/>
      </w:r>
      <w:r>
        <w:fldChar w:fldCharType="begin"/>
      </w:r>
      <w:r>
        <w:instrText xml:space="preserve"> PAGEREF _Toc76106333 \h </w:instrText>
      </w:r>
      <w:r>
        <w:fldChar w:fldCharType="separate"/>
      </w:r>
      <w:r>
        <w:t>8</w:t>
      </w:r>
      <w:r>
        <w:fldChar w:fldCharType="end"/>
      </w:r>
    </w:p>
    <w:p w14:paraId="7E104EDC" w14:textId="6BB72CA1" w:rsidR="000669CF" w:rsidRDefault="000669CF">
      <w:pPr>
        <w:pStyle w:val="TOC2"/>
        <w:rPr>
          <w:rFonts w:asciiTheme="minorHAnsi" w:hAnsiTheme="minorHAnsi"/>
          <w:b w:val="0"/>
          <w:smallCaps w:val="0"/>
        </w:rPr>
      </w:pPr>
      <w:r>
        <w:t>6.4</w:t>
      </w:r>
      <w:r>
        <w:rPr>
          <w:rFonts w:asciiTheme="minorHAnsi" w:hAnsiTheme="minorHAnsi"/>
          <w:b w:val="0"/>
          <w:smallCaps w:val="0"/>
        </w:rPr>
        <w:tab/>
      </w:r>
      <w:r>
        <w:t>Preparation for Spraying</w:t>
      </w:r>
      <w:r>
        <w:tab/>
      </w:r>
      <w:r>
        <w:fldChar w:fldCharType="begin"/>
      </w:r>
      <w:r>
        <w:instrText xml:space="preserve"> PAGEREF _Toc76106334 \h </w:instrText>
      </w:r>
      <w:r>
        <w:fldChar w:fldCharType="separate"/>
      </w:r>
      <w:r>
        <w:t>8</w:t>
      </w:r>
      <w:r>
        <w:fldChar w:fldCharType="end"/>
      </w:r>
    </w:p>
    <w:p w14:paraId="52AE4FEC" w14:textId="41FAB121" w:rsidR="000669CF" w:rsidRDefault="000669CF">
      <w:pPr>
        <w:pStyle w:val="TOC2"/>
        <w:rPr>
          <w:rFonts w:asciiTheme="minorHAnsi" w:hAnsiTheme="minorHAnsi"/>
          <w:b w:val="0"/>
          <w:smallCaps w:val="0"/>
        </w:rPr>
      </w:pPr>
      <w:r>
        <w:t>6.5</w:t>
      </w:r>
      <w:r>
        <w:rPr>
          <w:rFonts w:asciiTheme="minorHAnsi" w:hAnsiTheme="minorHAnsi"/>
          <w:b w:val="0"/>
          <w:smallCaps w:val="0"/>
        </w:rPr>
        <w:tab/>
      </w:r>
      <w:r>
        <w:t>Spraying Operations</w:t>
      </w:r>
      <w:r>
        <w:tab/>
      </w:r>
      <w:r>
        <w:fldChar w:fldCharType="begin"/>
      </w:r>
      <w:r>
        <w:instrText xml:space="preserve"> PAGEREF _Toc76106335 \h </w:instrText>
      </w:r>
      <w:r>
        <w:fldChar w:fldCharType="separate"/>
      </w:r>
      <w:r>
        <w:t>9</w:t>
      </w:r>
      <w:r>
        <w:fldChar w:fldCharType="end"/>
      </w:r>
    </w:p>
    <w:p w14:paraId="043CF046" w14:textId="104F0BD8" w:rsidR="000669CF" w:rsidRDefault="000669CF">
      <w:pPr>
        <w:pStyle w:val="TOC2"/>
        <w:rPr>
          <w:rFonts w:asciiTheme="minorHAnsi" w:hAnsiTheme="minorHAnsi"/>
          <w:b w:val="0"/>
          <w:smallCaps w:val="0"/>
        </w:rPr>
      </w:pPr>
      <w:r>
        <w:t>6.6</w:t>
      </w:r>
      <w:r>
        <w:rPr>
          <w:rFonts w:asciiTheme="minorHAnsi" w:hAnsiTheme="minorHAnsi"/>
          <w:b w:val="0"/>
          <w:smallCaps w:val="0"/>
        </w:rPr>
        <w:tab/>
      </w:r>
      <w:r>
        <w:t>Priming</w:t>
      </w:r>
      <w:r>
        <w:tab/>
      </w:r>
      <w:r>
        <w:fldChar w:fldCharType="begin"/>
      </w:r>
      <w:r>
        <w:instrText xml:space="preserve"> PAGEREF _Toc76106336 \h </w:instrText>
      </w:r>
      <w:r>
        <w:fldChar w:fldCharType="separate"/>
      </w:r>
      <w:r>
        <w:t>10</w:t>
      </w:r>
      <w:r>
        <w:fldChar w:fldCharType="end"/>
      </w:r>
    </w:p>
    <w:p w14:paraId="30DA513F" w14:textId="71B89E6B" w:rsidR="000669CF" w:rsidRDefault="000669CF">
      <w:pPr>
        <w:pStyle w:val="TOC2"/>
        <w:rPr>
          <w:rFonts w:asciiTheme="minorHAnsi" w:hAnsiTheme="minorHAnsi"/>
          <w:b w:val="0"/>
          <w:smallCaps w:val="0"/>
        </w:rPr>
      </w:pPr>
      <w:r>
        <w:t>6.7</w:t>
      </w:r>
      <w:r>
        <w:rPr>
          <w:rFonts w:asciiTheme="minorHAnsi" w:hAnsiTheme="minorHAnsi"/>
          <w:b w:val="0"/>
          <w:smallCaps w:val="0"/>
        </w:rPr>
        <w:tab/>
      </w:r>
      <w:r>
        <w:t>Primer Sealing</w:t>
      </w:r>
      <w:r>
        <w:tab/>
      </w:r>
      <w:r>
        <w:fldChar w:fldCharType="begin"/>
      </w:r>
      <w:r>
        <w:instrText xml:space="preserve"> PAGEREF _Toc76106337 \h </w:instrText>
      </w:r>
      <w:r>
        <w:fldChar w:fldCharType="separate"/>
      </w:r>
      <w:r>
        <w:t>11</w:t>
      </w:r>
      <w:r>
        <w:fldChar w:fldCharType="end"/>
      </w:r>
    </w:p>
    <w:p w14:paraId="426BB0FB" w14:textId="3C185C25" w:rsidR="000669CF" w:rsidRDefault="000669CF">
      <w:pPr>
        <w:pStyle w:val="TOC2"/>
        <w:rPr>
          <w:rFonts w:asciiTheme="minorHAnsi" w:hAnsiTheme="minorHAnsi"/>
          <w:b w:val="0"/>
          <w:smallCaps w:val="0"/>
        </w:rPr>
      </w:pPr>
      <w:r>
        <w:t>6.8</w:t>
      </w:r>
      <w:r>
        <w:rPr>
          <w:rFonts w:asciiTheme="minorHAnsi" w:hAnsiTheme="minorHAnsi"/>
          <w:b w:val="0"/>
          <w:smallCaps w:val="0"/>
        </w:rPr>
        <w:tab/>
      </w:r>
      <w:r>
        <w:t>Spreading Prime Cover Material</w:t>
      </w:r>
      <w:r>
        <w:tab/>
      </w:r>
      <w:r>
        <w:fldChar w:fldCharType="begin"/>
      </w:r>
      <w:r>
        <w:instrText xml:space="preserve"> PAGEREF _Toc76106338 \h </w:instrText>
      </w:r>
      <w:r>
        <w:fldChar w:fldCharType="separate"/>
      </w:r>
      <w:r>
        <w:t>11</w:t>
      </w:r>
      <w:r>
        <w:fldChar w:fldCharType="end"/>
      </w:r>
    </w:p>
    <w:p w14:paraId="387177E2" w14:textId="4ADC866F" w:rsidR="000669CF" w:rsidRDefault="000669CF">
      <w:pPr>
        <w:pStyle w:val="TOC2"/>
        <w:rPr>
          <w:rFonts w:asciiTheme="minorHAnsi" w:hAnsiTheme="minorHAnsi"/>
          <w:b w:val="0"/>
          <w:smallCaps w:val="0"/>
        </w:rPr>
      </w:pPr>
      <w:r>
        <w:t>6.9</w:t>
      </w:r>
      <w:r>
        <w:rPr>
          <w:rFonts w:asciiTheme="minorHAnsi" w:hAnsiTheme="minorHAnsi"/>
          <w:b w:val="0"/>
          <w:smallCaps w:val="0"/>
        </w:rPr>
        <w:tab/>
      </w:r>
      <w:r>
        <w:t>Spreading Cover Aggregate</w:t>
      </w:r>
      <w:r>
        <w:tab/>
      </w:r>
      <w:r>
        <w:fldChar w:fldCharType="begin"/>
      </w:r>
      <w:r>
        <w:instrText xml:space="preserve"> PAGEREF _Toc76106339 \h </w:instrText>
      </w:r>
      <w:r>
        <w:fldChar w:fldCharType="separate"/>
      </w:r>
      <w:r>
        <w:t>11</w:t>
      </w:r>
      <w:r>
        <w:fldChar w:fldCharType="end"/>
      </w:r>
    </w:p>
    <w:p w14:paraId="7410E5C0" w14:textId="562B3ED8" w:rsidR="000669CF" w:rsidRDefault="000669CF">
      <w:pPr>
        <w:pStyle w:val="TOC2"/>
        <w:rPr>
          <w:rFonts w:asciiTheme="minorHAnsi" w:hAnsiTheme="minorHAnsi"/>
          <w:b w:val="0"/>
          <w:smallCaps w:val="0"/>
        </w:rPr>
      </w:pPr>
      <w:r>
        <w:t>6.10</w:t>
      </w:r>
      <w:r>
        <w:rPr>
          <w:rFonts w:asciiTheme="minorHAnsi" w:hAnsiTheme="minorHAnsi"/>
          <w:b w:val="0"/>
          <w:smallCaps w:val="0"/>
        </w:rPr>
        <w:tab/>
      </w:r>
      <w:r>
        <w:t>Defective Surfacing</w:t>
      </w:r>
      <w:r>
        <w:tab/>
      </w:r>
      <w:r>
        <w:fldChar w:fldCharType="begin"/>
      </w:r>
      <w:r>
        <w:instrText xml:space="preserve"> PAGEREF _Toc76106340 \h </w:instrText>
      </w:r>
      <w:r>
        <w:fldChar w:fldCharType="separate"/>
      </w:r>
      <w:r>
        <w:t>12</w:t>
      </w:r>
      <w:r>
        <w:fldChar w:fldCharType="end"/>
      </w:r>
    </w:p>
    <w:p w14:paraId="474AEFFC" w14:textId="7B19A7D9" w:rsidR="000669CF" w:rsidRDefault="000669CF">
      <w:pPr>
        <w:pStyle w:val="TOC1"/>
        <w:rPr>
          <w:rFonts w:asciiTheme="minorHAnsi" w:eastAsiaTheme="minorEastAsia" w:hAnsiTheme="minorHAnsi" w:cstheme="minorBidi"/>
          <w:b w:val="0"/>
          <w:caps w:val="0"/>
          <w:sz w:val="22"/>
          <w:szCs w:val="22"/>
          <w:lang w:eastAsia="en-AU"/>
        </w:rPr>
      </w:pPr>
      <w:r>
        <w:t>7.0</w:t>
      </w:r>
      <w:r>
        <w:rPr>
          <w:rFonts w:asciiTheme="minorHAnsi" w:eastAsiaTheme="minorEastAsia" w:hAnsiTheme="minorHAnsi" w:cstheme="minorBidi"/>
          <w:b w:val="0"/>
          <w:caps w:val="0"/>
          <w:sz w:val="22"/>
          <w:szCs w:val="22"/>
          <w:lang w:eastAsia="en-AU"/>
        </w:rPr>
        <w:tab/>
      </w:r>
      <w:r>
        <w:t>completion</w:t>
      </w:r>
      <w:r>
        <w:tab/>
      </w:r>
      <w:r>
        <w:fldChar w:fldCharType="begin"/>
      </w:r>
      <w:r>
        <w:instrText xml:space="preserve"> PAGEREF _Toc76106341 \h </w:instrText>
      </w:r>
      <w:r>
        <w:fldChar w:fldCharType="separate"/>
      </w:r>
      <w:r>
        <w:t>12</w:t>
      </w:r>
      <w:r>
        <w:fldChar w:fldCharType="end"/>
      </w:r>
    </w:p>
    <w:p w14:paraId="34D991BE" w14:textId="20E56C7E" w:rsidR="0067023B" w:rsidRDefault="000669CF" w:rsidP="007A108F">
      <w:pPr>
        <w:pStyle w:val="TOC1"/>
      </w:pPr>
      <w:r>
        <w:fldChar w:fldCharType="end"/>
      </w:r>
    </w:p>
    <w:p w14:paraId="19B8FA3F" w14:textId="77777777" w:rsidR="0067023B" w:rsidRDefault="0067023B"/>
    <w:p w14:paraId="6864FCA7" w14:textId="77777777" w:rsidR="0067023B" w:rsidRDefault="0067023B"/>
    <w:p w14:paraId="053D9499" w14:textId="77777777" w:rsidR="0067023B" w:rsidRDefault="0067023B"/>
    <w:p w14:paraId="267A63B6" w14:textId="77777777" w:rsidR="0067023B" w:rsidRDefault="0067023B"/>
    <w:p w14:paraId="5CD659E9" w14:textId="77777777" w:rsidR="0067023B" w:rsidRDefault="0067023B">
      <w:pPr>
        <w:sectPr w:rsidR="0067023B" w:rsidSect="00960636">
          <w:footerReference w:type="default" r:id="rId15"/>
          <w:pgSz w:w="11906" w:h="16838" w:code="9"/>
          <w:pgMar w:top="1134" w:right="1134" w:bottom="992" w:left="1418" w:header="1134" w:footer="851" w:gutter="0"/>
          <w:pgNumType w:fmt="lowerRoman" w:start="1"/>
          <w:cols w:space="720"/>
        </w:sectPr>
      </w:pPr>
    </w:p>
    <w:p w14:paraId="264422B4" w14:textId="77777777" w:rsidR="0067023B" w:rsidRDefault="007A108F" w:rsidP="00676FA3">
      <w:pPr>
        <w:pStyle w:val="BodyTextIndentBoldItalicCen"/>
      </w:pPr>
      <w:bookmarkStart w:id="1" w:name="_Toc493942064"/>
      <w:bookmarkStart w:id="2" w:name="_Toc493986903"/>
      <w:r w:rsidRPr="004A2005">
        <w:lastRenderedPageBreak/>
        <w:t>(</w:t>
      </w:r>
      <w:r w:rsidR="00676FA3" w:rsidRPr="004A2005">
        <w:t xml:space="preserve">This </w:t>
      </w:r>
      <w:r w:rsidRPr="004A2005">
        <w:t>Page Left Intentionally Blank)</w:t>
      </w:r>
    </w:p>
    <w:p w14:paraId="6D92985A" w14:textId="77777777" w:rsidR="0067023B" w:rsidRDefault="0067023B">
      <w:pPr>
        <w:sectPr w:rsidR="0067023B" w:rsidSect="00676FA3">
          <w:footerReference w:type="default" r:id="rId16"/>
          <w:pgSz w:w="11906" w:h="16838" w:code="9"/>
          <w:pgMar w:top="1134" w:right="1134" w:bottom="992" w:left="1418" w:header="1134" w:footer="851" w:gutter="0"/>
          <w:pgNumType w:fmt="lowerRoman" w:start="1"/>
          <w:cols w:space="720"/>
          <w:vAlign w:val="center"/>
        </w:sectPr>
      </w:pPr>
    </w:p>
    <w:p w14:paraId="2BEBA996" w14:textId="63E18424" w:rsidR="0067023B" w:rsidRPr="00761DC0" w:rsidRDefault="00200E30" w:rsidP="00761DC0">
      <w:pPr>
        <w:pStyle w:val="Heading2"/>
      </w:pPr>
      <w:bookmarkStart w:id="3" w:name="_Toc457204391"/>
      <w:bookmarkStart w:id="4" w:name="_Toc76106309"/>
      <w:bookmarkEnd w:id="1"/>
      <w:bookmarkEnd w:id="2"/>
      <w:r w:rsidRPr="00761DC0">
        <w:rPr>
          <w:caps w:val="0"/>
        </w:rPr>
        <w:lastRenderedPageBreak/>
        <w:t>GENERAL</w:t>
      </w:r>
      <w:bookmarkEnd w:id="3"/>
      <w:bookmarkEnd w:id="4"/>
    </w:p>
    <w:p w14:paraId="0AD5A0C2" w14:textId="77777777" w:rsidR="0067023B" w:rsidRPr="004B12B0" w:rsidRDefault="005D7D96" w:rsidP="004B12B0">
      <w:pPr>
        <w:pStyle w:val="Heading3"/>
      </w:pPr>
      <w:bookmarkStart w:id="5" w:name="_Toc457204392"/>
      <w:bookmarkStart w:id="6" w:name="_Toc76106310"/>
      <w:r w:rsidRPr="004B12B0">
        <w:t>Section Content</w:t>
      </w:r>
      <w:bookmarkEnd w:id="5"/>
      <w:bookmarkEnd w:id="6"/>
    </w:p>
    <w:p w14:paraId="4084EDF8" w14:textId="77777777" w:rsidR="0067023B" w:rsidRPr="007301DC" w:rsidRDefault="0067023B" w:rsidP="009C01CC">
      <w:pPr>
        <w:pStyle w:val="BodyTextIndent"/>
      </w:pPr>
      <w:r w:rsidRPr="007301DC">
        <w:t>Application of sprayed bituminous surfacing including priming, primer sealing, bitumen sealing, bitumen emulsion sealing, and resealing.</w:t>
      </w:r>
    </w:p>
    <w:p w14:paraId="46AA2579" w14:textId="77777777" w:rsidR="00676FA3" w:rsidRPr="007301DC" w:rsidRDefault="00676FA3" w:rsidP="004B12B0">
      <w:pPr>
        <w:pStyle w:val="Heading3"/>
      </w:pPr>
      <w:bookmarkStart w:id="7" w:name="_Toc457204393"/>
      <w:bookmarkStart w:id="8" w:name="_Toc76106311"/>
      <w:r w:rsidRPr="007301DC">
        <w:t>Standards</w:t>
      </w:r>
      <w:bookmarkEnd w:id="7"/>
      <w:bookmarkEnd w:id="8"/>
    </w:p>
    <w:tbl>
      <w:tblPr>
        <w:tblW w:w="8789" w:type="dxa"/>
        <w:tblInd w:w="709" w:type="dxa"/>
        <w:tblLook w:val="0400" w:firstRow="0" w:lastRow="0" w:firstColumn="0" w:lastColumn="0" w:noHBand="0" w:noVBand="1"/>
      </w:tblPr>
      <w:tblGrid>
        <w:gridCol w:w="2308"/>
        <w:gridCol w:w="1677"/>
        <w:gridCol w:w="4804"/>
      </w:tblGrid>
      <w:tr w:rsidR="005109AD" w:rsidRPr="007301DC" w14:paraId="33D9FEE3" w14:textId="77777777" w:rsidTr="004B12B0">
        <w:trPr>
          <w:trHeight w:val="340"/>
        </w:trPr>
        <w:tc>
          <w:tcPr>
            <w:tcW w:w="2308" w:type="dxa"/>
            <w:vAlign w:val="center"/>
          </w:tcPr>
          <w:p w14:paraId="086C7FC2" w14:textId="77777777" w:rsidR="005109AD" w:rsidRPr="007301DC" w:rsidRDefault="005109AD" w:rsidP="003A4D50">
            <w:pPr>
              <w:pStyle w:val="Table"/>
            </w:pPr>
            <w:r w:rsidRPr="007301DC">
              <w:t>Australian Standard</w:t>
            </w:r>
          </w:p>
        </w:tc>
        <w:tc>
          <w:tcPr>
            <w:tcW w:w="1677" w:type="dxa"/>
            <w:vAlign w:val="center"/>
          </w:tcPr>
          <w:p w14:paraId="456DDF10" w14:textId="77777777" w:rsidR="005109AD" w:rsidRPr="007301DC" w:rsidRDefault="005109AD" w:rsidP="003A4D50">
            <w:pPr>
              <w:pStyle w:val="TableCen"/>
            </w:pPr>
            <w:r w:rsidRPr="007301DC">
              <w:t>AS 1141.19</w:t>
            </w:r>
          </w:p>
        </w:tc>
        <w:tc>
          <w:tcPr>
            <w:tcW w:w="4804" w:type="dxa"/>
            <w:vAlign w:val="center"/>
          </w:tcPr>
          <w:p w14:paraId="23133B63" w14:textId="77777777" w:rsidR="005109AD" w:rsidRPr="007301DC" w:rsidRDefault="005109AD" w:rsidP="003A4D50">
            <w:pPr>
              <w:pStyle w:val="Table"/>
            </w:pPr>
            <w:r w:rsidRPr="007301DC">
              <w:t>Methods for sampling and testing aggregates – Fine particle size distribution in road materials by sieving and decantation</w:t>
            </w:r>
          </w:p>
        </w:tc>
      </w:tr>
      <w:tr w:rsidR="005109AD" w:rsidRPr="007301DC" w14:paraId="40E5F3B0" w14:textId="77777777" w:rsidTr="004B12B0">
        <w:trPr>
          <w:trHeight w:val="340"/>
        </w:trPr>
        <w:tc>
          <w:tcPr>
            <w:tcW w:w="2308" w:type="dxa"/>
            <w:vAlign w:val="center"/>
          </w:tcPr>
          <w:p w14:paraId="4D140D9A" w14:textId="77777777" w:rsidR="005109AD" w:rsidRPr="007301DC" w:rsidRDefault="005109AD" w:rsidP="003A4D50">
            <w:pPr>
              <w:pStyle w:val="Table"/>
            </w:pPr>
            <w:r w:rsidRPr="007301DC">
              <w:t>Australian Standard</w:t>
            </w:r>
          </w:p>
        </w:tc>
        <w:tc>
          <w:tcPr>
            <w:tcW w:w="1677" w:type="dxa"/>
            <w:vAlign w:val="center"/>
          </w:tcPr>
          <w:p w14:paraId="155A9D32" w14:textId="77777777" w:rsidR="005109AD" w:rsidRPr="007301DC" w:rsidRDefault="005109AD" w:rsidP="003A4D50">
            <w:pPr>
              <w:pStyle w:val="TableCen"/>
            </w:pPr>
            <w:r w:rsidRPr="007301DC">
              <w:t>AS 1141.50</w:t>
            </w:r>
          </w:p>
        </w:tc>
        <w:tc>
          <w:tcPr>
            <w:tcW w:w="4804" w:type="dxa"/>
            <w:vAlign w:val="center"/>
          </w:tcPr>
          <w:p w14:paraId="504D4F3F" w14:textId="77777777" w:rsidR="005109AD" w:rsidRPr="007301DC" w:rsidRDefault="005109AD" w:rsidP="003A4D50">
            <w:pPr>
              <w:pStyle w:val="Table"/>
            </w:pPr>
            <w:r w:rsidRPr="007301DC">
              <w:t>Methods for sampling and testing aggregates – Resistance to stripping of cover aggregates from binders</w:t>
            </w:r>
          </w:p>
        </w:tc>
      </w:tr>
      <w:tr w:rsidR="005109AD" w:rsidRPr="007301DC" w14:paraId="313D8E1B" w14:textId="77777777" w:rsidTr="004B12B0">
        <w:trPr>
          <w:trHeight w:val="340"/>
        </w:trPr>
        <w:tc>
          <w:tcPr>
            <w:tcW w:w="2308" w:type="dxa"/>
            <w:vAlign w:val="center"/>
          </w:tcPr>
          <w:p w14:paraId="50C26B92" w14:textId="77777777" w:rsidR="005109AD" w:rsidRPr="007301DC" w:rsidRDefault="005109AD" w:rsidP="003A4D50">
            <w:pPr>
              <w:pStyle w:val="Table"/>
            </w:pPr>
            <w:r w:rsidRPr="007301DC">
              <w:t>Australian Standard</w:t>
            </w:r>
          </w:p>
        </w:tc>
        <w:tc>
          <w:tcPr>
            <w:tcW w:w="1677" w:type="dxa"/>
            <w:vAlign w:val="center"/>
          </w:tcPr>
          <w:p w14:paraId="4DA5A890" w14:textId="77777777" w:rsidR="005109AD" w:rsidRPr="007301DC" w:rsidRDefault="005109AD" w:rsidP="003A4D50">
            <w:pPr>
              <w:pStyle w:val="TableCen"/>
            </w:pPr>
            <w:r w:rsidRPr="007301DC">
              <w:t>AS 1160</w:t>
            </w:r>
          </w:p>
        </w:tc>
        <w:tc>
          <w:tcPr>
            <w:tcW w:w="4804" w:type="dxa"/>
            <w:vAlign w:val="center"/>
          </w:tcPr>
          <w:p w14:paraId="6740850F" w14:textId="77777777" w:rsidR="005109AD" w:rsidRPr="007301DC" w:rsidRDefault="005109AD" w:rsidP="003A4D50">
            <w:pPr>
              <w:pStyle w:val="Table"/>
            </w:pPr>
            <w:r w:rsidRPr="007301DC">
              <w:t>Bituminous emulsions for the construction and maintenance of pavements</w:t>
            </w:r>
          </w:p>
        </w:tc>
      </w:tr>
      <w:tr w:rsidR="005109AD" w:rsidRPr="007301DC" w14:paraId="47CDFDA4" w14:textId="77777777" w:rsidTr="004B12B0">
        <w:trPr>
          <w:trHeight w:val="340"/>
        </w:trPr>
        <w:tc>
          <w:tcPr>
            <w:tcW w:w="2308" w:type="dxa"/>
            <w:vAlign w:val="center"/>
          </w:tcPr>
          <w:p w14:paraId="21816CBD" w14:textId="77777777" w:rsidR="005109AD" w:rsidRPr="007301DC" w:rsidRDefault="005109AD" w:rsidP="003A4D50">
            <w:pPr>
              <w:pStyle w:val="Table"/>
            </w:pPr>
            <w:r w:rsidRPr="007301DC">
              <w:t>Australian Standard</w:t>
            </w:r>
          </w:p>
        </w:tc>
        <w:tc>
          <w:tcPr>
            <w:tcW w:w="1677" w:type="dxa"/>
            <w:vAlign w:val="center"/>
          </w:tcPr>
          <w:p w14:paraId="7D355AB5" w14:textId="77777777" w:rsidR="005109AD" w:rsidRPr="007301DC" w:rsidRDefault="005109AD" w:rsidP="003A4D50">
            <w:pPr>
              <w:pStyle w:val="TableCen"/>
            </w:pPr>
            <w:r w:rsidRPr="007301DC">
              <w:t>AS 1289.3.6.1</w:t>
            </w:r>
          </w:p>
        </w:tc>
        <w:tc>
          <w:tcPr>
            <w:tcW w:w="4804" w:type="dxa"/>
            <w:vAlign w:val="center"/>
          </w:tcPr>
          <w:p w14:paraId="02E5DFF9" w14:textId="77777777" w:rsidR="005109AD" w:rsidRPr="007301DC" w:rsidRDefault="005109AD" w:rsidP="003A4D50">
            <w:pPr>
              <w:pStyle w:val="Table"/>
            </w:pPr>
            <w:r w:rsidRPr="007301DC">
              <w:t>Methods of testing soils for engineering purposes – Soil classification tests – Determination of the particle size distribution of a soil – Standard method of analysis by sieving</w:t>
            </w:r>
          </w:p>
        </w:tc>
      </w:tr>
      <w:tr w:rsidR="005109AD" w:rsidRPr="007301DC" w14:paraId="6A3ACB7F" w14:textId="77777777" w:rsidTr="004B12B0">
        <w:trPr>
          <w:trHeight w:val="340"/>
        </w:trPr>
        <w:tc>
          <w:tcPr>
            <w:tcW w:w="2308" w:type="dxa"/>
            <w:vAlign w:val="center"/>
          </w:tcPr>
          <w:p w14:paraId="44886089" w14:textId="77777777" w:rsidR="005109AD" w:rsidRPr="007301DC" w:rsidRDefault="005109AD" w:rsidP="003A4D50">
            <w:pPr>
              <w:pStyle w:val="Table"/>
            </w:pPr>
            <w:r w:rsidRPr="007301DC">
              <w:t>Australian Standard</w:t>
            </w:r>
          </w:p>
        </w:tc>
        <w:tc>
          <w:tcPr>
            <w:tcW w:w="1677" w:type="dxa"/>
            <w:vAlign w:val="center"/>
          </w:tcPr>
          <w:p w14:paraId="3EEC3E16" w14:textId="77777777" w:rsidR="005109AD" w:rsidRPr="007301DC" w:rsidRDefault="005109AD" w:rsidP="003A4D50">
            <w:pPr>
              <w:pStyle w:val="TableCen"/>
            </w:pPr>
            <w:r w:rsidRPr="007301DC">
              <w:t>AS 2008</w:t>
            </w:r>
          </w:p>
        </w:tc>
        <w:tc>
          <w:tcPr>
            <w:tcW w:w="4804" w:type="dxa"/>
            <w:vAlign w:val="center"/>
          </w:tcPr>
          <w:p w14:paraId="0816B56D" w14:textId="77777777" w:rsidR="005109AD" w:rsidRPr="007301DC" w:rsidRDefault="005109AD" w:rsidP="003A4D50">
            <w:pPr>
              <w:pStyle w:val="Table"/>
            </w:pPr>
            <w:r w:rsidRPr="007301DC">
              <w:t>Bitumen for pavements</w:t>
            </w:r>
          </w:p>
        </w:tc>
      </w:tr>
      <w:tr w:rsidR="005109AD" w:rsidRPr="007301DC" w14:paraId="1370E94C" w14:textId="77777777" w:rsidTr="004B12B0">
        <w:trPr>
          <w:trHeight w:val="340"/>
        </w:trPr>
        <w:tc>
          <w:tcPr>
            <w:tcW w:w="2308" w:type="dxa"/>
            <w:vAlign w:val="center"/>
          </w:tcPr>
          <w:p w14:paraId="6C9DAA1D" w14:textId="77777777" w:rsidR="005109AD" w:rsidRPr="007301DC" w:rsidRDefault="005109AD" w:rsidP="003A4D50">
            <w:pPr>
              <w:pStyle w:val="Table"/>
            </w:pPr>
            <w:r w:rsidRPr="007301DC">
              <w:t>Australian Standard</w:t>
            </w:r>
          </w:p>
        </w:tc>
        <w:tc>
          <w:tcPr>
            <w:tcW w:w="1677" w:type="dxa"/>
            <w:vAlign w:val="center"/>
          </w:tcPr>
          <w:p w14:paraId="779418B6" w14:textId="77777777" w:rsidR="005109AD" w:rsidRPr="007301DC" w:rsidRDefault="005109AD" w:rsidP="003A4D50">
            <w:pPr>
              <w:pStyle w:val="TableCen"/>
            </w:pPr>
            <w:r w:rsidRPr="007301DC">
              <w:t>AS 2157</w:t>
            </w:r>
          </w:p>
        </w:tc>
        <w:tc>
          <w:tcPr>
            <w:tcW w:w="4804" w:type="dxa"/>
            <w:vAlign w:val="center"/>
          </w:tcPr>
          <w:p w14:paraId="0784F9D4" w14:textId="77777777" w:rsidR="005109AD" w:rsidRPr="007301DC" w:rsidRDefault="005109AD" w:rsidP="003A4D50">
            <w:pPr>
              <w:pStyle w:val="Table"/>
            </w:pPr>
            <w:r w:rsidRPr="007301DC">
              <w:t>Cutback bitumen</w:t>
            </w:r>
          </w:p>
        </w:tc>
      </w:tr>
      <w:tr w:rsidR="005109AD" w:rsidRPr="007301DC" w14:paraId="3AA7A7C6" w14:textId="77777777" w:rsidTr="004B12B0">
        <w:trPr>
          <w:trHeight w:val="340"/>
        </w:trPr>
        <w:tc>
          <w:tcPr>
            <w:tcW w:w="2308" w:type="dxa"/>
            <w:vAlign w:val="center"/>
          </w:tcPr>
          <w:p w14:paraId="6DB2D3AF" w14:textId="77777777" w:rsidR="005109AD" w:rsidRPr="007301DC" w:rsidRDefault="005109AD" w:rsidP="003A4D50">
            <w:pPr>
              <w:pStyle w:val="Table"/>
            </w:pPr>
            <w:r w:rsidRPr="007301DC">
              <w:t>Australian/New Zealand Standard</w:t>
            </w:r>
          </w:p>
        </w:tc>
        <w:tc>
          <w:tcPr>
            <w:tcW w:w="1677" w:type="dxa"/>
            <w:vAlign w:val="center"/>
          </w:tcPr>
          <w:p w14:paraId="006FE0EE" w14:textId="77777777" w:rsidR="005109AD" w:rsidRPr="007301DC" w:rsidRDefault="005109AD" w:rsidP="003A4D50">
            <w:pPr>
              <w:pStyle w:val="TableCen"/>
            </w:pPr>
            <w:r w:rsidRPr="007301DC">
              <w:t>AS/NZS</w:t>
            </w:r>
            <w:r w:rsidRPr="007301DC">
              <w:rPr>
                <w:i/>
              </w:rPr>
              <w:t> </w:t>
            </w:r>
            <w:r w:rsidRPr="007301DC">
              <w:t>2341.2</w:t>
            </w:r>
          </w:p>
        </w:tc>
        <w:tc>
          <w:tcPr>
            <w:tcW w:w="4804" w:type="dxa"/>
            <w:vAlign w:val="center"/>
          </w:tcPr>
          <w:p w14:paraId="5F14C3C8" w14:textId="77777777" w:rsidR="005109AD" w:rsidRPr="007301DC" w:rsidRDefault="005109AD" w:rsidP="003A4D50">
            <w:pPr>
              <w:pStyle w:val="Table"/>
            </w:pPr>
            <w:r w:rsidRPr="007301DC">
              <w:t>Methods of testing bitumen and related roadmaking products – Determination of dynamic viscosity by vacuum capillary viscometer</w:t>
            </w:r>
          </w:p>
        </w:tc>
      </w:tr>
      <w:tr w:rsidR="005109AD" w:rsidRPr="007301DC" w14:paraId="2FF05DEB" w14:textId="77777777" w:rsidTr="004B12B0">
        <w:trPr>
          <w:trHeight w:val="340"/>
        </w:trPr>
        <w:tc>
          <w:tcPr>
            <w:tcW w:w="2308" w:type="dxa"/>
            <w:vAlign w:val="center"/>
          </w:tcPr>
          <w:p w14:paraId="4CDC2D3F" w14:textId="77777777" w:rsidR="005109AD" w:rsidRPr="007301DC" w:rsidRDefault="005109AD" w:rsidP="003A4D50">
            <w:pPr>
              <w:pStyle w:val="Table"/>
            </w:pPr>
            <w:r w:rsidRPr="007301DC">
              <w:t>Australian Standard</w:t>
            </w:r>
          </w:p>
        </w:tc>
        <w:tc>
          <w:tcPr>
            <w:tcW w:w="1677" w:type="dxa"/>
            <w:vAlign w:val="center"/>
          </w:tcPr>
          <w:p w14:paraId="35C0AD51" w14:textId="77777777" w:rsidR="005109AD" w:rsidRPr="007301DC" w:rsidRDefault="005109AD" w:rsidP="003A4D50">
            <w:pPr>
              <w:pStyle w:val="TableCen"/>
            </w:pPr>
            <w:r w:rsidRPr="007301DC">
              <w:t>AS 2341.12</w:t>
            </w:r>
          </w:p>
        </w:tc>
        <w:tc>
          <w:tcPr>
            <w:tcW w:w="4804" w:type="dxa"/>
            <w:vAlign w:val="center"/>
          </w:tcPr>
          <w:p w14:paraId="3BC5D7B0" w14:textId="77777777" w:rsidR="005109AD" w:rsidRPr="007301DC" w:rsidRDefault="005109AD" w:rsidP="003A4D50">
            <w:pPr>
              <w:pStyle w:val="Table"/>
            </w:pPr>
            <w:r w:rsidRPr="007301DC">
              <w:t>Methods of testing bitumen and related roadmaking products - Determination of penetration</w:t>
            </w:r>
          </w:p>
        </w:tc>
      </w:tr>
      <w:tr w:rsidR="005109AD" w:rsidRPr="007301DC" w14:paraId="42AC392E" w14:textId="77777777" w:rsidTr="004B12B0">
        <w:trPr>
          <w:trHeight w:val="340"/>
        </w:trPr>
        <w:tc>
          <w:tcPr>
            <w:tcW w:w="2308" w:type="dxa"/>
            <w:vAlign w:val="center"/>
          </w:tcPr>
          <w:p w14:paraId="334FD830" w14:textId="77777777" w:rsidR="005109AD" w:rsidRPr="007301DC" w:rsidRDefault="005109AD" w:rsidP="003A4D50">
            <w:pPr>
              <w:pStyle w:val="Table"/>
            </w:pPr>
            <w:r w:rsidRPr="007301DC">
              <w:t>Australian Standard</w:t>
            </w:r>
          </w:p>
        </w:tc>
        <w:tc>
          <w:tcPr>
            <w:tcW w:w="1677" w:type="dxa"/>
            <w:vAlign w:val="center"/>
          </w:tcPr>
          <w:p w14:paraId="19257EC9" w14:textId="77777777" w:rsidR="005109AD" w:rsidRPr="007301DC" w:rsidRDefault="005109AD" w:rsidP="003A4D50">
            <w:pPr>
              <w:pStyle w:val="TableCen"/>
            </w:pPr>
            <w:r w:rsidRPr="007301DC">
              <w:t>AS 2341.14</w:t>
            </w:r>
          </w:p>
        </w:tc>
        <w:tc>
          <w:tcPr>
            <w:tcW w:w="4804" w:type="dxa"/>
            <w:vAlign w:val="center"/>
          </w:tcPr>
          <w:p w14:paraId="4E7D9439" w14:textId="77777777" w:rsidR="005109AD" w:rsidRPr="007301DC" w:rsidRDefault="005109AD" w:rsidP="003A4D50">
            <w:pPr>
              <w:pStyle w:val="Table"/>
            </w:pPr>
            <w:r w:rsidRPr="007301DC">
              <w:t>Methods of testing bitumen and related roadmaking products – Determination of flashpoint of bitumen</w:t>
            </w:r>
          </w:p>
        </w:tc>
      </w:tr>
      <w:tr w:rsidR="005109AD" w:rsidRPr="007301DC" w14:paraId="0A2C80EA" w14:textId="77777777" w:rsidTr="004B12B0">
        <w:trPr>
          <w:trHeight w:val="340"/>
        </w:trPr>
        <w:tc>
          <w:tcPr>
            <w:tcW w:w="2308" w:type="dxa"/>
            <w:vAlign w:val="center"/>
          </w:tcPr>
          <w:p w14:paraId="641A77D2" w14:textId="77777777" w:rsidR="005109AD" w:rsidRPr="007301DC" w:rsidRDefault="005109AD" w:rsidP="003A4D50">
            <w:pPr>
              <w:pStyle w:val="Table"/>
            </w:pPr>
            <w:r w:rsidRPr="007301DC">
              <w:t>Australian Standard</w:t>
            </w:r>
          </w:p>
        </w:tc>
        <w:tc>
          <w:tcPr>
            <w:tcW w:w="1677" w:type="dxa"/>
            <w:vAlign w:val="center"/>
          </w:tcPr>
          <w:p w14:paraId="66739285" w14:textId="77777777" w:rsidR="005109AD" w:rsidRPr="007301DC" w:rsidRDefault="005109AD" w:rsidP="003A4D50">
            <w:pPr>
              <w:pStyle w:val="TableCen"/>
            </w:pPr>
            <w:r w:rsidRPr="007301DC">
              <w:t>AS 2341.16</w:t>
            </w:r>
          </w:p>
        </w:tc>
        <w:tc>
          <w:tcPr>
            <w:tcW w:w="4804" w:type="dxa"/>
            <w:vAlign w:val="center"/>
          </w:tcPr>
          <w:p w14:paraId="7AC8F358" w14:textId="77777777" w:rsidR="005109AD" w:rsidRPr="007301DC" w:rsidRDefault="005109AD" w:rsidP="003A4D50">
            <w:pPr>
              <w:pStyle w:val="Table"/>
            </w:pPr>
            <w:r w:rsidRPr="007301DC">
              <w:t>Methods of testing bitumen and related roadmaking products - Determination of flashpoint of cutback bitumen</w:t>
            </w:r>
          </w:p>
        </w:tc>
      </w:tr>
      <w:tr w:rsidR="005109AD" w:rsidRPr="007301DC" w14:paraId="4F0DFBDE" w14:textId="77777777" w:rsidTr="004B12B0">
        <w:trPr>
          <w:trHeight w:val="340"/>
        </w:trPr>
        <w:tc>
          <w:tcPr>
            <w:tcW w:w="2308" w:type="dxa"/>
            <w:vAlign w:val="center"/>
          </w:tcPr>
          <w:p w14:paraId="685A53EB" w14:textId="77777777" w:rsidR="005109AD" w:rsidRPr="007301DC" w:rsidRDefault="005109AD" w:rsidP="003A4D50">
            <w:pPr>
              <w:pStyle w:val="Table"/>
            </w:pPr>
            <w:r w:rsidRPr="007301DC">
              <w:t>Australian/New Zealand Standard</w:t>
            </w:r>
          </w:p>
        </w:tc>
        <w:tc>
          <w:tcPr>
            <w:tcW w:w="1677" w:type="dxa"/>
            <w:vAlign w:val="center"/>
          </w:tcPr>
          <w:p w14:paraId="6C524013" w14:textId="77777777" w:rsidR="005109AD" w:rsidRPr="007301DC" w:rsidRDefault="005109AD" w:rsidP="003A4D50">
            <w:pPr>
              <w:pStyle w:val="TableCen"/>
            </w:pPr>
            <w:r w:rsidRPr="007301DC">
              <w:t>AS/NZS</w:t>
            </w:r>
            <w:r w:rsidRPr="007301DC">
              <w:rPr>
                <w:i/>
              </w:rPr>
              <w:t> </w:t>
            </w:r>
            <w:r w:rsidRPr="007301DC">
              <w:t>2341.23</w:t>
            </w:r>
          </w:p>
        </w:tc>
        <w:tc>
          <w:tcPr>
            <w:tcW w:w="4804" w:type="dxa"/>
            <w:vAlign w:val="center"/>
          </w:tcPr>
          <w:p w14:paraId="2A7113B6" w14:textId="77777777" w:rsidR="005109AD" w:rsidRPr="007301DC" w:rsidRDefault="005109AD" w:rsidP="003A4D50">
            <w:pPr>
              <w:pStyle w:val="Table"/>
            </w:pPr>
            <w:r w:rsidRPr="007301DC">
              <w:t>Methods of testing bitumen and related roadmaking products - Determination of residue from evaporation</w:t>
            </w:r>
          </w:p>
        </w:tc>
      </w:tr>
      <w:tr w:rsidR="005109AD" w:rsidRPr="007301DC" w14:paraId="4BB80D1B" w14:textId="77777777" w:rsidTr="004B12B0">
        <w:trPr>
          <w:trHeight w:val="340"/>
        </w:trPr>
        <w:tc>
          <w:tcPr>
            <w:tcW w:w="2308" w:type="dxa"/>
            <w:vAlign w:val="center"/>
          </w:tcPr>
          <w:p w14:paraId="668449D0" w14:textId="77777777" w:rsidR="005109AD" w:rsidRPr="007301DC" w:rsidRDefault="005109AD" w:rsidP="003A4D50">
            <w:pPr>
              <w:pStyle w:val="Table"/>
            </w:pPr>
            <w:r w:rsidRPr="007301DC">
              <w:t>Australian/New Zealand Standard</w:t>
            </w:r>
          </w:p>
        </w:tc>
        <w:tc>
          <w:tcPr>
            <w:tcW w:w="1677" w:type="dxa"/>
            <w:vAlign w:val="center"/>
          </w:tcPr>
          <w:p w14:paraId="7C10AC6A" w14:textId="77777777" w:rsidR="005109AD" w:rsidRPr="007301DC" w:rsidRDefault="005109AD" w:rsidP="003A4D50">
            <w:pPr>
              <w:pStyle w:val="TableCen"/>
            </w:pPr>
            <w:r w:rsidRPr="007301DC">
              <w:t>AS/NZS</w:t>
            </w:r>
            <w:r w:rsidRPr="007301DC">
              <w:rPr>
                <w:i/>
              </w:rPr>
              <w:t> </w:t>
            </w:r>
            <w:r w:rsidRPr="007301DC">
              <w:t>2341.4</w:t>
            </w:r>
          </w:p>
        </w:tc>
        <w:tc>
          <w:tcPr>
            <w:tcW w:w="4804" w:type="dxa"/>
            <w:vAlign w:val="center"/>
          </w:tcPr>
          <w:p w14:paraId="26B36861" w14:textId="77777777" w:rsidR="005109AD" w:rsidRPr="007301DC" w:rsidRDefault="005109AD" w:rsidP="003A4D50">
            <w:pPr>
              <w:pStyle w:val="Table"/>
            </w:pPr>
            <w:r w:rsidRPr="007301DC">
              <w:t>Methods of testing bitumen and related roadmaking products - Determination of dynamic viscosity by rotational viscometer</w:t>
            </w:r>
          </w:p>
        </w:tc>
      </w:tr>
      <w:tr w:rsidR="005109AD" w:rsidRPr="007301DC" w14:paraId="7C36E25F" w14:textId="77777777" w:rsidTr="004B12B0">
        <w:trPr>
          <w:trHeight w:val="340"/>
        </w:trPr>
        <w:tc>
          <w:tcPr>
            <w:tcW w:w="2308" w:type="dxa"/>
            <w:vAlign w:val="center"/>
          </w:tcPr>
          <w:p w14:paraId="6EDBA3AA" w14:textId="77777777" w:rsidR="005109AD" w:rsidRPr="007301DC" w:rsidRDefault="005109AD" w:rsidP="003A4D50">
            <w:pPr>
              <w:pStyle w:val="Table"/>
            </w:pPr>
            <w:r w:rsidRPr="007301DC">
              <w:t>Australian Standard</w:t>
            </w:r>
          </w:p>
        </w:tc>
        <w:tc>
          <w:tcPr>
            <w:tcW w:w="1677" w:type="dxa"/>
            <w:vAlign w:val="center"/>
          </w:tcPr>
          <w:p w14:paraId="7B22AF4F" w14:textId="77777777" w:rsidR="005109AD" w:rsidRPr="007301DC" w:rsidRDefault="005109AD" w:rsidP="003A4D50">
            <w:pPr>
              <w:pStyle w:val="TableCen"/>
            </w:pPr>
            <w:r w:rsidRPr="007301DC">
              <w:t>AS 2341.7</w:t>
            </w:r>
          </w:p>
        </w:tc>
        <w:tc>
          <w:tcPr>
            <w:tcW w:w="4804" w:type="dxa"/>
            <w:vAlign w:val="center"/>
          </w:tcPr>
          <w:p w14:paraId="7CAC61F5" w14:textId="77777777" w:rsidR="005109AD" w:rsidRPr="007301DC" w:rsidRDefault="005109AD" w:rsidP="003A4D50">
            <w:pPr>
              <w:pStyle w:val="Table"/>
            </w:pPr>
            <w:r w:rsidRPr="007301DC">
              <w:t>Methods of testing bitumen and related roadmaking products - Determination of density using a density bottle</w:t>
            </w:r>
          </w:p>
        </w:tc>
      </w:tr>
      <w:tr w:rsidR="005109AD" w:rsidRPr="007301DC" w14:paraId="069D813E" w14:textId="77777777" w:rsidTr="004B12B0">
        <w:trPr>
          <w:trHeight w:val="340"/>
        </w:trPr>
        <w:tc>
          <w:tcPr>
            <w:tcW w:w="2308" w:type="dxa"/>
            <w:vAlign w:val="center"/>
          </w:tcPr>
          <w:p w14:paraId="609745C7" w14:textId="77777777" w:rsidR="005109AD" w:rsidRPr="007301DC" w:rsidRDefault="005109AD" w:rsidP="003A4D50">
            <w:pPr>
              <w:pStyle w:val="Table"/>
            </w:pPr>
            <w:r w:rsidRPr="007301DC">
              <w:t>Australian/New Zealand Standard</w:t>
            </w:r>
          </w:p>
        </w:tc>
        <w:tc>
          <w:tcPr>
            <w:tcW w:w="1677" w:type="dxa"/>
            <w:vAlign w:val="center"/>
          </w:tcPr>
          <w:p w14:paraId="265CD975" w14:textId="77777777" w:rsidR="005109AD" w:rsidRPr="007301DC" w:rsidRDefault="005109AD" w:rsidP="003A4D50">
            <w:pPr>
              <w:pStyle w:val="TableCen"/>
            </w:pPr>
            <w:r w:rsidRPr="007301DC">
              <w:t>AS/NZS</w:t>
            </w:r>
            <w:r w:rsidRPr="007301DC">
              <w:rPr>
                <w:i/>
              </w:rPr>
              <w:t> </w:t>
            </w:r>
            <w:r w:rsidRPr="007301DC">
              <w:t>2341.8</w:t>
            </w:r>
          </w:p>
        </w:tc>
        <w:tc>
          <w:tcPr>
            <w:tcW w:w="4804" w:type="dxa"/>
            <w:vAlign w:val="center"/>
          </w:tcPr>
          <w:p w14:paraId="530F2223" w14:textId="77777777" w:rsidR="005109AD" w:rsidRPr="007301DC" w:rsidRDefault="005109AD" w:rsidP="003A4D50">
            <w:pPr>
              <w:pStyle w:val="Table"/>
            </w:pPr>
            <w:r w:rsidRPr="007301DC">
              <w:t>Methods of testing bitumen and related roadmaking products - Determination of matter insoluble in toluene</w:t>
            </w:r>
          </w:p>
        </w:tc>
      </w:tr>
      <w:tr w:rsidR="005109AD" w:rsidRPr="007301DC" w14:paraId="5BDADAF3" w14:textId="77777777" w:rsidTr="004B12B0">
        <w:trPr>
          <w:trHeight w:val="340"/>
        </w:trPr>
        <w:tc>
          <w:tcPr>
            <w:tcW w:w="2308" w:type="dxa"/>
            <w:vAlign w:val="center"/>
          </w:tcPr>
          <w:p w14:paraId="6373E9E8" w14:textId="77777777" w:rsidR="005109AD" w:rsidRPr="007301DC" w:rsidRDefault="005109AD" w:rsidP="003A4D50">
            <w:pPr>
              <w:pStyle w:val="Table"/>
            </w:pPr>
            <w:r w:rsidRPr="007301DC">
              <w:t>Australian Standard</w:t>
            </w:r>
          </w:p>
        </w:tc>
        <w:tc>
          <w:tcPr>
            <w:tcW w:w="1677" w:type="dxa"/>
            <w:vAlign w:val="center"/>
          </w:tcPr>
          <w:p w14:paraId="70E166EF" w14:textId="77777777" w:rsidR="005109AD" w:rsidRPr="007301DC" w:rsidRDefault="005109AD" w:rsidP="003A4D50">
            <w:pPr>
              <w:pStyle w:val="TableCen"/>
            </w:pPr>
            <w:r w:rsidRPr="007301DC">
              <w:t>AS 3568</w:t>
            </w:r>
          </w:p>
        </w:tc>
        <w:tc>
          <w:tcPr>
            <w:tcW w:w="4804" w:type="dxa"/>
            <w:vAlign w:val="center"/>
          </w:tcPr>
          <w:p w14:paraId="1236D01E" w14:textId="77777777" w:rsidR="005109AD" w:rsidRPr="007301DC" w:rsidRDefault="005109AD" w:rsidP="003A4D50">
            <w:pPr>
              <w:pStyle w:val="Table"/>
            </w:pPr>
            <w:r w:rsidRPr="007301DC">
              <w:t>Oils for reducing the viscosity of residual bitumen for pavements</w:t>
            </w:r>
          </w:p>
        </w:tc>
      </w:tr>
      <w:tr w:rsidR="005109AD" w:rsidRPr="007301DC" w14:paraId="1C386FFA" w14:textId="77777777" w:rsidTr="004B12B0">
        <w:trPr>
          <w:trHeight w:val="340"/>
        </w:trPr>
        <w:tc>
          <w:tcPr>
            <w:tcW w:w="2308" w:type="dxa"/>
            <w:vAlign w:val="center"/>
          </w:tcPr>
          <w:p w14:paraId="760E8420" w14:textId="77777777" w:rsidR="005109AD" w:rsidRPr="007301DC" w:rsidRDefault="005109AD" w:rsidP="003A4D50">
            <w:pPr>
              <w:pStyle w:val="Table"/>
            </w:pPr>
            <w:r w:rsidRPr="007301DC">
              <w:t>Australian/New Zealand Standard, International Standards Organization</w:t>
            </w:r>
          </w:p>
        </w:tc>
        <w:tc>
          <w:tcPr>
            <w:tcW w:w="1677" w:type="dxa"/>
            <w:vAlign w:val="center"/>
          </w:tcPr>
          <w:p w14:paraId="25EFB663" w14:textId="77777777" w:rsidR="005109AD" w:rsidRPr="007301DC" w:rsidRDefault="005109AD" w:rsidP="003A4D50">
            <w:pPr>
              <w:pStyle w:val="TableCen"/>
            </w:pPr>
            <w:r w:rsidRPr="007301DC">
              <w:t>AS/NZS ISO 9001</w:t>
            </w:r>
          </w:p>
        </w:tc>
        <w:tc>
          <w:tcPr>
            <w:tcW w:w="4804" w:type="dxa"/>
            <w:vAlign w:val="center"/>
          </w:tcPr>
          <w:p w14:paraId="7834CA0E" w14:textId="77777777" w:rsidR="005109AD" w:rsidRPr="007301DC" w:rsidRDefault="005109AD" w:rsidP="003A4D50">
            <w:pPr>
              <w:pStyle w:val="Table"/>
            </w:pPr>
            <w:r w:rsidRPr="007301DC">
              <w:t>Quality management systems – Requirements</w:t>
            </w:r>
          </w:p>
        </w:tc>
      </w:tr>
    </w:tbl>
    <w:p w14:paraId="3C2C8B15" w14:textId="77777777" w:rsidR="005109AD" w:rsidRPr="007301DC" w:rsidRDefault="005109AD" w:rsidP="005109AD">
      <w:pPr>
        <w:pStyle w:val="BodyTextIndent"/>
      </w:pPr>
    </w:p>
    <w:p w14:paraId="13E0867D" w14:textId="77777777" w:rsidR="0067023B" w:rsidRPr="007301DC" w:rsidRDefault="005109AD" w:rsidP="004B12B0">
      <w:pPr>
        <w:pStyle w:val="Heading3"/>
      </w:pPr>
      <w:r w:rsidRPr="007301DC">
        <w:br w:type="page"/>
      </w:r>
      <w:bookmarkStart w:id="9" w:name="_Toc457204394"/>
      <w:bookmarkStart w:id="10" w:name="_Toc76106312"/>
      <w:r w:rsidR="005D7D96" w:rsidRPr="007301DC">
        <w:lastRenderedPageBreak/>
        <w:t>References</w:t>
      </w:r>
      <w:bookmarkEnd w:id="9"/>
      <w:bookmarkEnd w:id="10"/>
    </w:p>
    <w:tbl>
      <w:tblPr>
        <w:tblW w:w="8789" w:type="dxa"/>
        <w:tblInd w:w="709" w:type="dxa"/>
        <w:tblLayout w:type="fixed"/>
        <w:tblLook w:val="0400" w:firstRow="0" w:lastRow="0" w:firstColumn="0" w:lastColumn="0" w:noHBand="0" w:noVBand="1"/>
      </w:tblPr>
      <w:tblGrid>
        <w:gridCol w:w="2410"/>
        <w:gridCol w:w="1417"/>
        <w:gridCol w:w="1276"/>
        <w:gridCol w:w="3686"/>
      </w:tblGrid>
      <w:tr w:rsidR="005109AD" w:rsidRPr="007301DC" w14:paraId="516200F5" w14:textId="77777777" w:rsidTr="004B12B0">
        <w:trPr>
          <w:trHeight w:val="340"/>
        </w:trPr>
        <w:tc>
          <w:tcPr>
            <w:tcW w:w="2410" w:type="dxa"/>
            <w:vAlign w:val="center"/>
          </w:tcPr>
          <w:p w14:paraId="2794256E" w14:textId="77777777" w:rsidR="005109AD" w:rsidRPr="007301DC" w:rsidRDefault="005109AD" w:rsidP="003A4D50">
            <w:pPr>
              <w:pStyle w:val="Table"/>
            </w:pPr>
            <w:r w:rsidRPr="007301DC">
              <w:t>Austroads</w:t>
            </w:r>
          </w:p>
        </w:tc>
        <w:tc>
          <w:tcPr>
            <w:tcW w:w="1417" w:type="dxa"/>
            <w:vAlign w:val="center"/>
          </w:tcPr>
          <w:p w14:paraId="796CB364" w14:textId="77777777" w:rsidR="005109AD" w:rsidRPr="007301DC" w:rsidRDefault="005109AD" w:rsidP="003A4D50">
            <w:pPr>
              <w:pStyle w:val="TableCen"/>
            </w:pPr>
            <w:r w:rsidRPr="007301DC">
              <w:t>Test Method</w:t>
            </w:r>
          </w:p>
        </w:tc>
        <w:tc>
          <w:tcPr>
            <w:tcW w:w="1276" w:type="dxa"/>
            <w:vAlign w:val="center"/>
          </w:tcPr>
          <w:p w14:paraId="5A2AF9A3" w14:textId="77777777" w:rsidR="005109AD" w:rsidRPr="007301DC" w:rsidRDefault="005109AD" w:rsidP="00FD7E47">
            <w:pPr>
              <w:pStyle w:val="TableCen"/>
            </w:pPr>
            <w:r w:rsidRPr="007301DC">
              <w:t>AGPT</w:t>
            </w:r>
            <w:r w:rsidR="00FD7E47" w:rsidRPr="007301DC">
              <w:t>-</w:t>
            </w:r>
            <w:r w:rsidRPr="007301DC">
              <w:t>T190</w:t>
            </w:r>
          </w:p>
        </w:tc>
        <w:tc>
          <w:tcPr>
            <w:tcW w:w="3686" w:type="dxa"/>
            <w:vAlign w:val="center"/>
          </w:tcPr>
          <w:p w14:paraId="3DB7DB39" w14:textId="77777777" w:rsidR="005109AD" w:rsidRPr="007301DC" w:rsidRDefault="005109AD" w:rsidP="003A4D50">
            <w:pPr>
              <w:pStyle w:val="Table"/>
            </w:pPr>
            <w:r w:rsidRPr="007301DC">
              <w:t>Specification framework for polymer modified binders</w:t>
            </w:r>
          </w:p>
        </w:tc>
      </w:tr>
      <w:tr w:rsidR="001D1588" w:rsidRPr="007301DC" w14:paraId="588E05DE" w14:textId="77777777" w:rsidTr="004B12B0">
        <w:trPr>
          <w:trHeight w:val="340"/>
        </w:trPr>
        <w:tc>
          <w:tcPr>
            <w:tcW w:w="2410" w:type="dxa"/>
            <w:vAlign w:val="center"/>
          </w:tcPr>
          <w:p w14:paraId="37CB9C62" w14:textId="77777777" w:rsidR="001D1588" w:rsidRPr="007301DC" w:rsidRDefault="001D1588" w:rsidP="003A4D50">
            <w:pPr>
              <w:pStyle w:val="Table"/>
            </w:pPr>
            <w:r w:rsidRPr="007301DC">
              <w:t>Austroads</w:t>
            </w:r>
          </w:p>
        </w:tc>
        <w:tc>
          <w:tcPr>
            <w:tcW w:w="1417" w:type="dxa"/>
            <w:vAlign w:val="center"/>
          </w:tcPr>
          <w:p w14:paraId="193B2C3A" w14:textId="77777777" w:rsidR="001D1588" w:rsidRPr="007301DC" w:rsidRDefault="001D1588" w:rsidP="003A4D50">
            <w:pPr>
              <w:pStyle w:val="TableCen"/>
            </w:pPr>
            <w:r w:rsidRPr="007301DC">
              <w:t>Technical Report</w:t>
            </w:r>
          </w:p>
        </w:tc>
        <w:tc>
          <w:tcPr>
            <w:tcW w:w="1276" w:type="dxa"/>
            <w:vAlign w:val="center"/>
          </w:tcPr>
          <w:p w14:paraId="0E1C71A2" w14:textId="77777777" w:rsidR="001D1588" w:rsidRPr="007301DC" w:rsidRDefault="001D1588" w:rsidP="001D1588">
            <w:pPr>
              <w:pStyle w:val="TableCen"/>
            </w:pPr>
            <w:r w:rsidRPr="007301DC">
              <w:t>AP-T262</w:t>
            </w:r>
          </w:p>
        </w:tc>
        <w:tc>
          <w:tcPr>
            <w:tcW w:w="3686" w:type="dxa"/>
            <w:vAlign w:val="center"/>
          </w:tcPr>
          <w:p w14:paraId="74400F0B" w14:textId="77777777" w:rsidR="001D1588" w:rsidRPr="007301DC" w:rsidRDefault="001D1588" w:rsidP="001D1588">
            <w:pPr>
              <w:pStyle w:val="Table"/>
            </w:pPr>
            <w:r w:rsidRPr="007301DC">
              <w:t>Performance requirements for bitumen sprayers</w:t>
            </w:r>
          </w:p>
        </w:tc>
      </w:tr>
      <w:tr w:rsidR="005109AD" w:rsidRPr="007301DC" w14:paraId="56A90699" w14:textId="77777777" w:rsidTr="004B12B0">
        <w:trPr>
          <w:trHeight w:val="340"/>
        </w:trPr>
        <w:tc>
          <w:tcPr>
            <w:tcW w:w="2410" w:type="dxa"/>
            <w:vAlign w:val="center"/>
          </w:tcPr>
          <w:p w14:paraId="5B83ECA4" w14:textId="77777777" w:rsidR="005109AD" w:rsidRPr="007301DC" w:rsidRDefault="005109AD" w:rsidP="003A4D50">
            <w:pPr>
              <w:pStyle w:val="Table"/>
            </w:pPr>
            <w:r w:rsidRPr="007301DC">
              <w:t>Queensland Department of Transport and Main Roads</w:t>
            </w:r>
          </w:p>
        </w:tc>
        <w:tc>
          <w:tcPr>
            <w:tcW w:w="1417" w:type="dxa"/>
            <w:vAlign w:val="center"/>
          </w:tcPr>
          <w:p w14:paraId="6F1A24FE" w14:textId="77777777" w:rsidR="005109AD" w:rsidRPr="007301DC" w:rsidRDefault="005109AD" w:rsidP="003A4D50">
            <w:pPr>
              <w:pStyle w:val="TableCen"/>
            </w:pPr>
            <w:r w:rsidRPr="007301DC">
              <w:t>Test Method</w:t>
            </w:r>
          </w:p>
        </w:tc>
        <w:tc>
          <w:tcPr>
            <w:tcW w:w="1276" w:type="dxa"/>
            <w:vAlign w:val="center"/>
          </w:tcPr>
          <w:p w14:paraId="590A272C" w14:textId="77777777" w:rsidR="005109AD" w:rsidRPr="007301DC" w:rsidRDefault="005109AD" w:rsidP="003A4D50">
            <w:pPr>
              <w:pStyle w:val="TableCen"/>
            </w:pPr>
            <w:r w:rsidRPr="007301DC">
              <w:t>Q103B</w:t>
            </w:r>
          </w:p>
        </w:tc>
        <w:tc>
          <w:tcPr>
            <w:tcW w:w="3686" w:type="dxa"/>
            <w:vAlign w:val="center"/>
          </w:tcPr>
          <w:p w14:paraId="758DA969" w14:textId="77777777" w:rsidR="005109AD" w:rsidRPr="007301DC" w:rsidRDefault="005109AD" w:rsidP="003A4D50">
            <w:pPr>
              <w:pStyle w:val="Table"/>
            </w:pPr>
            <w:r w:rsidRPr="007301DC">
              <w:t>Particle size distribution of aggregate – dry sieving</w:t>
            </w:r>
          </w:p>
        </w:tc>
      </w:tr>
      <w:tr w:rsidR="005109AD" w:rsidRPr="007301DC" w14:paraId="2691918A" w14:textId="77777777" w:rsidTr="004B12B0">
        <w:trPr>
          <w:trHeight w:val="340"/>
        </w:trPr>
        <w:tc>
          <w:tcPr>
            <w:tcW w:w="2410" w:type="dxa"/>
            <w:vAlign w:val="center"/>
          </w:tcPr>
          <w:p w14:paraId="2D6EF353" w14:textId="77777777" w:rsidR="005109AD" w:rsidRPr="007301DC" w:rsidRDefault="005109AD" w:rsidP="003A4D50">
            <w:pPr>
              <w:pStyle w:val="Table"/>
            </w:pPr>
            <w:r w:rsidRPr="007301DC">
              <w:t>Queensland Department of Transport and Main Roads</w:t>
            </w:r>
          </w:p>
        </w:tc>
        <w:tc>
          <w:tcPr>
            <w:tcW w:w="1417" w:type="dxa"/>
            <w:vAlign w:val="center"/>
          </w:tcPr>
          <w:p w14:paraId="14798588" w14:textId="77777777" w:rsidR="005109AD" w:rsidRPr="007301DC" w:rsidRDefault="005109AD" w:rsidP="003A4D50">
            <w:pPr>
              <w:pStyle w:val="TableCen"/>
            </w:pPr>
            <w:r w:rsidRPr="007301DC">
              <w:t>Test Method</w:t>
            </w:r>
          </w:p>
        </w:tc>
        <w:tc>
          <w:tcPr>
            <w:tcW w:w="1276" w:type="dxa"/>
            <w:vAlign w:val="center"/>
          </w:tcPr>
          <w:p w14:paraId="150465BC" w14:textId="77777777" w:rsidR="005109AD" w:rsidRPr="007301DC" w:rsidRDefault="005109AD" w:rsidP="003A4D50">
            <w:pPr>
              <w:pStyle w:val="TableCen"/>
            </w:pPr>
            <w:r w:rsidRPr="007301DC">
              <w:t>Q201</w:t>
            </w:r>
          </w:p>
        </w:tc>
        <w:tc>
          <w:tcPr>
            <w:tcW w:w="3686" w:type="dxa"/>
            <w:vAlign w:val="center"/>
          </w:tcPr>
          <w:p w14:paraId="64BFA108" w14:textId="77777777" w:rsidR="005109AD" w:rsidRPr="007301DC" w:rsidRDefault="005109AD" w:rsidP="003A4D50">
            <w:pPr>
              <w:pStyle w:val="Table"/>
            </w:pPr>
            <w:r w:rsidRPr="007301DC">
              <w:t>Flakiness index of aggregate</w:t>
            </w:r>
          </w:p>
        </w:tc>
      </w:tr>
      <w:tr w:rsidR="005109AD" w:rsidRPr="007301DC" w14:paraId="7B9DED18" w14:textId="77777777" w:rsidTr="004B12B0">
        <w:trPr>
          <w:trHeight w:val="340"/>
        </w:trPr>
        <w:tc>
          <w:tcPr>
            <w:tcW w:w="2410" w:type="dxa"/>
            <w:vAlign w:val="center"/>
          </w:tcPr>
          <w:p w14:paraId="3989289C" w14:textId="77777777" w:rsidR="005109AD" w:rsidRPr="007301DC" w:rsidRDefault="005109AD" w:rsidP="003A4D50">
            <w:pPr>
              <w:pStyle w:val="Table"/>
            </w:pPr>
            <w:r w:rsidRPr="007301DC">
              <w:t>Queensland Department of Transport and Main Roads</w:t>
            </w:r>
          </w:p>
        </w:tc>
        <w:tc>
          <w:tcPr>
            <w:tcW w:w="1417" w:type="dxa"/>
            <w:vAlign w:val="center"/>
          </w:tcPr>
          <w:p w14:paraId="5DE7BB77" w14:textId="77777777" w:rsidR="005109AD" w:rsidRPr="007301DC" w:rsidRDefault="001D1588" w:rsidP="003A4D50">
            <w:pPr>
              <w:pStyle w:val="TableCen"/>
            </w:pPr>
            <w:r w:rsidRPr="007301DC">
              <w:t>Test Method</w:t>
            </w:r>
          </w:p>
        </w:tc>
        <w:tc>
          <w:tcPr>
            <w:tcW w:w="1276" w:type="dxa"/>
            <w:vAlign w:val="center"/>
          </w:tcPr>
          <w:p w14:paraId="1E0FB96C" w14:textId="77777777" w:rsidR="005109AD" w:rsidRPr="007301DC" w:rsidRDefault="005109AD" w:rsidP="003A4D50">
            <w:pPr>
              <w:pStyle w:val="TableCen"/>
            </w:pPr>
            <w:r w:rsidRPr="007301DC">
              <w:t>Q216</w:t>
            </w:r>
          </w:p>
        </w:tc>
        <w:tc>
          <w:tcPr>
            <w:tcW w:w="3686" w:type="dxa"/>
            <w:vAlign w:val="center"/>
          </w:tcPr>
          <w:p w14:paraId="5C491B01" w14:textId="77777777" w:rsidR="005109AD" w:rsidRPr="007301DC" w:rsidRDefault="005109AD" w:rsidP="003A4D50">
            <w:pPr>
              <w:pStyle w:val="Table"/>
            </w:pPr>
            <w:r w:rsidRPr="007301DC">
              <w:t>Degree of aggregate precoating</w:t>
            </w:r>
          </w:p>
        </w:tc>
      </w:tr>
    </w:tbl>
    <w:p w14:paraId="749DBBF5" w14:textId="53BB991A" w:rsidR="008E6910" w:rsidRPr="008274EA" w:rsidRDefault="008E6910" w:rsidP="008E6910">
      <w:pPr>
        <w:pStyle w:val="BodyTextIndent"/>
      </w:pPr>
      <w:r w:rsidRPr="008274EA">
        <w:t>Refer to the following Reference Specifications for Engineering Work:</w:t>
      </w:r>
    </w:p>
    <w:tbl>
      <w:tblPr>
        <w:tblW w:w="8789" w:type="dxa"/>
        <w:tblInd w:w="709" w:type="dxa"/>
        <w:tblLook w:val="0600" w:firstRow="0" w:lastRow="0" w:firstColumn="0" w:lastColumn="0" w:noHBand="1" w:noVBand="1"/>
      </w:tblPr>
      <w:tblGrid>
        <w:gridCol w:w="973"/>
        <w:gridCol w:w="7816"/>
      </w:tblGrid>
      <w:tr w:rsidR="008E6910" w:rsidRPr="008274EA" w14:paraId="2E015A25" w14:textId="77777777" w:rsidTr="004B12B0">
        <w:trPr>
          <w:trHeight w:val="340"/>
        </w:trPr>
        <w:tc>
          <w:tcPr>
            <w:tcW w:w="973" w:type="dxa"/>
            <w:vAlign w:val="center"/>
          </w:tcPr>
          <w:p w14:paraId="6240AB26" w14:textId="77777777" w:rsidR="008E6910" w:rsidRPr="008274EA" w:rsidRDefault="008E6910" w:rsidP="003A4D50">
            <w:pPr>
              <w:pStyle w:val="TableCen"/>
            </w:pPr>
            <w:r w:rsidRPr="008274EA">
              <w:t>S110</w:t>
            </w:r>
          </w:p>
        </w:tc>
        <w:tc>
          <w:tcPr>
            <w:tcW w:w="7816" w:type="dxa"/>
            <w:vAlign w:val="center"/>
          </w:tcPr>
          <w:p w14:paraId="65F2C877" w14:textId="77777777" w:rsidR="008E6910" w:rsidRPr="008274EA" w:rsidRDefault="008E6910" w:rsidP="003A4D50">
            <w:pPr>
              <w:pStyle w:val="Table"/>
            </w:pPr>
            <w:r w:rsidRPr="008274EA">
              <w:t>General Requirements</w:t>
            </w:r>
          </w:p>
        </w:tc>
      </w:tr>
      <w:tr w:rsidR="008E6910" w:rsidRPr="008274EA" w14:paraId="6B48D743" w14:textId="77777777" w:rsidTr="004B12B0">
        <w:trPr>
          <w:trHeight w:val="340"/>
        </w:trPr>
        <w:tc>
          <w:tcPr>
            <w:tcW w:w="973" w:type="dxa"/>
            <w:vAlign w:val="center"/>
          </w:tcPr>
          <w:p w14:paraId="04EBF9EA" w14:textId="77777777" w:rsidR="008E6910" w:rsidRPr="008274EA" w:rsidRDefault="008E6910" w:rsidP="003A4D50">
            <w:pPr>
              <w:pStyle w:val="TableCen"/>
            </w:pPr>
            <w:r w:rsidRPr="008274EA">
              <w:t>S120</w:t>
            </w:r>
          </w:p>
        </w:tc>
        <w:tc>
          <w:tcPr>
            <w:tcW w:w="7816" w:type="dxa"/>
            <w:vAlign w:val="center"/>
          </w:tcPr>
          <w:p w14:paraId="6BDF2985" w14:textId="26F2B637" w:rsidR="008E6910" w:rsidRPr="008274EA" w:rsidRDefault="008E6910" w:rsidP="003A4D50">
            <w:pPr>
              <w:pStyle w:val="Table"/>
            </w:pPr>
            <w:r w:rsidRPr="008274EA">
              <w:t>Quality</w:t>
            </w:r>
          </w:p>
        </w:tc>
      </w:tr>
      <w:tr w:rsidR="008E6910" w:rsidRPr="008274EA" w14:paraId="79A93918" w14:textId="77777777" w:rsidTr="004B12B0">
        <w:trPr>
          <w:trHeight w:val="340"/>
        </w:trPr>
        <w:tc>
          <w:tcPr>
            <w:tcW w:w="973" w:type="dxa"/>
            <w:vAlign w:val="center"/>
          </w:tcPr>
          <w:p w14:paraId="64772098" w14:textId="77777777" w:rsidR="008E6910" w:rsidRPr="008274EA" w:rsidRDefault="008E6910" w:rsidP="003A4D50">
            <w:pPr>
              <w:pStyle w:val="TableCen"/>
            </w:pPr>
            <w:r w:rsidRPr="008274EA">
              <w:t>S150</w:t>
            </w:r>
          </w:p>
        </w:tc>
        <w:tc>
          <w:tcPr>
            <w:tcW w:w="7816" w:type="dxa"/>
            <w:vAlign w:val="center"/>
          </w:tcPr>
          <w:p w14:paraId="492A5FC7" w14:textId="77777777" w:rsidR="008E6910" w:rsidRPr="008274EA" w:rsidRDefault="008E6910" w:rsidP="003A4D50">
            <w:pPr>
              <w:pStyle w:val="Table"/>
            </w:pPr>
            <w:r w:rsidRPr="008274EA">
              <w:t>Roadworks</w:t>
            </w:r>
          </w:p>
        </w:tc>
      </w:tr>
      <w:tr w:rsidR="00AD42EA" w:rsidRPr="008274EA" w14:paraId="12A0F2E5" w14:textId="77777777" w:rsidTr="004B12B0">
        <w:trPr>
          <w:trHeight w:val="340"/>
        </w:trPr>
        <w:tc>
          <w:tcPr>
            <w:tcW w:w="973" w:type="dxa"/>
            <w:vAlign w:val="center"/>
          </w:tcPr>
          <w:p w14:paraId="138EDD02" w14:textId="2070F3A2" w:rsidR="00AD42EA" w:rsidRPr="008274EA" w:rsidRDefault="00AD42EA" w:rsidP="00AD42EA">
            <w:pPr>
              <w:pStyle w:val="TableCen"/>
            </w:pPr>
            <w:r w:rsidRPr="008274EA">
              <w:t>S335</w:t>
            </w:r>
          </w:p>
        </w:tc>
        <w:tc>
          <w:tcPr>
            <w:tcW w:w="7816" w:type="dxa"/>
            <w:vAlign w:val="center"/>
          </w:tcPr>
          <w:p w14:paraId="6AC13F29" w14:textId="283F5124" w:rsidR="00AD42EA" w:rsidRPr="008274EA" w:rsidRDefault="00AD42EA" w:rsidP="00AD42EA">
            <w:pPr>
              <w:pStyle w:val="Table"/>
            </w:pPr>
            <w:r w:rsidRPr="008274EA">
              <w:t>Emulsion Surfacing Treatment</w:t>
            </w:r>
          </w:p>
        </w:tc>
      </w:tr>
      <w:tr w:rsidR="00AD42EA" w:rsidRPr="007301DC" w14:paraId="34E442B5" w14:textId="77777777" w:rsidTr="004B12B0">
        <w:trPr>
          <w:trHeight w:val="340"/>
        </w:trPr>
        <w:tc>
          <w:tcPr>
            <w:tcW w:w="973" w:type="dxa"/>
            <w:vAlign w:val="center"/>
          </w:tcPr>
          <w:p w14:paraId="4392FD5A" w14:textId="201889E7" w:rsidR="00AD42EA" w:rsidRPr="008274EA" w:rsidRDefault="00AD42EA" w:rsidP="00AD42EA">
            <w:pPr>
              <w:pStyle w:val="TableCen"/>
            </w:pPr>
            <w:r w:rsidRPr="008274EA">
              <w:t>S336</w:t>
            </w:r>
          </w:p>
        </w:tc>
        <w:tc>
          <w:tcPr>
            <w:tcW w:w="7816" w:type="dxa"/>
            <w:vAlign w:val="center"/>
          </w:tcPr>
          <w:p w14:paraId="790E4E71" w14:textId="686F22C1" w:rsidR="00AD42EA" w:rsidRPr="008274EA" w:rsidRDefault="00AD42EA" w:rsidP="00AD42EA">
            <w:pPr>
              <w:pStyle w:val="Table"/>
            </w:pPr>
            <w:r w:rsidRPr="008274EA">
              <w:t>Micro Surfacing Treatment</w:t>
            </w:r>
          </w:p>
        </w:tc>
      </w:tr>
    </w:tbl>
    <w:p w14:paraId="6C004BD2" w14:textId="77777777" w:rsidR="0067023B" w:rsidRPr="007301DC" w:rsidRDefault="0067023B" w:rsidP="004B12B0">
      <w:pPr>
        <w:pStyle w:val="Heading2"/>
      </w:pPr>
      <w:bookmarkStart w:id="11" w:name="_Toc457204395"/>
      <w:bookmarkStart w:id="12" w:name="_Toc76106313"/>
      <w:r w:rsidRPr="007301DC">
        <w:t>QUALITY</w:t>
      </w:r>
      <w:bookmarkEnd w:id="11"/>
      <w:bookmarkEnd w:id="12"/>
    </w:p>
    <w:p w14:paraId="6269AC1A" w14:textId="77777777" w:rsidR="0067023B" w:rsidRPr="007301DC" w:rsidRDefault="005D7D96" w:rsidP="004B12B0">
      <w:pPr>
        <w:pStyle w:val="Heading3"/>
      </w:pPr>
      <w:bookmarkStart w:id="13" w:name="_Toc457204396"/>
      <w:bookmarkStart w:id="14" w:name="_Toc76106314"/>
      <w:r w:rsidRPr="007301DC">
        <w:t>Quality System</w:t>
      </w:r>
      <w:bookmarkEnd w:id="13"/>
      <w:bookmarkEnd w:id="14"/>
    </w:p>
    <w:p w14:paraId="0AFC422E" w14:textId="77777777" w:rsidR="0067023B" w:rsidRPr="007301DC" w:rsidRDefault="0067023B" w:rsidP="009C01CC">
      <w:pPr>
        <w:pStyle w:val="BodyTextIndent"/>
      </w:pPr>
      <w:r w:rsidRPr="007301DC">
        <w:t xml:space="preserve">The supplier must maintain a Quality Assurance System with third party accreditation to </w:t>
      </w:r>
      <w:r w:rsidR="009C01CC" w:rsidRPr="007301DC">
        <w:rPr>
          <w:i/>
        </w:rPr>
        <w:t>AS/NZS ISO 9001</w:t>
      </w:r>
      <w:r w:rsidRPr="007301DC">
        <w:t>.  The supplier must notify the Contractor or Superintendent within two days of becoming aware that process control tests relevant to the work have fallen outside the specified limits.</w:t>
      </w:r>
    </w:p>
    <w:p w14:paraId="0A83A54C" w14:textId="77777777" w:rsidR="0067023B" w:rsidRPr="007301DC" w:rsidRDefault="005D7D96" w:rsidP="004B12B0">
      <w:pPr>
        <w:pStyle w:val="Heading3"/>
      </w:pPr>
      <w:bookmarkStart w:id="15" w:name="_Toc457204397"/>
      <w:bookmarkStart w:id="16" w:name="_Toc76106315"/>
      <w:r w:rsidRPr="007301DC">
        <w:t>Inspection</w:t>
      </w:r>
      <w:bookmarkEnd w:id="15"/>
      <w:bookmarkEnd w:id="16"/>
    </w:p>
    <w:p w14:paraId="77690C21" w14:textId="77777777" w:rsidR="0067023B" w:rsidRPr="007301DC" w:rsidRDefault="0067023B" w:rsidP="009C01CC">
      <w:pPr>
        <w:pStyle w:val="BodyTextIndentBoldUnderline"/>
        <w:rPr>
          <w:snapToGrid w:val="0"/>
        </w:rPr>
      </w:pPr>
      <w:r w:rsidRPr="007301DC">
        <w:t>Witness points</w:t>
      </w:r>
    </w:p>
    <w:p w14:paraId="14033EAF" w14:textId="77777777" w:rsidR="0067023B" w:rsidRPr="007301DC" w:rsidRDefault="0067023B" w:rsidP="009C01CC">
      <w:pPr>
        <w:pStyle w:val="BodyTextIndent"/>
      </w:pPr>
      <w:r w:rsidRPr="007301DC">
        <w:rPr>
          <w:i/>
        </w:rPr>
        <w:t>Refer annexure</w:t>
      </w:r>
      <w:r w:rsidRPr="007301DC">
        <w:t>.  Give sufficient notice so that inspection may be made of the following stages:</w:t>
      </w:r>
    </w:p>
    <w:p w14:paraId="5B887A3E" w14:textId="77777777" w:rsidR="0067023B" w:rsidRPr="007301DC" w:rsidRDefault="0067023B" w:rsidP="009C01CC">
      <w:pPr>
        <w:pStyle w:val="BodyTextIndentDot"/>
        <w:rPr>
          <w:snapToGrid w:val="0"/>
        </w:rPr>
      </w:pPr>
      <w:r w:rsidRPr="007301DC">
        <w:rPr>
          <w:snapToGrid w:val="0"/>
        </w:rPr>
        <w:t>Surfaces prepared for priming, sealing or surfacing.</w:t>
      </w:r>
    </w:p>
    <w:p w14:paraId="1DC67EFB" w14:textId="77777777" w:rsidR="0067023B" w:rsidRPr="007301DC" w:rsidRDefault="0067023B" w:rsidP="009C01CC">
      <w:pPr>
        <w:pStyle w:val="BodyTextIndentDot"/>
        <w:rPr>
          <w:snapToGrid w:val="0"/>
        </w:rPr>
      </w:pPr>
      <w:r w:rsidRPr="007301DC">
        <w:rPr>
          <w:snapToGrid w:val="0"/>
        </w:rPr>
        <w:t>Commencement of bituminous spraying of each seal coat.</w:t>
      </w:r>
    </w:p>
    <w:p w14:paraId="63023095" w14:textId="77777777" w:rsidR="0067023B" w:rsidRPr="007301DC" w:rsidRDefault="005D7D96" w:rsidP="004B12B0">
      <w:pPr>
        <w:pStyle w:val="Heading3"/>
      </w:pPr>
      <w:bookmarkStart w:id="17" w:name="_Toc457204398"/>
      <w:bookmarkStart w:id="18" w:name="_Toc76106316"/>
      <w:r w:rsidRPr="007301DC">
        <w:t>Tests</w:t>
      </w:r>
      <w:bookmarkEnd w:id="17"/>
      <w:bookmarkEnd w:id="18"/>
    </w:p>
    <w:p w14:paraId="660EB651" w14:textId="77777777" w:rsidR="0067023B" w:rsidRPr="007301DC" w:rsidRDefault="0067023B" w:rsidP="00F76BE3">
      <w:pPr>
        <w:pStyle w:val="BodyTextIndentBoldUnderline"/>
        <w:rPr>
          <w:snapToGrid w:val="0"/>
        </w:rPr>
      </w:pPr>
      <w:r w:rsidRPr="007301DC">
        <w:t>General</w:t>
      </w:r>
    </w:p>
    <w:p w14:paraId="5D753ABC" w14:textId="77777777" w:rsidR="0067023B" w:rsidRPr="007301DC" w:rsidRDefault="0067023B" w:rsidP="00F76BE3">
      <w:pPr>
        <w:pStyle w:val="BodyTextIndent"/>
      </w:pPr>
      <w:r w:rsidRPr="0016734E">
        <w:rPr>
          <w:snapToGrid w:val="0"/>
          <w:u w:val="single"/>
        </w:rPr>
        <w:t>Methods</w:t>
      </w:r>
      <w:r w:rsidRPr="007301DC">
        <w:t>: Use the specified Australian Standard</w:t>
      </w:r>
      <w:r w:rsidR="00DE7CB5" w:rsidRPr="007301DC">
        <w:t>, Austroads</w:t>
      </w:r>
      <w:r w:rsidRPr="007301DC">
        <w:t xml:space="preserve"> or Queensland Department of Main Roads test methods.</w:t>
      </w:r>
    </w:p>
    <w:p w14:paraId="755B1B0E" w14:textId="77777777" w:rsidR="0067023B" w:rsidRPr="007301DC" w:rsidRDefault="0067023B" w:rsidP="00F76BE3">
      <w:pPr>
        <w:pStyle w:val="BodyTextIndent"/>
      </w:pPr>
      <w:r w:rsidRPr="0016734E">
        <w:rPr>
          <w:snapToGrid w:val="0"/>
          <w:u w:val="single"/>
        </w:rPr>
        <w:t>Testing authority</w:t>
      </w:r>
      <w:r w:rsidRPr="007301DC">
        <w:t>: Use a testing facility registered by NATA for the test required.</w:t>
      </w:r>
    </w:p>
    <w:p w14:paraId="4329E358" w14:textId="77777777" w:rsidR="0067023B" w:rsidRPr="007301DC" w:rsidRDefault="0067023B" w:rsidP="00F76BE3">
      <w:pPr>
        <w:pStyle w:val="BodyTextIndentBoldUnderline"/>
      </w:pPr>
      <w:r w:rsidRPr="007301DC">
        <w:t>Process control tests</w:t>
      </w:r>
    </w:p>
    <w:p w14:paraId="3903792A" w14:textId="484523C3" w:rsidR="0067023B" w:rsidRPr="007301DC" w:rsidRDefault="0067023B" w:rsidP="00F76BE3">
      <w:pPr>
        <w:pStyle w:val="BodyTextIndent"/>
      </w:pPr>
      <w:r w:rsidRPr="007301DC">
        <w:t xml:space="preserve">Perform sampling and testing of the type and frequency necessary to adequately control the work.  Comply with the minimum requirements specified in </w:t>
      </w:r>
      <w:r w:rsidR="001F2060" w:rsidRPr="001F2060">
        <w:rPr>
          <w:i/>
          <w:iCs/>
        </w:rPr>
        <w:t>Reference Specification</w:t>
      </w:r>
      <w:r w:rsidR="001F2060">
        <w:t xml:space="preserve"> </w:t>
      </w:r>
      <w:r w:rsidRPr="007301DC">
        <w:rPr>
          <w:i/>
        </w:rPr>
        <w:t>S120 Quality</w:t>
      </w:r>
      <w:r w:rsidR="00C100FA">
        <w:rPr>
          <w:i/>
        </w:rPr>
        <w:t>,</w:t>
      </w:r>
      <w:r w:rsidRPr="007301DC">
        <w:rPr>
          <w:i/>
        </w:rPr>
        <w:t xml:space="preserve"> Clause 8.1</w:t>
      </w:r>
      <w:r w:rsidRPr="007301DC">
        <w:t xml:space="preserve">.  </w:t>
      </w:r>
      <w:r w:rsidRPr="007301DC">
        <w:rPr>
          <w:i/>
        </w:rPr>
        <w:t>Refer annexure</w:t>
      </w:r>
      <w:r w:rsidRPr="007301DC">
        <w:t>.</w:t>
      </w:r>
    </w:p>
    <w:p w14:paraId="554C2410" w14:textId="77777777" w:rsidR="0067023B" w:rsidRPr="007301DC" w:rsidRDefault="0067023B" w:rsidP="00F76BE3">
      <w:pPr>
        <w:pStyle w:val="BodyTextIndentBoldUnderline"/>
      </w:pPr>
      <w:r w:rsidRPr="007301DC">
        <w:t>Compliance assessment tests</w:t>
      </w:r>
    </w:p>
    <w:p w14:paraId="6510518D" w14:textId="77777777" w:rsidR="0067023B" w:rsidRPr="007301DC" w:rsidRDefault="0067023B" w:rsidP="00F76BE3">
      <w:pPr>
        <w:pStyle w:val="BodyTextIndent"/>
      </w:pPr>
      <w:r w:rsidRPr="0016734E">
        <w:rPr>
          <w:u w:val="single"/>
        </w:rPr>
        <w:t>General</w:t>
      </w:r>
      <w:r w:rsidRPr="007301DC">
        <w:t>: The Contractor or Superintendent may carry out compliance assessment testing using a testing laboratory registered with NATA for the particular test.</w:t>
      </w:r>
    </w:p>
    <w:p w14:paraId="3E1582F6" w14:textId="77777777" w:rsidR="0067023B" w:rsidRPr="007301DC" w:rsidRDefault="00FD7E47" w:rsidP="00F76BE3">
      <w:pPr>
        <w:pStyle w:val="BodyTextIndentBoldUnderline"/>
      </w:pPr>
      <w:r w:rsidRPr="007301DC">
        <w:br w:type="page"/>
      </w:r>
      <w:r w:rsidR="0067023B" w:rsidRPr="007301DC">
        <w:lastRenderedPageBreak/>
        <w:t>Records</w:t>
      </w:r>
    </w:p>
    <w:p w14:paraId="5A4DF10E" w14:textId="77777777" w:rsidR="0067023B" w:rsidRPr="007301DC" w:rsidRDefault="0067023B" w:rsidP="00F76BE3">
      <w:pPr>
        <w:pStyle w:val="BodyTextIndent"/>
      </w:pPr>
      <w:r w:rsidRPr="007301DC">
        <w:t>Show records of process control tests on control charts or graphs displayed on site in a readily accessible location and updated daily.</w:t>
      </w:r>
    </w:p>
    <w:p w14:paraId="7B25902E" w14:textId="77777777" w:rsidR="0067023B" w:rsidRPr="007301DC" w:rsidRDefault="005D7D96" w:rsidP="004B12B0">
      <w:pPr>
        <w:pStyle w:val="Heading3"/>
      </w:pPr>
      <w:bookmarkStart w:id="19" w:name="_Toc510857581"/>
      <w:bookmarkStart w:id="20" w:name="_Toc457204399"/>
      <w:bookmarkStart w:id="21" w:name="_Toc76106317"/>
      <w:r w:rsidRPr="007301DC">
        <w:t>Samples</w:t>
      </w:r>
      <w:bookmarkEnd w:id="19"/>
      <w:bookmarkEnd w:id="20"/>
      <w:bookmarkEnd w:id="21"/>
    </w:p>
    <w:p w14:paraId="6B193CB4" w14:textId="77777777" w:rsidR="0067023B" w:rsidRPr="007301DC" w:rsidRDefault="0067023B" w:rsidP="00F76BE3">
      <w:pPr>
        <w:pStyle w:val="BodyTextIndentBoldUnderline"/>
      </w:pPr>
      <w:r w:rsidRPr="007301DC">
        <w:t>General</w:t>
      </w:r>
    </w:p>
    <w:p w14:paraId="423AB94E" w14:textId="77777777" w:rsidR="0067023B" w:rsidRPr="007301DC" w:rsidRDefault="0067023B" w:rsidP="00F76BE3">
      <w:pPr>
        <w:pStyle w:val="BodyTextIndent"/>
      </w:pPr>
      <w:r w:rsidRPr="007301DC">
        <w:t xml:space="preserve">On request, submit samples of each type of cover aggregate (40 kg) and bituminous material (8 L) supplied under the Contract.  </w:t>
      </w:r>
      <w:r w:rsidRPr="007301DC">
        <w:rPr>
          <w:i/>
        </w:rPr>
        <w:t>Refer annexure</w:t>
      </w:r>
      <w:r w:rsidRPr="007301DC">
        <w:t>.</w:t>
      </w:r>
    </w:p>
    <w:p w14:paraId="61E3BF2C" w14:textId="77777777" w:rsidR="0067023B" w:rsidRPr="007301DC" w:rsidRDefault="0067023B" w:rsidP="00F76BE3">
      <w:pPr>
        <w:pStyle w:val="BodyTextIndentBoldUnderline"/>
      </w:pPr>
      <w:r w:rsidRPr="007301DC">
        <w:t>Identification</w:t>
      </w:r>
    </w:p>
    <w:p w14:paraId="7929F304" w14:textId="77777777" w:rsidR="0067023B" w:rsidRPr="007301DC" w:rsidRDefault="0067023B">
      <w:pPr>
        <w:pStyle w:val="BodyTextIndent3"/>
      </w:pPr>
      <w:r w:rsidRPr="007301DC">
        <w:t>Attach a tag to each sample showing relevant information including description, source and nominal size of material, date sampled and by whom.</w:t>
      </w:r>
    </w:p>
    <w:p w14:paraId="595CE034" w14:textId="77777777" w:rsidR="0067023B" w:rsidRPr="007301DC" w:rsidRDefault="005D7D96" w:rsidP="004B12B0">
      <w:pPr>
        <w:pStyle w:val="Heading3"/>
      </w:pPr>
      <w:bookmarkStart w:id="22" w:name="_Toc457204400"/>
      <w:bookmarkStart w:id="23" w:name="_Toc76106318"/>
      <w:r w:rsidRPr="007301DC">
        <w:t>Submissions</w:t>
      </w:r>
      <w:bookmarkEnd w:id="22"/>
      <w:bookmarkEnd w:id="23"/>
    </w:p>
    <w:p w14:paraId="5B121F8D" w14:textId="77777777" w:rsidR="008073FE" w:rsidRPr="007301DC" w:rsidRDefault="008073FE" w:rsidP="008073FE">
      <w:pPr>
        <w:pStyle w:val="BodyTextIndent2"/>
        <w:spacing w:before="60" w:after="60"/>
        <w:jc w:val="both"/>
        <w:rPr>
          <w:b/>
          <w:sz w:val="22"/>
          <w:u w:val="single"/>
        </w:rPr>
      </w:pPr>
      <w:r w:rsidRPr="007301DC">
        <w:rPr>
          <w:b/>
          <w:sz w:val="22"/>
          <w:u w:val="single"/>
        </w:rPr>
        <w:t>Seal design report</w:t>
      </w:r>
    </w:p>
    <w:p w14:paraId="61515D4E" w14:textId="77777777" w:rsidR="008073FE" w:rsidRPr="007301DC" w:rsidRDefault="008073FE" w:rsidP="008073FE">
      <w:pPr>
        <w:pStyle w:val="BodyTextIndent2"/>
        <w:spacing w:after="0"/>
        <w:jc w:val="both"/>
      </w:pPr>
      <w:r w:rsidRPr="007301DC">
        <w:t xml:space="preserve">On request, </w:t>
      </w:r>
      <w:r w:rsidR="005807CD" w:rsidRPr="007301DC">
        <w:t xml:space="preserve">submit the seal design report </w:t>
      </w:r>
      <w:r w:rsidRPr="007301DC">
        <w:t xml:space="preserve">covering </w:t>
      </w:r>
      <w:r w:rsidR="005807CD" w:rsidRPr="007301DC">
        <w:t xml:space="preserve">binder class, cover aggregate size and source </w:t>
      </w:r>
      <w:r w:rsidR="000F63E5" w:rsidRPr="007301DC">
        <w:t>the design method and calculations used to determine the designed spray rate and the designed spread rate.  For seals involving multiple layers of binder and/or aggregate (e.g. double seals), include the minimum and maximum period between bituminous treatments.</w:t>
      </w:r>
      <w:r w:rsidRPr="007301DC">
        <w:t xml:space="preserve">  </w:t>
      </w:r>
      <w:r w:rsidRPr="007301DC">
        <w:rPr>
          <w:i/>
        </w:rPr>
        <w:t>Refer annexure</w:t>
      </w:r>
      <w:r w:rsidRPr="007301DC">
        <w:t>.</w:t>
      </w:r>
    </w:p>
    <w:p w14:paraId="0975678F" w14:textId="77777777" w:rsidR="0067023B" w:rsidRPr="007301DC" w:rsidRDefault="0067023B" w:rsidP="008073FE">
      <w:pPr>
        <w:pStyle w:val="BodyTextIndent2"/>
        <w:spacing w:before="60" w:after="60"/>
        <w:jc w:val="both"/>
        <w:rPr>
          <w:b/>
          <w:sz w:val="22"/>
          <w:u w:val="single"/>
        </w:rPr>
      </w:pPr>
      <w:r w:rsidRPr="007301DC">
        <w:rPr>
          <w:b/>
          <w:sz w:val="22"/>
          <w:u w:val="single"/>
        </w:rPr>
        <w:t>Test program</w:t>
      </w:r>
    </w:p>
    <w:p w14:paraId="781293D7" w14:textId="77777777" w:rsidR="0067023B" w:rsidRPr="007301DC" w:rsidRDefault="0067023B">
      <w:pPr>
        <w:pStyle w:val="BodyTextIndent2"/>
        <w:spacing w:after="0"/>
        <w:jc w:val="both"/>
      </w:pPr>
      <w:r w:rsidRPr="007301DC">
        <w:t xml:space="preserve">On request, submit details of the supplier's inspection and test program covering all specified properties of the materials.  On request, submit details of recent test results demonstrating sustained compliance of the work and similar work with the required properties.  </w:t>
      </w:r>
      <w:r w:rsidRPr="007301DC">
        <w:rPr>
          <w:i/>
        </w:rPr>
        <w:t>Refer annexure</w:t>
      </w:r>
      <w:r w:rsidRPr="007301DC">
        <w:t>.</w:t>
      </w:r>
    </w:p>
    <w:p w14:paraId="7BBE9677" w14:textId="77777777" w:rsidR="0067023B" w:rsidRPr="007301DC" w:rsidRDefault="0067023B" w:rsidP="008073FE">
      <w:pPr>
        <w:pStyle w:val="BodyTextIndentBoldUnderline"/>
      </w:pPr>
      <w:r w:rsidRPr="007301DC">
        <w:t>Execution</w:t>
      </w:r>
    </w:p>
    <w:p w14:paraId="599F3AB5" w14:textId="77777777" w:rsidR="0067023B" w:rsidRPr="007301DC" w:rsidRDefault="0067023B" w:rsidP="00F76BE3">
      <w:pPr>
        <w:pStyle w:val="BodyTextIndent"/>
      </w:pPr>
      <w:r w:rsidRPr="0016734E">
        <w:rPr>
          <w:u w:val="single"/>
        </w:rPr>
        <w:t>General</w:t>
      </w:r>
      <w:r w:rsidRPr="007301DC">
        <w:t>: Submit proposals for the methods and equipment to be used for the roadworks, including the following:</w:t>
      </w:r>
    </w:p>
    <w:p w14:paraId="4C9C05C0" w14:textId="77777777" w:rsidR="0067023B" w:rsidRPr="007301DC" w:rsidRDefault="0067023B" w:rsidP="00F76BE3">
      <w:pPr>
        <w:pStyle w:val="BodyTextIndentDot"/>
      </w:pPr>
      <w:r w:rsidRPr="007301DC">
        <w:t>Staging of the work, access and traffic control methods.</w:t>
      </w:r>
    </w:p>
    <w:p w14:paraId="189561FB" w14:textId="77777777" w:rsidR="0067023B" w:rsidRPr="007301DC" w:rsidRDefault="0067023B" w:rsidP="00F76BE3">
      <w:pPr>
        <w:pStyle w:val="BodyTextIndentDot"/>
      </w:pPr>
      <w:r w:rsidRPr="007301DC">
        <w:t>Disposal of surface water, control of erosion, contamination and sedimentation of the site, surrounding areas and drainage systems.</w:t>
      </w:r>
    </w:p>
    <w:p w14:paraId="35DC9BBF" w14:textId="77777777" w:rsidR="0067023B" w:rsidRPr="007301DC" w:rsidRDefault="0067023B" w:rsidP="00F76BE3">
      <w:pPr>
        <w:pStyle w:val="BodyTextIndentDot"/>
      </w:pPr>
      <w:r w:rsidRPr="007301DC">
        <w:t>Methods and equipment for each operation.</w:t>
      </w:r>
    </w:p>
    <w:p w14:paraId="6B4FC5C0" w14:textId="77777777" w:rsidR="0067023B" w:rsidRPr="007301DC" w:rsidRDefault="0067023B" w:rsidP="00F76BE3">
      <w:pPr>
        <w:pStyle w:val="BodyTextIndentDot"/>
      </w:pPr>
      <w:r w:rsidRPr="007301DC">
        <w:t>Sources of materials.</w:t>
      </w:r>
    </w:p>
    <w:p w14:paraId="6E624F02" w14:textId="77777777" w:rsidR="0067023B" w:rsidRPr="007301DC" w:rsidRDefault="0067023B" w:rsidP="00F76BE3">
      <w:pPr>
        <w:pStyle w:val="BodyTextIndentDot"/>
      </w:pPr>
      <w:r w:rsidRPr="007301DC">
        <w:t>Material stockpiles.</w:t>
      </w:r>
    </w:p>
    <w:p w14:paraId="4C7DEE18" w14:textId="77777777" w:rsidR="0067023B" w:rsidRPr="007301DC" w:rsidRDefault="0067023B" w:rsidP="00F76BE3">
      <w:pPr>
        <w:pStyle w:val="BodyTextIndentBoldUnderline"/>
      </w:pPr>
      <w:r w:rsidRPr="007301DC">
        <w:t>Records of measurement</w:t>
      </w:r>
    </w:p>
    <w:p w14:paraId="1623FDFD" w14:textId="77777777" w:rsidR="0067023B" w:rsidRPr="007301DC" w:rsidRDefault="0067023B" w:rsidP="00F76BE3">
      <w:pPr>
        <w:pStyle w:val="BodyTextIndent"/>
      </w:pPr>
      <w:r w:rsidRPr="007301DC">
        <w:t>Submit certified records of work performed.</w:t>
      </w:r>
    </w:p>
    <w:p w14:paraId="7DD3A2A1" w14:textId="66F8C345" w:rsidR="0067023B" w:rsidRPr="007301DC" w:rsidRDefault="001B1A96" w:rsidP="004B12B0">
      <w:pPr>
        <w:pStyle w:val="Heading2"/>
      </w:pPr>
      <w:bookmarkStart w:id="24" w:name="_Toc457204401"/>
      <w:bookmarkStart w:id="25" w:name="_Toc76106319"/>
      <w:r w:rsidRPr="007301DC">
        <w:rPr>
          <w:caps w:val="0"/>
        </w:rPr>
        <w:t>DEFINITIONS</w:t>
      </w:r>
      <w:bookmarkEnd w:id="24"/>
      <w:bookmarkEnd w:id="25"/>
    </w:p>
    <w:p w14:paraId="3B1304E2" w14:textId="77777777" w:rsidR="0067023B" w:rsidRPr="007301DC" w:rsidRDefault="0067023B" w:rsidP="00F76BE3">
      <w:pPr>
        <w:pStyle w:val="BodyTextIndent"/>
      </w:pPr>
      <w:r w:rsidRPr="0016734E">
        <w:rPr>
          <w:u w:val="single"/>
        </w:rPr>
        <w:t>Actual spray rate</w:t>
      </w:r>
      <w:r w:rsidRPr="007301DC">
        <w:t>: The spray rate for the relevant bituminous material at 15</w:t>
      </w:r>
      <w:r w:rsidRPr="007301DC">
        <w:rPr>
          <w:rFonts w:ascii="Symbol" w:eastAsia="Symbol" w:hAnsi="Symbol" w:cs="Symbol"/>
        </w:rPr>
        <w:t>°</w:t>
      </w:r>
      <w:r w:rsidRPr="007301DC">
        <w:t>C achieved during the surfacing operation.</w:t>
      </w:r>
    </w:p>
    <w:p w14:paraId="63AF1875" w14:textId="77777777" w:rsidR="0067023B" w:rsidRPr="007301DC" w:rsidRDefault="0067023B" w:rsidP="00F76BE3">
      <w:pPr>
        <w:pStyle w:val="BodyTextIndent"/>
      </w:pPr>
      <w:r w:rsidRPr="0016734E">
        <w:rPr>
          <w:u w:val="single"/>
        </w:rPr>
        <w:t>Actual spread rate</w:t>
      </w:r>
      <w:r w:rsidRPr="007301DC">
        <w:t>: The spread rate of cover aggregate or prime cover material achieved during the surfacing operation.</w:t>
      </w:r>
    </w:p>
    <w:p w14:paraId="4F4A2FD9" w14:textId="77777777" w:rsidR="0067023B" w:rsidRPr="007301DC" w:rsidRDefault="0067023B" w:rsidP="00F76BE3">
      <w:pPr>
        <w:pStyle w:val="BodyTextIndent"/>
      </w:pPr>
      <w:r w:rsidRPr="0016734E">
        <w:rPr>
          <w:u w:val="single"/>
        </w:rPr>
        <w:t>Additive</w:t>
      </w:r>
      <w:r w:rsidRPr="007301DC">
        <w:t>: Cutter oil, flux oil and/or adhesion agent.</w:t>
      </w:r>
    </w:p>
    <w:p w14:paraId="6C1A6E86" w14:textId="77777777" w:rsidR="0067023B" w:rsidRPr="007301DC" w:rsidRDefault="0067023B" w:rsidP="00F76BE3">
      <w:pPr>
        <w:pStyle w:val="BodyTextIndent"/>
      </w:pPr>
      <w:r w:rsidRPr="0016734E">
        <w:rPr>
          <w:u w:val="single"/>
        </w:rPr>
        <w:t>Binder</w:t>
      </w:r>
      <w:r w:rsidRPr="007301DC">
        <w:t xml:space="preserve">: A material (bitumen, cutback bitumen and/or polymer modified bitumen) used </w:t>
      </w:r>
      <w:r w:rsidR="00E33635" w:rsidRPr="007301DC">
        <w:t>to</w:t>
      </w:r>
      <w:r w:rsidRPr="007301DC">
        <w:t xml:space="preserve"> hold aggregate particles together as a coherent mixture.</w:t>
      </w:r>
    </w:p>
    <w:p w14:paraId="4D0EEA96" w14:textId="77777777" w:rsidR="0067023B" w:rsidRPr="007301DC" w:rsidRDefault="0067023B" w:rsidP="00F76BE3">
      <w:pPr>
        <w:pStyle w:val="BodyTextIndent"/>
      </w:pPr>
      <w:r w:rsidRPr="0016734E">
        <w:rPr>
          <w:u w:val="single"/>
        </w:rPr>
        <w:t>Bitumen</w:t>
      </w:r>
      <w:r w:rsidRPr="007301DC">
        <w:t>: A bituminous material obtained by processing the residue from refining certain naturally occurring crude oils.</w:t>
      </w:r>
    </w:p>
    <w:p w14:paraId="504A6983" w14:textId="77777777" w:rsidR="0067023B" w:rsidRPr="007301DC" w:rsidRDefault="0067023B" w:rsidP="00F76BE3">
      <w:pPr>
        <w:pStyle w:val="BodyTextIndent"/>
      </w:pPr>
      <w:r w:rsidRPr="0016734E">
        <w:rPr>
          <w:u w:val="single"/>
        </w:rPr>
        <w:t>Bitumen emulsion</w:t>
      </w:r>
      <w:r w:rsidRPr="007301DC">
        <w:t>: A liquid product in which a substantial amount of bitumen (to which some oil may be added) is dispersed in a finely divided condition in water and stabilised, by means of one or more emulsifying agents.</w:t>
      </w:r>
    </w:p>
    <w:p w14:paraId="51BEAB71" w14:textId="77777777" w:rsidR="0067023B" w:rsidRPr="007301DC" w:rsidRDefault="0067023B" w:rsidP="00F76BE3">
      <w:pPr>
        <w:pStyle w:val="BodyTextIndent"/>
      </w:pPr>
      <w:r w:rsidRPr="0016734E">
        <w:rPr>
          <w:u w:val="single"/>
        </w:rPr>
        <w:lastRenderedPageBreak/>
        <w:t>Bituminous material</w:t>
      </w:r>
      <w:r w:rsidRPr="007301DC">
        <w:t>: Bitumen, cutback bitumen, bitumen with cutter oil and/or flux oil and/or adhesion agent, polymer modified binder</w:t>
      </w:r>
      <w:r w:rsidR="000F63E5" w:rsidRPr="007301DC">
        <w:t xml:space="preserve"> and/or crumb rubber</w:t>
      </w:r>
      <w:r w:rsidRPr="007301DC">
        <w:t>.</w:t>
      </w:r>
    </w:p>
    <w:p w14:paraId="1AC3FAA0" w14:textId="77777777" w:rsidR="0067023B" w:rsidRPr="007301DC" w:rsidRDefault="0067023B" w:rsidP="00F76BE3">
      <w:pPr>
        <w:pStyle w:val="BodyTextIndent"/>
      </w:pPr>
      <w:r w:rsidRPr="0016734E">
        <w:rPr>
          <w:u w:val="single"/>
        </w:rPr>
        <w:t>Cover aggregate</w:t>
      </w:r>
      <w:r w:rsidRPr="007301DC">
        <w:t>: Aggregate that forms a permanent wearing surface on a pavement.</w:t>
      </w:r>
    </w:p>
    <w:p w14:paraId="6B72872B" w14:textId="77777777" w:rsidR="004A6282" w:rsidRPr="007301DC" w:rsidRDefault="004A6282" w:rsidP="00F76BE3">
      <w:pPr>
        <w:pStyle w:val="BodyTextIndent"/>
      </w:pPr>
      <w:r w:rsidRPr="0016734E">
        <w:rPr>
          <w:u w:val="single"/>
        </w:rPr>
        <w:t>Crumb Rubber Modified Bitumen</w:t>
      </w:r>
      <w:r w:rsidRPr="007301DC">
        <w:t>: Bitumen blended with crumb rubber which is generally obtained from the shredding and grinding of scrap rubber from vehicle tyres.</w:t>
      </w:r>
    </w:p>
    <w:p w14:paraId="23B85B8F" w14:textId="77777777" w:rsidR="0067023B" w:rsidRPr="007301DC" w:rsidRDefault="0067023B" w:rsidP="00F76BE3">
      <w:pPr>
        <w:pStyle w:val="BodyTextIndent"/>
      </w:pPr>
      <w:r w:rsidRPr="0016734E">
        <w:rPr>
          <w:u w:val="single"/>
        </w:rPr>
        <w:t>Cutting back bitumen</w:t>
      </w:r>
      <w:r w:rsidRPr="007301DC">
        <w:t>: The temporary reduction of bitumen viscosity by the addition of cutter oil (light petroleum distillate).</w:t>
      </w:r>
    </w:p>
    <w:p w14:paraId="729D35D1" w14:textId="2CA7B600" w:rsidR="0067023B" w:rsidRPr="007301DC" w:rsidRDefault="0067023B" w:rsidP="00F76BE3">
      <w:pPr>
        <w:pStyle w:val="BodyTextIndent"/>
      </w:pPr>
      <w:r w:rsidRPr="007301DC">
        <w:t>Designed spray rate: The spray rate for the relevant bituminous material at 15</w:t>
      </w:r>
      <w:r w:rsidR="008B0B68">
        <w:rPr>
          <w:rFonts w:cs="Arial"/>
        </w:rPr>
        <w:t>°</w:t>
      </w:r>
      <w:r w:rsidRPr="007301DC">
        <w:t>C that is deemed suitable by the Superintendent.</w:t>
      </w:r>
    </w:p>
    <w:p w14:paraId="14268DF6" w14:textId="77777777" w:rsidR="0067023B" w:rsidRPr="007301DC" w:rsidRDefault="0067023B" w:rsidP="00F76BE3">
      <w:pPr>
        <w:pStyle w:val="BodyTextIndent"/>
      </w:pPr>
      <w:r w:rsidRPr="0016734E">
        <w:rPr>
          <w:u w:val="single"/>
        </w:rPr>
        <w:t>Designed spread rate</w:t>
      </w:r>
      <w:r w:rsidRPr="007301DC">
        <w:t>: The spread rate of cover aggregate or prime cover material that is deemed suitable by the Superintendent.</w:t>
      </w:r>
    </w:p>
    <w:p w14:paraId="2620D3BC" w14:textId="77777777" w:rsidR="0067023B" w:rsidRPr="007301DC" w:rsidRDefault="0067023B" w:rsidP="00F76BE3">
      <w:pPr>
        <w:pStyle w:val="BodyTextIndent"/>
      </w:pPr>
      <w:r w:rsidRPr="0016734E">
        <w:rPr>
          <w:u w:val="single"/>
        </w:rPr>
        <w:t>Double seal or two coat seal</w:t>
      </w:r>
      <w:r w:rsidRPr="007301DC">
        <w:t>: A seal coat made up of two successive applications of binder and aggregate.</w:t>
      </w:r>
    </w:p>
    <w:p w14:paraId="5467A412" w14:textId="77777777" w:rsidR="0067023B" w:rsidRPr="007301DC" w:rsidRDefault="0067023B" w:rsidP="00F76BE3">
      <w:pPr>
        <w:pStyle w:val="BodyTextIndent"/>
      </w:pPr>
      <w:r w:rsidRPr="0016734E">
        <w:rPr>
          <w:u w:val="single"/>
        </w:rPr>
        <w:t>Flash point</w:t>
      </w:r>
      <w:r w:rsidRPr="007301DC">
        <w:t>: The temperature at which the vapour of a substance momentarily takes fire, but does not continue to burn, when heated under specific test conditions.</w:t>
      </w:r>
    </w:p>
    <w:p w14:paraId="270E1909" w14:textId="77777777" w:rsidR="0067023B" w:rsidRPr="007301DC" w:rsidRDefault="0067023B" w:rsidP="00F76BE3">
      <w:pPr>
        <w:pStyle w:val="BodyTextIndent"/>
      </w:pPr>
      <w:r w:rsidRPr="0016734E">
        <w:rPr>
          <w:u w:val="single"/>
        </w:rPr>
        <w:t>Holding sea</w:t>
      </w:r>
      <w:r w:rsidRPr="007301DC">
        <w:t>l: See primer seal.</w:t>
      </w:r>
    </w:p>
    <w:p w14:paraId="62E34795" w14:textId="77777777" w:rsidR="004A6282" w:rsidRPr="007301DC" w:rsidRDefault="004A6282" w:rsidP="004A6282">
      <w:pPr>
        <w:pStyle w:val="BodyTextIndent"/>
      </w:pPr>
      <w:r w:rsidRPr="0016734E">
        <w:rPr>
          <w:u w:val="single"/>
        </w:rPr>
        <w:t>Polymer modified bitumen</w:t>
      </w:r>
      <w:r w:rsidRPr="007301DC">
        <w:t>: Bitumen containing dispersed polymeric material.</w:t>
      </w:r>
    </w:p>
    <w:p w14:paraId="443E0CC0" w14:textId="77777777" w:rsidR="0067023B" w:rsidRPr="007301DC" w:rsidRDefault="0067023B" w:rsidP="00F76BE3">
      <w:pPr>
        <w:pStyle w:val="BodyTextIndent"/>
      </w:pPr>
      <w:r w:rsidRPr="0016734E">
        <w:rPr>
          <w:u w:val="single"/>
        </w:rPr>
        <w:t>Precoating</w:t>
      </w:r>
      <w:r w:rsidRPr="007301DC">
        <w:t>: The coating of aggregate with a precoating agent to create the initial bonding between the bituminous binder and the aggregate.</w:t>
      </w:r>
    </w:p>
    <w:p w14:paraId="1B7BF1A0" w14:textId="77777777" w:rsidR="0067023B" w:rsidRPr="007301DC" w:rsidRDefault="0067023B" w:rsidP="00F76BE3">
      <w:pPr>
        <w:pStyle w:val="BodyTextIndent"/>
      </w:pPr>
      <w:r w:rsidRPr="0016734E">
        <w:rPr>
          <w:u w:val="single"/>
        </w:rPr>
        <w:t>Prime</w:t>
      </w:r>
      <w:r w:rsidRPr="007301DC">
        <w:t>: An application of a bituminous material to a prepared base as a preliminary treatment to a more permanent bituminous surfacing.</w:t>
      </w:r>
    </w:p>
    <w:p w14:paraId="7CF152B9" w14:textId="77777777" w:rsidR="0067023B" w:rsidRPr="007301DC" w:rsidRDefault="0067023B" w:rsidP="00F76BE3">
      <w:pPr>
        <w:pStyle w:val="BodyTextIndent"/>
      </w:pPr>
      <w:r w:rsidRPr="0016734E">
        <w:rPr>
          <w:u w:val="single"/>
        </w:rPr>
        <w:t>Primer</w:t>
      </w:r>
      <w:r w:rsidRPr="007301DC">
        <w:t>: A fluid bituminous material that is applied to a prepared base.</w:t>
      </w:r>
    </w:p>
    <w:p w14:paraId="50FF8DF9" w14:textId="77777777" w:rsidR="0067023B" w:rsidRPr="007301DC" w:rsidRDefault="0067023B" w:rsidP="00F76BE3">
      <w:pPr>
        <w:pStyle w:val="BodyTextIndent"/>
      </w:pPr>
      <w:r w:rsidRPr="0016734E">
        <w:rPr>
          <w:u w:val="single"/>
        </w:rPr>
        <w:t>Primer binder</w:t>
      </w:r>
      <w:r w:rsidRPr="007301DC">
        <w:t>: A material more viscous than a primer and required to act both as a primer and binder.</w:t>
      </w:r>
    </w:p>
    <w:p w14:paraId="76F67294" w14:textId="77777777" w:rsidR="0067023B" w:rsidRPr="007301DC" w:rsidRDefault="0067023B" w:rsidP="00F76BE3">
      <w:pPr>
        <w:pStyle w:val="BodyTextIndent"/>
      </w:pPr>
      <w:r w:rsidRPr="0016734E">
        <w:rPr>
          <w:u w:val="single"/>
        </w:rPr>
        <w:t>Primer seal</w:t>
      </w:r>
      <w:r w:rsidRPr="007301DC">
        <w:t xml:space="preserve">: The application of a primer binder and aggregate to a </w:t>
      </w:r>
      <w:r w:rsidR="00AB26FA" w:rsidRPr="007301DC">
        <w:t xml:space="preserve">cold planed, </w:t>
      </w:r>
      <w:r w:rsidRPr="007301DC">
        <w:t>newly constructed</w:t>
      </w:r>
      <w:r w:rsidR="00AB26FA" w:rsidRPr="007301DC">
        <w:t xml:space="preserve"> or</w:t>
      </w:r>
      <w:r w:rsidRPr="007301DC">
        <w:t xml:space="preserve"> re-constructed pavement surface, to hold that surface until </w:t>
      </w:r>
      <w:r w:rsidR="00AB26FA" w:rsidRPr="007301DC">
        <w:t>the</w:t>
      </w:r>
      <w:r w:rsidRPr="007301DC">
        <w:t xml:space="preserve"> permanent surface </w:t>
      </w:r>
      <w:r w:rsidR="00AB26FA" w:rsidRPr="007301DC">
        <w:t>is</w:t>
      </w:r>
      <w:r w:rsidRPr="007301DC">
        <w:t xml:space="preserve"> applied.</w:t>
      </w:r>
    </w:p>
    <w:p w14:paraId="679691E6" w14:textId="77777777" w:rsidR="0067023B" w:rsidRPr="007301DC" w:rsidRDefault="0067023B" w:rsidP="00F76BE3">
      <w:pPr>
        <w:pStyle w:val="BodyTextIndent"/>
      </w:pPr>
      <w:r w:rsidRPr="0016734E">
        <w:rPr>
          <w:u w:val="single"/>
        </w:rPr>
        <w:t>Prime cover material</w:t>
      </w:r>
      <w:r w:rsidRPr="007301DC">
        <w:t>: Material used to cover a prime to enable traffic to use the pavement.  Prime cover material may be clean sand, crusher dust or cover aggregate.</w:t>
      </w:r>
    </w:p>
    <w:p w14:paraId="16680165" w14:textId="77777777" w:rsidR="0067023B" w:rsidRPr="007301DC" w:rsidRDefault="0067023B" w:rsidP="00F76BE3">
      <w:pPr>
        <w:pStyle w:val="BodyTextIndent"/>
      </w:pPr>
      <w:r w:rsidRPr="0016734E">
        <w:rPr>
          <w:u w:val="single"/>
        </w:rPr>
        <w:t>Reseal</w:t>
      </w:r>
      <w:r w:rsidRPr="007301DC">
        <w:t>: A maintenance seal on an existing bituminous surface.</w:t>
      </w:r>
    </w:p>
    <w:p w14:paraId="2F0A3531" w14:textId="77777777" w:rsidR="0067023B" w:rsidRPr="007301DC" w:rsidRDefault="0067023B" w:rsidP="00F76BE3">
      <w:pPr>
        <w:pStyle w:val="BodyTextIndent"/>
      </w:pPr>
      <w:r w:rsidRPr="0016734E">
        <w:rPr>
          <w:u w:val="single"/>
        </w:rPr>
        <w:t>Seal</w:t>
      </w:r>
      <w:r w:rsidRPr="007301DC">
        <w:t>: A thin surface layer of bituminous material into which aggregate has been incorporated.</w:t>
      </w:r>
    </w:p>
    <w:p w14:paraId="35A766CD" w14:textId="77777777" w:rsidR="0067023B" w:rsidRPr="007301DC" w:rsidRDefault="0067023B" w:rsidP="00F76BE3">
      <w:pPr>
        <w:pStyle w:val="BodyTextIndent"/>
      </w:pPr>
      <w:r w:rsidRPr="00615276">
        <w:rPr>
          <w:u w:val="single"/>
        </w:rPr>
        <w:t>Single seal</w:t>
      </w:r>
      <w:r w:rsidRPr="007301DC">
        <w:t>: A seal coat made up of one application of binder and aggregate.</w:t>
      </w:r>
    </w:p>
    <w:p w14:paraId="721FA3AE" w14:textId="77777777" w:rsidR="0067023B" w:rsidRPr="007301DC" w:rsidRDefault="0067023B" w:rsidP="00F76BE3">
      <w:pPr>
        <w:pStyle w:val="BodyTextIndent"/>
      </w:pPr>
      <w:r w:rsidRPr="00615276">
        <w:rPr>
          <w:u w:val="single"/>
        </w:rPr>
        <w:t>Spray run</w:t>
      </w:r>
      <w:r w:rsidRPr="007301DC">
        <w:t>: The area of pavement selected for coverage with a bituminous material during one continuous operation with a sprayer.</w:t>
      </w:r>
    </w:p>
    <w:p w14:paraId="42D748EA" w14:textId="77777777" w:rsidR="0067023B" w:rsidRPr="007301DC" w:rsidRDefault="0067023B" w:rsidP="004B12B0">
      <w:pPr>
        <w:pStyle w:val="Heading2"/>
      </w:pPr>
      <w:bookmarkStart w:id="26" w:name="_Toc457204402"/>
      <w:bookmarkStart w:id="27" w:name="_Toc76106320"/>
      <w:r w:rsidRPr="007301DC">
        <w:t>MATERIALS</w:t>
      </w:r>
      <w:bookmarkEnd w:id="26"/>
      <w:bookmarkEnd w:id="27"/>
    </w:p>
    <w:p w14:paraId="581518D7" w14:textId="77777777" w:rsidR="0067023B" w:rsidRPr="007301DC" w:rsidRDefault="005D7D96" w:rsidP="004B12B0">
      <w:pPr>
        <w:pStyle w:val="Heading3"/>
      </w:pPr>
      <w:bookmarkStart w:id="28" w:name="_Toc457204403"/>
      <w:bookmarkStart w:id="29" w:name="_Toc76106321"/>
      <w:r w:rsidRPr="007301DC">
        <w:t>Cover Aggregate</w:t>
      </w:r>
      <w:bookmarkEnd w:id="28"/>
      <w:bookmarkEnd w:id="29"/>
    </w:p>
    <w:p w14:paraId="3C66D629" w14:textId="77777777" w:rsidR="0067023B" w:rsidRPr="007301DC" w:rsidRDefault="0067023B" w:rsidP="00F76BE3">
      <w:pPr>
        <w:pStyle w:val="BodyTextIndent"/>
      </w:pPr>
      <w:r w:rsidRPr="00615276">
        <w:rPr>
          <w:u w:val="single"/>
        </w:rPr>
        <w:t>General requirement</w:t>
      </w:r>
      <w:r w:rsidRPr="007301DC">
        <w:t>: Cover aggregate must consist of crushed rock, crushed gravel or uncrushed gravel, and be free from dust, clay, vegetable matter and other deleterious material.</w:t>
      </w:r>
    </w:p>
    <w:p w14:paraId="5032A581" w14:textId="1BD1331D" w:rsidR="0067023B" w:rsidRPr="007301DC" w:rsidRDefault="0067023B" w:rsidP="00F76BE3">
      <w:pPr>
        <w:pStyle w:val="BodyTextIndent"/>
      </w:pPr>
      <w:r w:rsidRPr="00615276">
        <w:rPr>
          <w:u w:val="single"/>
        </w:rPr>
        <w:t>Particle size distribution (grading)</w:t>
      </w:r>
      <w:r w:rsidRPr="007301DC">
        <w:t xml:space="preserve">: Test to Queensland Department of </w:t>
      </w:r>
      <w:r w:rsidR="00F13432" w:rsidRPr="007301DC">
        <w:t xml:space="preserve">Transport and </w:t>
      </w:r>
      <w:r w:rsidRPr="007301DC">
        <w:t xml:space="preserve">Main Roads </w:t>
      </w:r>
      <w:r w:rsidR="00A136A4">
        <w:t xml:space="preserve">test </w:t>
      </w:r>
      <w:r w:rsidRPr="007301DC">
        <w:t xml:space="preserve">method </w:t>
      </w:r>
      <w:r w:rsidR="00F13432" w:rsidRPr="007301DC">
        <w:rPr>
          <w:i/>
        </w:rPr>
        <w:t>DTMR Q</w:t>
      </w:r>
      <w:r w:rsidRPr="007301DC">
        <w:rPr>
          <w:i/>
        </w:rPr>
        <w:t>103B</w:t>
      </w:r>
      <w:r w:rsidRPr="007301DC">
        <w:t xml:space="preserve"> or the appropriate Australian Standard method </w:t>
      </w:r>
      <w:r w:rsidRPr="007301DC">
        <w:rPr>
          <w:i/>
        </w:rPr>
        <w:t>AS 1141.19</w:t>
      </w:r>
      <w:r w:rsidRPr="007301DC">
        <w:t xml:space="preserve"> or </w:t>
      </w:r>
      <w:r w:rsidRPr="007301DC">
        <w:rPr>
          <w:i/>
        </w:rPr>
        <w:t>AS 1289.3.6.1</w:t>
      </w:r>
      <w:r w:rsidRPr="007301DC">
        <w:t>.  Comply with the requirements of Table 4.1 for the relevant nominal size.</w:t>
      </w:r>
    </w:p>
    <w:p w14:paraId="4204320F" w14:textId="77777777" w:rsidR="0067023B" w:rsidRPr="007301DC" w:rsidRDefault="0067023B" w:rsidP="00F76BE3">
      <w:pPr>
        <w:pStyle w:val="BodyTextIndent"/>
      </w:pPr>
      <w:r w:rsidRPr="00615276">
        <w:rPr>
          <w:u w:val="single"/>
        </w:rPr>
        <w:t>Material properties</w:t>
      </w:r>
      <w:r w:rsidRPr="007301DC">
        <w:t xml:space="preserve">: Test to the specified Queensland Department of </w:t>
      </w:r>
      <w:r w:rsidR="00F13432" w:rsidRPr="007301DC">
        <w:t xml:space="preserve">Transport and </w:t>
      </w:r>
      <w:r w:rsidRPr="007301DC">
        <w:t>Main Roads or the Australian Standard methods.  Comply with the requirements of Table 4.2 for the relevant quality category.</w:t>
      </w:r>
    </w:p>
    <w:p w14:paraId="36014E61" w14:textId="4F7D2833" w:rsidR="0067023B" w:rsidRPr="007301DC" w:rsidRDefault="0067023B" w:rsidP="00F76BE3">
      <w:pPr>
        <w:pStyle w:val="BodyTextIndent"/>
      </w:pPr>
      <w:r w:rsidRPr="00615276">
        <w:rPr>
          <w:u w:val="single"/>
        </w:rPr>
        <w:t>Conformance criteria</w:t>
      </w:r>
      <w:r w:rsidRPr="007301DC">
        <w:t xml:space="preserve">: Comply with the requirements of </w:t>
      </w:r>
      <w:r w:rsidR="00A136A4" w:rsidRPr="00615276">
        <w:rPr>
          <w:i/>
          <w:iCs/>
        </w:rPr>
        <w:t xml:space="preserve">Reference </w:t>
      </w:r>
      <w:r w:rsidR="00615276" w:rsidRPr="00615276">
        <w:rPr>
          <w:i/>
          <w:iCs/>
        </w:rPr>
        <w:t>Specification</w:t>
      </w:r>
      <w:r w:rsidR="00A136A4">
        <w:t xml:space="preserve"> </w:t>
      </w:r>
      <w:r w:rsidRPr="007301DC">
        <w:rPr>
          <w:i/>
        </w:rPr>
        <w:t>S120 Quality Clause 8.2</w:t>
      </w:r>
      <w:r w:rsidRPr="007301DC">
        <w:t>.</w:t>
      </w:r>
    </w:p>
    <w:p w14:paraId="6B28AC6A" w14:textId="77777777" w:rsidR="0067023B" w:rsidRPr="007301DC" w:rsidRDefault="0067023B" w:rsidP="00881E3D">
      <w:pPr>
        <w:pStyle w:val="TableIDNum"/>
      </w:pPr>
      <w:r w:rsidRPr="007301DC">
        <w:lastRenderedPageBreak/>
        <w:t>Table</w:t>
      </w:r>
      <w:r w:rsidR="00AC795E" w:rsidRPr="007301DC">
        <w:t> </w:t>
      </w:r>
      <w:r w:rsidRPr="007301DC">
        <w:t xml:space="preserve">4.1 </w:t>
      </w:r>
      <w:r w:rsidR="009F752F" w:rsidRPr="007301DC">
        <w:t>–</w:t>
      </w:r>
      <w:r w:rsidRPr="007301DC">
        <w:t xml:space="preserve"> Particle size distribution</w:t>
      </w:r>
    </w:p>
    <w:tbl>
      <w:tblPr>
        <w:tblW w:w="8789" w:type="dxa"/>
        <w:tblInd w:w="709" w:type="dxa"/>
        <w:tblLayout w:type="fixed"/>
        <w:tblLook w:val="00A0" w:firstRow="1" w:lastRow="0" w:firstColumn="1" w:lastColumn="0" w:noHBand="0" w:noVBand="0"/>
      </w:tblPr>
      <w:tblGrid>
        <w:gridCol w:w="1255"/>
        <w:gridCol w:w="1256"/>
        <w:gridCol w:w="1255"/>
        <w:gridCol w:w="1256"/>
        <w:gridCol w:w="1255"/>
        <w:gridCol w:w="1256"/>
        <w:gridCol w:w="1256"/>
      </w:tblGrid>
      <w:tr w:rsidR="00881E3D" w:rsidRPr="007301DC" w14:paraId="0CAE6699" w14:textId="77777777" w:rsidTr="0078781D">
        <w:trPr>
          <w:cantSplit/>
          <w:trHeight w:val="397"/>
        </w:trPr>
        <w:tc>
          <w:tcPr>
            <w:tcW w:w="1255" w:type="dxa"/>
            <w:vMerge w:val="restart"/>
            <w:tcBorders>
              <w:top w:val="single" w:sz="12" w:space="0" w:color="auto"/>
              <w:bottom w:val="single" w:sz="12" w:space="0" w:color="auto"/>
            </w:tcBorders>
            <w:shd w:val="pct10" w:color="auto" w:fill="auto"/>
            <w:vAlign w:val="center"/>
          </w:tcPr>
          <w:p w14:paraId="126B3BCC" w14:textId="77777777" w:rsidR="00881E3D" w:rsidRPr="007301DC" w:rsidRDefault="00881E3D" w:rsidP="00881E3D">
            <w:pPr>
              <w:pStyle w:val="TableHeadCen"/>
            </w:pPr>
            <w:r w:rsidRPr="007301DC">
              <w:t>A.S. sieve size (mm)</w:t>
            </w:r>
          </w:p>
        </w:tc>
        <w:tc>
          <w:tcPr>
            <w:tcW w:w="7534" w:type="dxa"/>
            <w:gridSpan w:val="6"/>
            <w:tcBorders>
              <w:top w:val="single" w:sz="12" w:space="0" w:color="auto"/>
            </w:tcBorders>
            <w:shd w:val="pct10" w:color="auto" w:fill="auto"/>
            <w:vAlign w:val="center"/>
          </w:tcPr>
          <w:p w14:paraId="36E1BA21" w14:textId="77777777" w:rsidR="00881E3D" w:rsidRPr="007301DC" w:rsidRDefault="00881E3D" w:rsidP="00881E3D">
            <w:pPr>
              <w:pStyle w:val="TableHeadCen"/>
            </w:pPr>
            <w:r w:rsidRPr="007301DC">
              <w:t>% passing by mass for each nominal size</w:t>
            </w:r>
          </w:p>
        </w:tc>
      </w:tr>
      <w:tr w:rsidR="00881E3D" w:rsidRPr="007301DC" w14:paraId="7407AD18" w14:textId="77777777" w:rsidTr="0078781D">
        <w:trPr>
          <w:cantSplit/>
          <w:trHeight w:val="397"/>
        </w:trPr>
        <w:tc>
          <w:tcPr>
            <w:tcW w:w="1255" w:type="dxa"/>
            <w:vMerge/>
            <w:tcBorders>
              <w:bottom w:val="single" w:sz="12" w:space="0" w:color="auto"/>
            </w:tcBorders>
            <w:shd w:val="pct10" w:color="auto" w:fill="auto"/>
            <w:vAlign w:val="center"/>
          </w:tcPr>
          <w:p w14:paraId="19A2B08F" w14:textId="77777777" w:rsidR="0067023B" w:rsidRPr="007301DC" w:rsidRDefault="0067023B" w:rsidP="008E6910">
            <w:pPr>
              <w:pStyle w:val="TableHeadCen"/>
            </w:pPr>
          </w:p>
        </w:tc>
        <w:tc>
          <w:tcPr>
            <w:tcW w:w="1256" w:type="dxa"/>
            <w:tcBorders>
              <w:top w:val="single" w:sz="4" w:space="0" w:color="auto"/>
              <w:bottom w:val="single" w:sz="12" w:space="0" w:color="auto"/>
            </w:tcBorders>
            <w:shd w:val="pct10" w:color="auto" w:fill="auto"/>
            <w:vAlign w:val="center"/>
          </w:tcPr>
          <w:p w14:paraId="115C218A" w14:textId="0F7C14C2" w:rsidR="0067023B" w:rsidRPr="009F0710" w:rsidRDefault="0067023B" w:rsidP="009F0710">
            <w:pPr>
              <w:pStyle w:val="TableHeadCen"/>
            </w:pPr>
            <w:r w:rsidRPr="009F0710">
              <w:t>20</w:t>
            </w:r>
            <w:r w:rsidR="00A136A4" w:rsidRPr="009F0710">
              <w:t> </w:t>
            </w:r>
            <w:r w:rsidRPr="009F0710">
              <w:t>mm</w:t>
            </w:r>
          </w:p>
        </w:tc>
        <w:tc>
          <w:tcPr>
            <w:tcW w:w="1255" w:type="dxa"/>
            <w:tcBorders>
              <w:top w:val="single" w:sz="4" w:space="0" w:color="auto"/>
              <w:bottom w:val="single" w:sz="12" w:space="0" w:color="auto"/>
            </w:tcBorders>
            <w:shd w:val="pct10" w:color="auto" w:fill="auto"/>
            <w:vAlign w:val="center"/>
          </w:tcPr>
          <w:p w14:paraId="167F5878" w14:textId="2634FCFE" w:rsidR="0067023B" w:rsidRPr="00A01F7D" w:rsidRDefault="0067023B" w:rsidP="009F0710">
            <w:pPr>
              <w:pStyle w:val="TableHeadCen"/>
            </w:pPr>
            <w:r w:rsidRPr="00A01F7D">
              <w:t>16</w:t>
            </w:r>
            <w:r w:rsidR="000A7B33" w:rsidRPr="00A01F7D">
              <w:t> </w:t>
            </w:r>
            <w:r w:rsidRPr="00A01F7D">
              <w:t>mm</w:t>
            </w:r>
          </w:p>
        </w:tc>
        <w:tc>
          <w:tcPr>
            <w:tcW w:w="1256" w:type="dxa"/>
            <w:tcBorders>
              <w:top w:val="single" w:sz="4" w:space="0" w:color="auto"/>
              <w:bottom w:val="single" w:sz="12" w:space="0" w:color="auto"/>
            </w:tcBorders>
            <w:shd w:val="pct10" w:color="auto" w:fill="auto"/>
            <w:vAlign w:val="center"/>
          </w:tcPr>
          <w:p w14:paraId="2E71A2F3" w14:textId="59DA5DAF" w:rsidR="0067023B" w:rsidRPr="00A01F7D" w:rsidRDefault="0067023B" w:rsidP="00A01F7D">
            <w:pPr>
              <w:pStyle w:val="TableHeadCen"/>
            </w:pPr>
            <w:r w:rsidRPr="00A01F7D">
              <w:t>14</w:t>
            </w:r>
            <w:r w:rsidR="000A7B33" w:rsidRPr="00A01F7D">
              <w:t> </w:t>
            </w:r>
            <w:r w:rsidRPr="00A01F7D">
              <w:t>mm</w:t>
            </w:r>
          </w:p>
        </w:tc>
        <w:tc>
          <w:tcPr>
            <w:tcW w:w="1255" w:type="dxa"/>
            <w:tcBorders>
              <w:top w:val="single" w:sz="4" w:space="0" w:color="auto"/>
              <w:bottom w:val="single" w:sz="12" w:space="0" w:color="auto"/>
            </w:tcBorders>
            <w:shd w:val="pct10" w:color="auto" w:fill="auto"/>
            <w:vAlign w:val="center"/>
          </w:tcPr>
          <w:p w14:paraId="58851653" w14:textId="2948F25E" w:rsidR="0067023B" w:rsidRPr="00615276" w:rsidRDefault="0067023B" w:rsidP="00A01F7D">
            <w:pPr>
              <w:pStyle w:val="TableHeadCen"/>
            </w:pPr>
            <w:r w:rsidRPr="00615276">
              <w:t>10</w:t>
            </w:r>
            <w:r w:rsidR="000A7B33" w:rsidRPr="00615276">
              <w:t> </w:t>
            </w:r>
            <w:r w:rsidRPr="00615276">
              <w:t>mm</w:t>
            </w:r>
          </w:p>
        </w:tc>
        <w:tc>
          <w:tcPr>
            <w:tcW w:w="1256" w:type="dxa"/>
            <w:tcBorders>
              <w:top w:val="single" w:sz="4" w:space="0" w:color="auto"/>
              <w:bottom w:val="single" w:sz="12" w:space="0" w:color="auto"/>
            </w:tcBorders>
            <w:shd w:val="pct10" w:color="auto" w:fill="auto"/>
            <w:vAlign w:val="center"/>
          </w:tcPr>
          <w:p w14:paraId="04B64406" w14:textId="6E86DA49" w:rsidR="0067023B" w:rsidRPr="00615276" w:rsidRDefault="0067023B" w:rsidP="00615276">
            <w:pPr>
              <w:pStyle w:val="TableHeadCen"/>
            </w:pPr>
            <w:r w:rsidRPr="00615276">
              <w:t>7</w:t>
            </w:r>
            <w:r w:rsidR="009F0710" w:rsidRPr="00615276">
              <w:t> </w:t>
            </w:r>
            <w:r w:rsidRPr="00615276">
              <w:t>mm</w:t>
            </w:r>
          </w:p>
        </w:tc>
        <w:tc>
          <w:tcPr>
            <w:tcW w:w="1256" w:type="dxa"/>
            <w:tcBorders>
              <w:top w:val="single" w:sz="4" w:space="0" w:color="auto"/>
              <w:bottom w:val="single" w:sz="12" w:space="0" w:color="auto"/>
            </w:tcBorders>
            <w:shd w:val="pct10" w:color="auto" w:fill="auto"/>
            <w:vAlign w:val="center"/>
          </w:tcPr>
          <w:p w14:paraId="5F5C53CC" w14:textId="46711011" w:rsidR="0067023B" w:rsidRPr="00615276" w:rsidRDefault="0067023B" w:rsidP="00615276">
            <w:pPr>
              <w:pStyle w:val="TableHeadCen"/>
            </w:pPr>
            <w:r w:rsidRPr="00615276">
              <w:t>5</w:t>
            </w:r>
            <w:r w:rsidR="009F0710" w:rsidRPr="00615276">
              <w:t> </w:t>
            </w:r>
            <w:r w:rsidRPr="00615276">
              <w:t>mm</w:t>
            </w:r>
          </w:p>
        </w:tc>
      </w:tr>
      <w:tr w:rsidR="0067023B" w:rsidRPr="007301DC" w14:paraId="00003F00" w14:textId="77777777" w:rsidTr="0078781D">
        <w:trPr>
          <w:trHeight w:val="340"/>
        </w:trPr>
        <w:tc>
          <w:tcPr>
            <w:tcW w:w="1255" w:type="dxa"/>
            <w:tcBorders>
              <w:top w:val="single" w:sz="12" w:space="0" w:color="auto"/>
              <w:bottom w:val="single" w:sz="4" w:space="0" w:color="auto"/>
            </w:tcBorders>
            <w:vAlign w:val="center"/>
          </w:tcPr>
          <w:p w14:paraId="658878D0" w14:textId="77777777" w:rsidR="0067023B" w:rsidRPr="007301DC" w:rsidRDefault="0067023B" w:rsidP="00881E3D">
            <w:pPr>
              <w:pStyle w:val="TableCen"/>
            </w:pPr>
            <w:r w:rsidRPr="007301DC">
              <w:t>26.5</w:t>
            </w:r>
          </w:p>
        </w:tc>
        <w:tc>
          <w:tcPr>
            <w:tcW w:w="1256" w:type="dxa"/>
            <w:tcBorders>
              <w:top w:val="single" w:sz="12" w:space="0" w:color="auto"/>
              <w:bottom w:val="single" w:sz="4" w:space="0" w:color="auto"/>
            </w:tcBorders>
            <w:vAlign w:val="center"/>
          </w:tcPr>
          <w:p w14:paraId="3F8FB095" w14:textId="77777777" w:rsidR="0067023B" w:rsidRPr="007301DC" w:rsidRDefault="0067023B" w:rsidP="00881E3D">
            <w:pPr>
              <w:pStyle w:val="TableCen"/>
            </w:pPr>
            <w:r w:rsidRPr="007301DC">
              <w:t>100</w:t>
            </w:r>
          </w:p>
        </w:tc>
        <w:tc>
          <w:tcPr>
            <w:tcW w:w="1255" w:type="dxa"/>
            <w:tcBorders>
              <w:top w:val="single" w:sz="12" w:space="0" w:color="auto"/>
              <w:bottom w:val="single" w:sz="4" w:space="0" w:color="auto"/>
            </w:tcBorders>
            <w:vAlign w:val="center"/>
          </w:tcPr>
          <w:p w14:paraId="067628FC" w14:textId="77777777" w:rsidR="0067023B" w:rsidRPr="007301DC" w:rsidRDefault="0067023B" w:rsidP="00881E3D">
            <w:pPr>
              <w:pStyle w:val="TableCen"/>
            </w:pPr>
          </w:p>
        </w:tc>
        <w:tc>
          <w:tcPr>
            <w:tcW w:w="1256" w:type="dxa"/>
            <w:tcBorders>
              <w:top w:val="single" w:sz="12" w:space="0" w:color="auto"/>
              <w:bottom w:val="single" w:sz="4" w:space="0" w:color="auto"/>
            </w:tcBorders>
            <w:vAlign w:val="center"/>
          </w:tcPr>
          <w:p w14:paraId="7E0F11C0" w14:textId="77777777" w:rsidR="0067023B" w:rsidRPr="007301DC" w:rsidRDefault="0067023B" w:rsidP="00881E3D">
            <w:pPr>
              <w:pStyle w:val="TableCen"/>
            </w:pPr>
          </w:p>
        </w:tc>
        <w:tc>
          <w:tcPr>
            <w:tcW w:w="1255" w:type="dxa"/>
            <w:tcBorders>
              <w:top w:val="single" w:sz="12" w:space="0" w:color="auto"/>
              <w:bottom w:val="single" w:sz="4" w:space="0" w:color="auto"/>
            </w:tcBorders>
            <w:vAlign w:val="center"/>
          </w:tcPr>
          <w:p w14:paraId="2328FA86" w14:textId="77777777" w:rsidR="0067023B" w:rsidRPr="007301DC" w:rsidRDefault="0067023B" w:rsidP="00881E3D">
            <w:pPr>
              <w:pStyle w:val="TableCen"/>
            </w:pPr>
          </w:p>
        </w:tc>
        <w:tc>
          <w:tcPr>
            <w:tcW w:w="1256" w:type="dxa"/>
            <w:tcBorders>
              <w:top w:val="single" w:sz="12" w:space="0" w:color="auto"/>
              <w:bottom w:val="single" w:sz="4" w:space="0" w:color="auto"/>
            </w:tcBorders>
            <w:vAlign w:val="center"/>
          </w:tcPr>
          <w:p w14:paraId="761F9F3F" w14:textId="77777777" w:rsidR="0067023B" w:rsidRPr="007301DC" w:rsidRDefault="0067023B" w:rsidP="00881E3D">
            <w:pPr>
              <w:pStyle w:val="TableCen"/>
            </w:pPr>
          </w:p>
        </w:tc>
        <w:tc>
          <w:tcPr>
            <w:tcW w:w="1256" w:type="dxa"/>
            <w:tcBorders>
              <w:top w:val="single" w:sz="12" w:space="0" w:color="auto"/>
              <w:bottom w:val="single" w:sz="4" w:space="0" w:color="auto"/>
            </w:tcBorders>
            <w:vAlign w:val="center"/>
          </w:tcPr>
          <w:p w14:paraId="362D3969" w14:textId="77777777" w:rsidR="0067023B" w:rsidRPr="007301DC" w:rsidRDefault="0067023B" w:rsidP="00881E3D">
            <w:pPr>
              <w:pStyle w:val="TableCen"/>
            </w:pPr>
          </w:p>
        </w:tc>
      </w:tr>
      <w:tr w:rsidR="0067023B" w:rsidRPr="007301DC" w14:paraId="128B040B" w14:textId="77777777" w:rsidTr="0078781D">
        <w:trPr>
          <w:trHeight w:val="340"/>
        </w:trPr>
        <w:tc>
          <w:tcPr>
            <w:tcW w:w="1255" w:type="dxa"/>
            <w:tcBorders>
              <w:top w:val="single" w:sz="4" w:space="0" w:color="auto"/>
              <w:bottom w:val="single" w:sz="4" w:space="0" w:color="auto"/>
            </w:tcBorders>
            <w:vAlign w:val="center"/>
          </w:tcPr>
          <w:p w14:paraId="247D8BEA" w14:textId="77777777" w:rsidR="0067023B" w:rsidRPr="007301DC" w:rsidRDefault="0067023B" w:rsidP="00881E3D">
            <w:pPr>
              <w:pStyle w:val="TableCen"/>
            </w:pPr>
            <w:r w:rsidRPr="007301DC">
              <w:t>19.0</w:t>
            </w:r>
          </w:p>
        </w:tc>
        <w:tc>
          <w:tcPr>
            <w:tcW w:w="1256" w:type="dxa"/>
            <w:tcBorders>
              <w:top w:val="single" w:sz="4" w:space="0" w:color="auto"/>
              <w:bottom w:val="single" w:sz="4" w:space="0" w:color="auto"/>
            </w:tcBorders>
            <w:vAlign w:val="center"/>
          </w:tcPr>
          <w:p w14:paraId="7F6D4A3A" w14:textId="6DDB2617" w:rsidR="0067023B" w:rsidRPr="007301DC" w:rsidRDefault="0067023B" w:rsidP="00881E3D">
            <w:pPr>
              <w:pStyle w:val="TableCen"/>
            </w:pPr>
            <w:r w:rsidRPr="007301DC">
              <w:t>85</w:t>
            </w:r>
            <w:r w:rsidR="009F0710" w:rsidRPr="007301DC">
              <w:t> </w:t>
            </w:r>
            <w:r w:rsidRPr="007301DC">
              <w:t>-</w:t>
            </w:r>
            <w:r w:rsidR="00965325" w:rsidRPr="007301DC">
              <w:t> </w:t>
            </w:r>
            <w:r w:rsidRPr="007301DC">
              <w:t>100</w:t>
            </w:r>
          </w:p>
        </w:tc>
        <w:tc>
          <w:tcPr>
            <w:tcW w:w="1255" w:type="dxa"/>
            <w:tcBorders>
              <w:top w:val="single" w:sz="4" w:space="0" w:color="auto"/>
              <w:bottom w:val="single" w:sz="4" w:space="0" w:color="auto"/>
            </w:tcBorders>
            <w:vAlign w:val="center"/>
          </w:tcPr>
          <w:p w14:paraId="1EC57FDE" w14:textId="77777777" w:rsidR="0067023B" w:rsidRPr="007301DC" w:rsidRDefault="0067023B" w:rsidP="00881E3D">
            <w:pPr>
              <w:pStyle w:val="TableCen"/>
            </w:pPr>
            <w:r w:rsidRPr="007301DC">
              <w:t>100</w:t>
            </w:r>
          </w:p>
        </w:tc>
        <w:tc>
          <w:tcPr>
            <w:tcW w:w="1256" w:type="dxa"/>
            <w:tcBorders>
              <w:top w:val="single" w:sz="4" w:space="0" w:color="auto"/>
              <w:bottom w:val="single" w:sz="4" w:space="0" w:color="auto"/>
            </w:tcBorders>
            <w:vAlign w:val="center"/>
          </w:tcPr>
          <w:p w14:paraId="19C73799" w14:textId="77777777" w:rsidR="0067023B" w:rsidRPr="007301DC" w:rsidRDefault="0067023B" w:rsidP="00881E3D">
            <w:pPr>
              <w:pStyle w:val="TableCen"/>
            </w:pPr>
            <w:r w:rsidRPr="007301DC">
              <w:t>100</w:t>
            </w:r>
          </w:p>
        </w:tc>
        <w:tc>
          <w:tcPr>
            <w:tcW w:w="1255" w:type="dxa"/>
            <w:tcBorders>
              <w:top w:val="single" w:sz="4" w:space="0" w:color="auto"/>
              <w:bottom w:val="single" w:sz="4" w:space="0" w:color="auto"/>
            </w:tcBorders>
            <w:vAlign w:val="center"/>
          </w:tcPr>
          <w:p w14:paraId="0AACBB28" w14:textId="77777777" w:rsidR="0067023B" w:rsidRPr="007301DC" w:rsidRDefault="0067023B" w:rsidP="00881E3D">
            <w:pPr>
              <w:pStyle w:val="TableCen"/>
            </w:pPr>
          </w:p>
        </w:tc>
        <w:tc>
          <w:tcPr>
            <w:tcW w:w="1256" w:type="dxa"/>
            <w:tcBorders>
              <w:top w:val="single" w:sz="4" w:space="0" w:color="auto"/>
              <w:bottom w:val="single" w:sz="4" w:space="0" w:color="auto"/>
            </w:tcBorders>
            <w:vAlign w:val="center"/>
          </w:tcPr>
          <w:p w14:paraId="1F94A774" w14:textId="77777777" w:rsidR="0067023B" w:rsidRPr="007301DC" w:rsidRDefault="0067023B" w:rsidP="00881E3D">
            <w:pPr>
              <w:pStyle w:val="TableCen"/>
            </w:pPr>
          </w:p>
        </w:tc>
        <w:tc>
          <w:tcPr>
            <w:tcW w:w="1256" w:type="dxa"/>
            <w:tcBorders>
              <w:top w:val="single" w:sz="4" w:space="0" w:color="auto"/>
              <w:bottom w:val="single" w:sz="4" w:space="0" w:color="auto"/>
            </w:tcBorders>
            <w:vAlign w:val="center"/>
          </w:tcPr>
          <w:p w14:paraId="24E8D047" w14:textId="77777777" w:rsidR="0067023B" w:rsidRPr="007301DC" w:rsidRDefault="0067023B" w:rsidP="00881E3D">
            <w:pPr>
              <w:pStyle w:val="TableCen"/>
            </w:pPr>
          </w:p>
        </w:tc>
      </w:tr>
      <w:tr w:rsidR="0067023B" w:rsidRPr="007301DC" w14:paraId="60446417" w14:textId="77777777" w:rsidTr="0078781D">
        <w:trPr>
          <w:trHeight w:val="340"/>
        </w:trPr>
        <w:tc>
          <w:tcPr>
            <w:tcW w:w="1255" w:type="dxa"/>
            <w:tcBorders>
              <w:top w:val="single" w:sz="4" w:space="0" w:color="auto"/>
              <w:bottom w:val="single" w:sz="4" w:space="0" w:color="auto"/>
            </w:tcBorders>
            <w:vAlign w:val="center"/>
          </w:tcPr>
          <w:p w14:paraId="7A26E213" w14:textId="77777777" w:rsidR="0067023B" w:rsidRPr="007301DC" w:rsidRDefault="0067023B" w:rsidP="00881E3D">
            <w:pPr>
              <w:pStyle w:val="TableCen"/>
            </w:pPr>
            <w:r w:rsidRPr="007301DC">
              <w:t>16.0</w:t>
            </w:r>
          </w:p>
        </w:tc>
        <w:tc>
          <w:tcPr>
            <w:tcW w:w="1256" w:type="dxa"/>
            <w:tcBorders>
              <w:top w:val="single" w:sz="4" w:space="0" w:color="auto"/>
              <w:bottom w:val="single" w:sz="4" w:space="0" w:color="auto"/>
            </w:tcBorders>
            <w:vAlign w:val="center"/>
          </w:tcPr>
          <w:p w14:paraId="40BBE911" w14:textId="77777777" w:rsidR="0067023B" w:rsidRPr="007301DC" w:rsidRDefault="0067023B" w:rsidP="00881E3D">
            <w:pPr>
              <w:pStyle w:val="TableCen"/>
            </w:pPr>
          </w:p>
        </w:tc>
        <w:tc>
          <w:tcPr>
            <w:tcW w:w="1255" w:type="dxa"/>
            <w:tcBorders>
              <w:top w:val="single" w:sz="4" w:space="0" w:color="auto"/>
              <w:bottom w:val="single" w:sz="4" w:space="0" w:color="auto"/>
            </w:tcBorders>
            <w:vAlign w:val="center"/>
          </w:tcPr>
          <w:p w14:paraId="03E8F5E4" w14:textId="4776FC13" w:rsidR="0067023B" w:rsidRPr="007301DC" w:rsidRDefault="0067023B" w:rsidP="00881E3D">
            <w:pPr>
              <w:pStyle w:val="TableCen"/>
            </w:pPr>
            <w:r w:rsidRPr="007301DC">
              <w:t>85</w:t>
            </w:r>
            <w:r w:rsidR="009F0710" w:rsidRPr="007301DC">
              <w:t> </w:t>
            </w:r>
            <w:r w:rsidRPr="007301DC">
              <w:t>-</w:t>
            </w:r>
            <w:r w:rsidR="009F0710" w:rsidRPr="007301DC">
              <w:t> </w:t>
            </w:r>
            <w:r w:rsidRPr="007301DC">
              <w:t>100</w:t>
            </w:r>
          </w:p>
        </w:tc>
        <w:tc>
          <w:tcPr>
            <w:tcW w:w="1256" w:type="dxa"/>
            <w:tcBorders>
              <w:top w:val="single" w:sz="4" w:space="0" w:color="auto"/>
              <w:bottom w:val="single" w:sz="4" w:space="0" w:color="auto"/>
            </w:tcBorders>
            <w:vAlign w:val="center"/>
          </w:tcPr>
          <w:p w14:paraId="1B2DCE99" w14:textId="77777777" w:rsidR="0067023B" w:rsidRPr="007301DC" w:rsidRDefault="0067023B" w:rsidP="00881E3D">
            <w:pPr>
              <w:pStyle w:val="TableCen"/>
            </w:pPr>
          </w:p>
        </w:tc>
        <w:tc>
          <w:tcPr>
            <w:tcW w:w="1255" w:type="dxa"/>
            <w:tcBorders>
              <w:top w:val="single" w:sz="4" w:space="0" w:color="auto"/>
              <w:bottom w:val="single" w:sz="4" w:space="0" w:color="auto"/>
            </w:tcBorders>
            <w:vAlign w:val="center"/>
          </w:tcPr>
          <w:p w14:paraId="475B81D9" w14:textId="77777777" w:rsidR="0067023B" w:rsidRPr="007301DC" w:rsidRDefault="0067023B" w:rsidP="00881E3D">
            <w:pPr>
              <w:pStyle w:val="TableCen"/>
            </w:pPr>
          </w:p>
        </w:tc>
        <w:tc>
          <w:tcPr>
            <w:tcW w:w="1256" w:type="dxa"/>
            <w:tcBorders>
              <w:top w:val="single" w:sz="4" w:space="0" w:color="auto"/>
              <w:bottom w:val="single" w:sz="4" w:space="0" w:color="auto"/>
            </w:tcBorders>
            <w:vAlign w:val="center"/>
          </w:tcPr>
          <w:p w14:paraId="1C913980" w14:textId="77777777" w:rsidR="0067023B" w:rsidRPr="007301DC" w:rsidRDefault="0067023B" w:rsidP="00881E3D">
            <w:pPr>
              <w:pStyle w:val="TableCen"/>
            </w:pPr>
          </w:p>
        </w:tc>
        <w:tc>
          <w:tcPr>
            <w:tcW w:w="1256" w:type="dxa"/>
            <w:tcBorders>
              <w:top w:val="single" w:sz="4" w:space="0" w:color="auto"/>
              <w:bottom w:val="single" w:sz="4" w:space="0" w:color="auto"/>
            </w:tcBorders>
            <w:vAlign w:val="center"/>
          </w:tcPr>
          <w:p w14:paraId="0A57AAE9" w14:textId="77777777" w:rsidR="0067023B" w:rsidRPr="007301DC" w:rsidRDefault="0067023B" w:rsidP="00881E3D">
            <w:pPr>
              <w:pStyle w:val="TableCen"/>
            </w:pPr>
          </w:p>
        </w:tc>
      </w:tr>
      <w:tr w:rsidR="0067023B" w:rsidRPr="007301DC" w14:paraId="6127F334" w14:textId="77777777" w:rsidTr="0078781D">
        <w:trPr>
          <w:trHeight w:val="340"/>
        </w:trPr>
        <w:tc>
          <w:tcPr>
            <w:tcW w:w="1255" w:type="dxa"/>
            <w:tcBorders>
              <w:top w:val="single" w:sz="4" w:space="0" w:color="auto"/>
              <w:bottom w:val="single" w:sz="4" w:space="0" w:color="auto"/>
            </w:tcBorders>
            <w:vAlign w:val="center"/>
          </w:tcPr>
          <w:p w14:paraId="3AC0B014" w14:textId="77777777" w:rsidR="0067023B" w:rsidRPr="007301DC" w:rsidRDefault="0067023B" w:rsidP="00881E3D">
            <w:pPr>
              <w:pStyle w:val="TableCen"/>
            </w:pPr>
            <w:r w:rsidRPr="007301DC">
              <w:t>13.2</w:t>
            </w:r>
          </w:p>
        </w:tc>
        <w:tc>
          <w:tcPr>
            <w:tcW w:w="1256" w:type="dxa"/>
            <w:tcBorders>
              <w:top w:val="single" w:sz="4" w:space="0" w:color="auto"/>
              <w:bottom w:val="single" w:sz="4" w:space="0" w:color="auto"/>
            </w:tcBorders>
            <w:vAlign w:val="center"/>
          </w:tcPr>
          <w:p w14:paraId="0D2FD46C" w14:textId="3DAF65F6" w:rsidR="0067023B" w:rsidRPr="007301DC" w:rsidRDefault="0067023B" w:rsidP="00881E3D">
            <w:pPr>
              <w:pStyle w:val="TableCen"/>
            </w:pPr>
            <w:r w:rsidRPr="007301DC">
              <w:t>0</w:t>
            </w:r>
            <w:r w:rsidR="00965325" w:rsidRPr="007301DC">
              <w:t> </w:t>
            </w:r>
            <w:r w:rsidRPr="007301DC">
              <w:t>-</w:t>
            </w:r>
            <w:r w:rsidR="009F5142" w:rsidRPr="007301DC">
              <w:t> </w:t>
            </w:r>
            <w:r w:rsidR="009F5142">
              <w:t>2</w:t>
            </w:r>
            <w:r w:rsidRPr="007301DC">
              <w:t>0</w:t>
            </w:r>
          </w:p>
        </w:tc>
        <w:tc>
          <w:tcPr>
            <w:tcW w:w="1255" w:type="dxa"/>
            <w:tcBorders>
              <w:top w:val="single" w:sz="4" w:space="0" w:color="auto"/>
              <w:bottom w:val="single" w:sz="4" w:space="0" w:color="auto"/>
            </w:tcBorders>
            <w:vAlign w:val="center"/>
          </w:tcPr>
          <w:p w14:paraId="7EF4EEF3" w14:textId="24FFE625" w:rsidR="0067023B" w:rsidRPr="007301DC" w:rsidRDefault="0067023B" w:rsidP="00881E3D">
            <w:pPr>
              <w:pStyle w:val="TableCen"/>
            </w:pPr>
            <w:r w:rsidRPr="007301DC">
              <w:t>0</w:t>
            </w:r>
            <w:r w:rsidR="009F5142" w:rsidRPr="007301DC">
              <w:t> </w:t>
            </w:r>
            <w:r w:rsidRPr="007301DC">
              <w:t>-</w:t>
            </w:r>
            <w:r w:rsidR="009F5142" w:rsidRPr="007301DC">
              <w:t> </w:t>
            </w:r>
            <w:r w:rsidRPr="007301DC">
              <w:t>60</w:t>
            </w:r>
          </w:p>
        </w:tc>
        <w:tc>
          <w:tcPr>
            <w:tcW w:w="1256" w:type="dxa"/>
            <w:tcBorders>
              <w:top w:val="single" w:sz="4" w:space="0" w:color="auto"/>
              <w:bottom w:val="single" w:sz="4" w:space="0" w:color="auto"/>
            </w:tcBorders>
            <w:vAlign w:val="center"/>
          </w:tcPr>
          <w:p w14:paraId="157FD791" w14:textId="082CCD72" w:rsidR="0067023B" w:rsidRPr="007301DC" w:rsidRDefault="0067023B" w:rsidP="00881E3D">
            <w:pPr>
              <w:pStyle w:val="TableCen"/>
            </w:pPr>
            <w:r w:rsidRPr="007301DC">
              <w:t>85</w:t>
            </w:r>
            <w:r w:rsidR="00E46B16" w:rsidRPr="007301DC">
              <w:t> - </w:t>
            </w:r>
            <w:r w:rsidRPr="007301DC">
              <w:t>100</w:t>
            </w:r>
          </w:p>
        </w:tc>
        <w:tc>
          <w:tcPr>
            <w:tcW w:w="1255" w:type="dxa"/>
            <w:tcBorders>
              <w:top w:val="single" w:sz="4" w:space="0" w:color="auto"/>
              <w:bottom w:val="single" w:sz="4" w:space="0" w:color="auto"/>
            </w:tcBorders>
            <w:vAlign w:val="center"/>
          </w:tcPr>
          <w:p w14:paraId="647D8FBE" w14:textId="77777777" w:rsidR="0067023B" w:rsidRPr="007301DC" w:rsidRDefault="0067023B" w:rsidP="00881E3D">
            <w:pPr>
              <w:pStyle w:val="TableCen"/>
            </w:pPr>
            <w:r w:rsidRPr="007301DC">
              <w:t>100</w:t>
            </w:r>
          </w:p>
        </w:tc>
        <w:tc>
          <w:tcPr>
            <w:tcW w:w="1256" w:type="dxa"/>
            <w:tcBorders>
              <w:top w:val="single" w:sz="4" w:space="0" w:color="auto"/>
              <w:bottom w:val="single" w:sz="4" w:space="0" w:color="auto"/>
            </w:tcBorders>
            <w:vAlign w:val="center"/>
          </w:tcPr>
          <w:p w14:paraId="40006376" w14:textId="77777777" w:rsidR="0067023B" w:rsidRPr="007301DC" w:rsidRDefault="0067023B" w:rsidP="00881E3D">
            <w:pPr>
              <w:pStyle w:val="TableCen"/>
            </w:pPr>
          </w:p>
        </w:tc>
        <w:tc>
          <w:tcPr>
            <w:tcW w:w="1256" w:type="dxa"/>
            <w:tcBorders>
              <w:top w:val="single" w:sz="4" w:space="0" w:color="auto"/>
              <w:bottom w:val="single" w:sz="4" w:space="0" w:color="auto"/>
            </w:tcBorders>
            <w:vAlign w:val="center"/>
          </w:tcPr>
          <w:p w14:paraId="69F46DDF" w14:textId="77777777" w:rsidR="0067023B" w:rsidRPr="007301DC" w:rsidRDefault="0067023B" w:rsidP="00881E3D">
            <w:pPr>
              <w:pStyle w:val="TableCen"/>
            </w:pPr>
          </w:p>
        </w:tc>
      </w:tr>
      <w:tr w:rsidR="0067023B" w:rsidRPr="007301DC" w14:paraId="3FC978CC" w14:textId="77777777" w:rsidTr="0078781D">
        <w:trPr>
          <w:trHeight w:val="340"/>
        </w:trPr>
        <w:tc>
          <w:tcPr>
            <w:tcW w:w="1255" w:type="dxa"/>
            <w:tcBorders>
              <w:top w:val="single" w:sz="4" w:space="0" w:color="auto"/>
              <w:bottom w:val="single" w:sz="4" w:space="0" w:color="auto"/>
            </w:tcBorders>
            <w:vAlign w:val="center"/>
          </w:tcPr>
          <w:p w14:paraId="54AA0102" w14:textId="77777777" w:rsidR="0067023B" w:rsidRPr="007301DC" w:rsidRDefault="0067023B" w:rsidP="00881E3D">
            <w:pPr>
              <w:pStyle w:val="TableCen"/>
            </w:pPr>
            <w:r w:rsidRPr="007301DC">
              <w:t>9.50</w:t>
            </w:r>
          </w:p>
        </w:tc>
        <w:tc>
          <w:tcPr>
            <w:tcW w:w="1256" w:type="dxa"/>
            <w:tcBorders>
              <w:top w:val="single" w:sz="4" w:space="0" w:color="auto"/>
              <w:bottom w:val="single" w:sz="4" w:space="0" w:color="auto"/>
            </w:tcBorders>
            <w:vAlign w:val="center"/>
          </w:tcPr>
          <w:p w14:paraId="18F591E1" w14:textId="528CD59F" w:rsidR="0067023B" w:rsidRPr="007301DC" w:rsidRDefault="0067023B" w:rsidP="00881E3D">
            <w:pPr>
              <w:pStyle w:val="TableCen"/>
            </w:pPr>
            <w:r w:rsidRPr="007301DC">
              <w:t>0</w:t>
            </w:r>
            <w:r w:rsidR="009F5142" w:rsidRPr="007301DC">
              <w:t> </w:t>
            </w:r>
            <w:r w:rsidRPr="007301DC">
              <w:t>-</w:t>
            </w:r>
            <w:r w:rsidR="009F5142" w:rsidRPr="007301DC">
              <w:t> </w:t>
            </w:r>
            <w:r w:rsidRPr="007301DC">
              <w:t>5</w:t>
            </w:r>
          </w:p>
        </w:tc>
        <w:tc>
          <w:tcPr>
            <w:tcW w:w="1255" w:type="dxa"/>
            <w:tcBorders>
              <w:top w:val="single" w:sz="4" w:space="0" w:color="auto"/>
              <w:bottom w:val="single" w:sz="4" w:space="0" w:color="auto"/>
            </w:tcBorders>
            <w:vAlign w:val="center"/>
          </w:tcPr>
          <w:p w14:paraId="1FEA2AA6" w14:textId="1CA00B24" w:rsidR="0067023B" w:rsidRPr="007301DC" w:rsidRDefault="0067023B" w:rsidP="00881E3D">
            <w:pPr>
              <w:pStyle w:val="TableCen"/>
            </w:pPr>
            <w:r w:rsidRPr="007301DC">
              <w:t>0</w:t>
            </w:r>
            <w:r w:rsidR="009F5142" w:rsidRPr="007301DC">
              <w:t> </w:t>
            </w:r>
            <w:r w:rsidRPr="007301DC">
              <w:t>-</w:t>
            </w:r>
            <w:r w:rsidR="00E46B16" w:rsidRPr="007301DC">
              <w:t> </w:t>
            </w:r>
            <w:r w:rsidRPr="007301DC">
              <w:t>15</w:t>
            </w:r>
          </w:p>
        </w:tc>
        <w:tc>
          <w:tcPr>
            <w:tcW w:w="1256" w:type="dxa"/>
            <w:tcBorders>
              <w:top w:val="single" w:sz="4" w:space="0" w:color="auto"/>
              <w:bottom w:val="single" w:sz="4" w:space="0" w:color="auto"/>
            </w:tcBorders>
            <w:vAlign w:val="center"/>
          </w:tcPr>
          <w:p w14:paraId="7572E7D6" w14:textId="42D8130F" w:rsidR="0067023B" w:rsidRPr="007301DC" w:rsidRDefault="0067023B" w:rsidP="00881E3D">
            <w:pPr>
              <w:pStyle w:val="TableCen"/>
            </w:pPr>
            <w:r w:rsidRPr="007301DC">
              <w:t>0</w:t>
            </w:r>
            <w:r w:rsidR="00E46B16" w:rsidRPr="007301DC">
              <w:t> - </w:t>
            </w:r>
            <w:r w:rsidRPr="007301DC">
              <w:t>30</w:t>
            </w:r>
          </w:p>
        </w:tc>
        <w:tc>
          <w:tcPr>
            <w:tcW w:w="1255" w:type="dxa"/>
            <w:tcBorders>
              <w:top w:val="single" w:sz="4" w:space="0" w:color="auto"/>
              <w:bottom w:val="single" w:sz="4" w:space="0" w:color="auto"/>
            </w:tcBorders>
            <w:vAlign w:val="center"/>
          </w:tcPr>
          <w:p w14:paraId="5434EC29" w14:textId="765FFC04" w:rsidR="0067023B" w:rsidRPr="007301DC" w:rsidRDefault="0067023B" w:rsidP="00881E3D">
            <w:pPr>
              <w:pStyle w:val="TableCen"/>
            </w:pPr>
            <w:r w:rsidRPr="007301DC">
              <w:t>85</w:t>
            </w:r>
            <w:r w:rsidR="00E46B16" w:rsidRPr="007301DC">
              <w:t> - </w:t>
            </w:r>
            <w:r w:rsidRPr="007301DC">
              <w:t>100</w:t>
            </w:r>
          </w:p>
        </w:tc>
        <w:tc>
          <w:tcPr>
            <w:tcW w:w="1256" w:type="dxa"/>
            <w:tcBorders>
              <w:top w:val="single" w:sz="4" w:space="0" w:color="auto"/>
              <w:bottom w:val="single" w:sz="4" w:space="0" w:color="auto"/>
            </w:tcBorders>
            <w:vAlign w:val="center"/>
          </w:tcPr>
          <w:p w14:paraId="0D54BEA2" w14:textId="77777777" w:rsidR="0067023B" w:rsidRPr="007301DC" w:rsidRDefault="0067023B" w:rsidP="00881E3D">
            <w:pPr>
              <w:pStyle w:val="TableCen"/>
            </w:pPr>
            <w:r w:rsidRPr="007301DC">
              <w:t>100</w:t>
            </w:r>
          </w:p>
        </w:tc>
        <w:tc>
          <w:tcPr>
            <w:tcW w:w="1256" w:type="dxa"/>
            <w:tcBorders>
              <w:top w:val="single" w:sz="4" w:space="0" w:color="auto"/>
              <w:bottom w:val="single" w:sz="4" w:space="0" w:color="auto"/>
            </w:tcBorders>
            <w:vAlign w:val="center"/>
          </w:tcPr>
          <w:p w14:paraId="0722093F" w14:textId="77777777" w:rsidR="0067023B" w:rsidRPr="007301DC" w:rsidRDefault="0067023B" w:rsidP="00881E3D">
            <w:pPr>
              <w:pStyle w:val="TableCen"/>
            </w:pPr>
          </w:p>
        </w:tc>
      </w:tr>
      <w:tr w:rsidR="0067023B" w:rsidRPr="007301DC" w14:paraId="7BB26A69" w14:textId="77777777" w:rsidTr="0078781D">
        <w:trPr>
          <w:trHeight w:val="340"/>
        </w:trPr>
        <w:tc>
          <w:tcPr>
            <w:tcW w:w="1255" w:type="dxa"/>
            <w:tcBorders>
              <w:top w:val="single" w:sz="4" w:space="0" w:color="auto"/>
              <w:bottom w:val="single" w:sz="4" w:space="0" w:color="auto"/>
            </w:tcBorders>
            <w:vAlign w:val="center"/>
          </w:tcPr>
          <w:p w14:paraId="2F2C0BD1" w14:textId="77777777" w:rsidR="0067023B" w:rsidRPr="007301DC" w:rsidRDefault="0067023B" w:rsidP="00881E3D">
            <w:pPr>
              <w:pStyle w:val="TableCen"/>
            </w:pPr>
            <w:r w:rsidRPr="007301DC">
              <w:t>6.70</w:t>
            </w:r>
          </w:p>
        </w:tc>
        <w:tc>
          <w:tcPr>
            <w:tcW w:w="1256" w:type="dxa"/>
            <w:tcBorders>
              <w:top w:val="single" w:sz="4" w:space="0" w:color="auto"/>
              <w:bottom w:val="single" w:sz="4" w:space="0" w:color="auto"/>
            </w:tcBorders>
            <w:vAlign w:val="center"/>
          </w:tcPr>
          <w:p w14:paraId="47CE255F" w14:textId="77777777" w:rsidR="0067023B" w:rsidRPr="007301DC" w:rsidRDefault="0067023B" w:rsidP="00881E3D">
            <w:pPr>
              <w:pStyle w:val="TableCen"/>
            </w:pPr>
          </w:p>
        </w:tc>
        <w:tc>
          <w:tcPr>
            <w:tcW w:w="1255" w:type="dxa"/>
            <w:tcBorders>
              <w:top w:val="single" w:sz="4" w:space="0" w:color="auto"/>
              <w:bottom w:val="single" w:sz="4" w:space="0" w:color="auto"/>
            </w:tcBorders>
            <w:vAlign w:val="center"/>
          </w:tcPr>
          <w:p w14:paraId="4A7C7C30" w14:textId="77777777" w:rsidR="0067023B" w:rsidRPr="007301DC" w:rsidRDefault="0067023B" w:rsidP="00881E3D">
            <w:pPr>
              <w:pStyle w:val="TableCen"/>
            </w:pPr>
          </w:p>
        </w:tc>
        <w:tc>
          <w:tcPr>
            <w:tcW w:w="1256" w:type="dxa"/>
            <w:tcBorders>
              <w:top w:val="single" w:sz="4" w:space="0" w:color="auto"/>
              <w:bottom w:val="single" w:sz="4" w:space="0" w:color="auto"/>
            </w:tcBorders>
            <w:vAlign w:val="center"/>
          </w:tcPr>
          <w:p w14:paraId="24B50CA4" w14:textId="5B540FED" w:rsidR="0067023B" w:rsidRPr="007301DC" w:rsidRDefault="0067023B" w:rsidP="00881E3D">
            <w:pPr>
              <w:pStyle w:val="TableCen"/>
            </w:pPr>
            <w:r w:rsidRPr="007301DC">
              <w:t>0</w:t>
            </w:r>
            <w:r w:rsidR="00E46B16" w:rsidRPr="007301DC">
              <w:t> - </w:t>
            </w:r>
            <w:r w:rsidRPr="007301DC">
              <w:t>5</w:t>
            </w:r>
          </w:p>
        </w:tc>
        <w:tc>
          <w:tcPr>
            <w:tcW w:w="1255" w:type="dxa"/>
            <w:tcBorders>
              <w:top w:val="single" w:sz="4" w:space="0" w:color="auto"/>
              <w:bottom w:val="single" w:sz="4" w:space="0" w:color="auto"/>
            </w:tcBorders>
            <w:vAlign w:val="center"/>
          </w:tcPr>
          <w:p w14:paraId="50B2A2D4" w14:textId="42F3D548" w:rsidR="0067023B" w:rsidRPr="007301DC" w:rsidRDefault="0067023B" w:rsidP="00881E3D">
            <w:pPr>
              <w:pStyle w:val="TableCen"/>
            </w:pPr>
            <w:r w:rsidRPr="007301DC">
              <w:t>0</w:t>
            </w:r>
            <w:r w:rsidR="00E46B16" w:rsidRPr="007301DC">
              <w:t> - </w:t>
            </w:r>
            <w:r w:rsidRPr="007301DC">
              <w:t>30</w:t>
            </w:r>
          </w:p>
        </w:tc>
        <w:tc>
          <w:tcPr>
            <w:tcW w:w="1256" w:type="dxa"/>
            <w:tcBorders>
              <w:top w:val="single" w:sz="4" w:space="0" w:color="auto"/>
              <w:bottom w:val="single" w:sz="4" w:space="0" w:color="auto"/>
            </w:tcBorders>
            <w:vAlign w:val="center"/>
          </w:tcPr>
          <w:p w14:paraId="701D8225" w14:textId="1F4A115C" w:rsidR="0067023B" w:rsidRPr="007301DC" w:rsidRDefault="0067023B" w:rsidP="00881E3D">
            <w:pPr>
              <w:pStyle w:val="TableCen"/>
            </w:pPr>
            <w:r w:rsidRPr="007301DC">
              <w:t>85</w:t>
            </w:r>
            <w:r w:rsidR="00E46B16" w:rsidRPr="007301DC">
              <w:t> - </w:t>
            </w:r>
            <w:r w:rsidR="00A01F7D">
              <w:t>1</w:t>
            </w:r>
            <w:r w:rsidRPr="007301DC">
              <w:t>00</w:t>
            </w:r>
          </w:p>
        </w:tc>
        <w:tc>
          <w:tcPr>
            <w:tcW w:w="1256" w:type="dxa"/>
            <w:tcBorders>
              <w:top w:val="single" w:sz="4" w:space="0" w:color="auto"/>
              <w:bottom w:val="single" w:sz="4" w:space="0" w:color="auto"/>
            </w:tcBorders>
            <w:vAlign w:val="center"/>
          </w:tcPr>
          <w:p w14:paraId="3716AB32" w14:textId="77777777" w:rsidR="0067023B" w:rsidRPr="007301DC" w:rsidRDefault="0067023B" w:rsidP="00881E3D">
            <w:pPr>
              <w:pStyle w:val="TableCen"/>
            </w:pPr>
            <w:r w:rsidRPr="007301DC">
              <w:t>100</w:t>
            </w:r>
          </w:p>
        </w:tc>
      </w:tr>
      <w:tr w:rsidR="0067023B" w:rsidRPr="007301DC" w14:paraId="453C2654" w14:textId="77777777" w:rsidTr="0078781D">
        <w:trPr>
          <w:trHeight w:val="340"/>
        </w:trPr>
        <w:tc>
          <w:tcPr>
            <w:tcW w:w="1255" w:type="dxa"/>
            <w:tcBorders>
              <w:top w:val="single" w:sz="4" w:space="0" w:color="auto"/>
              <w:bottom w:val="single" w:sz="4" w:space="0" w:color="auto"/>
            </w:tcBorders>
            <w:vAlign w:val="center"/>
          </w:tcPr>
          <w:p w14:paraId="06A948C4" w14:textId="77777777" w:rsidR="0067023B" w:rsidRPr="007301DC" w:rsidRDefault="0067023B" w:rsidP="00881E3D">
            <w:pPr>
              <w:pStyle w:val="TableCen"/>
            </w:pPr>
            <w:r w:rsidRPr="007301DC">
              <w:t>4.75</w:t>
            </w:r>
          </w:p>
        </w:tc>
        <w:tc>
          <w:tcPr>
            <w:tcW w:w="1256" w:type="dxa"/>
            <w:tcBorders>
              <w:top w:val="single" w:sz="4" w:space="0" w:color="auto"/>
              <w:bottom w:val="single" w:sz="4" w:space="0" w:color="auto"/>
            </w:tcBorders>
            <w:vAlign w:val="center"/>
          </w:tcPr>
          <w:p w14:paraId="27593C2E" w14:textId="77777777" w:rsidR="0067023B" w:rsidRPr="007301DC" w:rsidRDefault="0067023B" w:rsidP="00881E3D">
            <w:pPr>
              <w:pStyle w:val="TableCen"/>
            </w:pPr>
          </w:p>
        </w:tc>
        <w:tc>
          <w:tcPr>
            <w:tcW w:w="1255" w:type="dxa"/>
            <w:tcBorders>
              <w:top w:val="single" w:sz="4" w:space="0" w:color="auto"/>
              <w:bottom w:val="single" w:sz="4" w:space="0" w:color="auto"/>
            </w:tcBorders>
            <w:vAlign w:val="center"/>
          </w:tcPr>
          <w:p w14:paraId="2566744C" w14:textId="77777777" w:rsidR="0067023B" w:rsidRPr="007301DC" w:rsidRDefault="0067023B" w:rsidP="00881E3D">
            <w:pPr>
              <w:pStyle w:val="TableCen"/>
            </w:pPr>
          </w:p>
        </w:tc>
        <w:tc>
          <w:tcPr>
            <w:tcW w:w="1256" w:type="dxa"/>
            <w:tcBorders>
              <w:top w:val="single" w:sz="4" w:space="0" w:color="auto"/>
              <w:bottom w:val="single" w:sz="4" w:space="0" w:color="auto"/>
            </w:tcBorders>
            <w:vAlign w:val="center"/>
          </w:tcPr>
          <w:p w14:paraId="66885B4D" w14:textId="77777777" w:rsidR="0067023B" w:rsidRPr="007301DC" w:rsidRDefault="0067023B" w:rsidP="00881E3D">
            <w:pPr>
              <w:pStyle w:val="TableCen"/>
            </w:pPr>
          </w:p>
        </w:tc>
        <w:tc>
          <w:tcPr>
            <w:tcW w:w="1255" w:type="dxa"/>
            <w:tcBorders>
              <w:top w:val="single" w:sz="4" w:space="0" w:color="auto"/>
              <w:bottom w:val="single" w:sz="4" w:space="0" w:color="auto"/>
            </w:tcBorders>
            <w:vAlign w:val="center"/>
          </w:tcPr>
          <w:p w14:paraId="1823950F" w14:textId="5545FC0C" w:rsidR="0067023B" w:rsidRPr="007301DC" w:rsidRDefault="0067023B" w:rsidP="00881E3D">
            <w:pPr>
              <w:pStyle w:val="TableCen"/>
            </w:pPr>
            <w:r w:rsidRPr="007301DC">
              <w:t>0</w:t>
            </w:r>
            <w:r w:rsidR="00E46B16" w:rsidRPr="007301DC">
              <w:t> - </w:t>
            </w:r>
            <w:r w:rsidRPr="007301DC">
              <w:t>8</w:t>
            </w:r>
          </w:p>
        </w:tc>
        <w:tc>
          <w:tcPr>
            <w:tcW w:w="1256" w:type="dxa"/>
            <w:tcBorders>
              <w:top w:val="single" w:sz="4" w:space="0" w:color="auto"/>
              <w:bottom w:val="single" w:sz="4" w:space="0" w:color="auto"/>
            </w:tcBorders>
            <w:vAlign w:val="center"/>
          </w:tcPr>
          <w:p w14:paraId="281A0C22" w14:textId="78E33E2F" w:rsidR="0067023B" w:rsidRPr="007301DC" w:rsidRDefault="0067023B" w:rsidP="00881E3D">
            <w:pPr>
              <w:pStyle w:val="TableCen"/>
            </w:pPr>
            <w:r w:rsidRPr="007301DC">
              <w:t>0</w:t>
            </w:r>
            <w:r w:rsidR="00E46B16" w:rsidRPr="007301DC">
              <w:t> - </w:t>
            </w:r>
            <w:r w:rsidRPr="007301DC">
              <w:t>30</w:t>
            </w:r>
          </w:p>
        </w:tc>
        <w:tc>
          <w:tcPr>
            <w:tcW w:w="1256" w:type="dxa"/>
            <w:tcBorders>
              <w:top w:val="single" w:sz="4" w:space="0" w:color="auto"/>
              <w:bottom w:val="single" w:sz="4" w:space="0" w:color="auto"/>
            </w:tcBorders>
            <w:vAlign w:val="center"/>
          </w:tcPr>
          <w:p w14:paraId="0A504A39" w14:textId="40D58B82" w:rsidR="0067023B" w:rsidRPr="007301DC" w:rsidRDefault="0067023B" w:rsidP="00881E3D">
            <w:pPr>
              <w:pStyle w:val="TableCen"/>
            </w:pPr>
            <w:r w:rsidRPr="007301DC">
              <w:t>85</w:t>
            </w:r>
            <w:r w:rsidR="00E46B16" w:rsidRPr="007301DC">
              <w:t> - </w:t>
            </w:r>
            <w:r w:rsidRPr="007301DC">
              <w:t>100</w:t>
            </w:r>
          </w:p>
        </w:tc>
      </w:tr>
      <w:tr w:rsidR="0067023B" w:rsidRPr="007301DC" w14:paraId="54ADFF7F" w14:textId="77777777" w:rsidTr="0078781D">
        <w:trPr>
          <w:trHeight w:val="340"/>
        </w:trPr>
        <w:tc>
          <w:tcPr>
            <w:tcW w:w="1255" w:type="dxa"/>
            <w:tcBorders>
              <w:top w:val="single" w:sz="4" w:space="0" w:color="auto"/>
              <w:bottom w:val="single" w:sz="4" w:space="0" w:color="auto"/>
            </w:tcBorders>
            <w:vAlign w:val="center"/>
          </w:tcPr>
          <w:p w14:paraId="2F973225" w14:textId="77777777" w:rsidR="0067023B" w:rsidRPr="007301DC" w:rsidRDefault="0067023B" w:rsidP="00881E3D">
            <w:pPr>
              <w:pStyle w:val="TableCen"/>
            </w:pPr>
            <w:r w:rsidRPr="007301DC">
              <w:t>2.36</w:t>
            </w:r>
          </w:p>
        </w:tc>
        <w:tc>
          <w:tcPr>
            <w:tcW w:w="1256" w:type="dxa"/>
            <w:tcBorders>
              <w:top w:val="single" w:sz="4" w:space="0" w:color="auto"/>
              <w:bottom w:val="single" w:sz="4" w:space="0" w:color="auto"/>
            </w:tcBorders>
            <w:vAlign w:val="center"/>
          </w:tcPr>
          <w:p w14:paraId="566B6FCF" w14:textId="0595EEC9" w:rsidR="0067023B" w:rsidRPr="007301DC" w:rsidRDefault="0067023B" w:rsidP="00881E3D">
            <w:pPr>
              <w:pStyle w:val="TableCen"/>
            </w:pPr>
            <w:r w:rsidRPr="007301DC">
              <w:t>0</w:t>
            </w:r>
            <w:r w:rsidR="00E46B16" w:rsidRPr="007301DC">
              <w:t> </w:t>
            </w:r>
            <w:r w:rsidRPr="007301DC">
              <w:t>-</w:t>
            </w:r>
            <w:r w:rsidR="00E46B16" w:rsidRPr="007301DC">
              <w:t> </w:t>
            </w:r>
            <w:r w:rsidRPr="007301DC">
              <w:t>1</w:t>
            </w:r>
          </w:p>
        </w:tc>
        <w:tc>
          <w:tcPr>
            <w:tcW w:w="1255" w:type="dxa"/>
            <w:tcBorders>
              <w:top w:val="single" w:sz="4" w:space="0" w:color="auto"/>
              <w:bottom w:val="single" w:sz="4" w:space="0" w:color="auto"/>
            </w:tcBorders>
            <w:vAlign w:val="center"/>
          </w:tcPr>
          <w:p w14:paraId="72AD4524" w14:textId="78BB53A7" w:rsidR="0067023B" w:rsidRPr="007301DC" w:rsidRDefault="0067023B" w:rsidP="00881E3D">
            <w:pPr>
              <w:pStyle w:val="TableCen"/>
            </w:pPr>
            <w:r w:rsidRPr="007301DC">
              <w:t>0</w:t>
            </w:r>
            <w:r w:rsidR="00E46B16" w:rsidRPr="007301DC">
              <w:t> </w:t>
            </w:r>
            <w:r w:rsidRPr="007301DC">
              <w:t>-</w:t>
            </w:r>
            <w:r w:rsidR="00E46B16" w:rsidRPr="007301DC">
              <w:t> </w:t>
            </w:r>
            <w:r w:rsidRPr="007301DC">
              <w:t>1</w:t>
            </w:r>
          </w:p>
        </w:tc>
        <w:tc>
          <w:tcPr>
            <w:tcW w:w="1256" w:type="dxa"/>
            <w:tcBorders>
              <w:top w:val="single" w:sz="4" w:space="0" w:color="auto"/>
              <w:bottom w:val="single" w:sz="4" w:space="0" w:color="auto"/>
            </w:tcBorders>
            <w:vAlign w:val="center"/>
          </w:tcPr>
          <w:p w14:paraId="7C427A53" w14:textId="458526AD" w:rsidR="0067023B" w:rsidRPr="007301DC" w:rsidRDefault="0067023B" w:rsidP="00881E3D">
            <w:pPr>
              <w:pStyle w:val="TableCen"/>
            </w:pPr>
            <w:r w:rsidRPr="007301DC">
              <w:t>0</w:t>
            </w:r>
            <w:r w:rsidR="00E46B16" w:rsidRPr="007301DC">
              <w:t> - </w:t>
            </w:r>
            <w:r w:rsidRPr="007301DC">
              <w:t>1</w:t>
            </w:r>
          </w:p>
        </w:tc>
        <w:tc>
          <w:tcPr>
            <w:tcW w:w="1255" w:type="dxa"/>
            <w:tcBorders>
              <w:top w:val="single" w:sz="4" w:space="0" w:color="auto"/>
              <w:bottom w:val="single" w:sz="4" w:space="0" w:color="auto"/>
            </w:tcBorders>
            <w:vAlign w:val="center"/>
          </w:tcPr>
          <w:p w14:paraId="1D5BB2EC" w14:textId="2029A22D" w:rsidR="0067023B" w:rsidRPr="007301DC" w:rsidRDefault="0067023B" w:rsidP="00881E3D">
            <w:pPr>
              <w:pStyle w:val="TableCen"/>
            </w:pPr>
            <w:r w:rsidRPr="007301DC">
              <w:t>0</w:t>
            </w:r>
            <w:r w:rsidR="00E46B16" w:rsidRPr="007301DC">
              <w:t> - </w:t>
            </w:r>
            <w:r w:rsidRPr="007301DC">
              <w:t>1</w:t>
            </w:r>
          </w:p>
        </w:tc>
        <w:tc>
          <w:tcPr>
            <w:tcW w:w="1256" w:type="dxa"/>
            <w:tcBorders>
              <w:top w:val="single" w:sz="4" w:space="0" w:color="auto"/>
              <w:bottom w:val="single" w:sz="4" w:space="0" w:color="auto"/>
            </w:tcBorders>
            <w:vAlign w:val="center"/>
          </w:tcPr>
          <w:p w14:paraId="61EBC972" w14:textId="783F5E54" w:rsidR="0067023B" w:rsidRPr="007301DC" w:rsidRDefault="0067023B" w:rsidP="00881E3D">
            <w:pPr>
              <w:pStyle w:val="TableCen"/>
            </w:pPr>
            <w:r w:rsidRPr="007301DC">
              <w:t>0</w:t>
            </w:r>
            <w:r w:rsidR="00E46B16" w:rsidRPr="007301DC">
              <w:t> - </w:t>
            </w:r>
            <w:r w:rsidRPr="007301DC">
              <w:t>10</w:t>
            </w:r>
          </w:p>
        </w:tc>
        <w:tc>
          <w:tcPr>
            <w:tcW w:w="1256" w:type="dxa"/>
            <w:tcBorders>
              <w:top w:val="single" w:sz="4" w:space="0" w:color="auto"/>
              <w:bottom w:val="single" w:sz="4" w:space="0" w:color="auto"/>
            </w:tcBorders>
            <w:vAlign w:val="center"/>
          </w:tcPr>
          <w:p w14:paraId="2D9BFFB8" w14:textId="3212AF62" w:rsidR="0067023B" w:rsidRPr="007301DC" w:rsidRDefault="0067023B" w:rsidP="00881E3D">
            <w:pPr>
              <w:pStyle w:val="TableCen"/>
            </w:pPr>
            <w:r w:rsidRPr="007301DC">
              <w:t>0</w:t>
            </w:r>
            <w:r w:rsidR="00E46B16" w:rsidRPr="007301DC">
              <w:t> - </w:t>
            </w:r>
            <w:r w:rsidRPr="007301DC">
              <w:t>30</w:t>
            </w:r>
          </w:p>
        </w:tc>
      </w:tr>
      <w:tr w:rsidR="0067023B" w:rsidRPr="007301DC" w14:paraId="23336527" w14:textId="77777777" w:rsidTr="0078781D">
        <w:trPr>
          <w:trHeight w:val="340"/>
        </w:trPr>
        <w:tc>
          <w:tcPr>
            <w:tcW w:w="1255" w:type="dxa"/>
            <w:tcBorders>
              <w:top w:val="single" w:sz="4" w:space="0" w:color="auto"/>
              <w:bottom w:val="single" w:sz="12" w:space="0" w:color="auto"/>
            </w:tcBorders>
            <w:vAlign w:val="center"/>
          </w:tcPr>
          <w:p w14:paraId="322F9A2E" w14:textId="77777777" w:rsidR="0067023B" w:rsidRPr="007301DC" w:rsidRDefault="0067023B" w:rsidP="00881E3D">
            <w:pPr>
              <w:pStyle w:val="TableCen"/>
            </w:pPr>
            <w:r w:rsidRPr="007301DC">
              <w:t>1.18</w:t>
            </w:r>
          </w:p>
        </w:tc>
        <w:tc>
          <w:tcPr>
            <w:tcW w:w="1256" w:type="dxa"/>
            <w:tcBorders>
              <w:top w:val="single" w:sz="4" w:space="0" w:color="auto"/>
              <w:bottom w:val="single" w:sz="12" w:space="0" w:color="auto"/>
            </w:tcBorders>
            <w:vAlign w:val="center"/>
          </w:tcPr>
          <w:p w14:paraId="673AB7E4" w14:textId="77777777" w:rsidR="0067023B" w:rsidRPr="007301DC" w:rsidRDefault="0067023B" w:rsidP="00881E3D">
            <w:pPr>
              <w:pStyle w:val="TableCen"/>
            </w:pPr>
          </w:p>
        </w:tc>
        <w:tc>
          <w:tcPr>
            <w:tcW w:w="1255" w:type="dxa"/>
            <w:tcBorders>
              <w:top w:val="single" w:sz="4" w:space="0" w:color="auto"/>
              <w:bottom w:val="single" w:sz="12" w:space="0" w:color="auto"/>
            </w:tcBorders>
            <w:vAlign w:val="center"/>
          </w:tcPr>
          <w:p w14:paraId="52AD9638" w14:textId="77777777" w:rsidR="0067023B" w:rsidRPr="007301DC" w:rsidRDefault="0067023B" w:rsidP="00881E3D">
            <w:pPr>
              <w:pStyle w:val="TableCen"/>
            </w:pPr>
          </w:p>
        </w:tc>
        <w:tc>
          <w:tcPr>
            <w:tcW w:w="1256" w:type="dxa"/>
            <w:tcBorders>
              <w:top w:val="single" w:sz="4" w:space="0" w:color="auto"/>
              <w:bottom w:val="single" w:sz="12" w:space="0" w:color="auto"/>
            </w:tcBorders>
            <w:vAlign w:val="center"/>
          </w:tcPr>
          <w:p w14:paraId="6868CDDD" w14:textId="77777777" w:rsidR="0067023B" w:rsidRPr="007301DC" w:rsidRDefault="0067023B" w:rsidP="00881E3D">
            <w:pPr>
              <w:pStyle w:val="TableCen"/>
            </w:pPr>
          </w:p>
        </w:tc>
        <w:tc>
          <w:tcPr>
            <w:tcW w:w="1255" w:type="dxa"/>
            <w:tcBorders>
              <w:top w:val="single" w:sz="4" w:space="0" w:color="auto"/>
              <w:bottom w:val="single" w:sz="12" w:space="0" w:color="auto"/>
            </w:tcBorders>
            <w:vAlign w:val="center"/>
          </w:tcPr>
          <w:p w14:paraId="17AE8A3A" w14:textId="77777777" w:rsidR="0067023B" w:rsidRPr="007301DC" w:rsidRDefault="0067023B" w:rsidP="00881E3D">
            <w:pPr>
              <w:pStyle w:val="TableCen"/>
            </w:pPr>
          </w:p>
        </w:tc>
        <w:tc>
          <w:tcPr>
            <w:tcW w:w="1256" w:type="dxa"/>
            <w:tcBorders>
              <w:top w:val="single" w:sz="4" w:space="0" w:color="auto"/>
              <w:bottom w:val="single" w:sz="12" w:space="0" w:color="auto"/>
            </w:tcBorders>
            <w:vAlign w:val="center"/>
          </w:tcPr>
          <w:p w14:paraId="1DF99EFA" w14:textId="3433D0AD" w:rsidR="0067023B" w:rsidRPr="007301DC" w:rsidRDefault="0067023B" w:rsidP="00881E3D">
            <w:pPr>
              <w:pStyle w:val="TableCen"/>
            </w:pPr>
            <w:r w:rsidRPr="007301DC">
              <w:t>0</w:t>
            </w:r>
            <w:r w:rsidR="00E46B16" w:rsidRPr="007301DC">
              <w:t> - </w:t>
            </w:r>
            <w:r w:rsidRPr="007301DC">
              <w:t>5</w:t>
            </w:r>
          </w:p>
        </w:tc>
        <w:tc>
          <w:tcPr>
            <w:tcW w:w="1256" w:type="dxa"/>
            <w:tcBorders>
              <w:top w:val="single" w:sz="4" w:space="0" w:color="auto"/>
              <w:bottom w:val="single" w:sz="12" w:space="0" w:color="auto"/>
            </w:tcBorders>
            <w:vAlign w:val="center"/>
          </w:tcPr>
          <w:p w14:paraId="0C549060" w14:textId="42D950FE" w:rsidR="0067023B" w:rsidRPr="007301DC" w:rsidRDefault="0067023B" w:rsidP="00881E3D">
            <w:pPr>
              <w:pStyle w:val="TableCen"/>
            </w:pPr>
            <w:r w:rsidRPr="007301DC">
              <w:t>0</w:t>
            </w:r>
            <w:r w:rsidR="00E46B16" w:rsidRPr="007301DC">
              <w:t> - </w:t>
            </w:r>
            <w:r w:rsidRPr="007301DC">
              <w:t>5</w:t>
            </w:r>
          </w:p>
        </w:tc>
      </w:tr>
    </w:tbl>
    <w:p w14:paraId="05BC5E71" w14:textId="77777777" w:rsidR="0067023B" w:rsidRPr="007301DC" w:rsidRDefault="0067023B" w:rsidP="00881E3D">
      <w:pPr>
        <w:pStyle w:val="TableIDNum"/>
      </w:pPr>
      <w:r w:rsidRPr="007301DC">
        <w:t>Table</w:t>
      </w:r>
      <w:r w:rsidR="00AC795E" w:rsidRPr="007301DC">
        <w:t> </w:t>
      </w:r>
      <w:r w:rsidRPr="007301DC">
        <w:t xml:space="preserve">4.2 </w:t>
      </w:r>
      <w:r w:rsidR="009F752F" w:rsidRPr="007301DC">
        <w:t>–</w:t>
      </w:r>
      <w:r w:rsidRPr="007301DC">
        <w:t xml:space="preserve"> Material properties</w:t>
      </w:r>
    </w:p>
    <w:tbl>
      <w:tblPr>
        <w:tblW w:w="8789" w:type="dxa"/>
        <w:tblInd w:w="709" w:type="dxa"/>
        <w:tblLayout w:type="fixed"/>
        <w:tblLook w:val="00A0" w:firstRow="1" w:lastRow="0" w:firstColumn="1" w:lastColumn="0" w:noHBand="0" w:noVBand="0"/>
      </w:tblPr>
      <w:tblGrid>
        <w:gridCol w:w="2835"/>
        <w:gridCol w:w="851"/>
        <w:gridCol w:w="2126"/>
        <w:gridCol w:w="992"/>
        <w:gridCol w:w="992"/>
        <w:gridCol w:w="993"/>
      </w:tblGrid>
      <w:tr w:rsidR="00260178" w:rsidRPr="007301DC" w14:paraId="12772491" w14:textId="77777777" w:rsidTr="0078781D">
        <w:trPr>
          <w:cantSplit/>
        </w:trPr>
        <w:tc>
          <w:tcPr>
            <w:tcW w:w="2835" w:type="dxa"/>
            <w:vMerge w:val="restart"/>
            <w:tcBorders>
              <w:top w:val="single" w:sz="12" w:space="0" w:color="auto"/>
            </w:tcBorders>
            <w:shd w:val="pct10" w:color="auto" w:fill="auto"/>
            <w:vAlign w:val="center"/>
          </w:tcPr>
          <w:p w14:paraId="267FBD4A" w14:textId="77777777" w:rsidR="00260178" w:rsidRPr="007301DC" w:rsidRDefault="00260178" w:rsidP="00881E3D">
            <w:pPr>
              <w:pStyle w:val="TableHeadCen"/>
            </w:pPr>
            <w:r w:rsidRPr="007301DC">
              <w:t>Property</w:t>
            </w:r>
          </w:p>
        </w:tc>
        <w:tc>
          <w:tcPr>
            <w:tcW w:w="851" w:type="dxa"/>
            <w:vMerge w:val="restart"/>
            <w:tcBorders>
              <w:top w:val="single" w:sz="12" w:space="0" w:color="auto"/>
            </w:tcBorders>
            <w:shd w:val="pct10" w:color="auto" w:fill="auto"/>
            <w:vAlign w:val="center"/>
          </w:tcPr>
          <w:p w14:paraId="0D8D881E" w14:textId="77777777" w:rsidR="00260178" w:rsidRPr="007301DC" w:rsidRDefault="00260178" w:rsidP="00881E3D">
            <w:pPr>
              <w:pStyle w:val="TableHeadCen"/>
            </w:pPr>
            <w:r w:rsidRPr="007301DC">
              <w:t>Units</w:t>
            </w:r>
          </w:p>
        </w:tc>
        <w:tc>
          <w:tcPr>
            <w:tcW w:w="2126" w:type="dxa"/>
            <w:vMerge w:val="restart"/>
            <w:tcBorders>
              <w:top w:val="single" w:sz="12" w:space="0" w:color="auto"/>
            </w:tcBorders>
            <w:shd w:val="pct10" w:color="auto" w:fill="auto"/>
            <w:vAlign w:val="center"/>
          </w:tcPr>
          <w:p w14:paraId="09AB9E46" w14:textId="77777777" w:rsidR="00260178" w:rsidRPr="007301DC" w:rsidRDefault="00260178" w:rsidP="00881E3D">
            <w:pPr>
              <w:pStyle w:val="TableHeadCen"/>
            </w:pPr>
            <w:r w:rsidRPr="007301DC">
              <w:t>Test method</w:t>
            </w:r>
          </w:p>
        </w:tc>
        <w:tc>
          <w:tcPr>
            <w:tcW w:w="2977" w:type="dxa"/>
            <w:gridSpan w:val="3"/>
            <w:tcBorders>
              <w:top w:val="single" w:sz="12" w:space="0" w:color="auto"/>
            </w:tcBorders>
            <w:shd w:val="pct10" w:color="auto" w:fill="auto"/>
            <w:vAlign w:val="center"/>
          </w:tcPr>
          <w:p w14:paraId="17E39FD3" w14:textId="77777777" w:rsidR="00260178" w:rsidRPr="007301DC" w:rsidRDefault="00260178" w:rsidP="00881E3D">
            <w:pPr>
              <w:pStyle w:val="TableHeadCen"/>
            </w:pPr>
            <w:r w:rsidRPr="007301DC">
              <w:t>Aggregate quality category</w:t>
            </w:r>
          </w:p>
        </w:tc>
      </w:tr>
      <w:tr w:rsidR="00260178" w:rsidRPr="007301DC" w14:paraId="63F815A4" w14:textId="77777777" w:rsidTr="0078781D">
        <w:trPr>
          <w:cantSplit/>
        </w:trPr>
        <w:tc>
          <w:tcPr>
            <w:tcW w:w="2835" w:type="dxa"/>
            <w:vMerge/>
            <w:tcBorders>
              <w:bottom w:val="single" w:sz="12" w:space="0" w:color="auto"/>
            </w:tcBorders>
            <w:shd w:val="pct10" w:color="auto" w:fill="auto"/>
            <w:vAlign w:val="center"/>
          </w:tcPr>
          <w:p w14:paraId="7FC28A04" w14:textId="77777777" w:rsidR="00260178" w:rsidRPr="007301DC" w:rsidRDefault="00260178" w:rsidP="008E6910">
            <w:pPr>
              <w:pStyle w:val="TableHeadCen"/>
            </w:pPr>
          </w:p>
        </w:tc>
        <w:tc>
          <w:tcPr>
            <w:tcW w:w="851" w:type="dxa"/>
            <w:vMerge/>
            <w:tcBorders>
              <w:bottom w:val="single" w:sz="12" w:space="0" w:color="auto"/>
            </w:tcBorders>
            <w:shd w:val="pct10" w:color="auto" w:fill="auto"/>
            <w:vAlign w:val="center"/>
          </w:tcPr>
          <w:p w14:paraId="6535B642" w14:textId="77777777" w:rsidR="00260178" w:rsidRPr="007301DC" w:rsidRDefault="00260178" w:rsidP="008E6910">
            <w:pPr>
              <w:pStyle w:val="TableHeadCen"/>
            </w:pPr>
          </w:p>
        </w:tc>
        <w:tc>
          <w:tcPr>
            <w:tcW w:w="2126" w:type="dxa"/>
            <w:vMerge/>
            <w:tcBorders>
              <w:bottom w:val="single" w:sz="12" w:space="0" w:color="auto"/>
            </w:tcBorders>
            <w:shd w:val="pct10" w:color="auto" w:fill="auto"/>
            <w:vAlign w:val="center"/>
          </w:tcPr>
          <w:p w14:paraId="589DF717" w14:textId="77777777" w:rsidR="00260178" w:rsidRPr="007301DC" w:rsidRDefault="00260178" w:rsidP="008E6910">
            <w:pPr>
              <w:pStyle w:val="TableHeadCen"/>
            </w:pPr>
          </w:p>
        </w:tc>
        <w:tc>
          <w:tcPr>
            <w:tcW w:w="992" w:type="dxa"/>
            <w:tcBorders>
              <w:top w:val="single" w:sz="4" w:space="0" w:color="auto"/>
              <w:bottom w:val="single" w:sz="12" w:space="0" w:color="auto"/>
            </w:tcBorders>
            <w:shd w:val="pct10" w:color="auto" w:fill="auto"/>
            <w:vAlign w:val="center"/>
          </w:tcPr>
          <w:p w14:paraId="3F1D0386" w14:textId="77777777" w:rsidR="00260178" w:rsidRPr="007301DC" w:rsidRDefault="00260178" w:rsidP="008E6910">
            <w:pPr>
              <w:pStyle w:val="TableHeadCen"/>
            </w:pPr>
            <w:r w:rsidRPr="007301DC">
              <w:t>A</w:t>
            </w:r>
          </w:p>
        </w:tc>
        <w:tc>
          <w:tcPr>
            <w:tcW w:w="992" w:type="dxa"/>
            <w:tcBorders>
              <w:top w:val="single" w:sz="4" w:space="0" w:color="auto"/>
              <w:bottom w:val="single" w:sz="12" w:space="0" w:color="auto"/>
            </w:tcBorders>
            <w:shd w:val="pct10" w:color="auto" w:fill="auto"/>
            <w:vAlign w:val="center"/>
          </w:tcPr>
          <w:p w14:paraId="571D012C" w14:textId="77777777" w:rsidR="00260178" w:rsidRPr="007301DC" w:rsidRDefault="00260178" w:rsidP="008E6910">
            <w:pPr>
              <w:pStyle w:val="TableHeadCen"/>
            </w:pPr>
            <w:r w:rsidRPr="007301DC">
              <w:t>B</w:t>
            </w:r>
          </w:p>
        </w:tc>
        <w:tc>
          <w:tcPr>
            <w:tcW w:w="993" w:type="dxa"/>
            <w:tcBorders>
              <w:top w:val="single" w:sz="4" w:space="0" w:color="auto"/>
              <w:bottom w:val="single" w:sz="12" w:space="0" w:color="auto"/>
            </w:tcBorders>
            <w:shd w:val="pct10" w:color="auto" w:fill="auto"/>
            <w:vAlign w:val="center"/>
          </w:tcPr>
          <w:p w14:paraId="0EC2D87E" w14:textId="77777777" w:rsidR="00260178" w:rsidRPr="007301DC" w:rsidRDefault="00260178" w:rsidP="008E6910">
            <w:pPr>
              <w:pStyle w:val="TableHeadCen"/>
            </w:pPr>
            <w:r w:rsidRPr="007301DC">
              <w:t>C</w:t>
            </w:r>
          </w:p>
        </w:tc>
      </w:tr>
      <w:tr w:rsidR="00260178" w:rsidRPr="007301DC" w14:paraId="3E8214F0" w14:textId="77777777" w:rsidTr="0078781D">
        <w:trPr>
          <w:trHeight w:val="340"/>
        </w:trPr>
        <w:tc>
          <w:tcPr>
            <w:tcW w:w="2835" w:type="dxa"/>
            <w:tcBorders>
              <w:top w:val="single" w:sz="12" w:space="0" w:color="auto"/>
              <w:bottom w:val="single" w:sz="4" w:space="0" w:color="auto"/>
            </w:tcBorders>
            <w:vAlign w:val="center"/>
          </w:tcPr>
          <w:p w14:paraId="3F631370" w14:textId="38FDDD51" w:rsidR="00260178" w:rsidRPr="007301DC" w:rsidRDefault="00260178" w:rsidP="00881E3D">
            <w:pPr>
              <w:pStyle w:val="Table"/>
            </w:pPr>
            <w:r w:rsidRPr="007301DC">
              <w:t xml:space="preserve">Flakiness index (nominal sizes </w:t>
            </w:r>
            <w:r w:rsidR="00D7304D">
              <w:rPr>
                <w:rFonts w:cs="Arial"/>
              </w:rPr>
              <w:t>≥</w:t>
            </w:r>
            <w:r w:rsidRPr="007301DC">
              <w:t>10 mm)</w:t>
            </w:r>
          </w:p>
        </w:tc>
        <w:tc>
          <w:tcPr>
            <w:tcW w:w="851" w:type="dxa"/>
            <w:tcBorders>
              <w:top w:val="single" w:sz="12" w:space="0" w:color="auto"/>
              <w:bottom w:val="single" w:sz="4" w:space="0" w:color="auto"/>
            </w:tcBorders>
            <w:vAlign w:val="center"/>
          </w:tcPr>
          <w:p w14:paraId="56ED87E1" w14:textId="7E20328E" w:rsidR="00260178" w:rsidRPr="007301DC" w:rsidRDefault="00260178" w:rsidP="00881E3D">
            <w:pPr>
              <w:pStyle w:val="TableCen"/>
            </w:pPr>
            <w:r w:rsidRPr="007301DC">
              <w:t>%</w:t>
            </w:r>
            <w:r w:rsidR="009F2AE0">
              <w:t> </w:t>
            </w:r>
            <w:r w:rsidRPr="007301DC">
              <w:t>max</w:t>
            </w:r>
          </w:p>
        </w:tc>
        <w:tc>
          <w:tcPr>
            <w:tcW w:w="2126" w:type="dxa"/>
            <w:tcBorders>
              <w:top w:val="single" w:sz="12" w:space="0" w:color="auto"/>
              <w:bottom w:val="single" w:sz="4" w:space="0" w:color="auto"/>
            </w:tcBorders>
            <w:vAlign w:val="center"/>
          </w:tcPr>
          <w:p w14:paraId="7182948F" w14:textId="77777777" w:rsidR="00260178" w:rsidRPr="007301DC" w:rsidRDefault="00260178" w:rsidP="00010EDF">
            <w:pPr>
              <w:pStyle w:val="TableCen"/>
              <w:rPr>
                <w:i/>
              </w:rPr>
            </w:pPr>
            <w:r w:rsidRPr="007301DC">
              <w:rPr>
                <w:i/>
              </w:rPr>
              <w:t>DTMR Q201or AS 1141.15</w:t>
            </w:r>
          </w:p>
        </w:tc>
        <w:tc>
          <w:tcPr>
            <w:tcW w:w="992" w:type="dxa"/>
            <w:tcBorders>
              <w:top w:val="single" w:sz="12" w:space="0" w:color="auto"/>
              <w:bottom w:val="single" w:sz="4" w:space="0" w:color="auto"/>
            </w:tcBorders>
            <w:vAlign w:val="center"/>
          </w:tcPr>
          <w:p w14:paraId="398A1947" w14:textId="77777777" w:rsidR="00260178" w:rsidRPr="007301DC" w:rsidRDefault="00260178" w:rsidP="00881E3D">
            <w:pPr>
              <w:pStyle w:val="TableCen"/>
            </w:pPr>
            <w:r w:rsidRPr="007301DC">
              <w:t>30</w:t>
            </w:r>
          </w:p>
        </w:tc>
        <w:tc>
          <w:tcPr>
            <w:tcW w:w="992" w:type="dxa"/>
            <w:tcBorders>
              <w:top w:val="single" w:sz="12" w:space="0" w:color="auto"/>
              <w:bottom w:val="single" w:sz="4" w:space="0" w:color="auto"/>
            </w:tcBorders>
            <w:vAlign w:val="center"/>
          </w:tcPr>
          <w:p w14:paraId="01F87EDB" w14:textId="77777777" w:rsidR="00260178" w:rsidRPr="007301DC" w:rsidRDefault="00260178" w:rsidP="00881E3D">
            <w:pPr>
              <w:pStyle w:val="TableCen"/>
            </w:pPr>
            <w:r w:rsidRPr="007301DC">
              <w:t>35</w:t>
            </w:r>
          </w:p>
        </w:tc>
        <w:tc>
          <w:tcPr>
            <w:tcW w:w="993" w:type="dxa"/>
            <w:tcBorders>
              <w:top w:val="single" w:sz="12" w:space="0" w:color="auto"/>
              <w:bottom w:val="single" w:sz="4" w:space="0" w:color="auto"/>
            </w:tcBorders>
            <w:vAlign w:val="center"/>
          </w:tcPr>
          <w:p w14:paraId="352744AB" w14:textId="77777777" w:rsidR="00260178" w:rsidRPr="007301DC" w:rsidRDefault="00260178" w:rsidP="00881E3D">
            <w:pPr>
              <w:pStyle w:val="TableCen"/>
            </w:pPr>
            <w:r w:rsidRPr="007301DC">
              <w:t>35</w:t>
            </w:r>
          </w:p>
        </w:tc>
      </w:tr>
      <w:tr w:rsidR="00260178" w:rsidRPr="007301DC" w14:paraId="333BAFB0" w14:textId="77777777" w:rsidTr="0078781D">
        <w:trPr>
          <w:trHeight w:val="340"/>
        </w:trPr>
        <w:tc>
          <w:tcPr>
            <w:tcW w:w="2835" w:type="dxa"/>
            <w:tcBorders>
              <w:top w:val="single" w:sz="4" w:space="0" w:color="auto"/>
              <w:bottom w:val="single" w:sz="4" w:space="0" w:color="auto"/>
            </w:tcBorders>
            <w:vAlign w:val="center"/>
          </w:tcPr>
          <w:p w14:paraId="1F6A0A3D" w14:textId="2604F971" w:rsidR="00260178" w:rsidRPr="007301DC" w:rsidRDefault="00260178" w:rsidP="00313C52">
            <w:pPr>
              <w:pStyle w:val="Table"/>
            </w:pPr>
            <w:r w:rsidRPr="007301DC">
              <w:t>Ten percent fines values (wet)</w:t>
            </w:r>
            <w:r w:rsidRPr="00615276">
              <w:rPr>
                <w:i/>
                <w:iCs/>
                <w:vertAlign w:val="superscript"/>
              </w:rPr>
              <w:t>(1)</w:t>
            </w:r>
          </w:p>
        </w:tc>
        <w:tc>
          <w:tcPr>
            <w:tcW w:w="851" w:type="dxa"/>
            <w:tcBorders>
              <w:top w:val="single" w:sz="4" w:space="0" w:color="auto"/>
              <w:bottom w:val="single" w:sz="4" w:space="0" w:color="auto"/>
            </w:tcBorders>
            <w:vAlign w:val="center"/>
          </w:tcPr>
          <w:p w14:paraId="421791D7" w14:textId="27E21D5F" w:rsidR="00260178" w:rsidRPr="007301DC" w:rsidRDefault="00260178" w:rsidP="00881E3D">
            <w:pPr>
              <w:pStyle w:val="TableCen"/>
            </w:pPr>
            <w:r w:rsidRPr="007301DC">
              <w:t>kN</w:t>
            </w:r>
            <w:r w:rsidR="00E46B16" w:rsidRPr="00615276">
              <w:rPr>
                <w:iCs/>
              </w:rPr>
              <w:t> </w:t>
            </w:r>
            <w:r w:rsidRPr="007301DC">
              <w:t>min</w:t>
            </w:r>
          </w:p>
        </w:tc>
        <w:tc>
          <w:tcPr>
            <w:tcW w:w="2126" w:type="dxa"/>
            <w:tcBorders>
              <w:top w:val="single" w:sz="4" w:space="0" w:color="auto"/>
              <w:bottom w:val="single" w:sz="4" w:space="0" w:color="auto"/>
            </w:tcBorders>
            <w:vAlign w:val="center"/>
          </w:tcPr>
          <w:p w14:paraId="1D42AA1E" w14:textId="77777777" w:rsidR="00260178" w:rsidRPr="007301DC" w:rsidRDefault="00260178" w:rsidP="00F13432">
            <w:pPr>
              <w:pStyle w:val="TableCen"/>
              <w:rPr>
                <w:i/>
              </w:rPr>
            </w:pPr>
            <w:r w:rsidRPr="007301DC">
              <w:rPr>
                <w:i/>
              </w:rPr>
              <w:t>AS 1141.22</w:t>
            </w:r>
          </w:p>
        </w:tc>
        <w:tc>
          <w:tcPr>
            <w:tcW w:w="992" w:type="dxa"/>
            <w:tcBorders>
              <w:top w:val="single" w:sz="4" w:space="0" w:color="auto"/>
              <w:bottom w:val="single" w:sz="4" w:space="0" w:color="auto"/>
            </w:tcBorders>
            <w:vAlign w:val="center"/>
          </w:tcPr>
          <w:p w14:paraId="2184FF8A" w14:textId="77777777" w:rsidR="00260178" w:rsidRPr="007301DC" w:rsidRDefault="00260178" w:rsidP="00881E3D">
            <w:pPr>
              <w:pStyle w:val="TableCen"/>
            </w:pPr>
            <w:r w:rsidRPr="007301DC">
              <w:t>175</w:t>
            </w:r>
          </w:p>
        </w:tc>
        <w:tc>
          <w:tcPr>
            <w:tcW w:w="992" w:type="dxa"/>
            <w:tcBorders>
              <w:top w:val="single" w:sz="4" w:space="0" w:color="auto"/>
              <w:bottom w:val="single" w:sz="4" w:space="0" w:color="auto"/>
            </w:tcBorders>
            <w:vAlign w:val="center"/>
          </w:tcPr>
          <w:p w14:paraId="064C2548" w14:textId="77777777" w:rsidR="00260178" w:rsidRPr="007301DC" w:rsidRDefault="00260178" w:rsidP="00881E3D">
            <w:pPr>
              <w:pStyle w:val="TableCen"/>
            </w:pPr>
            <w:r w:rsidRPr="007301DC">
              <w:t>150</w:t>
            </w:r>
          </w:p>
        </w:tc>
        <w:tc>
          <w:tcPr>
            <w:tcW w:w="993" w:type="dxa"/>
            <w:tcBorders>
              <w:top w:val="single" w:sz="4" w:space="0" w:color="auto"/>
              <w:bottom w:val="single" w:sz="4" w:space="0" w:color="auto"/>
            </w:tcBorders>
            <w:vAlign w:val="center"/>
          </w:tcPr>
          <w:p w14:paraId="323EEDF5" w14:textId="77777777" w:rsidR="00260178" w:rsidRPr="007301DC" w:rsidRDefault="00260178" w:rsidP="00881E3D">
            <w:pPr>
              <w:pStyle w:val="TableCen"/>
            </w:pPr>
            <w:r w:rsidRPr="007301DC">
              <w:t>100</w:t>
            </w:r>
          </w:p>
        </w:tc>
      </w:tr>
      <w:tr w:rsidR="00260178" w:rsidRPr="007301DC" w14:paraId="5A057433" w14:textId="77777777" w:rsidTr="0078781D">
        <w:trPr>
          <w:trHeight w:val="340"/>
        </w:trPr>
        <w:tc>
          <w:tcPr>
            <w:tcW w:w="2835" w:type="dxa"/>
            <w:tcBorders>
              <w:top w:val="single" w:sz="4" w:space="0" w:color="auto"/>
              <w:bottom w:val="single" w:sz="4" w:space="0" w:color="auto"/>
            </w:tcBorders>
            <w:vAlign w:val="center"/>
          </w:tcPr>
          <w:p w14:paraId="13CFCB0E" w14:textId="322CCF70" w:rsidR="00260178" w:rsidRPr="007301DC" w:rsidRDefault="00260178" w:rsidP="00313C52">
            <w:pPr>
              <w:pStyle w:val="Table"/>
            </w:pPr>
            <w:r w:rsidRPr="007301DC">
              <w:t>Wet/dry strength variation</w:t>
            </w:r>
            <w:r w:rsidRPr="00615276">
              <w:rPr>
                <w:i/>
                <w:iCs/>
                <w:vertAlign w:val="superscript"/>
              </w:rPr>
              <w:t>(1</w:t>
            </w:r>
            <w:r w:rsidR="00942D29">
              <w:rPr>
                <w:i/>
                <w:iCs/>
                <w:vertAlign w:val="superscript"/>
              </w:rPr>
              <w:t>)</w:t>
            </w:r>
            <w:r w:rsidRPr="00615276">
              <w:rPr>
                <w:i/>
                <w:iCs/>
                <w:vertAlign w:val="superscript"/>
              </w:rPr>
              <w:t>(2)</w:t>
            </w:r>
          </w:p>
        </w:tc>
        <w:tc>
          <w:tcPr>
            <w:tcW w:w="851" w:type="dxa"/>
            <w:tcBorders>
              <w:top w:val="single" w:sz="4" w:space="0" w:color="auto"/>
              <w:bottom w:val="single" w:sz="4" w:space="0" w:color="auto"/>
            </w:tcBorders>
            <w:vAlign w:val="center"/>
          </w:tcPr>
          <w:p w14:paraId="25ADA2F1" w14:textId="7C1EB6CD" w:rsidR="00260178" w:rsidRPr="007301DC" w:rsidRDefault="00260178" w:rsidP="00881E3D">
            <w:pPr>
              <w:pStyle w:val="TableCen"/>
            </w:pPr>
            <w:r w:rsidRPr="007301DC">
              <w:t>%</w:t>
            </w:r>
            <w:r w:rsidR="009F2AE0">
              <w:t> </w:t>
            </w:r>
            <w:r w:rsidRPr="007301DC">
              <w:t>max</w:t>
            </w:r>
          </w:p>
        </w:tc>
        <w:tc>
          <w:tcPr>
            <w:tcW w:w="2126" w:type="dxa"/>
            <w:tcBorders>
              <w:top w:val="single" w:sz="4" w:space="0" w:color="auto"/>
              <w:bottom w:val="single" w:sz="4" w:space="0" w:color="auto"/>
            </w:tcBorders>
            <w:vAlign w:val="center"/>
          </w:tcPr>
          <w:p w14:paraId="1150BCA3" w14:textId="77777777" w:rsidR="00260178" w:rsidRPr="007301DC" w:rsidRDefault="00260178" w:rsidP="00F13432">
            <w:pPr>
              <w:pStyle w:val="TableCen"/>
              <w:rPr>
                <w:i/>
              </w:rPr>
            </w:pPr>
            <w:r w:rsidRPr="007301DC">
              <w:rPr>
                <w:i/>
              </w:rPr>
              <w:t>AS 1141.22</w:t>
            </w:r>
          </w:p>
        </w:tc>
        <w:tc>
          <w:tcPr>
            <w:tcW w:w="992" w:type="dxa"/>
            <w:tcBorders>
              <w:top w:val="single" w:sz="4" w:space="0" w:color="auto"/>
              <w:bottom w:val="single" w:sz="4" w:space="0" w:color="auto"/>
            </w:tcBorders>
            <w:vAlign w:val="center"/>
          </w:tcPr>
          <w:p w14:paraId="61617ED2" w14:textId="77777777" w:rsidR="00260178" w:rsidRPr="007301DC" w:rsidRDefault="00260178" w:rsidP="00881E3D">
            <w:pPr>
              <w:pStyle w:val="TableCen"/>
            </w:pPr>
            <w:r w:rsidRPr="007301DC">
              <w:t>30</w:t>
            </w:r>
          </w:p>
        </w:tc>
        <w:tc>
          <w:tcPr>
            <w:tcW w:w="992" w:type="dxa"/>
            <w:tcBorders>
              <w:top w:val="single" w:sz="4" w:space="0" w:color="auto"/>
              <w:bottom w:val="single" w:sz="4" w:space="0" w:color="auto"/>
            </w:tcBorders>
            <w:vAlign w:val="center"/>
          </w:tcPr>
          <w:p w14:paraId="744B34AC" w14:textId="77777777" w:rsidR="00260178" w:rsidRPr="007301DC" w:rsidRDefault="00260178" w:rsidP="00881E3D">
            <w:pPr>
              <w:pStyle w:val="TableCen"/>
            </w:pPr>
            <w:r w:rsidRPr="007301DC">
              <w:t>35</w:t>
            </w:r>
          </w:p>
        </w:tc>
        <w:tc>
          <w:tcPr>
            <w:tcW w:w="993" w:type="dxa"/>
            <w:tcBorders>
              <w:top w:val="single" w:sz="4" w:space="0" w:color="auto"/>
              <w:bottom w:val="single" w:sz="4" w:space="0" w:color="auto"/>
            </w:tcBorders>
            <w:vAlign w:val="center"/>
          </w:tcPr>
          <w:p w14:paraId="0430AA64" w14:textId="77777777" w:rsidR="00260178" w:rsidRPr="007301DC" w:rsidRDefault="00260178" w:rsidP="00881E3D">
            <w:pPr>
              <w:pStyle w:val="TableCen"/>
            </w:pPr>
            <w:r w:rsidRPr="007301DC">
              <w:t>40</w:t>
            </w:r>
          </w:p>
        </w:tc>
      </w:tr>
      <w:tr w:rsidR="00260178" w:rsidRPr="007301DC" w14:paraId="3176B2D8" w14:textId="77777777" w:rsidTr="0078781D">
        <w:trPr>
          <w:trHeight w:val="340"/>
        </w:trPr>
        <w:tc>
          <w:tcPr>
            <w:tcW w:w="2835" w:type="dxa"/>
            <w:tcBorders>
              <w:top w:val="single" w:sz="4" w:space="0" w:color="auto"/>
              <w:bottom w:val="single" w:sz="4" w:space="0" w:color="auto"/>
            </w:tcBorders>
            <w:vAlign w:val="center"/>
          </w:tcPr>
          <w:p w14:paraId="1E47B95F" w14:textId="77777777" w:rsidR="00260178" w:rsidRPr="007301DC" w:rsidRDefault="00260178" w:rsidP="00881E3D">
            <w:pPr>
              <w:pStyle w:val="Table"/>
            </w:pPr>
            <w:r w:rsidRPr="007301DC">
              <w:t>Proportion of weak particles</w:t>
            </w:r>
          </w:p>
        </w:tc>
        <w:tc>
          <w:tcPr>
            <w:tcW w:w="851" w:type="dxa"/>
            <w:tcBorders>
              <w:top w:val="single" w:sz="4" w:space="0" w:color="auto"/>
              <w:bottom w:val="single" w:sz="4" w:space="0" w:color="auto"/>
            </w:tcBorders>
            <w:vAlign w:val="center"/>
          </w:tcPr>
          <w:p w14:paraId="409F3A1E" w14:textId="4157E2BD" w:rsidR="00260178" w:rsidRPr="007301DC" w:rsidRDefault="00260178" w:rsidP="00881E3D">
            <w:pPr>
              <w:pStyle w:val="TableCen"/>
            </w:pPr>
            <w:r w:rsidRPr="007301DC">
              <w:t>%</w:t>
            </w:r>
            <w:r w:rsidR="009F2AE0">
              <w:t> </w:t>
            </w:r>
            <w:r w:rsidRPr="007301DC">
              <w:t>max</w:t>
            </w:r>
          </w:p>
        </w:tc>
        <w:tc>
          <w:tcPr>
            <w:tcW w:w="2126" w:type="dxa"/>
            <w:tcBorders>
              <w:top w:val="single" w:sz="4" w:space="0" w:color="auto"/>
              <w:bottom w:val="single" w:sz="4" w:space="0" w:color="auto"/>
            </w:tcBorders>
            <w:vAlign w:val="center"/>
          </w:tcPr>
          <w:p w14:paraId="37856B1D" w14:textId="77777777" w:rsidR="00260178" w:rsidRPr="007301DC" w:rsidRDefault="00260178" w:rsidP="00F13432">
            <w:pPr>
              <w:pStyle w:val="TableCen"/>
              <w:rPr>
                <w:i/>
              </w:rPr>
            </w:pPr>
            <w:r w:rsidRPr="007301DC">
              <w:rPr>
                <w:i/>
              </w:rPr>
              <w:t>AS</w:t>
            </w:r>
            <w:r w:rsidRPr="007301DC">
              <w:t> </w:t>
            </w:r>
            <w:r w:rsidRPr="007301DC">
              <w:rPr>
                <w:i/>
              </w:rPr>
              <w:t>1141.32</w:t>
            </w:r>
          </w:p>
        </w:tc>
        <w:tc>
          <w:tcPr>
            <w:tcW w:w="992" w:type="dxa"/>
            <w:tcBorders>
              <w:top w:val="single" w:sz="4" w:space="0" w:color="auto"/>
              <w:bottom w:val="single" w:sz="4" w:space="0" w:color="auto"/>
            </w:tcBorders>
            <w:vAlign w:val="center"/>
          </w:tcPr>
          <w:p w14:paraId="146B05B0" w14:textId="77777777" w:rsidR="00260178" w:rsidRPr="007301DC" w:rsidRDefault="00260178" w:rsidP="00881E3D">
            <w:pPr>
              <w:pStyle w:val="TableCen"/>
            </w:pPr>
            <w:r w:rsidRPr="007301DC">
              <w:t>1</w:t>
            </w:r>
          </w:p>
        </w:tc>
        <w:tc>
          <w:tcPr>
            <w:tcW w:w="992" w:type="dxa"/>
            <w:tcBorders>
              <w:top w:val="single" w:sz="4" w:space="0" w:color="auto"/>
              <w:bottom w:val="single" w:sz="4" w:space="0" w:color="auto"/>
            </w:tcBorders>
            <w:vAlign w:val="center"/>
          </w:tcPr>
          <w:p w14:paraId="68C5F5B8" w14:textId="77777777" w:rsidR="00260178" w:rsidRPr="007301DC" w:rsidRDefault="00260178" w:rsidP="00881E3D">
            <w:pPr>
              <w:pStyle w:val="TableCen"/>
            </w:pPr>
            <w:r w:rsidRPr="007301DC">
              <w:t>2</w:t>
            </w:r>
          </w:p>
        </w:tc>
        <w:tc>
          <w:tcPr>
            <w:tcW w:w="993" w:type="dxa"/>
            <w:tcBorders>
              <w:top w:val="single" w:sz="4" w:space="0" w:color="auto"/>
              <w:bottom w:val="single" w:sz="4" w:space="0" w:color="auto"/>
            </w:tcBorders>
            <w:vAlign w:val="center"/>
          </w:tcPr>
          <w:p w14:paraId="0D708A4F" w14:textId="77777777" w:rsidR="00260178" w:rsidRPr="007301DC" w:rsidRDefault="00260178" w:rsidP="00881E3D">
            <w:pPr>
              <w:pStyle w:val="TableCen"/>
            </w:pPr>
            <w:r w:rsidRPr="007301DC">
              <w:t>3</w:t>
            </w:r>
          </w:p>
        </w:tc>
      </w:tr>
      <w:tr w:rsidR="00260178" w:rsidRPr="007301DC" w14:paraId="6F0D9E87" w14:textId="77777777" w:rsidTr="0078781D">
        <w:trPr>
          <w:trHeight w:val="340"/>
        </w:trPr>
        <w:tc>
          <w:tcPr>
            <w:tcW w:w="2835" w:type="dxa"/>
            <w:tcBorders>
              <w:top w:val="single" w:sz="4" w:space="0" w:color="auto"/>
              <w:bottom w:val="single" w:sz="12" w:space="0" w:color="auto"/>
            </w:tcBorders>
            <w:vAlign w:val="center"/>
          </w:tcPr>
          <w:p w14:paraId="31B7E083" w14:textId="63A247B2" w:rsidR="00260178" w:rsidRPr="007301DC" w:rsidRDefault="00260178" w:rsidP="00313C52">
            <w:pPr>
              <w:pStyle w:val="Table"/>
            </w:pPr>
            <w:r w:rsidRPr="007301DC">
              <w:t>Crushed faces</w:t>
            </w:r>
            <w:r w:rsidRPr="00AE6A89">
              <w:rPr>
                <w:i/>
                <w:iCs/>
                <w:vertAlign w:val="superscript"/>
              </w:rPr>
              <w:t>(3)</w:t>
            </w:r>
          </w:p>
        </w:tc>
        <w:tc>
          <w:tcPr>
            <w:tcW w:w="851" w:type="dxa"/>
            <w:tcBorders>
              <w:top w:val="single" w:sz="4" w:space="0" w:color="auto"/>
              <w:bottom w:val="single" w:sz="12" w:space="0" w:color="auto"/>
            </w:tcBorders>
            <w:vAlign w:val="center"/>
          </w:tcPr>
          <w:p w14:paraId="762CC579" w14:textId="63A56C1A" w:rsidR="00260178" w:rsidRPr="007301DC" w:rsidRDefault="00260178" w:rsidP="00881E3D">
            <w:pPr>
              <w:pStyle w:val="TableCen"/>
            </w:pPr>
            <w:r w:rsidRPr="007301DC">
              <w:t>%</w:t>
            </w:r>
            <w:r w:rsidR="009F2AE0">
              <w:t> </w:t>
            </w:r>
            <w:r w:rsidRPr="007301DC">
              <w:t>min</w:t>
            </w:r>
          </w:p>
        </w:tc>
        <w:tc>
          <w:tcPr>
            <w:tcW w:w="2126" w:type="dxa"/>
            <w:tcBorders>
              <w:top w:val="single" w:sz="4" w:space="0" w:color="auto"/>
              <w:bottom w:val="single" w:sz="12" w:space="0" w:color="auto"/>
            </w:tcBorders>
            <w:vAlign w:val="center"/>
          </w:tcPr>
          <w:p w14:paraId="2EA0A287" w14:textId="77777777" w:rsidR="00260178" w:rsidRPr="007301DC" w:rsidRDefault="00260178" w:rsidP="00F13432">
            <w:pPr>
              <w:pStyle w:val="TableCen"/>
              <w:rPr>
                <w:i/>
              </w:rPr>
            </w:pPr>
            <w:r w:rsidRPr="007301DC">
              <w:rPr>
                <w:i/>
              </w:rPr>
              <w:t>AS</w:t>
            </w:r>
            <w:r w:rsidRPr="007301DC">
              <w:t> </w:t>
            </w:r>
            <w:r w:rsidRPr="007301DC">
              <w:rPr>
                <w:i/>
              </w:rPr>
              <w:t>1141.18</w:t>
            </w:r>
          </w:p>
        </w:tc>
        <w:tc>
          <w:tcPr>
            <w:tcW w:w="992" w:type="dxa"/>
            <w:tcBorders>
              <w:top w:val="single" w:sz="4" w:space="0" w:color="auto"/>
              <w:bottom w:val="single" w:sz="12" w:space="0" w:color="auto"/>
            </w:tcBorders>
            <w:vAlign w:val="center"/>
          </w:tcPr>
          <w:p w14:paraId="6387DA5A" w14:textId="77777777" w:rsidR="00260178" w:rsidRPr="007301DC" w:rsidRDefault="00260178" w:rsidP="00881E3D">
            <w:pPr>
              <w:pStyle w:val="TableCen"/>
            </w:pPr>
            <w:r w:rsidRPr="007301DC">
              <w:t>80</w:t>
            </w:r>
          </w:p>
        </w:tc>
        <w:tc>
          <w:tcPr>
            <w:tcW w:w="992" w:type="dxa"/>
            <w:tcBorders>
              <w:top w:val="single" w:sz="4" w:space="0" w:color="auto"/>
              <w:bottom w:val="single" w:sz="12" w:space="0" w:color="auto"/>
            </w:tcBorders>
            <w:vAlign w:val="center"/>
          </w:tcPr>
          <w:p w14:paraId="6DD08935" w14:textId="77777777" w:rsidR="00260178" w:rsidRPr="007301DC" w:rsidRDefault="00260178" w:rsidP="00881E3D">
            <w:pPr>
              <w:pStyle w:val="TableCen"/>
            </w:pPr>
            <w:r w:rsidRPr="007301DC">
              <w:t>80</w:t>
            </w:r>
          </w:p>
        </w:tc>
        <w:tc>
          <w:tcPr>
            <w:tcW w:w="993" w:type="dxa"/>
            <w:tcBorders>
              <w:top w:val="single" w:sz="4" w:space="0" w:color="auto"/>
              <w:bottom w:val="single" w:sz="12" w:space="0" w:color="auto"/>
            </w:tcBorders>
            <w:vAlign w:val="center"/>
          </w:tcPr>
          <w:p w14:paraId="742CA046" w14:textId="77777777" w:rsidR="00260178" w:rsidRPr="007301DC" w:rsidRDefault="00260178" w:rsidP="00881E3D">
            <w:pPr>
              <w:pStyle w:val="TableCen"/>
            </w:pPr>
            <w:r w:rsidRPr="007301DC">
              <w:t>80</w:t>
            </w:r>
          </w:p>
        </w:tc>
      </w:tr>
    </w:tbl>
    <w:p w14:paraId="7887A00B" w14:textId="61B6DF1A" w:rsidR="0067023B" w:rsidRPr="00615276" w:rsidRDefault="005C11E9" w:rsidP="00615276">
      <w:pPr>
        <w:pStyle w:val="TableNote"/>
        <w:tabs>
          <w:tab w:val="left" w:pos="1134"/>
        </w:tabs>
        <w:rPr>
          <w:sz w:val="16"/>
          <w:szCs w:val="16"/>
        </w:rPr>
      </w:pPr>
      <w:r w:rsidRPr="00615276">
        <w:rPr>
          <w:sz w:val="16"/>
          <w:szCs w:val="16"/>
          <w:vertAlign w:val="superscript"/>
        </w:rPr>
        <w:t>(1)</w:t>
      </w:r>
      <w:r>
        <w:rPr>
          <w:sz w:val="16"/>
          <w:szCs w:val="16"/>
        </w:rPr>
        <w:tab/>
      </w:r>
      <w:r w:rsidR="0067023B" w:rsidRPr="00615276">
        <w:rPr>
          <w:sz w:val="16"/>
          <w:szCs w:val="16"/>
        </w:rPr>
        <w:t>Carry out test on one significant sieve fraction, where possible, on particles passing the A.S. 13.2 mm sieve but retained on the A.S. 9.5 mm sieve.</w:t>
      </w:r>
    </w:p>
    <w:p w14:paraId="0613C1B5" w14:textId="79453FE7" w:rsidR="00313C52" w:rsidRPr="00615276" w:rsidRDefault="005C11E9" w:rsidP="00615276">
      <w:pPr>
        <w:pStyle w:val="TableNote"/>
        <w:tabs>
          <w:tab w:val="left" w:pos="1134"/>
        </w:tabs>
        <w:rPr>
          <w:sz w:val="16"/>
          <w:szCs w:val="16"/>
        </w:rPr>
      </w:pPr>
      <w:r w:rsidRPr="00615276">
        <w:rPr>
          <w:sz w:val="16"/>
          <w:szCs w:val="16"/>
          <w:vertAlign w:val="superscript"/>
        </w:rPr>
        <w:t>(2)</w:t>
      </w:r>
      <w:r>
        <w:rPr>
          <w:sz w:val="16"/>
          <w:szCs w:val="16"/>
        </w:rPr>
        <w:tab/>
      </w:r>
      <w:r w:rsidR="00313C52" w:rsidRPr="00615276">
        <w:rPr>
          <w:sz w:val="16"/>
          <w:szCs w:val="16"/>
        </w:rPr>
        <w:t>If Greenstone source material (Metamorphic Group) does not comply with the specified maximum wet/dry strength variation limits, it may be used provided that the ten percent fines values (wet) is at least 60 kN greater than the specified maximum value for the relevant subtype.</w:t>
      </w:r>
    </w:p>
    <w:p w14:paraId="3EFAEC09" w14:textId="653F15E0" w:rsidR="00DE7CB5" w:rsidRPr="00615276" w:rsidRDefault="005C11E9" w:rsidP="00615276">
      <w:pPr>
        <w:tabs>
          <w:tab w:val="left" w:pos="1134"/>
        </w:tabs>
        <w:ind w:left="1134" w:hanging="425"/>
        <w:rPr>
          <w:i/>
          <w:sz w:val="16"/>
          <w:szCs w:val="16"/>
          <w:lang w:eastAsia="en-AU"/>
        </w:rPr>
      </w:pPr>
      <w:r>
        <w:rPr>
          <w:i/>
          <w:sz w:val="16"/>
          <w:szCs w:val="16"/>
          <w:vertAlign w:val="superscript"/>
          <w:lang w:eastAsia="en-AU"/>
        </w:rPr>
        <w:t>(3)</w:t>
      </w:r>
      <w:r>
        <w:rPr>
          <w:i/>
          <w:sz w:val="16"/>
          <w:szCs w:val="16"/>
          <w:lang w:eastAsia="en-AU"/>
        </w:rPr>
        <w:tab/>
      </w:r>
      <w:r w:rsidR="00DE7CB5" w:rsidRPr="00615276">
        <w:rPr>
          <w:i/>
          <w:sz w:val="16"/>
          <w:szCs w:val="16"/>
          <w:lang w:eastAsia="en-AU"/>
        </w:rPr>
        <w:t>Testing only required when aggregate is not obtained from a blasted face in a quarry.</w:t>
      </w:r>
    </w:p>
    <w:p w14:paraId="3B3DE059" w14:textId="77777777" w:rsidR="0067023B" w:rsidRPr="007301DC" w:rsidRDefault="005D7D96" w:rsidP="004B12B0">
      <w:pPr>
        <w:pStyle w:val="Heading3"/>
      </w:pPr>
      <w:bookmarkStart w:id="30" w:name="_Toc457204404"/>
      <w:bookmarkStart w:id="31" w:name="_Toc76106322"/>
      <w:r w:rsidRPr="007301DC">
        <w:t>Prime Cover Material</w:t>
      </w:r>
      <w:bookmarkEnd w:id="30"/>
      <w:bookmarkEnd w:id="31"/>
    </w:p>
    <w:p w14:paraId="4FD49052" w14:textId="77777777" w:rsidR="0067023B" w:rsidRPr="007301DC" w:rsidRDefault="0067023B" w:rsidP="009F752F">
      <w:pPr>
        <w:pStyle w:val="BodyTextIndent"/>
      </w:pPr>
      <w:r w:rsidRPr="00615276">
        <w:rPr>
          <w:u w:val="single"/>
        </w:rPr>
        <w:t>General requirement</w:t>
      </w:r>
      <w:r w:rsidRPr="007301DC">
        <w:t>: Prime cover material must consist of natural sand or crushed rock particles of size generally smaller than 4.75 mm but larger than 0.075 mm.</w:t>
      </w:r>
    </w:p>
    <w:p w14:paraId="28B17966" w14:textId="77777777" w:rsidR="0067023B" w:rsidRPr="007301DC" w:rsidRDefault="0067023B" w:rsidP="009F752F">
      <w:pPr>
        <w:pStyle w:val="BodyTextIndent"/>
      </w:pPr>
      <w:r w:rsidRPr="00615276">
        <w:rPr>
          <w:u w:val="single"/>
        </w:rPr>
        <w:t>Contamination</w:t>
      </w:r>
      <w:r w:rsidRPr="007301DC">
        <w:t>: Prime cover material must be free from soluble salts, organic matter, clay and other deleterious material.</w:t>
      </w:r>
    </w:p>
    <w:p w14:paraId="3B8B0F34" w14:textId="77777777" w:rsidR="0067023B" w:rsidRPr="007301DC" w:rsidRDefault="005D7D96" w:rsidP="004B12B0">
      <w:pPr>
        <w:pStyle w:val="Heading3"/>
      </w:pPr>
      <w:bookmarkStart w:id="32" w:name="_Toc457204405"/>
      <w:bookmarkStart w:id="33" w:name="_Toc76106323"/>
      <w:r w:rsidRPr="004B12B0">
        <w:t>Bitumen</w:t>
      </w:r>
      <w:bookmarkEnd w:id="32"/>
      <w:bookmarkEnd w:id="33"/>
    </w:p>
    <w:p w14:paraId="60D30CDD" w14:textId="77777777" w:rsidR="0067023B" w:rsidRPr="007301DC" w:rsidRDefault="0067023B" w:rsidP="009F752F">
      <w:pPr>
        <w:pStyle w:val="BodyTextIndent"/>
      </w:pPr>
      <w:r w:rsidRPr="00615276">
        <w:rPr>
          <w:u w:val="single"/>
        </w:rPr>
        <w:t>Bitumen</w:t>
      </w:r>
      <w:r w:rsidRPr="007301DC">
        <w:t xml:space="preserve">: Generally to </w:t>
      </w:r>
      <w:r w:rsidRPr="007301DC">
        <w:rPr>
          <w:i/>
        </w:rPr>
        <w:t>AS 2008</w:t>
      </w:r>
      <w:r w:rsidRPr="007301DC">
        <w:t>.</w:t>
      </w:r>
    </w:p>
    <w:p w14:paraId="1BA1655C" w14:textId="77777777" w:rsidR="0067023B" w:rsidRPr="007301DC" w:rsidRDefault="0067023B" w:rsidP="009F752F">
      <w:pPr>
        <w:pStyle w:val="BodyTextIndent"/>
      </w:pPr>
      <w:r w:rsidRPr="00615276">
        <w:rPr>
          <w:u w:val="single"/>
        </w:rPr>
        <w:t>Bitumen emulsion</w:t>
      </w:r>
      <w:r w:rsidRPr="007301DC">
        <w:t xml:space="preserve">: To </w:t>
      </w:r>
      <w:r w:rsidRPr="007301DC">
        <w:rPr>
          <w:i/>
        </w:rPr>
        <w:t>AS 1160</w:t>
      </w:r>
      <w:r w:rsidRPr="007301DC">
        <w:t>.</w:t>
      </w:r>
    </w:p>
    <w:p w14:paraId="19BA438E" w14:textId="77777777" w:rsidR="0067023B" w:rsidRPr="007301DC" w:rsidRDefault="0067023B" w:rsidP="009F752F">
      <w:pPr>
        <w:pStyle w:val="BodyTextIndent"/>
      </w:pPr>
      <w:r w:rsidRPr="00615276">
        <w:rPr>
          <w:u w:val="single"/>
        </w:rPr>
        <w:t>General requirement</w:t>
      </w:r>
      <w:r w:rsidRPr="007301DC">
        <w:t>: Bitumen must be homogeneous and free from any inorganic matters, other than that naturally present in crude petroleum.</w:t>
      </w:r>
    </w:p>
    <w:p w14:paraId="19BE5CDB" w14:textId="396624E4" w:rsidR="0067023B" w:rsidRPr="007301DC" w:rsidRDefault="0067023B" w:rsidP="009F752F">
      <w:pPr>
        <w:pStyle w:val="BodyTextIndent"/>
      </w:pPr>
      <w:r w:rsidRPr="00615276">
        <w:rPr>
          <w:u w:val="single"/>
        </w:rPr>
        <w:t>Foaming</w:t>
      </w:r>
      <w:r w:rsidRPr="007301DC">
        <w:t>: Bitumen must not foam when heated to 175</w:t>
      </w:r>
      <w:r w:rsidR="001219FE">
        <w:rPr>
          <w:rFonts w:cs="Arial"/>
        </w:rPr>
        <w:t>°</w:t>
      </w:r>
      <w:r w:rsidRPr="007301DC">
        <w:t>C.</w:t>
      </w:r>
    </w:p>
    <w:p w14:paraId="36FCEEDD" w14:textId="77777777" w:rsidR="00B44ED4" w:rsidRPr="007301DC" w:rsidRDefault="00B44ED4" w:rsidP="009F752F">
      <w:pPr>
        <w:pStyle w:val="BodyTextIndent"/>
      </w:pPr>
      <w:r w:rsidRPr="00615276">
        <w:rPr>
          <w:u w:val="single"/>
        </w:rPr>
        <w:t>Material properties</w:t>
      </w:r>
      <w:r w:rsidRPr="007301DC">
        <w:t xml:space="preserve">: Comply with the requirements of </w:t>
      </w:r>
      <w:r w:rsidRPr="007301DC">
        <w:rPr>
          <w:i/>
        </w:rPr>
        <w:t>AS 2008</w:t>
      </w:r>
      <w:r w:rsidRPr="007301DC">
        <w:t>.</w:t>
      </w:r>
    </w:p>
    <w:p w14:paraId="20645BB2" w14:textId="6A2C7A60" w:rsidR="0067023B" w:rsidRPr="007301DC" w:rsidRDefault="0067023B" w:rsidP="009F752F">
      <w:pPr>
        <w:pStyle w:val="BodyTextIndent"/>
      </w:pPr>
      <w:r w:rsidRPr="00615276">
        <w:rPr>
          <w:u w:val="single"/>
        </w:rPr>
        <w:t>Conformance criteria</w:t>
      </w:r>
      <w:r w:rsidRPr="007301DC">
        <w:t xml:space="preserve">: Comply with the requirements of </w:t>
      </w:r>
      <w:r w:rsidR="00B76AAD" w:rsidRPr="00B76AAD">
        <w:rPr>
          <w:i/>
          <w:iCs/>
        </w:rPr>
        <w:t>Reference Specification</w:t>
      </w:r>
      <w:r w:rsidR="00B76AAD">
        <w:t xml:space="preserve"> </w:t>
      </w:r>
      <w:r w:rsidRPr="007301DC">
        <w:rPr>
          <w:i/>
        </w:rPr>
        <w:t>S120 Quality</w:t>
      </w:r>
      <w:r w:rsidR="00292E6B">
        <w:rPr>
          <w:i/>
        </w:rPr>
        <w:t>,</w:t>
      </w:r>
      <w:r w:rsidRPr="007301DC">
        <w:rPr>
          <w:i/>
        </w:rPr>
        <w:t xml:space="preserve"> Clause 8.2</w:t>
      </w:r>
      <w:r w:rsidRPr="007301DC">
        <w:t>.</w:t>
      </w:r>
    </w:p>
    <w:p w14:paraId="451E731C" w14:textId="77777777" w:rsidR="0067023B" w:rsidRPr="007301DC" w:rsidRDefault="005D7D96" w:rsidP="004B12B0">
      <w:pPr>
        <w:pStyle w:val="Heading3"/>
      </w:pPr>
      <w:bookmarkStart w:id="34" w:name="_Toc457204406"/>
      <w:bookmarkStart w:id="35" w:name="_Toc76106324"/>
      <w:r w:rsidRPr="007301DC">
        <w:lastRenderedPageBreak/>
        <w:t>Cutback Bitumen</w:t>
      </w:r>
      <w:bookmarkEnd w:id="34"/>
      <w:bookmarkEnd w:id="35"/>
    </w:p>
    <w:p w14:paraId="3C32E2E5" w14:textId="77777777" w:rsidR="0067023B" w:rsidRPr="007301DC" w:rsidRDefault="0067023B" w:rsidP="009F752F">
      <w:pPr>
        <w:pStyle w:val="BodyTextIndent"/>
      </w:pPr>
      <w:r w:rsidRPr="00B76AAD">
        <w:rPr>
          <w:u w:val="single"/>
        </w:rPr>
        <w:t>Cutback bitumen</w:t>
      </w:r>
      <w:r w:rsidRPr="007301DC">
        <w:t xml:space="preserve">: Generally to </w:t>
      </w:r>
      <w:r w:rsidRPr="007301DC">
        <w:rPr>
          <w:i/>
        </w:rPr>
        <w:t>AS 2157</w:t>
      </w:r>
      <w:r w:rsidRPr="007301DC">
        <w:t xml:space="preserve">.  A product made from residual bitumen complying with </w:t>
      </w:r>
      <w:r w:rsidRPr="007301DC">
        <w:rPr>
          <w:i/>
        </w:rPr>
        <w:t>AS 2008</w:t>
      </w:r>
      <w:r w:rsidRPr="007301DC">
        <w:t xml:space="preserve"> by the addition of cutter oil complying with </w:t>
      </w:r>
      <w:r w:rsidRPr="007301DC">
        <w:rPr>
          <w:i/>
        </w:rPr>
        <w:t>AS 3568</w:t>
      </w:r>
      <w:r w:rsidRPr="007301DC">
        <w:t>.  Select grades to suit the prepared surface and the weather conditions.</w:t>
      </w:r>
    </w:p>
    <w:p w14:paraId="07375059" w14:textId="77777777" w:rsidR="0067023B" w:rsidRPr="007301DC" w:rsidRDefault="0067023B" w:rsidP="009F752F">
      <w:pPr>
        <w:pStyle w:val="BodyTextIndent"/>
      </w:pPr>
      <w:r w:rsidRPr="00B76AAD">
        <w:rPr>
          <w:u w:val="single"/>
        </w:rPr>
        <w:t>Priming classes</w:t>
      </w:r>
      <w:r w:rsidRPr="007301DC">
        <w:t>: Cutback bitumen grades AMC00, AMC0, AMC1.</w:t>
      </w:r>
    </w:p>
    <w:p w14:paraId="7012220C" w14:textId="77777777" w:rsidR="0067023B" w:rsidRPr="007301DC" w:rsidRDefault="0067023B" w:rsidP="009F752F">
      <w:pPr>
        <w:pStyle w:val="BodyTextIndent"/>
      </w:pPr>
      <w:r w:rsidRPr="00B76AAD">
        <w:rPr>
          <w:u w:val="single"/>
        </w:rPr>
        <w:t>Primer sealing and premix classes</w:t>
      </w:r>
      <w:r w:rsidRPr="007301DC">
        <w:t>: Cutback bitumen grades AMC2, AMC3, AMC4.</w:t>
      </w:r>
    </w:p>
    <w:p w14:paraId="02B11DA6" w14:textId="77777777" w:rsidR="0067023B" w:rsidRPr="007301DC" w:rsidRDefault="0067023B" w:rsidP="009F752F">
      <w:pPr>
        <w:pStyle w:val="BodyTextIndent"/>
      </w:pPr>
      <w:r w:rsidRPr="00B76AAD">
        <w:rPr>
          <w:u w:val="single"/>
        </w:rPr>
        <w:t>Sealing classes</w:t>
      </w:r>
      <w:r w:rsidRPr="007301DC">
        <w:t>: Cutback bitumen grades AMC5, AMC6, AMC7.</w:t>
      </w:r>
    </w:p>
    <w:p w14:paraId="5FCB235F" w14:textId="77777777" w:rsidR="0067023B" w:rsidRPr="007301DC" w:rsidRDefault="0067023B" w:rsidP="009F752F">
      <w:pPr>
        <w:pStyle w:val="BodyTextIndent"/>
      </w:pPr>
      <w:r w:rsidRPr="00B76AAD">
        <w:rPr>
          <w:u w:val="single"/>
        </w:rPr>
        <w:t>Mixture</w:t>
      </w:r>
      <w:r w:rsidRPr="007301DC">
        <w:t>: Use volatile diluent compatible with the bitumen to produce a homogeneous mixture.</w:t>
      </w:r>
    </w:p>
    <w:p w14:paraId="0F18EAF4" w14:textId="77777777" w:rsidR="0067023B" w:rsidRPr="007301DC" w:rsidRDefault="0067023B" w:rsidP="009F752F">
      <w:pPr>
        <w:pStyle w:val="BodyTextIndent"/>
      </w:pPr>
      <w:r w:rsidRPr="00B76AAD">
        <w:rPr>
          <w:u w:val="single"/>
        </w:rPr>
        <w:t>Storage and transport</w:t>
      </w:r>
      <w:r w:rsidRPr="007301DC">
        <w:t>: Store and transport in purpose built containers in such a way that contamination does not occur.</w:t>
      </w:r>
    </w:p>
    <w:p w14:paraId="49FA4B49" w14:textId="5FB19F58" w:rsidR="0067023B" w:rsidRPr="007301DC" w:rsidRDefault="0067023B" w:rsidP="009F752F">
      <w:pPr>
        <w:pStyle w:val="BodyTextIndent"/>
      </w:pPr>
      <w:r w:rsidRPr="00B76AAD">
        <w:rPr>
          <w:u w:val="single"/>
        </w:rPr>
        <w:t>Flashpoint</w:t>
      </w:r>
      <w:r w:rsidRPr="007301DC">
        <w:t xml:space="preserve">: Test to </w:t>
      </w:r>
      <w:r w:rsidRPr="007301DC">
        <w:rPr>
          <w:i/>
        </w:rPr>
        <w:t>AS 2341.16</w:t>
      </w:r>
      <w:r w:rsidRPr="007301DC">
        <w:t>.  A minimum flashpoint temperature of 38</w:t>
      </w:r>
      <w:r w:rsidR="00292E6B">
        <w:rPr>
          <w:rFonts w:cs="Arial"/>
        </w:rPr>
        <w:t>°</w:t>
      </w:r>
      <w:r w:rsidRPr="007301DC">
        <w:t>C applies to cutback bitumen grades AMC00, AMC0, AMC1, AMC2, AMC3 and AMC4.  A minimum flashpoint temperature of 50</w:t>
      </w:r>
      <w:r w:rsidR="00292E6B">
        <w:rPr>
          <w:rFonts w:cs="Arial"/>
        </w:rPr>
        <w:t>°</w:t>
      </w:r>
      <w:r w:rsidRPr="007301DC">
        <w:t>C applies to cutback bitumen grades AMC5, AMC6 and AMC7.</w:t>
      </w:r>
    </w:p>
    <w:p w14:paraId="222715A6" w14:textId="77777777" w:rsidR="0067023B" w:rsidRPr="007301DC" w:rsidRDefault="0067023B" w:rsidP="009F752F">
      <w:pPr>
        <w:pStyle w:val="BodyTextIndent"/>
      </w:pPr>
      <w:r w:rsidRPr="00B76AAD">
        <w:rPr>
          <w:u w:val="single"/>
        </w:rPr>
        <w:t>Other material properties</w:t>
      </w:r>
      <w:r w:rsidRPr="007301DC">
        <w:t xml:space="preserve">: Comply with the requirements of </w:t>
      </w:r>
      <w:r w:rsidRPr="007301DC">
        <w:rPr>
          <w:i/>
        </w:rPr>
        <w:t>AS 2157</w:t>
      </w:r>
      <w:r w:rsidRPr="007301DC">
        <w:t>.</w:t>
      </w:r>
    </w:p>
    <w:p w14:paraId="50764AE2" w14:textId="5B3CD4EA" w:rsidR="0067023B" w:rsidRPr="007301DC" w:rsidRDefault="0067023B" w:rsidP="009F752F">
      <w:pPr>
        <w:pStyle w:val="BodyTextIndent"/>
      </w:pPr>
      <w:r w:rsidRPr="001219FE">
        <w:rPr>
          <w:u w:val="single"/>
        </w:rPr>
        <w:t>Conformance criteria</w:t>
      </w:r>
      <w:r w:rsidRPr="007301DC">
        <w:t xml:space="preserve">: Comply with the requirements of </w:t>
      </w:r>
      <w:r w:rsidR="009A7E86" w:rsidRPr="001219FE">
        <w:rPr>
          <w:i/>
          <w:iCs/>
        </w:rPr>
        <w:t>Reference Specification</w:t>
      </w:r>
      <w:r w:rsidR="009A7E86">
        <w:t xml:space="preserve"> </w:t>
      </w:r>
      <w:r w:rsidRPr="007301DC">
        <w:rPr>
          <w:i/>
        </w:rPr>
        <w:t>S120 Quality Clause 8.2</w:t>
      </w:r>
      <w:r w:rsidRPr="007301DC">
        <w:t>.</w:t>
      </w:r>
    </w:p>
    <w:p w14:paraId="6523A82D" w14:textId="77777777" w:rsidR="00B44ED4" w:rsidRPr="007301DC" w:rsidRDefault="003C388F" w:rsidP="004B12B0">
      <w:pPr>
        <w:pStyle w:val="Heading3"/>
      </w:pPr>
      <w:bookmarkStart w:id="36" w:name="_Toc76106325"/>
      <w:r w:rsidRPr="007301DC">
        <w:t>Polymer Modified Bitumen</w:t>
      </w:r>
      <w:bookmarkEnd w:id="36"/>
    </w:p>
    <w:p w14:paraId="23F7ABA7" w14:textId="77777777" w:rsidR="00B44ED4" w:rsidRPr="007301DC" w:rsidRDefault="00B44ED4" w:rsidP="00B44ED4">
      <w:pPr>
        <w:pStyle w:val="BodyTextIndent"/>
      </w:pPr>
      <w:r w:rsidRPr="001219FE">
        <w:rPr>
          <w:u w:val="single"/>
        </w:rPr>
        <w:t>Polymer modified bitumen</w:t>
      </w:r>
      <w:r w:rsidRPr="007301DC">
        <w:t xml:space="preserve">: Generally to </w:t>
      </w:r>
      <w:r w:rsidRPr="007301DC">
        <w:rPr>
          <w:i/>
        </w:rPr>
        <w:t>Austroads Test Method AGPT/T190</w:t>
      </w:r>
      <w:r w:rsidRPr="007301DC">
        <w:t>.</w:t>
      </w:r>
    </w:p>
    <w:p w14:paraId="6F80EF52" w14:textId="77777777" w:rsidR="00B44ED4" w:rsidRPr="007301DC" w:rsidRDefault="00B44ED4" w:rsidP="00B44ED4">
      <w:pPr>
        <w:pStyle w:val="BodyTextIndent"/>
      </w:pPr>
      <w:r w:rsidRPr="001219FE">
        <w:rPr>
          <w:u w:val="single"/>
        </w:rPr>
        <w:t>Material properties</w:t>
      </w:r>
      <w:r w:rsidRPr="007301DC">
        <w:t>: Test to the specified Austroads methods.  Comply with the requirements of AGPT/T190 for the relevant quality category of sprayed sealing or crumb rubber PMB classes.  Refer Annexure for PMB Class to be used.</w:t>
      </w:r>
    </w:p>
    <w:p w14:paraId="406A0BD5" w14:textId="2505B962" w:rsidR="00B44ED4" w:rsidRPr="007301DC" w:rsidRDefault="00B44ED4" w:rsidP="00B44ED4">
      <w:pPr>
        <w:pStyle w:val="BodyTextIndent"/>
      </w:pPr>
      <w:r w:rsidRPr="00DE77B0">
        <w:rPr>
          <w:u w:val="single"/>
        </w:rPr>
        <w:t>Conformance criteria</w:t>
      </w:r>
      <w:r w:rsidRPr="007301DC">
        <w:t xml:space="preserve">: Comply with the requirements of </w:t>
      </w:r>
      <w:r w:rsidR="00DE7157" w:rsidRPr="00B76AAD">
        <w:rPr>
          <w:i/>
          <w:iCs/>
        </w:rPr>
        <w:t>Reference Specification</w:t>
      </w:r>
      <w:r w:rsidR="00DE7157">
        <w:t xml:space="preserve"> </w:t>
      </w:r>
      <w:r w:rsidRPr="00DE77B0">
        <w:rPr>
          <w:i/>
          <w:iCs/>
        </w:rPr>
        <w:t>S120 Quality</w:t>
      </w:r>
      <w:r w:rsidR="00292E6B">
        <w:rPr>
          <w:i/>
          <w:iCs/>
        </w:rPr>
        <w:t>,</w:t>
      </w:r>
      <w:r w:rsidRPr="00DE77B0">
        <w:rPr>
          <w:i/>
          <w:iCs/>
        </w:rPr>
        <w:t xml:space="preserve"> Clause</w:t>
      </w:r>
      <w:r w:rsidR="00DE7157" w:rsidRPr="007301DC">
        <w:rPr>
          <w:i/>
        </w:rPr>
        <w:t> </w:t>
      </w:r>
      <w:r w:rsidRPr="00DE77B0">
        <w:rPr>
          <w:i/>
          <w:iCs/>
        </w:rPr>
        <w:t>8.2</w:t>
      </w:r>
      <w:r w:rsidRPr="007301DC">
        <w:t>.</w:t>
      </w:r>
    </w:p>
    <w:p w14:paraId="3F54CBB6" w14:textId="77777777" w:rsidR="004F2837" w:rsidRPr="007301DC" w:rsidRDefault="004F2837" w:rsidP="004B12B0">
      <w:pPr>
        <w:pStyle w:val="Heading3"/>
      </w:pPr>
      <w:bookmarkStart w:id="37" w:name="_Toc76106326"/>
      <w:r w:rsidRPr="007301DC">
        <w:t>Crumb Rubber Modified Bitumen</w:t>
      </w:r>
      <w:bookmarkEnd w:id="37"/>
    </w:p>
    <w:p w14:paraId="3317DD16" w14:textId="77777777" w:rsidR="004A6282" w:rsidRPr="007301DC" w:rsidRDefault="004A6282" w:rsidP="004A6282">
      <w:pPr>
        <w:pStyle w:val="BodyTextIndent"/>
      </w:pPr>
      <w:r w:rsidRPr="00DE77B0">
        <w:rPr>
          <w:u w:val="single"/>
        </w:rPr>
        <w:t>Crumb rubber modified bitumen</w:t>
      </w:r>
      <w:r w:rsidRPr="007301DC">
        <w:t xml:space="preserve">: Generally to </w:t>
      </w:r>
      <w:r w:rsidRPr="007301DC">
        <w:rPr>
          <w:i/>
        </w:rPr>
        <w:t>Austroads Test Method AGPT/T190</w:t>
      </w:r>
      <w:r w:rsidRPr="007301DC">
        <w:t>.</w:t>
      </w:r>
    </w:p>
    <w:p w14:paraId="358951E9" w14:textId="77777777" w:rsidR="004A6282" w:rsidRPr="007301DC" w:rsidRDefault="004A6282" w:rsidP="004A6282">
      <w:pPr>
        <w:pStyle w:val="BodyTextIndent"/>
      </w:pPr>
      <w:r w:rsidRPr="00DE77B0">
        <w:rPr>
          <w:u w:val="single"/>
        </w:rPr>
        <w:t>Material properties</w:t>
      </w:r>
      <w:r w:rsidRPr="007301DC">
        <w:t xml:space="preserve">: Test to the specified Austroads methods.  Comply with the requirements of AGPT/T190 for the relevant quality category of sprayed sealing crumb rubber classes.  Refer Annexure for </w:t>
      </w:r>
      <w:r w:rsidR="00AB26FA" w:rsidRPr="007301DC">
        <w:t>Crumb Rubber Modified Bitumen</w:t>
      </w:r>
      <w:r w:rsidRPr="007301DC">
        <w:t xml:space="preserve"> Class to be used.</w:t>
      </w:r>
    </w:p>
    <w:p w14:paraId="701824F8" w14:textId="67A5B4B3" w:rsidR="004A6282" w:rsidRPr="007301DC" w:rsidRDefault="004A6282" w:rsidP="006B0153">
      <w:pPr>
        <w:pStyle w:val="BodyTextIndent"/>
      </w:pPr>
      <w:r w:rsidRPr="00DE77B0">
        <w:rPr>
          <w:u w:val="single"/>
        </w:rPr>
        <w:t>Conformance criteria</w:t>
      </w:r>
      <w:r w:rsidRPr="007301DC">
        <w:t xml:space="preserve">: Comply with the requirements of </w:t>
      </w:r>
      <w:r w:rsidR="00370374" w:rsidRPr="00DE77B0">
        <w:rPr>
          <w:i/>
          <w:iCs/>
        </w:rPr>
        <w:t>Reference</w:t>
      </w:r>
      <w:r w:rsidR="00B76AAD" w:rsidRPr="00DE77B0">
        <w:rPr>
          <w:i/>
          <w:iCs/>
        </w:rPr>
        <w:t xml:space="preserve"> S</w:t>
      </w:r>
      <w:r w:rsidR="00370374" w:rsidRPr="00DE77B0">
        <w:rPr>
          <w:i/>
          <w:iCs/>
        </w:rPr>
        <w:t>pecification</w:t>
      </w:r>
      <w:r w:rsidR="00370374">
        <w:t xml:space="preserve"> </w:t>
      </w:r>
      <w:r w:rsidRPr="00DE77B0">
        <w:rPr>
          <w:i/>
          <w:iCs/>
        </w:rPr>
        <w:t>S120 Quality</w:t>
      </w:r>
      <w:r w:rsidR="00292E6B">
        <w:rPr>
          <w:i/>
          <w:iCs/>
        </w:rPr>
        <w:t>,</w:t>
      </w:r>
      <w:r w:rsidRPr="00DE77B0">
        <w:rPr>
          <w:i/>
          <w:iCs/>
        </w:rPr>
        <w:t xml:space="preserve"> Clause</w:t>
      </w:r>
      <w:r w:rsidR="00370374" w:rsidRPr="00DE77B0">
        <w:rPr>
          <w:i/>
          <w:iCs/>
        </w:rPr>
        <w:t> </w:t>
      </w:r>
      <w:r w:rsidRPr="00DE77B0">
        <w:rPr>
          <w:i/>
          <w:iCs/>
        </w:rPr>
        <w:t>8.2</w:t>
      </w:r>
      <w:r w:rsidRPr="007301DC">
        <w:t>.</w:t>
      </w:r>
    </w:p>
    <w:p w14:paraId="694F2950" w14:textId="77777777" w:rsidR="004F2837" w:rsidRPr="007301DC" w:rsidRDefault="004F2837" w:rsidP="004B12B0">
      <w:pPr>
        <w:pStyle w:val="Heading3"/>
      </w:pPr>
      <w:bookmarkStart w:id="38" w:name="_Toc76106327"/>
      <w:r w:rsidRPr="007301DC">
        <w:t>Penetrating Emulsion Prime</w:t>
      </w:r>
      <w:bookmarkEnd w:id="38"/>
    </w:p>
    <w:p w14:paraId="1CF0DF92" w14:textId="77777777" w:rsidR="00B44ED4" w:rsidRPr="007301DC" w:rsidRDefault="00B44ED4" w:rsidP="00C46E43">
      <w:pPr>
        <w:pStyle w:val="BodyTextIndent"/>
      </w:pPr>
      <w:r w:rsidRPr="00DE77B0">
        <w:rPr>
          <w:u w:val="single"/>
        </w:rPr>
        <w:t>Penetrating emulsion prime</w:t>
      </w:r>
      <w:r w:rsidRPr="007301DC">
        <w:t xml:space="preserve">: </w:t>
      </w:r>
      <w:r w:rsidR="001D1588" w:rsidRPr="007301DC">
        <w:t>P</w:t>
      </w:r>
      <w:r w:rsidRPr="007301DC">
        <w:t>urposely formulated bitumen emulsion designed to be used as an alternative to cutback bitumen prime.  Submit details of the proposed penetrating emulsion prime along with supporting evidence of previous satisfactory performance on pavements under Australian conditions.</w:t>
      </w:r>
    </w:p>
    <w:p w14:paraId="5FBDA107" w14:textId="77777777" w:rsidR="00B44ED4" w:rsidRPr="007301DC" w:rsidRDefault="00B44ED4" w:rsidP="00B24F23">
      <w:pPr>
        <w:pStyle w:val="BodyTextIndent"/>
      </w:pPr>
      <w:r w:rsidRPr="00DE77B0">
        <w:rPr>
          <w:u w:val="single"/>
        </w:rPr>
        <w:t>Material properties</w:t>
      </w:r>
      <w:r w:rsidRPr="007301DC">
        <w:t>: Test to the specified Australian Standard methods.  Comply with the requirements of Table 4.3 for the relevant quality category.</w:t>
      </w:r>
    </w:p>
    <w:p w14:paraId="5B7DA368" w14:textId="77777777" w:rsidR="004B12B0" w:rsidRDefault="004B12B0" w:rsidP="004B12B0">
      <w:pPr>
        <w:pStyle w:val="BodyText"/>
        <w:rPr>
          <w:sz w:val="18"/>
          <w:lang w:eastAsia="en-AU"/>
        </w:rPr>
      </w:pPr>
      <w:r>
        <w:br w:type="page"/>
      </w:r>
    </w:p>
    <w:p w14:paraId="08D78434" w14:textId="1BE5D734" w:rsidR="00B44ED4" w:rsidRPr="007301DC" w:rsidRDefault="00B44ED4" w:rsidP="00C46E43">
      <w:pPr>
        <w:pStyle w:val="TableIDNum"/>
      </w:pPr>
      <w:r w:rsidRPr="007301DC">
        <w:lastRenderedPageBreak/>
        <w:t>Table</w:t>
      </w:r>
      <w:r w:rsidR="00C46E43" w:rsidRPr="007301DC">
        <w:t> </w:t>
      </w:r>
      <w:r w:rsidRPr="007301DC">
        <w:t xml:space="preserve">4.3 </w:t>
      </w:r>
      <w:r w:rsidR="00C46E43" w:rsidRPr="007301DC">
        <w:t>–</w:t>
      </w:r>
      <w:r w:rsidRPr="007301DC">
        <w:t xml:space="preserve"> Material properties</w:t>
      </w:r>
    </w:p>
    <w:tbl>
      <w:tblPr>
        <w:tblW w:w="8789" w:type="dxa"/>
        <w:tblInd w:w="709" w:type="dxa"/>
        <w:tblLayout w:type="fixed"/>
        <w:tblLook w:val="00A0" w:firstRow="1" w:lastRow="0" w:firstColumn="1" w:lastColumn="0" w:noHBand="0" w:noVBand="0"/>
      </w:tblPr>
      <w:tblGrid>
        <w:gridCol w:w="2835"/>
        <w:gridCol w:w="851"/>
        <w:gridCol w:w="2126"/>
        <w:gridCol w:w="2977"/>
      </w:tblGrid>
      <w:tr w:rsidR="00C46E43" w:rsidRPr="007301DC" w14:paraId="075167D5" w14:textId="77777777" w:rsidTr="0078781D">
        <w:trPr>
          <w:cantSplit/>
          <w:trHeight w:val="684"/>
        </w:trPr>
        <w:tc>
          <w:tcPr>
            <w:tcW w:w="2835" w:type="dxa"/>
            <w:tcBorders>
              <w:top w:val="single" w:sz="12" w:space="0" w:color="auto"/>
            </w:tcBorders>
            <w:shd w:val="pct10" w:color="auto" w:fill="auto"/>
            <w:vAlign w:val="center"/>
          </w:tcPr>
          <w:p w14:paraId="4EF77FA1" w14:textId="77777777" w:rsidR="00C46E43" w:rsidRPr="007301DC" w:rsidRDefault="00C46E43" w:rsidP="003E2E77">
            <w:pPr>
              <w:pStyle w:val="TableHeadCen"/>
            </w:pPr>
            <w:r w:rsidRPr="007301DC">
              <w:t>Property</w:t>
            </w:r>
          </w:p>
        </w:tc>
        <w:tc>
          <w:tcPr>
            <w:tcW w:w="851" w:type="dxa"/>
            <w:tcBorders>
              <w:top w:val="single" w:sz="12" w:space="0" w:color="auto"/>
            </w:tcBorders>
            <w:shd w:val="pct10" w:color="auto" w:fill="auto"/>
            <w:vAlign w:val="center"/>
          </w:tcPr>
          <w:p w14:paraId="07E81AEF" w14:textId="77777777" w:rsidR="00C46E43" w:rsidRPr="007301DC" w:rsidRDefault="00C46E43" w:rsidP="003E2E77">
            <w:pPr>
              <w:pStyle w:val="TableHeadCen"/>
            </w:pPr>
            <w:r w:rsidRPr="007301DC">
              <w:t>Units</w:t>
            </w:r>
          </w:p>
        </w:tc>
        <w:tc>
          <w:tcPr>
            <w:tcW w:w="2126" w:type="dxa"/>
            <w:tcBorders>
              <w:top w:val="single" w:sz="12" w:space="0" w:color="auto"/>
            </w:tcBorders>
            <w:shd w:val="pct10" w:color="auto" w:fill="auto"/>
            <w:vAlign w:val="center"/>
          </w:tcPr>
          <w:p w14:paraId="6E5DF553" w14:textId="77777777" w:rsidR="00C46E43" w:rsidRPr="007301DC" w:rsidRDefault="00C46E43" w:rsidP="003E2E77">
            <w:pPr>
              <w:pStyle w:val="TableHeadCen"/>
            </w:pPr>
            <w:r w:rsidRPr="007301DC">
              <w:t>Test method</w:t>
            </w:r>
          </w:p>
        </w:tc>
        <w:tc>
          <w:tcPr>
            <w:tcW w:w="2977" w:type="dxa"/>
            <w:tcBorders>
              <w:top w:val="single" w:sz="12" w:space="0" w:color="auto"/>
            </w:tcBorders>
            <w:shd w:val="pct10" w:color="auto" w:fill="auto"/>
            <w:vAlign w:val="center"/>
          </w:tcPr>
          <w:p w14:paraId="25995B54" w14:textId="77777777" w:rsidR="00C46E43" w:rsidRPr="007301DC" w:rsidRDefault="00C46E43" w:rsidP="003E2E77">
            <w:pPr>
              <w:pStyle w:val="TableHeadCen"/>
            </w:pPr>
            <w:r w:rsidRPr="007301DC">
              <w:t>Specification Value</w:t>
            </w:r>
          </w:p>
        </w:tc>
      </w:tr>
      <w:tr w:rsidR="00C46E43" w:rsidRPr="007301DC" w14:paraId="5AC19FA1" w14:textId="77777777" w:rsidTr="0078781D">
        <w:trPr>
          <w:trHeight w:val="340"/>
        </w:trPr>
        <w:tc>
          <w:tcPr>
            <w:tcW w:w="2835" w:type="dxa"/>
            <w:tcBorders>
              <w:top w:val="single" w:sz="12" w:space="0" w:color="auto"/>
              <w:bottom w:val="single" w:sz="4" w:space="0" w:color="auto"/>
            </w:tcBorders>
            <w:vAlign w:val="center"/>
          </w:tcPr>
          <w:p w14:paraId="59090056" w14:textId="77777777" w:rsidR="00C46E43" w:rsidRPr="007301DC" w:rsidRDefault="00C46E43" w:rsidP="003E2E77">
            <w:pPr>
              <w:pStyle w:val="Table"/>
            </w:pPr>
            <w:r w:rsidRPr="007301DC">
              <w:t>Binder Content</w:t>
            </w:r>
          </w:p>
        </w:tc>
        <w:tc>
          <w:tcPr>
            <w:tcW w:w="851" w:type="dxa"/>
            <w:tcBorders>
              <w:top w:val="single" w:sz="12" w:space="0" w:color="auto"/>
              <w:bottom w:val="single" w:sz="4" w:space="0" w:color="auto"/>
            </w:tcBorders>
            <w:vAlign w:val="center"/>
          </w:tcPr>
          <w:p w14:paraId="495ED8A8" w14:textId="77777777" w:rsidR="00C46E43" w:rsidRPr="007301DC" w:rsidRDefault="00C46E43" w:rsidP="003E2E77">
            <w:pPr>
              <w:pStyle w:val="TableCen"/>
            </w:pPr>
            <w:r w:rsidRPr="007301DC">
              <w:t>%</w:t>
            </w:r>
          </w:p>
        </w:tc>
        <w:tc>
          <w:tcPr>
            <w:tcW w:w="2126" w:type="dxa"/>
            <w:tcBorders>
              <w:top w:val="single" w:sz="12" w:space="0" w:color="auto"/>
              <w:bottom w:val="single" w:sz="4" w:space="0" w:color="auto"/>
            </w:tcBorders>
            <w:vAlign w:val="center"/>
          </w:tcPr>
          <w:p w14:paraId="56AA70B5" w14:textId="77777777" w:rsidR="00C46E43" w:rsidRPr="007301DC" w:rsidRDefault="00C46E43" w:rsidP="00C46E43">
            <w:pPr>
              <w:pStyle w:val="TableCen"/>
              <w:rPr>
                <w:i/>
              </w:rPr>
            </w:pPr>
            <w:r w:rsidRPr="007301DC">
              <w:rPr>
                <w:i/>
              </w:rPr>
              <w:t>AS</w:t>
            </w:r>
            <w:r w:rsidR="0099651F" w:rsidRPr="007301DC">
              <w:rPr>
                <w:i/>
              </w:rPr>
              <w:t>/NZS</w:t>
            </w:r>
            <w:r w:rsidRPr="007301DC">
              <w:rPr>
                <w:i/>
              </w:rPr>
              <w:t> 2341.23</w:t>
            </w:r>
          </w:p>
        </w:tc>
        <w:tc>
          <w:tcPr>
            <w:tcW w:w="2977" w:type="dxa"/>
            <w:tcBorders>
              <w:top w:val="single" w:sz="12" w:space="0" w:color="auto"/>
              <w:bottom w:val="single" w:sz="4" w:space="0" w:color="auto"/>
            </w:tcBorders>
            <w:vAlign w:val="center"/>
          </w:tcPr>
          <w:p w14:paraId="63B2BB20" w14:textId="62CC2EC3" w:rsidR="00C46E43" w:rsidRPr="007301DC" w:rsidRDefault="00C46E43" w:rsidP="003E2E77">
            <w:pPr>
              <w:pStyle w:val="TableCen"/>
            </w:pPr>
            <w:r w:rsidRPr="007301DC">
              <w:t>18</w:t>
            </w:r>
            <w:r w:rsidR="003A113A" w:rsidRPr="007301DC">
              <w:t> </w:t>
            </w:r>
            <w:r w:rsidRPr="007301DC">
              <w:t>min</w:t>
            </w:r>
          </w:p>
        </w:tc>
      </w:tr>
      <w:tr w:rsidR="00C46E43" w:rsidRPr="007301DC" w14:paraId="4F00BC3B" w14:textId="77777777" w:rsidTr="0078781D">
        <w:trPr>
          <w:trHeight w:val="340"/>
        </w:trPr>
        <w:tc>
          <w:tcPr>
            <w:tcW w:w="2835" w:type="dxa"/>
            <w:tcBorders>
              <w:top w:val="single" w:sz="4" w:space="0" w:color="auto"/>
              <w:bottom w:val="single" w:sz="12" w:space="0" w:color="auto"/>
            </w:tcBorders>
            <w:vAlign w:val="center"/>
          </w:tcPr>
          <w:p w14:paraId="5115B7A2" w14:textId="410078B2" w:rsidR="00C46E43" w:rsidRPr="007301DC" w:rsidRDefault="00C46E43" w:rsidP="00C46E43">
            <w:pPr>
              <w:pStyle w:val="Table"/>
            </w:pPr>
            <w:r w:rsidRPr="007301DC">
              <w:t>Viscosity @ 25</w:t>
            </w:r>
            <w:r w:rsidR="000B0375">
              <w:rPr>
                <w:rFonts w:cs="Arial"/>
              </w:rPr>
              <w:t>°</w:t>
            </w:r>
            <w:r w:rsidRPr="007301DC">
              <w:t>C</w:t>
            </w:r>
          </w:p>
        </w:tc>
        <w:tc>
          <w:tcPr>
            <w:tcW w:w="851" w:type="dxa"/>
            <w:tcBorders>
              <w:top w:val="single" w:sz="4" w:space="0" w:color="auto"/>
              <w:bottom w:val="single" w:sz="12" w:space="0" w:color="auto"/>
            </w:tcBorders>
            <w:vAlign w:val="center"/>
          </w:tcPr>
          <w:p w14:paraId="49329B04" w14:textId="77777777" w:rsidR="00C46E43" w:rsidRPr="007301DC" w:rsidRDefault="00C46E43" w:rsidP="003E2E77">
            <w:pPr>
              <w:pStyle w:val="TableCen"/>
            </w:pPr>
            <w:r w:rsidRPr="007301DC">
              <w:t>mPa.s</w:t>
            </w:r>
          </w:p>
        </w:tc>
        <w:tc>
          <w:tcPr>
            <w:tcW w:w="2126" w:type="dxa"/>
            <w:tcBorders>
              <w:top w:val="single" w:sz="4" w:space="0" w:color="auto"/>
              <w:bottom w:val="single" w:sz="12" w:space="0" w:color="auto"/>
            </w:tcBorders>
            <w:vAlign w:val="center"/>
          </w:tcPr>
          <w:p w14:paraId="3571C823" w14:textId="77777777" w:rsidR="00C46E43" w:rsidRPr="007301DC" w:rsidRDefault="00C46E43" w:rsidP="00C46E43">
            <w:pPr>
              <w:pStyle w:val="TableCen"/>
              <w:rPr>
                <w:i/>
              </w:rPr>
            </w:pPr>
            <w:r w:rsidRPr="007301DC">
              <w:rPr>
                <w:i/>
              </w:rPr>
              <w:t>AS</w:t>
            </w:r>
            <w:r w:rsidR="0099651F" w:rsidRPr="007301DC">
              <w:rPr>
                <w:i/>
              </w:rPr>
              <w:t>/NZS</w:t>
            </w:r>
            <w:r w:rsidRPr="007301DC">
              <w:rPr>
                <w:i/>
              </w:rPr>
              <w:t> 2341.4</w:t>
            </w:r>
          </w:p>
        </w:tc>
        <w:tc>
          <w:tcPr>
            <w:tcW w:w="2977" w:type="dxa"/>
            <w:tcBorders>
              <w:top w:val="single" w:sz="4" w:space="0" w:color="auto"/>
              <w:bottom w:val="single" w:sz="12" w:space="0" w:color="auto"/>
            </w:tcBorders>
            <w:vAlign w:val="center"/>
          </w:tcPr>
          <w:p w14:paraId="6917BED4" w14:textId="4E2AEAFF" w:rsidR="00C46E43" w:rsidRPr="007301DC" w:rsidRDefault="00C46E43" w:rsidP="003E2E77">
            <w:pPr>
              <w:pStyle w:val="TableCen"/>
            </w:pPr>
            <w:r w:rsidRPr="007301DC">
              <w:t>30</w:t>
            </w:r>
            <w:r w:rsidR="003A113A" w:rsidRPr="007301DC">
              <w:t> </w:t>
            </w:r>
            <w:r w:rsidRPr="007301DC">
              <w:t>max</w:t>
            </w:r>
          </w:p>
        </w:tc>
      </w:tr>
    </w:tbl>
    <w:p w14:paraId="6A420EE1" w14:textId="28AE725E" w:rsidR="00B44ED4" w:rsidRPr="007301DC" w:rsidRDefault="00B44ED4" w:rsidP="00B24F23">
      <w:pPr>
        <w:pStyle w:val="BodyTextIndent"/>
      </w:pPr>
      <w:r w:rsidRPr="007301DC">
        <w:t xml:space="preserve">Conformance criteria: Comply with the requirements of </w:t>
      </w:r>
      <w:r w:rsidR="003A113A" w:rsidRPr="00B85FBB">
        <w:rPr>
          <w:i/>
          <w:iCs/>
        </w:rPr>
        <w:t>Reference Specification</w:t>
      </w:r>
      <w:r w:rsidR="003A113A">
        <w:t xml:space="preserve"> </w:t>
      </w:r>
      <w:r w:rsidRPr="007301DC">
        <w:rPr>
          <w:i/>
        </w:rPr>
        <w:t>S120 Quality Clause 8.2</w:t>
      </w:r>
      <w:r w:rsidRPr="007301DC">
        <w:t>.</w:t>
      </w:r>
    </w:p>
    <w:p w14:paraId="0341B9B7" w14:textId="77777777" w:rsidR="0067023B" w:rsidRPr="007301DC" w:rsidRDefault="005D7D96" w:rsidP="004B12B0">
      <w:pPr>
        <w:pStyle w:val="Heading3"/>
      </w:pPr>
      <w:bookmarkStart w:id="39" w:name="_Toc457204409"/>
      <w:bookmarkStart w:id="40" w:name="_Toc76106328"/>
      <w:r w:rsidRPr="007301DC">
        <w:t>Measuring Bituminous Materials</w:t>
      </w:r>
      <w:bookmarkEnd w:id="39"/>
      <w:bookmarkEnd w:id="40"/>
    </w:p>
    <w:p w14:paraId="0B7E4B25" w14:textId="4A230EEB" w:rsidR="0067023B" w:rsidRPr="007301DC" w:rsidRDefault="0067023B" w:rsidP="009F752F">
      <w:pPr>
        <w:pStyle w:val="BodyTextIndent"/>
      </w:pPr>
      <w:r w:rsidRPr="00B85FBB">
        <w:rPr>
          <w:u w:val="single"/>
        </w:rPr>
        <w:t>General</w:t>
      </w:r>
      <w:r w:rsidRPr="007301DC">
        <w:t>: Measure by volume at 15</w:t>
      </w:r>
      <w:r w:rsidR="000B0375">
        <w:rPr>
          <w:rFonts w:cs="Arial"/>
        </w:rPr>
        <w:t>°</w:t>
      </w:r>
      <w:r w:rsidRPr="007301DC">
        <w:t>C.</w:t>
      </w:r>
    </w:p>
    <w:p w14:paraId="07157DA0" w14:textId="3E00276F" w:rsidR="0067023B" w:rsidRPr="007301DC" w:rsidRDefault="0067023B" w:rsidP="009F752F">
      <w:pPr>
        <w:pStyle w:val="BodyTextIndent"/>
      </w:pPr>
      <w:r w:rsidRPr="00B85FBB">
        <w:rPr>
          <w:u w:val="single"/>
        </w:rPr>
        <w:t>Temperatures higher than 15</w:t>
      </w:r>
      <w:r w:rsidR="000B0375">
        <w:rPr>
          <w:rFonts w:cs="Arial"/>
          <w:u w:val="single"/>
        </w:rPr>
        <w:t>°</w:t>
      </w:r>
      <w:r w:rsidRPr="00B85FBB">
        <w:rPr>
          <w:u w:val="single"/>
        </w:rPr>
        <w:t>C</w:t>
      </w:r>
      <w:r w:rsidRPr="007301DC">
        <w:t>: Use the bitumen volume conversion formula for primers and binders, where T is the temperature of the material at which the volume has been measured.  For calculation purposes, assume that the conversion factors are the same for bitumen, bituminous mixes and cutter.</w:t>
      </w:r>
    </w:p>
    <w:p w14:paraId="5E81098D" w14:textId="3B0371F2" w:rsidR="0067023B" w:rsidRPr="007301DC" w:rsidRDefault="0067023B" w:rsidP="009F752F">
      <w:pPr>
        <w:pStyle w:val="BodyTextIndent"/>
      </w:pPr>
      <w:r w:rsidRPr="00B85FBB">
        <w:rPr>
          <w:u w:val="single"/>
        </w:rPr>
        <w:t>Bitumen volume conversion formula</w:t>
      </w:r>
      <w:r w:rsidRPr="007301DC">
        <w:t>: Volume at T</w:t>
      </w:r>
      <w:r w:rsidR="000B0375">
        <w:rPr>
          <w:rFonts w:cs="Arial"/>
        </w:rPr>
        <w:t>°</w:t>
      </w:r>
      <w:r w:rsidRPr="007301DC">
        <w:t>C = Volume at 15</w:t>
      </w:r>
      <w:r w:rsidR="000B0375">
        <w:rPr>
          <w:rFonts w:cs="Arial"/>
        </w:rPr>
        <w:t>°</w:t>
      </w:r>
      <w:r w:rsidRPr="007301DC">
        <w:t>C / [1-(T-15)/1667]</w:t>
      </w:r>
    </w:p>
    <w:p w14:paraId="17585E24" w14:textId="77777777" w:rsidR="0067023B" w:rsidRPr="007301DC" w:rsidRDefault="009F752F" w:rsidP="004B12B0">
      <w:pPr>
        <w:pStyle w:val="Heading2"/>
      </w:pPr>
      <w:bookmarkStart w:id="41" w:name="_Toc457204410"/>
      <w:bookmarkStart w:id="42" w:name="_Toc76106329"/>
      <w:r w:rsidRPr="007301DC">
        <w:t>PLANT</w:t>
      </w:r>
      <w:bookmarkEnd w:id="41"/>
      <w:bookmarkEnd w:id="42"/>
    </w:p>
    <w:p w14:paraId="34203796" w14:textId="77777777" w:rsidR="0067023B" w:rsidRPr="007301DC" w:rsidRDefault="0067023B" w:rsidP="009F752F">
      <w:pPr>
        <w:pStyle w:val="BodyTextIndent"/>
      </w:pPr>
      <w:r w:rsidRPr="00B85FBB">
        <w:rPr>
          <w:u w:val="single"/>
        </w:rPr>
        <w:t>General</w:t>
      </w:r>
      <w:r w:rsidRPr="007301DC">
        <w:t>: Provide the required plant necessary for the performance of the particular operation.</w:t>
      </w:r>
    </w:p>
    <w:p w14:paraId="53014B49" w14:textId="77777777" w:rsidR="0067023B" w:rsidRPr="007301DC" w:rsidRDefault="0067023B" w:rsidP="009F752F">
      <w:pPr>
        <w:pStyle w:val="BodyTextIndent"/>
      </w:pPr>
      <w:r w:rsidRPr="00B85FBB">
        <w:rPr>
          <w:u w:val="single"/>
        </w:rPr>
        <w:t>Aggregate spreader</w:t>
      </w:r>
      <w:r w:rsidRPr="007301DC">
        <w:t>: A mechanical spreader capable of accurately spreading a uniform layer of aggregate.</w:t>
      </w:r>
    </w:p>
    <w:p w14:paraId="73B20888" w14:textId="77777777" w:rsidR="0067023B" w:rsidRPr="007301DC" w:rsidRDefault="0067023B" w:rsidP="009F752F">
      <w:pPr>
        <w:pStyle w:val="BodyTextIndent"/>
      </w:pPr>
      <w:r w:rsidRPr="00B85FBB">
        <w:rPr>
          <w:u w:val="single"/>
        </w:rPr>
        <w:t>Bitumen tank</w:t>
      </w:r>
      <w:r w:rsidRPr="007301DC">
        <w:t>: A tank suitable for the storage and/or transport of bitumen.</w:t>
      </w:r>
    </w:p>
    <w:p w14:paraId="0FFE4185" w14:textId="77777777" w:rsidR="0067023B" w:rsidRPr="007301DC" w:rsidRDefault="0067023B" w:rsidP="009F752F">
      <w:pPr>
        <w:pStyle w:val="BodyTextIndent"/>
      </w:pPr>
      <w:r w:rsidRPr="00B85FBB">
        <w:rPr>
          <w:u w:val="single"/>
        </w:rPr>
        <w:t>Drag broom</w:t>
      </w:r>
      <w:r w:rsidRPr="007301DC">
        <w:t>: A mechanical broom suitable for the distribution of unevenly spread aggregate without disturbance of particles freshly embedded in binder.</w:t>
      </w:r>
    </w:p>
    <w:p w14:paraId="28244563" w14:textId="77777777" w:rsidR="0067023B" w:rsidRPr="007301DC" w:rsidRDefault="0067023B" w:rsidP="009F752F">
      <w:pPr>
        <w:pStyle w:val="BodyTextIndent"/>
      </w:pPr>
      <w:r w:rsidRPr="00B85FBB">
        <w:rPr>
          <w:u w:val="single"/>
        </w:rPr>
        <w:t>Road broom</w:t>
      </w:r>
      <w:r w:rsidRPr="007301DC">
        <w:t>: A drawn rotary broom or self propelled rotary broom suitable for sweeping or cleaning road surfaces.  Where suitable, a vacuum system may be used.</w:t>
      </w:r>
    </w:p>
    <w:p w14:paraId="1286B80A" w14:textId="77777777" w:rsidR="0067023B" w:rsidRPr="007301DC" w:rsidRDefault="0067023B" w:rsidP="009F752F">
      <w:pPr>
        <w:pStyle w:val="BodyTextIndent"/>
      </w:pPr>
      <w:r w:rsidRPr="00436A7D">
        <w:rPr>
          <w:u w:val="single"/>
        </w:rPr>
        <w:t>Rubber-tyred roller</w:t>
      </w:r>
      <w:r w:rsidRPr="007301DC">
        <w:t>: A dual axle, multi-wheeled roller with a minimum load of one tonne per tyre.  Tyres must be smooth and be able to operate at a pressure of at least 550 kPa.</w:t>
      </w:r>
    </w:p>
    <w:p w14:paraId="554F1FA3" w14:textId="73DD91E3" w:rsidR="0067023B" w:rsidRPr="007301DC" w:rsidRDefault="008C66F5" w:rsidP="009F752F">
      <w:pPr>
        <w:pStyle w:val="BodyTextIndent"/>
      </w:pPr>
      <w:r w:rsidRPr="00436A7D">
        <w:rPr>
          <w:u w:val="single"/>
        </w:rPr>
        <w:t>Sprayer</w:t>
      </w:r>
      <w:r w:rsidRPr="007301DC">
        <w:t xml:space="preserve">: A bitumen sprayer that complies with the requirements of Austroads publication </w:t>
      </w:r>
      <w:r w:rsidR="003E3C26" w:rsidRPr="007301DC">
        <w:rPr>
          <w:i/>
        </w:rPr>
        <w:t>AP-T262</w:t>
      </w:r>
      <w:r w:rsidR="003E3C26" w:rsidRPr="007301DC">
        <w:t xml:space="preserve"> </w:t>
      </w:r>
      <w:r w:rsidRPr="007301DC">
        <w:rPr>
          <w:i/>
        </w:rPr>
        <w:t xml:space="preserve">Performance Requirements for Bitumen </w:t>
      </w:r>
      <w:r w:rsidR="000B0375" w:rsidRPr="007301DC">
        <w:rPr>
          <w:i/>
        </w:rPr>
        <w:t>Sprayers</w:t>
      </w:r>
      <w:r w:rsidR="000B0375" w:rsidRPr="007301DC">
        <w:t xml:space="preserve"> and</w:t>
      </w:r>
      <w:r w:rsidRPr="007301DC">
        <w:t xml:space="preserve"> has a current Queensland Sprayer Certificate issued by </w:t>
      </w:r>
      <w:r w:rsidR="0067023B" w:rsidRPr="007301DC">
        <w:t xml:space="preserve">Queensland Department of </w:t>
      </w:r>
      <w:r w:rsidR="00C40F9D">
        <w:t xml:space="preserve">Transport and </w:t>
      </w:r>
      <w:r w:rsidR="0067023B" w:rsidRPr="007301DC">
        <w:t>Main Roads or by an approved national testing authority.</w:t>
      </w:r>
    </w:p>
    <w:p w14:paraId="577D9F68" w14:textId="124EA2BB" w:rsidR="0067023B" w:rsidRPr="007301DC" w:rsidRDefault="0067023B" w:rsidP="009F752F">
      <w:pPr>
        <w:pStyle w:val="BodyTextIndent"/>
      </w:pPr>
      <w:r w:rsidRPr="00436A7D">
        <w:rPr>
          <w:u w:val="single"/>
        </w:rPr>
        <w:t>Steel-wheeled roller</w:t>
      </w:r>
      <w:r w:rsidRPr="007301DC">
        <w:t>: A roller with steel wheels having a minimum diameter of 0.9 m and a maximum axle load of 5</w:t>
      </w:r>
      <w:r w:rsidR="00C40F9D" w:rsidRPr="007301DC">
        <w:t> </w:t>
      </w:r>
      <w:r w:rsidRPr="007301DC">
        <w:t>tonnes.  Do not use vibratory equipment unless approved otherwise by the Superintendent.</w:t>
      </w:r>
    </w:p>
    <w:p w14:paraId="095947E7" w14:textId="1A5B485D" w:rsidR="0067023B" w:rsidRPr="007301DC" w:rsidRDefault="008627C0" w:rsidP="004B12B0">
      <w:pPr>
        <w:pStyle w:val="Heading2"/>
      </w:pPr>
      <w:bookmarkStart w:id="43" w:name="_Toc457204411"/>
      <w:bookmarkStart w:id="44" w:name="_Toc76106330"/>
      <w:r w:rsidRPr="007301DC">
        <w:rPr>
          <w:caps w:val="0"/>
        </w:rPr>
        <w:t>SURFACING</w:t>
      </w:r>
      <w:bookmarkEnd w:id="43"/>
      <w:bookmarkEnd w:id="44"/>
    </w:p>
    <w:p w14:paraId="41282AB5" w14:textId="77777777" w:rsidR="0067023B" w:rsidRPr="007301DC" w:rsidRDefault="005D7D96" w:rsidP="004B12B0">
      <w:pPr>
        <w:pStyle w:val="Heading3"/>
      </w:pPr>
      <w:bookmarkStart w:id="45" w:name="_Toc457204412"/>
      <w:bookmarkStart w:id="46" w:name="_Toc76106331"/>
      <w:r w:rsidRPr="007301DC">
        <w:t>General</w:t>
      </w:r>
      <w:bookmarkEnd w:id="45"/>
      <w:bookmarkEnd w:id="46"/>
    </w:p>
    <w:p w14:paraId="3CFB27AA" w14:textId="77777777" w:rsidR="0067023B" w:rsidRPr="007301DC" w:rsidRDefault="0067023B" w:rsidP="005D7D96">
      <w:pPr>
        <w:pStyle w:val="BodyTextIndentBoldUnderline"/>
      </w:pPr>
      <w:r w:rsidRPr="007301DC">
        <w:t>Finished surface level tolerances</w:t>
      </w:r>
    </w:p>
    <w:p w14:paraId="0A2D6A4B" w14:textId="77777777" w:rsidR="0067023B" w:rsidRPr="007301DC" w:rsidRDefault="0067023B" w:rsidP="005D7D96">
      <w:pPr>
        <w:pStyle w:val="BodyTextIndent"/>
      </w:pPr>
      <w:r w:rsidRPr="00436A7D">
        <w:rPr>
          <w:u w:val="single"/>
        </w:rPr>
        <w:t>General</w:t>
      </w:r>
      <w:r w:rsidRPr="007301DC">
        <w:t>: Provide a finished surface that is free draining and evenly graded between level points.</w:t>
      </w:r>
    </w:p>
    <w:p w14:paraId="0B53884E" w14:textId="6A9256E6" w:rsidR="0067023B" w:rsidRPr="007301DC" w:rsidRDefault="0067023B" w:rsidP="005D7D96">
      <w:pPr>
        <w:pStyle w:val="BodyTextIndent"/>
      </w:pPr>
      <w:r w:rsidRPr="00436A7D">
        <w:rPr>
          <w:u w:val="single"/>
        </w:rPr>
        <w:t xml:space="preserve">Edges abutting </w:t>
      </w:r>
      <w:r w:rsidR="00E21F06">
        <w:rPr>
          <w:u w:val="single"/>
        </w:rPr>
        <w:t>kkerb and channel</w:t>
      </w:r>
      <w:r w:rsidRPr="007301DC">
        <w:t>: Within +5 mm or flush with the level of the actual lip of channel.</w:t>
      </w:r>
    </w:p>
    <w:p w14:paraId="1EA0CFA3" w14:textId="77777777" w:rsidR="0067023B" w:rsidRPr="007301DC" w:rsidRDefault="00FD7E47" w:rsidP="005D7D96">
      <w:pPr>
        <w:pStyle w:val="BodyTextIndentBoldUnderline"/>
      </w:pPr>
      <w:r w:rsidRPr="007301DC">
        <w:br w:type="page"/>
      </w:r>
      <w:r w:rsidR="0067023B" w:rsidRPr="007301DC">
        <w:lastRenderedPageBreak/>
        <w:t>Horizontal surfaces</w:t>
      </w:r>
    </w:p>
    <w:p w14:paraId="1A4A55A4" w14:textId="1632B2B8" w:rsidR="0067023B" w:rsidRPr="007301DC" w:rsidRDefault="0067023B" w:rsidP="005D7D96">
      <w:pPr>
        <w:pStyle w:val="BodyTextIndent"/>
      </w:pPr>
      <w:r w:rsidRPr="007301DC">
        <w:t xml:space="preserve">Absolute tolerance: </w:t>
      </w:r>
      <w:r w:rsidR="00A20AC6">
        <w:rPr>
          <w:rFonts w:cs="Arial"/>
        </w:rPr>
        <w:t>±</w:t>
      </w:r>
      <w:r w:rsidRPr="007301DC">
        <w:t>50</w:t>
      </w:r>
      <w:r w:rsidR="009C4B0D" w:rsidRPr="007301DC">
        <w:t> </w:t>
      </w:r>
      <w:r w:rsidRPr="007301DC">
        <w:t>mm, except where alignment with an existing road structure is necessary.  Join new construction to the existing work in a smooth manner.</w:t>
      </w:r>
    </w:p>
    <w:p w14:paraId="30C43B9D" w14:textId="77777777" w:rsidR="0067023B" w:rsidRPr="007301DC" w:rsidRDefault="0067023B" w:rsidP="005D7D96">
      <w:pPr>
        <w:pStyle w:val="BodyTextIndentBoldUnderline"/>
      </w:pPr>
      <w:r w:rsidRPr="007301DC">
        <w:t>Surfacing system</w:t>
      </w:r>
    </w:p>
    <w:p w14:paraId="732FB100" w14:textId="77777777" w:rsidR="0067023B" w:rsidRPr="007301DC" w:rsidRDefault="0067023B" w:rsidP="005D7D96">
      <w:pPr>
        <w:pStyle w:val="BodyTextIndent"/>
      </w:pPr>
      <w:r w:rsidRPr="007301DC">
        <w:t xml:space="preserve">Specify details of the surfacing treatment in the annexure.  </w:t>
      </w:r>
      <w:r w:rsidRPr="007301DC">
        <w:rPr>
          <w:i/>
        </w:rPr>
        <w:t>Refer annexure</w:t>
      </w:r>
      <w:r w:rsidRPr="007301DC">
        <w:t>.</w:t>
      </w:r>
    </w:p>
    <w:p w14:paraId="07A64B55" w14:textId="77777777" w:rsidR="0067023B" w:rsidRPr="007301DC" w:rsidRDefault="00B63315" w:rsidP="004B12B0">
      <w:pPr>
        <w:pStyle w:val="Heading3"/>
      </w:pPr>
      <w:bookmarkStart w:id="47" w:name="_Toc457204413"/>
      <w:bookmarkStart w:id="48" w:name="_Toc76106332"/>
      <w:r w:rsidRPr="007301DC">
        <w:t>Precoating</w:t>
      </w:r>
      <w:bookmarkEnd w:id="47"/>
      <w:bookmarkEnd w:id="48"/>
    </w:p>
    <w:p w14:paraId="11A4B8F3" w14:textId="77777777" w:rsidR="0067023B" w:rsidRPr="007301DC" w:rsidRDefault="0067023B" w:rsidP="005D7D96">
      <w:pPr>
        <w:pStyle w:val="BodyTextIndentBoldUnderline"/>
      </w:pPr>
      <w:r w:rsidRPr="007301DC">
        <w:t>Precoating agents</w:t>
      </w:r>
    </w:p>
    <w:p w14:paraId="7757F72C" w14:textId="63D80ECA" w:rsidR="008C66F5" w:rsidRPr="007301DC" w:rsidRDefault="0067023B" w:rsidP="008C66F5">
      <w:pPr>
        <w:pStyle w:val="BodyTextIndent2"/>
        <w:spacing w:after="120"/>
        <w:jc w:val="both"/>
      </w:pPr>
      <w:r w:rsidRPr="007301DC">
        <w:t xml:space="preserve">Provide precoating agents that have satisfied plate stripping tests with the binder and aggregate.  The percentage of stripping determined in accordance with the Australian Standard test method </w:t>
      </w:r>
      <w:r w:rsidRPr="007301DC">
        <w:rPr>
          <w:i/>
        </w:rPr>
        <w:t>AS 1141.50</w:t>
      </w:r>
      <w:r w:rsidRPr="007301DC">
        <w:t xml:space="preserve"> must not exceed 10%.</w:t>
      </w:r>
      <w:r w:rsidR="008C66F5" w:rsidRPr="007301DC">
        <w:t xml:space="preserve">  Use precoating agents contained in the Q</w:t>
      </w:r>
      <w:r w:rsidR="00AD3489">
        <w:t xml:space="preserve">ueensland </w:t>
      </w:r>
      <w:r w:rsidR="008C66F5" w:rsidRPr="007301DC">
        <w:t>D</w:t>
      </w:r>
      <w:r w:rsidR="00AD3489">
        <w:t xml:space="preserve">epartment of </w:t>
      </w:r>
      <w:r w:rsidR="00AD3489" w:rsidRPr="007301DC">
        <w:t>T</w:t>
      </w:r>
      <w:r w:rsidR="00AD3489">
        <w:t xml:space="preserve">ransport and </w:t>
      </w:r>
      <w:r w:rsidR="008C66F5" w:rsidRPr="007301DC">
        <w:t>M</w:t>
      </w:r>
      <w:r w:rsidR="00AD3489">
        <w:t xml:space="preserve">ain </w:t>
      </w:r>
      <w:r w:rsidR="008C66F5" w:rsidRPr="007301DC">
        <w:t>R</w:t>
      </w:r>
      <w:r w:rsidR="00AD3489">
        <w:t>oads</w:t>
      </w:r>
      <w:r w:rsidR="008C66F5" w:rsidRPr="007301DC">
        <w:t xml:space="preserve"> </w:t>
      </w:r>
      <w:r w:rsidR="008C66F5" w:rsidRPr="007301DC">
        <w:rPr>
          <w:i/>
        </w:rPr>
        <w:t>Approved Product Listing for Aggregate Precoating Agents.</w:t>
      </w:r>
    </w:p>
    <w:p w14:paraId="04B25C55" w14:textId="77777777" w:rsidR="008C66F5" w:rsidRPr="007301DC" w:rsidRDefault="008C66F5" w:rsidP="008C66F5">
      <w:pPr>
        <w:pStyle w:val="BodyTextIndent2"/>
        <w:spacing w:after="60"/>
        <w:jc w:val="both"/>
      </w:pPr>
      <w:r w:rsidRPr="00436A7D">
        <w:rPr>
          <w:u w:val="single"/>
        </w:rPr>
        <w:t>Restriction</w:t>
      </w:r>
      <w:r w:rsidRPr="007301DC">
        <w:t>: Do not use precoating agents containing tar.</w:t>
      </w:r>
    </w:p>
    <w:p w14:paraId="498CDA68" w14:textId="77777777" w:rsidR="0067023B" w:rsidRPr="007301DC" w:rsidRDefault="0067023B" w:rsidP="005D7D96">
      <w:pPr>
        <w:pStyle w:val="BodyTextIndentBoldUnderline"/>
      </w:pPr>
      <w:r w:rsidRPr="007301DC">
        <w:t>Application</w:t>
      </w:r>
    </w:p>
    <w:p w14:paraId="3BA3A418" w14:textId="77777777" w:rsidR="0067023B" w:rsidRPr="007301DC" w:rsidRDefault="0067023B" w:rsidP="005D7D96">
      <w:pPr>
        <w:pStyle w:val="BodyTextIndent"/>
      </w:pPr>
      <w:r w:rsidRPr="00436A7D">
        <w:rPr>
          <w:u w:val="single"/>
        </w:rPr>
        <w:t>General</w:t>
      </w:r>
      <w:r w:rsidRPr="007301DC">
        <w:t>: Apply precoating agent thinly and evenly using a fine pressure spray to a moving stream of aggregate, or by other suitable means, so that particles are fully coated without excess material.</w:t>
      </w:r>
    </w:p>
    <w:p w14:paraId="0FDAFE2B" w14:textId="1E3EF57A" w:rsidR="0067023B" w:rsidRPr="007301DC" w:rsidRDefault="0067023B" w:rsidP="005D7D96">
      <w:pPr>
        <w:pStyle w:val="BodyTextIndent"/>
      </w:pPr>
      <w:r w:rsidRPr="00436A7D">
        <w:rPr>
          <w:u w:val="single"/>
        </w:rPr>
        <w:t>Degree of precoat</w:t>
      </w:r>
      <w:r w:rsidRPr="007301DC">
        <w:t xml:space="preserve">: At least 85% of the total surface area of the aggregate is covered with the precoating agent in accordance with </w:t>
      </w:r>
      <w:r w:rsidRPr="004A5A46">
        <w:rPr>
          <w:i/>
          <w:iCs/>
        </w:rPr>
        <w:t xml:space="preserve">Queensland Department of </w:t>
      </w:r>
      <w:r w:rsidR="009C4B0D" w:rsidRPr="004A5A46">
        <w:rPr>
          <w:i/>
          <w:iCs/>
        </w:rPr>
        <w:t xml:space="preserve">Transport and </w:t>
      </w:r>
      <w:r w:rsidRPr="004A5A46">
        <w:rPr>
          <w:i/>
          <w:iCs/>
        </w:rPr>
        <w:t xml:space="preserve">Main Roads </w:t>
      </w:r>
      <w:r w:rsidR="00A20AC6">
        <w:rPr>
          <w:i/>
          <w:iCs/>
        </w:rPr>
        <w:t>T</w:t>
      </w:r>
      <w:r w:rsidR="00A20AC6" w:rsidRPr="004A5A46">
        <w:rPr>
          <w:i/>
          <w:iCs/>
        </w:rPr>
        <w:t xml:space="preserve">est </w:t>
      </w:r>
      <w:r w:rsidR="00A20AC6">
        <w:rPr>
          <w:i/>
          <w:iCs/>
        </w:rPr>
        <w:t>M</w:t>
      </w:r>
      <w:r w:rsidR="00A20AC6" w:rsidRPr="004A5A46">
        <w:rPr>
          <w:i/>
          <w:iCs/>
        </w:rPr>
        <w:t xml:space="preserve">ethod </w:t>
      </w:r>
      <w:r w:rsidRPr="004A5A46">
        <w:rPr>
          <w:i/>
          <w:iCs/>
        </w:rPr>
        <w:t>Q216</w:t>
      </w:r>
      <w:r w:rsidRPr="007301DC">
        <w:t>.</w:t>
      </w:r>
    </w:p>
    <w:p w14:paraId="5F557C1B" w14:textId="77777777" w:rsidR="0067023B" w:rsidRPr="007301DC" w:rsidRDefault="0067023B" w:rsidP="005D7D96">
      <w:pPr>
        <w:pStyle w:val="BodyTextIndent"/>
      </w:pPr>
      <w:r w:rsidRPr="004A5A46">
        <w:rPr>
          <w:u w:val="single"/>
        </w:rPr>
        <w:t>Wet aggregate</w:t>
      </w:r>
      <w:r w:rsidRPr="007301DC">
        <w:t>: If the aggregate is too wet to precoat, or contains enough moisture to cause uneven distribution of the precoating agent, dry the aggregate by turning the stockpile over.  Do not provide precoated aggregate containing moisture until the moisture has evaporated and the precoating agent has adhered efficiently.</w:t>
      </w:r>
    </w:p>
    <w:p w14:paraId="6D86F265" w14:textId="77777777" w:rsidR="0067023B" w:rsidRPr="007301DC" w:rsidRDefault="0067023B" w:rsidP="005D7D96">
      <w:pPr>
        <w:pStyle w:val="BodyTextIndent"/>
      </w:pPr>
      <w:r w:rsidRPr="004A5A46">
        <w:rPr>
          <w:u w:val="single"/>
        </w:rPr>
        <w:t>Application rate</w:t>
      </w:r>
      <w:r w:rsidRPr="007301DC">
        <w:t>: Generally 6 - 12 L/m</w:t>
      </w:r>
      <w:r w:rsidRPr="007301DC">
        <w:rPr>
          <w:vertAlign w:val="superscript"/>
        </w:rPr>
        <w:t>3</w:t>
      </w:r>
      <w:r w:rsidRPr="007301DC">
        <w:t xml:space="preserve"> of aggregate.  Vary rate of precoating agent to suit the nature of the aggregate, the efficiency of the precoating methods, the absorptive properties of the aggregates, and the amount of moisture and dust present.</w:t>
      </w:r>
    </w:p>
    <w:p w14:paraId="6D0DFDAE" w14:textId="77777777" w:rsidR="008C66F5" w:rsidRPr="007301DC" w:rsidRDefault="008C66F5" w:rsidP="008C66F5">
      <w:pPr>
        <w:pStyle w:val="BodyTextIndent2"/>
        <w:spacing w:after="0"/>
        <w:jc w:val="both"/>
      </w:pPr>
      <w:bookmarkStart w:id="49" w:name="_Toc457204414"/>
      <w:r w:rsidRPr="004A5A46">
        <w:rPr>
          <w:u w:val="single"/>
        </w:rPr>
        <w:t>Lead times</w:t>
      </w:r>
      <w:r w:rsidRPr="007301DC">
        <w:t>: Apply precoating agent within the following time periods between precoating and spreading of precoated aggregate:</w:t>
      </w:r>
    </w:p>
    <w:p w14:paraId="4CC9F91E" w14:textId="77777777" w:rsidR="008C66F5" w:rsidRPr="007301DC" w:rsidRDefault="008C66F5" w:rsidP="009C1F66">
      <w:pPr>
        <w:pStyle w:val="BodyTextIndentDot"/>
      </w:pPr>
      <w:r w:rsidRPr="007301DC">
        <w:t>Precoating agent not containing waste oil</w:t>
      </w:r>
    </w:p>
    <w:p w14:paraId="7B66C5F1" w14:textId="38C9DDBD" w:rsidR="008C66F5" w:rsidRPr="007301DC" w:rsidRDefault="008C66F5" w:rsidP="009C1F66">
      <w:pPr>
        <w:pStyle w:val="BodyTextIndentDot2"/>
      </w:pPr>
      <w:r w:rsidRPr="007301DC">
        <w:t>7</w:t>
      </w:r>
      <w:r w:rsidR="00027A06" w:rsidRPr="007301DC">
        <w:t> </w:t>
      </w:r>
      <w:r w:rsidRPr="007301DC">
        <w:t>days minimum and 56</w:t>
      </w:r>
      <w:r w:rsidR="00027A06" w:rsidRPr="007301DC">
        <w:t> </w:t>
      </w:r>
      <w:r w:rsidRPr="007301DC">
        <w:t>days maximum</w:t>
      </w:r>
    </w:p>
    <w:p w14:paraId="30C4AAC8" w14:textId="77777777" w:rsidR="008C66F5" w:rsidRPr="007301DC" w:rsidRDefault="008C66F5" w:rsidP="009C1F66">
      <w:pPr>
        <w:pStyle w:val="BodyTextIndentDot"/>
      </w:pPr>
      <w:r w:rsidRPr="007301DC">
        <w:t>Precoating agent containing waste oil</w:t>
      </w:r>
    </w:p>
    <w:p w14:paraId="03D89ACB" w14:textId="1392CBB9" w:rsidR="008C66F5" w:rsidRPr="007301DC" w:rsidRDefault="008C66F5" w:rsidP="009C1F66">
      <w:pPr>
        <w:pStyle w:val="BodyTextIndentDot2"/>
      </w:pPr>
      <w:r w:rsidRPr="007301DC">
        <w:t>28</w:t>
      </w:r>
      <w:r w:rsidR="00027A06" w:rsidRPr="007301DC">
        <w:t> </w:t>
      </w:r>
      <w:r w:rsidRPr="007301DC">
        <w:t>days minimum and 98</w:t>
      </w:r>
      <w:r w:rsidR="00027A06" w:rsidRPr="007301DC">
        <w:t> </w:t>
      </w:r>
      <w:r w:rsidRPr="007301DC">
        <w:t>days maximum</w:t>
      </w:r>
    </w:p>
    <w:p w14:paraId="27B712F2" w14:textId="77777777" w:rsidR="0067023B" w:rsidRPr="007301DC" w:rsidRDefault="00F13432" w:rsidP="004B12B0">
      <w:pPr>
        <w:pStyle w:val="Heading3"/>
      </w:pPr>
      <w:bookmarkStart w:id="50" w:name="_Toc76106333"/>
      <w:r w:rsidRPr="007301DC">
        <w:t>Cutting Bitumen</w:t>
      </w:r>
      <w:bookmarkEnd w:id="49"/>
      <w:bookmarkEnd w:id="50"/>
    </w:p>
    <w:p w14:paraId="355EA668" w14:textId="019E385A" w:rsidR="0067023B" w:rsidRPr="007301DC" w:rsidRDefault="0067023B" w:rsidP="005D7D96">
      <w:pPr>
        <w:pStyle w:val="BodyTextIndent"/>
      </w:pPr>
      <w:r w:rsidRPr="004A5A46">
        <w:rPr>
          <w:u w:val="single"/>
        </w:rPr>
        <w:t>General</w:t>
      </w:r>
      <w:r w:rsidRPr="007301DC">
        <w:t>: Heat sufficient bitumen for immediate needs only.  Do not keep the material at spraying temperature for longer than 10 hours.  Do not reheat.</w:t>
      </w:r>
    </w:p>
    <w:p w14:paraId="0B22AB1E" w14:textId="2DE47464" w:rsidR="0067023B" w:rsidRPr="007301DC" w:rsidRDefault="0067023B">
      <w:pPr>
        <w:pStyle w:val="BodyTextIndent2"/>
        <w:spacing w:after="120"/>
        <w:jc w:val="both"/>
      </w:pPr>
      <w:r w:rsidRPr="004A5A46">
        <w:rPr>
          <w:u w:val="single"/>
        </w:rPr>
        <w:t>Mixing and heating (on site)</w:t>
      </w:r>
      <w:r w:rsidRPr="007301DC">
        <w:t>: Heat the bitumen at a rate not exceeding 30</w:t>
      </w:r>
      <w:r w:rsidR="00DC1A25">
        <w:rPr>
          <w:rFonts w:cs="Arial"/>
        </w:rPr>
        <w:t>°</w:t>
      </w:r>
      <w:r w:rsidRPr="007301DC">
        <w:t>C/h and circulate cutback bitumen for 20 minutes to ensure through mixing.</w:t>
      </w:r>
    </w:p>
    <w:p w14:paraId="4C0B4E60" w14:textId="77777777" w:rsidR="0067023B" w:rsidRPr="007301DC" w:rsidRDefault="0067023B">
      <w:pPr>
        <w:pStyle w:val="BodyTextIndent2"/>
        <w:spacing w:after="0"/>
        <w:jc w:val="both"/>
      </w:pPr>
      <w:r w:rsidRPr="004A5A46">
        <w:rPr>
          <w:u w:val="single"/>
        </w:rPr>
        <w:t>Heating devices</w:t>
      </w:r>
      <w:r w:rsidRPr="007301DC">
        <w:t>: Use devices capable of uniform heating without damaging bituminous materials.</w:t>
      </w:r>
    </w:p>
    <w:p w14:paraId="68CAA6B8" w14:textId="77777777" w:rsidR="0067023B" w:rsidRPr="007301DC" w:rsidRDefault="00F13432" w:rsidP="004B12B0">
      <w:pPr>
        <w:pStyle w:val="Heading3"/>
      </w:pPr>
      <w:bookmarkStart w:id="51" w:name="_Toc457204415"/>
      <w:bookmarkStart w:id="52" w:name="_Toc76106334"/>
      <w:r w:rsidRPr="007301DC">
        <w:t>Preparation for Spraying</w:t>
      </w:r>
      <w:bookmarkEnd w:id="51"/>
      <w:bookmarkEnd w:id="52"/>
    </w:p>
    <w:p w14:paraId="416AC59F" w14:textId="77777777" w:rsidR="0067023B" w:rsidRPr="007301DC" w:rsidRDefault="0067023B" w:rsidP="00D36168">
      <w:pPr>
        <w:pStyle w:val="BodyTextIndentBoldUnderline"/>
      </w:pPr>
      <w:r w:rsidRPr="007301DC">
        <w:t>Surface preparation</w:t>
      </w:r>
    </w:p>
    <w:p w14:paraId="382C4A5E" w14:textId="77777777" w:rsidR="0067023B" w:rsidRPr="007301DC" w:rsidRDefault="0067023B" w:rsidP="00D36168">
      <w:pPr>
        <w:pStyle w:val="BodyTextIndent"/>
      </w:pPr>
      <w:r w:rsidRPr="004A5A46">
        <w:rPr>
          <w:u w:val="single"/>
        </w:rPr>
        <w:t>Extent</w:t>
      </w:r>
      <w:r w:rsidRPr="007301DC">
        <w:t>: Prepare surface to be sprayed plus either an area that is a minimum of 250 mm beyond the surface to be sprayed, or one which extends to the edge of the formation, whichever is the lesser.</w:t>
      </w:r>
    </w:p>
    <w:p w14:paraId="162DB751" w14:textId="77777777" w:rsidR="0067023B" w:rsidRPr="007301DC" w:rsidRDefault="00FD7E47" w:rsidP="00D36168">
      <w:pPr>
        <w:pStyle w:val="BodyTextIndentBoldUnderline"/>
      </w:pPr>
      <w:r w:rsidRPr="007301DC">
        <w:br w:type="page"/>
      </w:r>
      <w:r w:rsidR="0067023B" w:rsidRPr="007301DC">
        <w:lastRenderedPageBreak/>
        <w:t>Cleaning</w:t>
      </w:r>
    </w:p>
    <w:p w14:paraId="72DE569F" w14:textId="77777777" w:rsidR="0067023B" w:rsidRPr="007301DC" w:rsidRDefault="0067023B" w:rsidP="00D36168">
      <w:pPr>
        <w:pStyle w:val="BodyTextIndent"/>
      </w:pPr>
      <w:r w:rsidRPr="004A5A46">
        <w:rPr>
          <w:u w:val="single"/>
        </w:rPr>
        <w:t>General</w:t>
      </w:r>
      <w:r w:rsidRPr="007301DC">
        <w:t>: Immediately before spraying remove loose and foreign material on the finished base surface, including dust, debris and sand spread on primed surfaces, and until a mosaic of well embedded stone shows on the surface.  Keep traffic off the cleaned surface.</w:t>
      </w:r>
    </w:p>
    <w:p w14:paraId="56ADF471" w14:textId="77777777" w:rsidR="0067023B" w:rsidRPr="007301DC" w:rsidRDefault="0067023B" w:rsidP="00D36168">
      <w:pPr>
        <w:pStyle w:val="BodyTextIndent"/>
      </w:pPr>
      <w:r w:rsidRPr="004A5A46">
        <w:rPr>
          <w:u w:val="single"/>
        </w:rPr>
        <w:t>Method</w:t>
      </w:r>
      <w:r w:rsidRPr="007301DC">
        <w:t>: Use suitable power blowers or road brooms, or using hand methods where inaccessible to power equipment.</w:t>
      </w:r>
    </w:p>
    <w:p w14:paraId="6A87756E" w14:textId="77777777" w:rsidR="0067023B" w:rsidRPr="007301DC" w:rsidRDefault="0067023B" w:rsidP="00D36168">
      <w:pPr>
        <w:pStyle w:val="BodyTextIndentBoldUnderline"/>
      </w:pPr>
      <w:r w:rsidRPr="007301DC">
        <w:t>Potholes</w:t>
      </w:r>
    </w:p>
    <w:p w14:paraId="69B0E9C1" w14:textId="77777777" w:rsidR="0067023B" w:rsidRPr="007301DC" w:rsidRDefault="0067023B">
      <w:pPr>
        <w:pStyle w:val="BodyTextIndent2"/>
        <w:spacing w:after="0"/>
        <w:jc w:val="both"/>
      </w:pPr>
      <w:r w:rsidRPr="007301DC">
        <w:t>Trim to a regular shape and a uniform depth of at least 75 mm.  Tack coat the sides and bottom, and patch with a suitable bituminous premix, sanded after completion.  Allow sufficient time for premix to cure before spraying the surface.</w:t>
      </w:r>
    </w:p>
    <w:p w14:paraId="4304876D" w14:textId="77777777" w:rsidR="0067023B" w:rsidRPr="007301DC" w:rsidRDefault="00F13432" w:rsidP="00AE0A3B">
      <w:pPr>
        <w:pStyle w:val="Heading3"/>
      </w:pPr>
      <w:bookmarkStart w:id="53" w:name="_Toc457204416"/>
      <w:bookmarkStart w:id="54" w:name="_Toc76106335"/>
      <w:r w:rsidRPr="007301DC">
        <w:t>Spraying Operations</w:t>
      </w:r>
      <w:bookmarkEnd w:id="53"/>
      <w:bookmarkEnd w:id="54"/>
    </w:p>
    <w:p w14:paraId="1FCC332C" w14:textId="77777777" w:rsidR="0067023B" w:rsidRPr="007301DC" w:rsidRDefault="0067023B" w:rsidP="00D36168">
      <w:pPr>
        <w:pStyle w:val="BodyTextIndentBoldUnderline"/>
      </w:pPr>
      <w:r w:rsidRPr="007301DC">
        <w:t>Protection</w:t>
      </w:r>
    </w:p>
    <w:p w14:paraId="77D3D8E7" w14:textId="77777777" w:rsidR="0067023B" w:rsidRPr="007301DC" w:rsidRDefault="0067023B" w:rsidP="00D36168">
      <w:pPr>
        <w:pStyle w:val="BodyTextIndent"/>
      </w:pPr>
      <w:r w:rsidRPr="007301DC">
        <w:t>Protect adjacent surfaces during spraying.  Place drip trays under spray bars when the sprayer is stationary.  Clean bituminous materials from adjacent surfaces or, if this is not possible, replace and make good the surface.  Protect freshly sprayed surfaces from contamination.</w:t>
      </w:r>
    </w:p>
    <w:p w14:paraId="1534FF6C" w14:textId="77777777" w:rsidR="0067023B" w:rsidRPr="007301DC" w:rsidRDefault="0067023B" w:rsidP="00D36168">
      <w:pPr>
        <w:pStyle w:val="BodyTextIndentBoldUnderline"/>
      </w:pPr>
      <w:r w:rsidRPr="007301DC">
        <w:t>Restrictions</w:t>
      </w:r>
    </w:p>
    <w:p w14:paraId="2D377C1F" w14:textId="182B3FAD" w:rsidR="0067023B" w:rsidRPr="007301DC" w:rsidRDefault="0067023B" w:rsidP="00D36168">
      <w:pPr>
        <w:pStyle w:val="BodyTextIndent"/>
      </w:pPr>
      <w:r w:rsidRPr="007301DC">
        <w:t>Pavement surface temperature: Do not commence spraying until the surface temperature of the pavement is above 20</w:t>
      </w:r>
      <w:r w:rsidR="006C61D1">
        <w:rPr>
          <w:rFonts w:cs="Arial"/>
        </w:rPr>
        <w:t>°</w:t>
      </w:r>
      <w:r w:rsidRPr="007301DC">
        <w:t>C for bitumen or above 25</w:t>
      </w:r>
      <w:r w:rsidR="006C61D1">
        <w:rPr>
          <w:rFonts w:cs="Arial"/>
        </w:rPr>
        <w:t>°</w:t>
      </w:r>
      <w:r w:rsidRPr="007301DC">
        <w:t xml:space="preserve">C for polymer modified binder, for at least one hour before spraying commences.  </w:t>
      </w:r>
      <w:r w:rsidRPr="007301DC">
        <w:rPr>
          <w:i/>
        </w:rPr>
        <w:t>Refer annexure</w:t>
      </w:r>
      <w:r w:rsidRPr="007301DC">
        <w:t>.</w:t>
      </w:r>
    </w:p>
    <w:p w14:paraId="44A17958" w14:textId="77777777" w:rsidR="0067023B" w:rsidRPr="007301DC" w:rsidRDefault="0067023B" w:rsidP="00D36168">
      <w:pPr>
        <w:pStyle w:val="BodyTextIndent"/>
      </w:pPr>
      <w:r w:rsidRPr="004A5A46">
        <w:rPr>
          <w:u w:val="single"/>
        </w:rPr>
        <w:t>Weather conditions</w:t>
      </w:r>
      <w:r w:rsidRPr="007301DC">
        <w:t>: Do not spray during rain or if rain is likely to fall prior to the spreading of cover aggregate and the completion of rolling.</w:t>
      </w:r>
    </w:p>
    <w:p w14:paraId="01B8F4C6" w14:textId="77777777" w:rsidR="00827B82" w:rsidRPr="007301DC" w:rsidRDefault="00827B82" w:rsidP="00827B82">
      <w:pPr>
        <w:pStyle w:val="BodyTextIndent2"/>
        <w:spacing w:after="0"/>
        <w:jc w:val="both"/>
      </w:pPr>
      <w:r w:rsidRPr="007301DC">
        <w:t>Minimum period between bituminous treatments</w:t>
      </w:r>
      <w:r w:rsidR="00FD7E47" w:rsidRPr="007301DC">
        <w:t xml:space="preserve"> </w:t>
      </w:r>
      <w:r w:rsidR="00FD7E47" w:rsidRPr="007301DC">
        <w:rPr>
          <w:i/>
        </w:rPr>
        <w:t>Refer annexure</w:t>
      </w:r>
      <w:r w:rsidRPr="007301DC">
        <w:t xml:space="preserve">: </w:t>
      </w:r>
    </w:p>
    <w:p w14:paraId="2F92EE34" w14:textId="2D50CB14" w:rsidR="00827B82" w:rsidRPr="007301DC" w:rsidRDefault="00827B82" w:rsidP="00827B82">
      <w:pPr>
        <w:pStyle w:val="BodyTextIndent2"/>
        <w:numPr>
          <w:ilvl w:val="0"/>
          <w:numId w:val="7"/>
        </w:numPr>
        <w:spacing w:after="0"/>
        <w:jc w:val="both"/>
      </w:pPr>
      <w:r w:rsidRPr="007301DC">
        <w:t>When the primer is cutback bitumen, allow at least 3</w:t>
      </w:r>
      <w:r w:rsidR="00D87FE4" w:rsidRPr="007301DC">
        <w:t> </w:t>
      </w:r>
      <w:r w:rsidRPr="007301DC">
        <w:t>days between priming and sealing</w:t>
      </w:r>
    </w:p>
    <w:p w14:paraId="32C9030E" w14:textId="0F8B9363" w:rsidR="00827B82" w:rsidRPr="007301DC" w:rsidRDefault="00827B82" w:rsidP="00827B82">
      <w:pPr>
        <w:pStyle w:val="BodyTextIndent2"/>
        <w:numPr>
          <w:ilvl w:val="0"/>
          <w:numId w:val="7"/>
        </w:numPr>
        <w:spacing w:after="0"/>
        <w:jc w:val="both"/>
      </w:pPr>
      <w:r w:rsidRPr="007301DC">
        <w:t>When the primer is penetrating emulsion prime, allow at least 24</w:t>
      </w:r>
      <w:r w:rsidR="00D87FE4" w:rsidRPr="007301DC">
        <w:t> </w:t>
      </w:r>
      <w:r w:rsidRPr="007301DC">
        <w:t>hours between priming and sealing</w:t>
      </w:r>
    </w:p>
    <w:p w14:paraId="64870979" w14:textId="78A1FDA0" w:rsidR="00827B82" w:rsidRPr="007301DC" w:rsidRDefault="00827B82" w:rsidP="00827B82">
      <w:pPr>
        <w:pStyle w:val="BodyTextIndent2"/>
        <w:numPr>
          <w:ilvl w:val="0"/>
          <w:numId w:val="7"/>
        </w:numPr>
        <w:spacing w:after="0"/>
        <w:jc w:val="both"/>
      </w:pPr>
      <w:r w:rsidRPr="007301DC">
        <w:t>Allow at least 3</w:t>
      </w:r>
      <w:r w:rsidR="00D87FE4" w:rsidRPr="007301DC">
        <w:t> </w:t>
      </w:r>
      <w:r w:rsidRPr="007301DC">
        <w:t>days between first and second seals</w:t>
      </w:r>
    </w:p>
    <w:p w14:paraId="2B835B8C" w14:textId="798BD9F5" w:rsidR="00827B82" w:rsidRPr="007301DC" w:rsidRDefault="00827B82" w:rsidP="00827B82">
      <w:pPr>
        <w:pStyle w:val="BodyTextIndent2"/>
        <w:numPr>
          <w:ilvl w:val="0"/>
          <w:numId w:val="7"/>
        </w:numPr>
        <w:spacing w:after="0"/>
        <w:jc w:val="both"/>
      </w:pPr>
      <w:r w:rsidRPr="007301DC">
        <w:t>Allow at least 14</w:t>
      </w:r>
      <w:r w:rsidR="00D87FE4" w:rsidRPr="007301DC">
        <w:t> </w:t>
      </w:r>
      <w:r w:rsidRPr="007301DC">
        <w:t>days between a primer seal and a seal</w:t>
      </w:r>
    </w:p>
    <w:p w14:paraId="695BD59C" w14:textId="77777777" w:rsidR="0067023B" w:rsidRPr="007301DC" w:rsidRDefault="0067023B" w:rsidP="00D36168">
      <w:pPr>
        <w:pStyle w:val="BodyTextIndentBoldUnderline"/>
      </w:pPr>
      <w:r w:rsidRPr="007301DC">
        <w:t>Method of application</w:t>
      </w:r>
    </w:p>
    <w:p w14:paraId="031EB404" w14:textId="77777777" w:rsidR="0067023B" w:rsidRPr="007301DC" w:rsidRDefault="0067023B" w:rsidP="00D36168">
      <w:pPr>
        <w:pStyle w:val="BodyTextIndent"/>
      </w:pPr>
      <w:r w:rsidRPr="007301DC">
        <w:t>Apply bituminous materials by means of the mechanically operated spray bar of a bitumen sprayer.  In areas not accessible to the mechanical sprayer, spray using hand spray equipment attached to the mechanical sprayer.</w:t>
      </w:r>
    </w:p>
    <w:p w14:paraId="4BECB7F9" w14:textId="77777777" w:rsidR="0067023B" w:rsidRPr="007301DC" w:rsidRDefault="0067023B" w:rsidP="00D36168">
      <w:pPr>
        <w:pStyle w:val="BodyTextIndentBoldUnderline"/>
      </w:pPr>
      <w:r w:rsidRPr="007301DC">
        <w:t>Spraying</w:t>
      </w:r>
    </w:p>
    <w:p w14:paraId="535A9FFA" w14:textId="77777777" w:rsidR="0067023B" w:rsidRPr="007301DC" w:rsidRDefault="0067023B" w:rsidP="00D36168">
      <w:pPr>
        <w:pStyle w:val="BodyTextIndent"/>
      </w:pPr>
      <w:r w:rsidRPr="007301DC">
        <w:t xml:space="preserve">General: Completely and uniformly cover the surface to be treated.  Prevent the spray overlapping previously treated areas, except that where part width spraying is </w:t>
      </w:r>
      <w:r w:rsidR="00AC795E" w:rsidRPr="007301DC">
        <w:t>used;</w:t>
      </w:r>
      <w:r w:rsidRPr="007301DC">
        <w:t xml:space="preserve"> lap the longitudinal joint between adjacent runs by 50 mm.</w:t>
      </w:r>
    </w:p>
    <w:p w14:paraId="56B82677" w14:textId="77777777" w:rsidR="0067023B" w:rsidRPr="007301DC" w:rsidRDefault="0067023B" w:rsidP="0067023B">
      <w:pPr>
        <w:pStyle w:val="TableIDNum"/>
      </w:pPr>
      <w:r w:rsidRPr="007301DC">
        <w:t>Table</w:t>
      </w:r>
      <w:r w:rsidR="00AC795E" w:rsidRPr="007301DC">
        <w:t> </w:t>
      </w:r>
      <w:r w:rsidRPr="007301DC">
        <w:t xml:space="preserve">6.2 </w:t>
      </w:r>
      <w:r w:rsidR="00D36168" w:rsidRPr="007301DC">
        <w:t>–</w:t>
      </w:r>
      <w:r w:rsidRPr="007301DC">
        <w:t xml:space="preserve"> Primer application rates</w:t>
      </w:r>
    </w:p>
    <w:tbl>
      <w:tblPr>
        <w:tblW w:w="8789" w:type="dxa"/>
        <w:tblInd w:w="709" w:type="dxa"/>
        <w:tblLayout w:type="fixed"/>
        <w:tblLook w:val="00A0" w:firstRow="1" w:lastRow="0" w:firstColumn="1" w:lastColumn="0" w:noHBand="0" w:noVBand="0"/>
      </w:tblPr>
      <w:tblGrid>
        <w:gridCol w:w="4253"/>
        <w:gridCol w:w="2693"/>
        <w:gridCol w:w="1843"/>
      </w:tblGrid>
      <w:tr w:rsidR="0067023B" w:rsidRPr="007301DC" w14:paraId="1DD8844A" w14:textId="77777777" w:rsidTr="0078781D">
        <w:trPr>
          <w:cantSplit/>
          <w:trHeight w:val="397"/>
        </w:trPr>
        <w:tc>
          <w:tcPr>
            <w:tcW w:w="4253" w:type="dxa"/>
            <w:tcBorders>
              <w:top w:val="single" w:sz="12" w:space="0" w:color="auto"/>
              <w:bottom w:val="single" w:sz="12" w:space="0" w:color="auto"/>
            </w:tcBorders>
            <w:shd w:val="pct10" w:color="auto" w:fill="auto"/>
            <w:vAlign w:val="center"/>
          </w:tcPr>
          <w:p w14:paraId="71A88B9A" w14:textId="77777777" w:rsidR="0067023B" w:rsidRPr="007301DC" w:rsidRDefault="0067023B" w:rsidP="0067023B">
            <w:pPr>
              <w:pStyle w:val="TableHeadCen"/>
            </w:pPr>
            <w:r w:rsidRPr="007301DC">
              <w:t>Surface type</w:t>
            </w:r>
          </w:p>
        </w:tc>
        <w:tc>
          <w:tcPr>
            <w:tcW w:w="2693" w:type="dxa"/>
            <w:tcBorders>
              <w:top w:val="single" w:sz="12" w:space="0" w:color="auto"/>
              <w:bottom w:val="single" w:sz="12" w:space="0" w:color="auto"/>
            </w:tcBorders>
            <w:shd w:val="pct10" w:color="auto" w:fill="auto"/>
            <w:vAlign w:val="center"/>
          </w:tcPr>
          <w:p w14:paraId="6A00941F" w14:textId="77777777" w:rsidR="0067023B" w:rsidRPr="007301DC" w:rsidRDefault="0067023B" w:rsidP="0067023B">
            <w:pPr>
              <w:pStyle w:val="TableHeadCen"/>
            </w:pPr>
            <w:r w:rsidRPr="007301DC">
              <w:t>Suitable primer grade</w:t>
            </w:r>
          </w:p>
        </w:tc>
        <w:tc>
          <w:tcPr>
            <w:tcW w:w="1843" w:type="dxa"/>
            <w:tcBorders>
              <w:top w:val="single" w:sz="12" w:space="0" w:color="auto"/>
              <w:bottom w:val="single" w:sz="12" w:space="0" w:color="auto"/>
            </w:tcBorders>
            <w:shd w:val="pct10" w:color="auto" w:fill="auto"/>
            <w:vAlign w:val="center"/>
          </w:tcPr>
          <w:p w14:paraId="333F48CC" w14:textId="77777777" w:rsidR="0067023B" w:rsidRPr="007301DC" w:rsidRDefault="0067023B" w:rsidP="0067023B">
            <w:pPr>
              <w:pStyle w:val="TableHeadCen"/>
            </w:pPr>
            <w:r w:rsidRPr="007301DC">
              <w:t>Application rate</w:t>
            </w:r>
          </w:p>
        </w:tc>
      </w:tr>
      <w:tr w:rsidR="0067023B" w:rsidRPr="007301DC" w14:paraId="783C08F6" w14:textId="77777777" w:rsidTr="0078781D">
        <w:tc>
          <w:tcPr>
            <w:tcW w:w="4253" w:type="dxa"/>
            <w:tcBorders>
              <w:top w:val="single" w:sz="12" w:space="0" w:color="auto"/>
              <w:bottom w:val="single" w:sz="4" w:space="0" w:color="auto"/>
            </w:tcBorders>
            <w:vAlign w:val="center"/>
          </w:tcPr>
          <w:p w14:paraId="1657DDFB" w14:textId="77777777" w:rsidR="0067023B" w:rsidRPr="007301DC" w:rsidRDefault="0067023B" w:rsidP="0067023B">
            <w:pPr>
              <w:pStyle w:val="Table"/>
            </w:pPr>
            <w:r w:rsidRPr="007301DC">
              <w:t>Low porosity.  Extremely hard and tightly bonded surface such as dense graded crushed rock.</w:t>
            </w:r>
          </w:p>
        </w:tc>
        <w:tc>
          <w:tcPr>
            <w:tcW w:w="2693" w:type="dxa"/>
            <w:tcBorders>
              <w:top w:val="single" w:sz="12" w:space="0" w:color="auto"/>
              <w:bottom w:val="single" w:sz="4" w:space="0" w:color="auto"/>
            </w:tcBorders>
            <w:vAlign w:val="center"/>
          </w:tcPr>
          <w:p w14:paraId="43EBAA85" w14:textId="77777777" w:rsidR="0067023B" w:rsidRPr="007301DC" w:rsidRDefault="0067023B" w:rsidP="0067023B">
            <w:pPr>
              <w:pStyle w:val="BodyTextIndent2"/>
              <w:spacing w:before="60" w:after="0"/>
              <w:ind w:left="0"/>
              <w:rPr>
                <w:sz w:val="18"/>
              </w:rPr>
            </w:pPr>
            <w:r w:rsidRPr="007301DC">
              <w:rPr>
                <w:sz w:val="18"/>
              </w:rPr>
              <w:t>AMC00 or AMC0 (low viscosity primers)</w:t>
            </w:r>
          </w:p>
        </w:tc>
        <w:tc>
          <w:tcPr>
            <w:tcW w:w="1843" w:type="dxa"/>
            <w:tcBorders>
              <w:top w:val="single" w:sz="12" w:space="0" w:color="auto"/>
              <w:bottom w:val="single" w:sz="4" w:space="0" w:color="auto"/>
            </w:tcBorders>
            <w:vAlign w:val="center"/>
          </w:tcPr>
          <w:p w14:paraId="42F97CF8" w14:textId="77777777" w:rsidR="0067023B" w:rsidRPr="007301DC" w:rsidRDefault="0067023B" w:rsidP="0067023B">
            <w:pPr>
              <w:pStyle w:val="TableCen"/>
            </w:pPr>
            <w:r w:rsidRPr="007301DC">
              <w:t>0.5 - 1.0 L/m</w:t>
            </w:r>
            <w:r w:rsidRPr="007301DC">
              <w:rPr>
                <w:vertAlign w:val="superscript"/>
              </w:rPr>
              <w:t>2</w:t>
            </w:r>
          </w:p>
        </w:tc>
      </w:tr>
      <w:tr w:rsidR="0067023B" w:rsidRPr="007301DC" w14:paraId="56FEA664" w14:textId="77777777" w:rsidTr="0078781D">
        <w:tc>
          <w:tcPr>
            <w:tcW w:w="4253" w:type="dxa"/>
            <w:tcBorders>
              <w:top w:val="single" w:sz="4" w:space="0" w:color="auto"/>
              <w:bottom w:val="single" w:sz="4" w:space="0" w:color="auto"/>
            </w:tcBorders>
            <w:vAlign w:val="center"/>
          </w:tcPr>
          <w:p w14:paraId="3230C186" w14:textId="77777777" w:rsidR="0067023B" w:rsidRPr="007301DC" w:rsidRDefault="0067023B" w:rsidP="0067023B">
            <w:pPr>
              <w:pStyle w:val="Table"/>
            </w:pPr>
            <w:r w:rsidRPr="007301DC">
              <w:t>Medium porosity.  Gravels with sandy silt binders.</w:t>
            </w:r>
          </w:p>
        </w:tc>
        <w:tc>
          <w:tcPr>
            <w:tcW w:w="2693" w:type="dxa"/>
            <w:tcBorders>
              <w:top w:val="single" w:sz="4" w:space="0" w:color="auto"/>
              <w:bottom w:val="single" w:sz="4" w:space="0" w:color="auto"/>
            </w:tcBorders>
            <w:vAlign w:val="center"/>
          </w:tcPr>
          <w:p w14:paraId="137D0AC6" w14:textId="77777777" w:rsidR="0067023B" w:rsidRPr="007301DC" w:rsidRDefault="0067023B" w:rsidP="0067023B">
            <w:pPr>
              <w:pStyle w:val="BodyTextIndent2"/>
              <w:spacing w:before="60" w:after="0"/>
              <w:ind w:left="0"/>
              <w:rPr>
                <w:sz w:val="18"/>
              </w:rPr>
            </w:pPr>
            <w:r w:rsidRPr="007301DC">
              <w:rPr>
                <w:sz w:val="18"/>
              </w:rPr>
              <w:t>AMC0 or AMC1 (medium viscosity primers)</w:t>
            </w:r>
          </w:p>
        </w:tc>
        <w:tc>
          <w:tcPr>
            <w:tcW w:w="1843" w:type="dxa"/>
            <w:tcBorders>
              <w:top w:val="single" w:sz="4" w:space="0" w:color="auto"/>
              <w:bottom w:val="single" w:sz="4" w:space="0" w:color="auto"/>
            </w:tcBorders>
            <w:vAlign w:val="center"/>
          </w:tcPr>
          <w:p w14:paraId="3F130048" w14:textId="77777777" w:rsidR="0067023B" w:rsidRPr="007301DC" w:rsidRDefault="0067023B" w:rsidP="0067023B">
            <w:pPr>
              <w:pStyle w:val="TableCen"/>
            </w:pPr>
            <w:r w:rsidRPr="007301DC">
              <w:t>0.5 - 1.0 L/m</w:t>
            </w:r>
            <w:r w:rsidRPr="007301DC">
              <w:rPr>
                <w:vertAlign w:val="superscript"/>
              </w:rPr>
              <w:t>2</w:t>
            </w:r>
          </w:p>
        </w:tc>
      </w:tr>
      <w:tr w:rsidR="0067023B" w:rsidRPr="007301DC" w14:paraId="55AECDB1" w14:textId="77777777" w:rsidTr="0078781D">
        <w:tc>
          <w:tcPr>
            <w:tcW w:w="4253" w:type="dxa"/>
            <w:tcBorders>
              <w:top w:val="single" w:sz="4" w:space="0" w:color="auto"/>
              <w:bottom w:val="single" w:sz="4" w:space="0" w:color="auto"/>
            </w:tcBorders>
            <w:vAlign w:val="center"/>
          </w:tcPr>
          <w:p w14:paraId="02423B2D" w14:textId="77777777" w:rsidR="0067023B" w:rsidRPr="007301DC" w:rsidRDefault="0067023B" w:rsidP="0067023B">
            <w:pPr>
              <w:pStyle w:val="Table"/>
            </w:pPr>
            <w:r w:rsidRPr="007301DC">
              <w:t>High porosity.  Lack of textured appearance resulting from deficient binding material.</w:t>
            </w:r>
          </w:p>
        </w:tc>
        <w:tc>
          <w:tcPr>
            <w:tcW w:w="2693" w:type="dxa"/>
            <w:tcBorders>
              <w:top w:val="single" w:sz="4" w:space="0" w:color="auto"/>
              <w:bottom w:val="single" w:sz="4" w:space="0" w:color="auto"/>
            </w:tcBorders>
            <w:vAlign w:val="center"/>
          </w:tcPr>
          <w:p w14:paraId="41E4CF97" w14:textId="77777777" w:rsidR="0067023B" w:rsidRPr="007301DC" w:rsidRDefault="0067023B" w:rsidP="0067023B">
            <w:pPr>
              <w:pStyle w:val="BodyTextIndent2"/>
              <w:spacing w:before="60" w:after="0"/>
              <w:ind w:left="0"/>
              <w:rPr>
                <w:sz w:val="18"/>
              </w:rPr>
            </w:pPr>
            <w:r w:rsidRPr="007301DC">
              <w:rPr>
                <w:sz w:val="18"/>
              </w:rPr>
              <w:t>AMC1 or AMC2 (high viscosity primers)</w:t>
            </w:r>
          </w:p>
        </w:tc>
        <w:tc>
          <w:tcPr>
            <w:tcW w:w="1843" w:type="dxa"/>
            <w:tcBorders>
              <w:top w:val="single" w:sz="4" w:space="0" w:color="auto"/>
              <w:bottom w:val="single" w:sz="4" w:space="0" w:color="auto"/>
            </w:tcBorders>
            <w:vAlign w:val="center"/>
          </w:tcPr>
          <w:p w14:paraId="01FCAE13" w14:textId="77777777" w:rsidR="0067023B" w:rsidRPr="007301DC" w:rsidRDefault="0067023B" w:rsidP="0067023B">
            <w:pPr>
              <w:pStyle w:val="TableCen"/>
            </w:pPr>
            <w:r w:rsidRPr="007301DC">
              <w:t>0.8 - 1.4 L/m</w:t>
            </w:r>
            <w:r w:rsidRPr="007301DC">
              <w:rPr>
                <w:vertAlign w:val="superscript"/>
              </w:rPr>
              <w:t>2</w:t>
            </w:r>
          </w:p>
        </w:tc>
      </w:tr>
      <w:tr w:rsidR="007B2282" w:rsidRPr="007301DC" w14:paraId="20260C0B" w14:textId="77777777" w:rsidTr="0078781D">
        <w:tc>
          <w:tcPr>
            <w:tcW w:w="4253" w:type="dxa"/>
            <w:tcBorders>
              <w:top w:val="single" w:sz="4" w:space="0" w:color="auto"/>
              <w:bottom w:val="single" w:sz="12" w:space="0" w:color="auto"/>
            </w:tcBorders>
          </w:tcPr>
          <w:p w14:paraId="2E15E163" w14:textId="77777777" w:rsidR="007B2282" w:rsidRPr="007301DC" w:rsidRDefault="007B2282" w:rsidP="007B2282">
            <w:pPr>
              <w:pStyle w:val="BodyTextIndent2"/>
              <w:spacing w:before="60" w:after="0"/>
              <w:ind w:left="0"/>
              <w:rPr>
                <w:sz w:val="18"/>
              </w:rPr>
            </w:pPr>
            <w:r w:rsidRPr="007301DC">
              <w:rPr>
                <w:sz w:val="18"/>
              </w:rPr>
              <w:t xml:space="preserve">All surfaces - </w:t>
            </w:r>
            <w:r w:rsidRPr="007301DC">
              <w:rPr>
                <w:sz w:val="18"/>
                <w:szCs w:val="18"/>
              </w:rPr>
              <w:t>undertake trial area to confirm suitability of prime and application rate.</w:t>
            </w:r>
          </w:p>
        </w:tc>
        <w:tc>
          <w:tcPr>
            <w:tcW w:w="2693" w:type="dxa"/>
            <w:tcBorders>
              <w:top w:val="single" w:sz="4" w:space="0" w:color="auto"/>
              <w:bottom w:val="single" w:sz="12" w:space="0" w:color="auto"/>
            </w:tcBorders>
          </w:tcPr>
          <w:p w14:paraId="18745488" w14:textId="77777777" w:rsidR="007B2282" w:rsidRPr="007301DC" w:rsidRDefault="007B2282" w:rsidP="007B2282">
            <w:pPr>
              <w:pStyle w:val="BodyTextIndent2"/>
              <w:spacing w:before="60" w:after="0"/>
              <w:ind w:left="0"/>
              <w:rPr>
                <w:sz w:val="18"/>
              </w:rPr>
            </w:pPr>
            <w:r w:rsidRPr="007301DC">
              <w:rPr>
                <w:sz w:val="18"/>
              </w:rPr>
              <w:t>Penetrating emulsion primer</w:t>
            </w:r>
          </w:p>
        </w:tc>
        <w:tc>
          <w:tcPr>
            <w:tcW w:w="1843" w:type="dxa"/>
            <w:tcBorders>
              <w:top w:val="single" w:sz="4" w:space="0" w:color="auto"/>
              <w:bottom w:val="single" w:sz="12" w:space="0" w:color="auto"/>
            </w:tcBorders>
          </w:tcPr>
          <w:p w14:paraId="41DB9669" w14:textId="77777777" w:rsidR="007B2282" w:rsidRPr="007301DC" w:rsidRDefault="007B2282" w:rsidP="007B2282">
            <w:pPr>
              <w:pStyle w:val="BodyTextIndent2"/>
              <w:spacing w:before="120" w:after="0"/>
              <w:ind w:left="0"/>
              <w:jc w:val="center"/>
              <w:rPr>
                <w:sz w:val="18"/>
              </w:rPr>
            </w:pPr>
            <w:r w:rsidRPr="007301DC">
              <w:rPr>
                <w:sz w:val="18"/>
              </w:rPr>
              <w:t>0.9 - 1.5 l/m</w:t>
            </w:r>
            <w:r w:rsidRPr="007301DC">
              <w:rPr>
                <w:sz w:val="18"/>
                <w:vertAlign w:val="superscript"/>
              </w:rPr>
              <w:t>2</w:t>
            </w:r>
          </w:p>
        </w:tc>
      </w:tr>
    </w:tbl>
    <w:p w14:paraId="6EA8C9ED" w14:textId="77777777" w:rsidR="007A108F" w:rsidRDefault="007A108F" w:rsidP="007A108F">
      <w:pPr>
        <w:pStyle w:val="BodyTextIndentBoldUnderline"/>
      </w:pPr>
      <w:r>
        <w:br w:type="page"/>
      </w:r>
    </w:p>
    <w:p w14:paraId="5C577152" w14:textId="77777777" w:rsidR="0067023B" w:rsidRPr="007301DC" w:rsidRDefault="0067023B" w:rsidP="0067023B">
      <w:pPr>
        <w:pStyle w:val="BodyTextIndentBoldUnderline"/>
      </w:pPr>
      <w:r w:rsidRPr="007301DC">
        <w:lastRenderedPageBreak/>
        <w:t>Spraying temperature</w:t>
      </w:r>
    </w:p>
    <w:p w14:paraId="21A34A1B" w14:textId="77777777" w:rsidR="0067023B" w:rsidRPr="007301DC" w:rsidRDefault="0067023B" w:rsidP="0067023B">
      <w:pPr>
        <w:pStyle w:val="BodyTextIndent"/>
      </w:pPr>
      <w:r w:rsidRPr="007301DC">
        <w:t>Spray bituminous material within the temperature range given in Table</w:t>
      </w:r>
      <w:r w:rsidR="00AC795E" w:rsidRPr="007301DC">
        <w:rPr>
          <w:i/>
        </w:rPr>
        <w:t> </w:t>
      </w:r>
      <w:r w:rsidRPr="007301DC">
        <w:t>6.3.</w:t>
      </w:r>
    </w:p>
    <w:p w14:paraId="105EB631" w14:textId="77777777" w:rsidR="0067023B" w:rsidRPr="007301DC" w:rsidRDefault="0067023B" w:rsidP="0067023B">
      <w:pPr>
        <w:pStyle w:val="TableIDNum"/>
      </w:pPr>
      <w:r w:rsidRPr="007301DC">
        <w:t>Table</w:t>
      </w:r>
      <w:r w:rsidR="00AC795E" w:rsidRPr="007301DC">
        <w:t> </w:t>
      </w:r>
      <w:r w:rsidRPr="007301DC">
        <w:t>6.3 – Spraying temperature range of bituminous material</w:t>
      </w:r>
    </w:p>
    <w:tbl>
      <w:tblPr>
        <w:tblW w:w="8647" w:type="dxa"/>
        <w:tblInd w:w="709" w:type="dxa"/>
        <w:tblLayout w:type="fixed"/>
        <w:tblLook w:val="00A0" w:firstRow="1" w:lastRow="0" w:firstColumn="1" w:lastColumn="0" w:noHBand="0" w:noVBand="0"/>
      </w:tblPr>
      <w:tblGrid>
        <w:gridCol w:w="2977"/>
        <w:gridCol w:w="2126"/>
        <w:gridCol w:w="1772"/>
        <w:gridCol w:w="1772"/>
      </w:tblGrid>
      <w:tr w:rsidR="0067023B" w:rsidRPr="007301DC" w14:paraId="6F651251" w14:textId="77777777" w:rsidTr="008627C0">
        <w:trPr>
          <w:cantSplit/>
          <w:trHeight w:val="397"/>
          <w:tblHeader/>
        </w:trPr>
        <w:tc>
          <w:tcPr>
            <w:tcW w:w="2977" w:type="dxa"/>
            <w:vMerge w:val="restart"/>
            <w:tcBorders>
              <w:top w:val="single" w:sz="12" w:space="0" w:color="auto"/>
            </w:tcBorders>
            <w:shd w:val="pct10" w:color="auto" w:fill="auto"/>
            <w:vAlign w:val="center"/>
          </w:tcPr>
          <w:p w14:paraId="1C803B1D" w14:textId="77777777" w:rsidR="0067023B" w:rsidRPr="007301DC" w:rsidRDefault="0067023B" w:rsidP="0067023B">
            <w:pPr>
              <w:pStyle w:val="TableHeadCen"/>
            </w:pPr>
            <w:r w:rsidRPr="007301DC">
              <w:t>Material</w:t>
            </w:r>
          </w:p>
        </w:tc>
        <w:tc>
          <w:tcPr>
            <w:tcW w:w="2126" w:type="dxa"/>
            <w:vMerge w:val="restart"/>
            <w:tcBorders>
              <w:top w:val="single" w:sz="12" w:space="0" w:color="auto"/>
            </w:tcBorders>
            <w:shd w:val="pct10" w:color="auto" w:fill="auto"/>
            <w:vAlign w:val="center"/>
          </w:tcPr>
          <w:p w14:paraId="7E687BAF" w14:textId="77777777" w:rsidR="0067023B" w:rsidRPr="007301DC" w:rsidRDefault="0067023B" w:rsidP="0067023B">
            <w:pPr>
              <w:pStyle w:val="TableHeadCen"/>
            </w:pPr>
            <w:r w:rsidRPr="007301DC">
              <w:t>Grade</w:t>
            </w:r>
          </w:p>
        </w:tc>
        <w:tc>
          <w:tcPr>
            <w:tcW w:w="3544" w:type="dxa"/>
            <w:gridSpan w:val="2"/>
            <w:tcBorders>
              <w:top w:val="single" w:sz="12" w:space="0" w:color="auto"/>
              <w:bottom w:val="single" w:sz="4" w:space="0" w:color="auto"/>
            </w:tcBorders>
            <w:shd w:val="pct10" w:color="auto" w:fill="auto"/>
            <w:vAlign w:val="center"/>
          </w:tcPr>
          <w:p w14:paraId="095DD29A" w14:textId="4E368486" w:rsidR="0067023B" w:rsidRPr="007301DC" w:rsidRDefault="0067023B" w:rsidP="0067023B">
            <w:pPr>
              <w:pStyle w:val="TableHeadCen"/>
            </w:pPr>
            <w:r w:rsidRPr="007301DC">
              <w:t>Spraying temperature range (</w:t>
            </w:r>
            <w:r w:rsidR="00353C9B">
              <w:rPr>
                <w:rFonts w:ascii="Arial" w:hAnsi="Arial" w:cs="Arial"/>
              </w:rPr>
              <w:t>°</w:t>
            </w:r>
            <w:r w:rsidRPr="007301DC">
              <w:t>C)</w:t>
            </w:r>
          </w:p>
        </w:tc>
      </w:tr>
      <w:tr w:rsidR="0067023B" w:rsidRPr="007301DC" w14:paraId="65842945" w14:textId="77777777" w:rsidTr="008627C0">
        <w:trPr>
          <w:cantSplit/>
          <w:trHeight w:val="397"/>
          <w:tblHeader/>
        </w:trPr>
        <w:tc>
          <w:tcPr>
            <w:tcW w:w="2977" w:type="dxa"/>
            <w:vMerge/>
            <w:tcBorders>
              <w:bottom w:val="single" w:sz="12" w:space="0" w:color="auto"/>
            </w:tcBorders>
            <w:shd w:val="pct10" w:color="auto" w:fill="auto"/>
            <w:vAlign w:val="center"/>
          </w:tcPr>
          <w:p w14:paraId="137CAC5B" w14:textId="77777777" w:rsidR="0067023B" w:rsidRPr="007301DC" w:rsidRDefault="0067023B" w:rsidP="0067023B">
            <w:pPr>
              <w:pStyle w:val="TableHeadCen"/>
            </w:pPr>
          </w:p>
        </w:tc>
        <w:tc>
          <w:tcPr>
            <w:tcW w:w="2126" w:type="dxa"/>
            <w:vMerge/>
            <w:tcBorders>
              <w:bottom w:val="single" w:sz="12" w:space="0" w:color="auto"/>
            </w:tcBorders>
            <w:shd w:val="pct10" w:color="auto" w:fill="auto"/>
            <w:vAlign w:val="center"/>
          </w:tcPr>
          <w:p w14:paraId="30ECED82" w14:textId="77777777" w:rsidR="0067023B" w:rsidRPr="007301DC" w:rsidRDefault="0067023B" w:rsidP="0067023B">
            <w:pPr>
              <w:pStyle w:val="TableHeadCen"/>
            </w:pPr>
          </w:p>
        </w:tc>
        <w:tc>
          <w:tcPr>
            <w:tcW w:w="1772" w:type="dxa"/>
            <w:tcBorders>
              <w:bottom w:val="single" w:sz="12" w:space="0" w:color="auto"/>
            </w:tcBorders>
            <w:shd w:val="pct10" w:color="auto" w:fill="auto"/>
            <w:vAlign w:val="center"/>
          </w:tcPr>
          <w:p w14:paraId="0C6074E3" w14:textId="77777777" w:rsidR="0067023B" w:rsidRPr="007301DC" w:rsidRDefault="0067023B" w:rsidP="0067023B">
            <w:pPr>
              <w:pStyle w:val="TableHeadCen"/>
            </w:pPr>
            <w:r w:rsidRPr="007301DC">
              <w:t>Minimum</w:t>
            </w:r>
          </w:p>
        </w:tc>
        <w:tc>
          <w:tcPr>
            <w:tcW w:w="1772" w:type="dxa"/>
            <w:tcBorders>
              <w:bottom w:val="single" w:sz="12" w:space="0" w:color="auto"/>
            </w:tcBorders>
            <w:shd w:val="pct10" w:color="auto" w:fill="auto"/>
            <w:vAlign w:val="center"/>
          </w:tcPr>
          <w:p w14:paraId="6B70E814" w14:textId="77777777" w:rsidR="0067023B" w:rsidRPr="007301DC" w:rsidRDefault="0067023B" w:rsidP="0067023B">
            <w:pPr>
              <w:pStyle w:val="TableHeadCen"/>
            </w:pPr>
            <w:r w:rsidRPr="007301DC">
              <w:t>Maximum</w:t>
            </w:r>
          </w:p>
        </w:tc>
      </w:tr>
      <w:tr w:rsidR="00A11301" w:rsidRPr="007301DC" w14:paraId="0FE2EBCF" w14:textId="77777777" w:rsidTr="008627C0">
        <w:trPr>
          <w:trHeight w:val="340"/>
        </w:trPr>
        <w:tc>
          <w:tcPr>
            <w:tcW w:w="2977" w:type="dxa"/>
            <w:vMerge w:val="restart"/>
            <w:tcBorders>
              <w:top w:val="single" w:sz="12" w:space="0" w:color="auto"/>
            </w:tcBorders>
            <w:vAlign w:val="center"/>
          </w:tcPr>
          <w:p w14:paraId="1A302C63" w14:textId="77777777" w:rsidR="00A11301" w:rsidRPr="007301DC" w:rsidRDefault="00A11301" w:rsidP="0067023B">
            <w:pPr>
              <w:pStyle w:val="TableCen"/>
            </w:pPr>
            <w:r w:rsidRPr="007301DC">
              <w:t>Cutback bitumen</w:t>
            </w:r>
          </w:p>
        </w:tc>
        <w:tc>
          <w:tcPr>
            <w:tcW w:w="2126" w:type="dxa"/>
            <w:tcBorders>
              <w:top w:val="single" w:sz="12" w:space="0" w:color="auto"/>
            </w:tcBorders>
            <w:vAlign w:val="center"/>
          </w:tcPr>
          <w:p w14:paraId="45239028" w14:textId="77777777" w:rsidR="00A11301" w:rsidRPr="007301DC" w:rsidRDefault="00A11301" w:rsidP="0067023B">
            <w:pPr>
              <w:pStyle w:val="TableCen"/>
            </w:pPr>
            <w:r w:rsidRPr="007301DC">
              <w:t>AMC00</w:t>
            </w:r>
          </w:p>
        </w:tc>
        <w:tc>
          <w:tcPr>
            <w:tcW w:w="1772" w:type="dxa"/>
            <w:tcBorders>
              <w:top w:val="single" w:sz="12" w:space="0" w:color="auto"/>
            </w:tcBorders>
            <w:vAlign w:val="center"/>
          </w:tcPr>
          <w:p w14:paraId="005E1F3C" w14:textId="77777777" w:rsidR="00A11301" w:rsidRPr="007301DC" w:rsidRDefault="00A11301" w:rsidP="0067023B">
            <w:pPr>
              <w:pStyle w:val="TableCen"/>
            </w:pPr>
            <w:r w:rsidRPr="007301DC">
              <w:t>Ambient</w:t>
            </w:r>
          </w:p>
        </w:tc>
        <w:tc>
          <w:tcPr>
            <w:tcW w:w="1772" w:type="dxa"/>
            <w:tcBorders>
              <w:top w:val="single" w:sz="12" w:space="0" w:color="auto"/>
            </w:tcBorders>
            <w:vAlign w:val="center"/>
          </w:tcPr>
          <w:p w14:paraId="35E0E5F6" w14:textId="77777777" w:rsidR="00A11301" w:rsidRPr="007301DC" w:rsidRDefault="00A11301" w:rsidP="0067023B">
            <w:pPr>
              <w:pStyle w:val="TableCen"/>
            </w:pPr>
            <w:r w:rsidRPr="007301DC">
              <w:t>Ambient</w:t>
            </w:r>
          </w:p>
        </w:tc>
      </w:tr>
      <w:tr w:rsidR="00A11301" w:rsidRPr="007301DC" w14:paraId="09C7EC6E" w14:textId="77777777" w:rsidTr="008627C0">
        <w:trPr>
          <w:trHeight w:val="340"/>
        </w:trPr>
        <w:tc>
          <w:tcPr>
            <w:tcW w:w="2977" w:type="dxa"/>
            <w:vMerge/>
            <w:vAlign w:val="center"/>
          </w:tcPr>
          <w:p w14:paraId="0F7D131C" w14:textId="77777777" w:rsidR="00A11301" w:rsidRPr="007301DC" w:rsidRDefault="00A11301" w:rsidP="0067023B">
            <w:pPr>
              <w:pStyle w:val="TableCen"/>
            </w:pPr>
          </w:p>
        </w:tc>
        <w:tc>
          <w:tcPr>
            <w:tcW w:w="2126" w:type="dxa"/>
            <w:vAlign w:val="center"/>
          </w:tcPr>
          <w:p w14:paraId="4C52C168" w14:textId="77777777" w:rsidR="00A11301" w:rsidRPr="007301DC" w:rsidRDefault="00A11301" w:rsidP="00A11301">
            <w:pPr>
              <w:pStyle w:val="TableCen"/>
            </w:pPr>
            <w:r w:rsidRPr="007301DC">
              <w:t>AMC0</w:t>
            </w:r>
          </w:p>
        </w:tc>
        <w:tc>
          <w:tcPr>
            <w:tcW w:w="1772" w:type="dxa"/>
            <w:vAlign w:val="center"/>
          </w:tcPr>
          <w:p w14:paraId="1DD2A161" w14:textId="77777777" w:rsidR="00A11301" w:rsidRPr="007301DC" w:rsidRDefault="00A11301" w:rsidP="00A11301">
            <w:pPr>
              <w:pStyle w:val="TableCen"/>
            </w:pPr>
            <w:r w:rsidRPr="007301DC">
              <w:t>35</w:t>
            </w:r>
          </w:p>
        </w:tc>
        <w:tc>
          <w:tcPr>
            <w:tcW w:w="1772" w:type="dxa"/>
            <w:vAlign w:val="center"/>
          </w:tcPr>
          <w:p w14:paraId="3485BD9C" w14:textId="77777777" w:rsidR="00A11301" w:rsidRPr="007301DC" w:rsidRDefault="00A11301" w:rsidP="00A11301">
            <w:pPr>
              <w:pStyle w:val="TableCen"/>
            </w:pPr>
            <w:r w:rsidRPr="007301DC">
              <w:t>55</w:t>
            </w:r>
          </w:p>
        </w:tc>
      </w:tr>
      <w:tr w:rsidR="00A11301" w:rsidRPr="007301DC" w14:paraId="4410E326" w14:textId="77777777" w:rsidTr="008627C0">
        <w:trPr>
          <w:trHeight w:val="340"/>
        </w:trPr>
        <w:tc>
          <w:tcPr>
            <w:tcW w:w="2977" w:type="dxa"/>
            <w:vMerge/>
            <w:vAlign w:val="center"/>
          </w:tcPr>
          <w:p w14:paraId="55C5FADF" w14:textId="77777777" w:rsidR="00A11301" w:rsidRPr="007301DC" w:rsidRDefault="00A11301" w:rsidP="0067023B">
            <w:pPr>
              <w:pStyle w:val="TableCen"/>
            </w:pPr>
          </w:p>
        </w:tc>
        <w:tc>
          <w:tcPr>
            <w:tcW w:w="2126" w:type="dxa"/>
            <w:vAlign w:val="center"/>
          </w:tcPr>
          <w:p w14:paraId="27361EB8" w14:textId="77777777" w:rsidR="00A11301" w:rsidRPr="007301DC" w:rsidRDefault="00A11301" w:rsidP="00131A06">
            <w:pPr>
              <w:pStyle w:val="TableCen"/>
            </w:pPr>
            <w:r w:rsidRPr="007301DC">
              <w:t>AMC1</w:t>
            </w:r>
          </w:p>
        </w:tc>
        <w:tc>
          <w:tcPr>
            <w:tcW w:w="1772" w:type="dxa"/>
            <w:vAlign w:val="center"/>
          </w:tcPr>
          <w:p w14:paraId="62454D49" w14:textId="77777777" w:rsidR="00A11301" w:rsidRPr="007301DC" w:rsidRDefault="00A11301" w:rsidP="00131A06">
            <w:pPr>
              <w:pStyle w:val="TableCen"/>
            </w:pPr>
            <w:r w:rsidRPr="007301DC">
              <w:t>60</w:t>
            </w:r>
          </w:p>
        </w:tc>
        <w:tc>
          <w:tcPr>
            <w:tcW w:w="1772" w:type="dxa"/>
            <w:vAlign w:val="center"/>
          </w:tcPr>
          <w:p w14:paraId="17B2DE8F" w14:textId="77777777" w:rsidR="00A11301" w:rsidRPr="007301DC" w:rsidRDefault="00A11301" w:rsidP="00131A06">
            <w:pPr>
              <w:pStyle w:val="TableCen"/>
            </w:pPr>
            <w:r w:rsidRPr="007301DC">
              <w:t>80</w:t>
            </w:r>
          </w:p>
        </w:tc>
      </w:tr>
      <w:tr w:rsidR="00A11301" w:rsidRPr="007301DC" w14:paraId="1041140B" w14:textId="77777777" w:rsidTr="008627C0">
        <w:trPr>
          <w:trHeight w:val="340"/>
        </w:trPr>
        <w:tc>
          <w:tcPr>
            <w:tcW w:w="2977" w:type="dxa"/>
            <w:vMerge/>
            <w:vAlign w:val="center"/>
          </w:tcPr>
          <w:p w14:paraId="56E7026B" w14:textId="77777777" w:rsidR="00A11301" w:rsidRPr="007301DC" w:rsidRDefault="00A11301" w:rsidP="0067023B">
            <w:pPr>
              <w:pStyle w:val="TableCen"/>
            </w:pPr>
          </w:p>
        </w:tc>
        <w:tc>
          <w:tcPr>
            <w:tcW w:w="2126" w:type="dxa"/>
            <w:vAlign w:val="center"/>
          </w:tcPr>
          <w:p w14:paraId="7754A600" w14:textId="77777777" w:rsidR="00A11301" w:rsidRPr="007301DC" w:rsidRDefault="00A11301" w:rsidP="00131A06">
            <w:pPr>
              <w:pStyle w:val="TableCen"/>
            </w:pPr>
            <w:r w:rsidRPr="007301DC">
              <w:t>AMC2</w:t>
            </w:r>
          </w:p>
        </w:tc>
        <w:tc>
          <w:tcPr>
            <w:tcW w:w="1772" w:type="dxa"/>
            <w:vAlign w:val="center"/>
          </w:tcPr>
          <w:p w14:paraId="057133C2" w14:textId="77777777" w:rsidR="00A11301" w:rsidRPr="007301DC" w:rsidRDefault="00A11301" w:rsidP="00131A06">
            <w:pPr>
              <w:pStyle w:val="TableCen"/>
            </w:pPr>
            <w:r w:rsidRPr="007301DC">
              <w:t>75</w:t>
            </w:r>
          </w:p>
        </w:tc>
        <w:tc>
          <w:tcPr>
            <w:tcW w:w="1772" w:type="dxa"/>
            <w:vAlign w:val="center"/>
          </w:tcPr>
          <w:p w14:paraId="62DB405D" w14:textId="77777777" w:rsidR="00A11301" w:rsidRPr="007301DC" w:rsidRDefault="00A11301" w:rsidP="00131A06">
            <w:pPr>
              <w:pStyle w:val="TableCen"/>
            </w:pPr>
            <w:r w:rsidRPr="007301DC">
              <w:t>100</w:t>
            </w:r>
          </w:p>
        </w:tc>
      </w:tr>
      <w:tr w:rsidR="00A11301" w:rsidRPr="007301DC" w14:paraId="26E9B220" w14:textId="77777777" w:rsidTr="008627C0">
        <w:trPr>
          <w:trHeight w:val="340"/>
        </w:trPr>
        <w:tc>
          <w:tcPr>
            <w:tcW w:w="2977" w:type="dxa"/>
            <w:vMerge/>
            <w:vAlign w:val="center"/>
          </w:tcPr>
          <w:p w14:paraId="2BAA9ED2" w14:textId="77777777" w:rsidR="00A11301" w:rsidRPr="007301DC" w:rsidRDefault="00A11301" w:rsidP="0067023B">
            <w:pPr>
              <w:pStyle w:val="TableCen"/>
            </w:pPr>
          </w:p>
        </w:tc>
        <w:tc>
          <w:tcPr>
            <w:tcW w:w="2126" w:type="dxa"/>
            <w:vAlign w:val="center"/>
          </w:tcPr>
          <w:p w14:paraId="4B9BBA4D" w14:textId="77777777" w:rsidR="00A11301" w:rsidRPr="007301DC" w:rsidRDefault="00A11301" w:rsidP="00131A06">
            <w:pPr>
              <w:pStyle w:val="TableCen"/>
            </w:pPr>
            <w:r w:rsidRPr="007301DC">
              <w:t>AMC3</w:t>
            </w:r>
          </w:p>
        </w:tc>
        <w:tc>
          <w:tcPr>
            <w:tcW w:w="1772" w:type="dxa"/>
            <w:vAlign w:val="center"/>
          </w:tcPr>
          <w:p w14:paraId="3046F7E9" w14:textId="77777777" w:rsidR="00A11301" w:rsidRPr="007301DC" w:rsidRDefault="00A11301" w:rsidP="00131A06">
            <w:pPr>
              <w:pStyle w:val="TableCen"/>
            </w:pPr>
            <w:r w:rsidRPr="007301DC">
              <w:t>95</w:t>
            </w:r>
          </w:p>
        </w:tc>
        <w:tc>
          <w:tcPr>
            <w:tcW w:w="1772" w:type="dxa"/>
            <w:vAlign w:val="center"/>
          </w:tcPr>
          <w:p w14:paraId="2DA17A9D" w14:textId="77777777" w:rsidR="00A11301" w:rsidRPr="007301DC" w:rsidRDefault="00A11301" w:rsidP="00131A06">
            <w:pPr>
              <w:pStyle w:val="TableCen"/>
            </w:pPr>
            <w:r w:rsidRPr="007301DC">
              <w:t>115</w:t>
            </w:r>
          </w:p>
        </w:tc>
      </w:tr>
      <w:tr w:rsidR="00A11301" w:rsidRPr="007301DC" w14:paraId="119DBB28" w14:textId="77777777" w:rsidTr="008627C0">
        <w:trPr>
          <w:trHeight w:val="340"/>
        </w:trPr>
        <w:tc>
          <w:tcPr>
            <w:tcW w:w="2977" w:type="dxa"/>
            <w:vMerge/>
            <w:vAlign w:val="center"/>
          </w:tcPr>
          <w:p w14:paraId="6E634E56" w14:textId="77777777" w:rsidR="00A11301" w:rsidRPr="007301DC" w:rsidRDefault="00A11301" w:rsidP="0067023B">
            <w:pPr>
              <w:pStyle w:val="TableCen"/>
            </w:pPr>
          </w:p>
        </w:tc>
        <w:tc>
          <w:tcPr>
            <w:tcW w:w="2126" w:type="dxa"/>
            <w:vAlign w:val="center"/>
          </w:tcPr>
          <w:p w14:paraId="72C13BD7" w14:textId="77777777" w:rsidR="00A11301" w:rsidRPr="007301DC" w:rsidRDefault="00A11301" w:rsidP="00131A06">
            <w:pPr>
              <w:pStyle w:val="TableCen"/>
            </w:pPr>
            <w:r w:rsidRPr="007301DC">
              <w:t>AMC4</w:t>
            </w:r>
          </w:p>
        </w:tc>
        <w:tc>
          <w:tcPr>
            <w:tcW w:w="1772" w:type="dxa"/>
            <w:vAlign w:val="center"/>
          </w:tcPr>
          <w:p w14:paraId="7A219805" w14:textId="77777777" w:rsidR="00A11301" w:rsidRPr="007301DC" w:rsidRDefault="00A11301" w:rsidP="00131A06">
            <w:pPr>
              <w:pStyle w:val="TableCen"/>
            </w:pPr>
            <w:r w:rsidRPr="007301DC">
              <w:t>110</w:t>
            </w:r>
          </w:p>
        </w:tc>
        <w:tc>
          <w:tcPr>
            <w:tcW w:w="1772" w:type="dxa"/>
            <w:vAlign w:val="center"/>
          </w:tcPr>
          <w:p w14:paraId="75D1EDD3" w14:textId="77777777" w:rsidR="00A11301" w:rsidRPr="007301DC" w:rsidRDefault="00A11301" w:rsidP="00131A06">
            <w:pPr>
              <w:pStyle w:val="TableCen"/>
            </w:pPr>
            <w:r w:rsidRPr="007301DC">
              <w:t>135</w:t>
            </w:r>
          </w:p>
        </w:tc>
      </w:tr>
      <w:tr w:rsidR="00A11301" w:rsidRPr="007301DC" w14:paraId="65FF40C9" w14:textId="77777777" w:rsidTr="008627C0">
        <w:trPr>
          <w:trHeight w:val="340"/>
        </w:trPr>
        <w:tc>
          <w:tcPr>
            <w:tcW w:w="2977" w:type="dxa"/>
            <w:vMerge/>
            <w:vAlign w:val="center"/>
          </w:tcPr>
          <w:p w14:paraId="6B21989D" w14:textId="77777777" w:rsidR="00A11301" w:rsidRPr="007301DC" w:rsidRDefault="00A11301" w:rsidP="0067023B">
            <w:pPr>
              <w:pStyle w:val="TableCen"/>
            </w:pPr>
          </w:p>
        </w:tc>
        <w:tc>
          <w:tcPr>
            <w:tcW w:w="2126" w:type="dxa"/>
            <w:vAlign w:val="center"/>
          </w:tcPr>
          <w:p w14:paraId="02E8A9E3" w14:textId="77777777" w:rsidR="00A11301" w:rsidRPr="007301DC" w:rsidRDefault="00A11301" w:rsidP="00131A06">
            <w:pPr>
              <w:pStyle w:val="TableCen"/>
            </w:pPr>
            <w:r w:rsidRPr="007301DC">
              <w:t>AMC5</w:t>
            </w:r>
          </w:p>
        </w:tc>
        <w:tc>
          <w:tcPr>
            <w:tcW w:w="1772" w:type="dxa"/>
            <w:vAlign w:val="center"/>
          </w:tcPr>
          <w:p w14:paraId="32CA1DD7" w14:textId="77777777" w:rsidR="00A11301" w:rsidRPr="007301DC" w:rsidRDefault="00A11301" w:rsidP="00131A06">
            <w:pPr>
              <w:pStyle w:val="TableCen"/>
            </w:pPr>
            <w:r w:rsidRPr="007301DC">
              <w:t>120</w:t>
            </w:r>
          </w:p>
        </w:tc>
        <w:tc>
          <w:tcPr>
            <w:tcW w:w="1772" w:type="dxa"/>
            <w:vAlign w:val="center"/>
          </w:tcPr>
          <w:p w14:paraId="0EE799AD" w14:textId="77777777" w:rsidR="00A11301" w:rsidRPr="007301DC" w:rsidRDefault="00A11301" w:rsidP="00131A06">
            <w:pPr>
              <w:pStyle w:val="TableCen"/>
            </w:pPr>
            <w:r w:rsidRPr="007301DC">
              <w:t>150</w:t>
            </w:r>
          </w:p>
        </w:tc>
      </w:tr>
      <w:tr w:rsidR="00A11301" w:rsidRPr="007301DC" w14:paraId="4C514388" w14:textId="77777777" w:rsidTr="008627C0">
        <w:trPr>
          <w:trHeight w:val="340"/>
        </w:trPr>
        <w:tc>
          <w:tcPr>
            <w:tcW w:w="2977" w:type="dxa"/>
            <w:vMerge/>
            <w:vAlign w:val="center"/>
          </w:tcPr>
          <w:p w14:paraId="0C654F0A" w14:textId="77777777" w:rsidR="00A11301" w:rsidRPr="007301DC" w:rsidRDefault="00A11301" w:rsidP="0067023B">
            <w:pPr>
              <w:pStyle w:val="TableCen"/>
            </w:pPr>
          </w:p>
        </w:tc>
        <w:tc>
          <w:tcPr>
            <w:tcW w:w="2126" w:type="dxa"/>
            <w:vAlign w:val="center"/>
          </w:tcPr>
          <w:p w14:paraId="2595FB51" w14:textId="77777777" w:rsidR="00A11301" w:rsidRPr="007301DC" w:rsidRDefault="00A11301" w:rsidP="00131A06">
            <w:pPr>
              <w:pStyle w:val="TableCen"/>
            </w:pPr>
            <w:r w:rsidRPr="007301DC">
              <w:t>AMC6</w:t>
            </w:r>
          </w:p>
        </w:tc>
        <w:tc>
          <w:tcPr>
            <w:tcW w:w="1772" w:type="dxa"/>
            <w:vAlign w:val="center"/>
          </w:tcPr>
          <w:p w14:paraId="05D70D40" w14:textId="77777777" w:rsidR="00A11301" w:rsidRPr="007301DC" w:rsidRDefault="00A11301" w:rsidP="00131A06">
            <w:pPr>
              <w:pStyle w:val="TableCen"/>
            </w:pPr>
            <w:r w:rsidRPr="007301DC">
              <w:t>135</w:t>
            </w:r>
          </w:p>
        </w:tc>
        <w:tc>
          <w:tcPr>
            <w:tcW w:w="1772" w:type="dxa"/>
            <w:vAlign w:val="center"/>
          </w:tcPr>
          <w:p w14:paraId="2623F3EB" w14:textId="77777777" w:rsidR="00A11301" w:rsidRPr="007301DC" w:rsidRDefault="00A11301" w:rsidP="00131A06">
            <w:pPr>
              <w:pStyle w:val="TableCen"/>
            </w:pPr>
            <w:r w:rsidRPr="007301DC">
              <w:t>160</w:t>
            </w:r>
          </w:p>
        </w:tc>
      </w:tr>
      <w:tr w:rsidR="00A11301" w:rsidRPr="007301DC" w14:paraId="5DE624D1" w14:textId="77777777" w:rsidTr="008627C0">
        <w:trPr>
          <w:trHeight w:val="340"/>
        </w:trPr>
        <w:tc>
          <w:tcPr>
            <w:tcW w:w="2977" w:type="dxa"/>
            <w:vMerge/>
            <w:tcBorders>
              <w:bottom w:val="single" w:sz="4" w:space="0" w:color="auto"/>
            </w:tcBorders>
            <w:vAlign w:val="center"/>
          </w:tcPr>
          <w:p w14:paraId="649884FB" w14:textId="77777777" w:rsidR="00A11301" w:rsidRPr="007301DC" w:rsidRDefault="00A11301" w:rsidP="0067023B">
            <w:pPr>
              <w:pStyle w:val="TableCen"/>
            </w:pPr>
          </w:p>
        </w:tc>
        <w:tc>
          <w:tcPr>
            <w:tcW w:w="2126" w:type="dxa"/>
            <w:tcBorders>
              <w:bottom w:val="single" w:sz="4" w:space="0" w:color="auto"/>
            </w:tcBorders>
            <w:vAlign w:val="center"/>
          </w:tcPr>
          <w:p w14:paraId="4A328373" w14:textId="77777777" w:rsidR="00A11301" w:rsidRPr="007301DC" w:rsidRDefault="00A11301" w:rsidP="00131A06">
            <w:pPr>
              <w:pStyle w:val="TableCen"/>
            </w:pPr>
            <w:r w:rsidRPr="007301DC">
              <w:t>AMC7</w:t>
            </w:r>
          </w:p>
        </w:tc>
        <w:tc>
          <w:tcPr>
            <w:tcW w:w="1772" w:type="dxa"/>
            <w:tcBorders>
              <w:bottom w:val="single" w:sz="4" w:space="0" w:color="auto"/>
            </w:tcBorders>
            <w:vAlign w:val="center"/>
          </w:tcPr>
          <w:p w14:paraId="0EE9ACB2" w14:textId="77777777" w:rsidR="00A11301" w:rsidRPr="007301DC" w:rsidRDefault="00A11301" w:rsidP="00131A06">
            <w:pPr>
              <w:pStyle w:val="TableCen"/>
            </w:pPr>
            <w:r w:rsidRPr="007301DC">
              <w:t>150</w:t>
            </w:r>
          </w:p>
        </w:tc>
        <w:tc>
          <w:tcPr>
            <w:tcW w:w="1772" w:type="dxa"/>
            <w:tcBorders>
              <w:bottom w:val="single" w:sz="4" w:space="0" w:color="auto"/>
            </w:tcBorders>
            <w:vAlign w:val="center"/>
          </w:tcPr>
          <w:p w14:paraId="3592DAF1" w14:textId="77777777" w:rsidR="00A11301" w:rsidRPr="007301DC" w:rsidRDefault="00A11301" w:rsidP="00131A06">
            <w:pPr>
              <w:pStyle w:val="TableCen"/>
            </w:pPr>
            <w:r w:rsidRPr="007301DC">
              <w:t>175</w:t>
            </w:r>
          </w:p>
        </w:tc>
      </w:tr>
      <w:tr w:rsidR="00974F6D" w:rsidRPr="007301DC" w14:paraId="176FC54B" w14:textId="77777777" w:rsidTr="008627C0">
        <w:trPr>
          <w:trHeight w:val="340"/>
        </w:trPr>
        <w:tc>
          <w:tcPr>
            <w:tcW w:w="2977" w:type="dxa"/>
            <w:tcBorders>
              <w:bottom w:val="single" w:sz="4" w:space="0" w:color="auto"/>
            </w:tcBorders>
            <w:vAlign w:val="center"/>
          </w:tcPr>
          <w:p w14:paraId="611F5AE3" w14:textId="77777777" w:rsidR="00974F6D" w:rsidRPr="007301DC" w:rsidRDefault="00974F6D" w:rsidP="00974F6D">
            <w:pPr>
              <w:pStyle w:val="TableCen"/>
            </w:pPr>
            <w:r w:rsidRPr="007301DC">
              <w:t>Penetrating emulsion prime</w:t>
            </w:r>
          </w:p>
        </w:tc>
        <w:tc>
          <w:tcPr>
            <w:tcW w:w="2126" w:type="dxa"/>
            <w:tcBorders>
              <w:bottom w:val="single" w:sz="4" w:space="0" w:color="auto"/>
            </w:tcBorders>
            <w:vAlign w:val="center"/>
          </w:tcPr>
          <w:p w14:paraId="0AEEA510" w14:textId="56D4151C" w:rsidR="00974F6D" w:rsidRPr="007301DC" w:rsidRDefault="00974F6D" w:rsidP="00974F6D">
            <w:pPr>
              <w:pStyle w:val="TableCen"/>
            </w:pPr>
            <w:r w:rsidRPr="00ED41A6">
              <w:rPr>
                <w:i/>
                <w:iCs/>
                <w:vertAlign w:val="superscript"/>
              </w:rPr>
              <w:t>(1)</w:t>
            </w:r>
          </w:p>
        </w:tc>
        <w:tc>
          <w:tcPr>
            <w:tcW w:w="1772" w:type="dxa"/>
            <w:tcBorders>
              <w:bottom w:val="single" w:sz="4" w:space="0" w:color="auto"/>
            </w:tcBorders>
            <w:vAlign w:val="center"/>
          </w:tcPr>
          <w:p w14:paraId="003F0E30" w14:textId="77777777" w:rsidR="00974F6D" w:rsidRPr="007301DC" w:rsidRDefault="00974F6D" w:rsidP="00974F6D">
            <w:pPr>
              <w:pStyle w:val="TableCen"/>
            </w:pPr>
            <w:r w:rsidRPr="007301DC">
              <w:t>Ambient</w:t>
            </w:r>
          </w:p>
        </w:tc>
        <w:tc>
          <w:tcPr>
            <w:tcW w:w="1772" w:type="dxa"/>
            <w:tcBorders>
              <w:bottom w:val="single" w:sz="4" w:space="0" w:color="auto"/>
            </w:tcBorders>
            <w:vAlign w:val="center"/>
          </w:tcPr>
          <w:p w14:paraId="0E1003D5" w14:textId="213AA79E" w:rsidR="00974F6D" w:rsidRPr="007301DC" w:rsidRDefault="00974F6D" w:rsidP="00974F6D">
            <w:pPr>
              <w:pStyle w:val="TableCen"/>
            </w:pPr>
            <w:r w:rsidRPr="00ED41A6">
              <w:rPr>
                <w:i/>
                <w:iCs/>
                <w:vertAlign w:val="superscript"/>
              </w:rPr>
              <w:t>(1)</w:t>
            </w:r>
          </w:p>
        </w:tc>
      </w:tr>
      <w:tr w:rsidR="00974F6D" w:rsidRPr="007301DC" w14:paraId="6402E707" w14:textId="77777777" w:rsidTr="008627C0">
        <w:trPr>
          <w:trHeight w:val="340"/>
        </w:trPr>
        <w:tc>
          <w:tcPr>
            <w:tcW w:w="2977" w:type="dxa"/>
            <w:vMerge w:val="restart"/>
            <w:tcBorders>
              <w:top w:val="single" w:sz="4" w:space="0" w:color="auto"/>
            </w:tcBorders>
            <w:vAlign w:val="center"/>
          </w:tcPr>
          <w:p w14:paraId="35F097F5" w14:textId="77777777" w:rsidR="00974F6D" w:rsidRPr="007301DC" w:rsidRDefault="00974F6D" w:rsidP="00974F6D">
            <w:pPr>
              <w:pStyle w:val="TableCen"/>
            </w:pPr>
            <w:r w:rsidRPr="007301DC">
              <w:t>Bitumen</w:t>
            </w:r>
          </w:p>
        </w:tc>
        <w:tc>
          <w:tcPr>
            <w:tcW w:w="2126" w:type="dxa"/>
            <w:tcBorders>
              <w:top w:val="single" w:sz="4" w:space="0" w:color="auto"/>
            </w:tcBorders>
            <w:vAlign w:val="center"/>
          </w:tcPr>
          <w:p w14:paraId="6A026980" w14:textId="623D2712" w:rsidR="00974F6D" w:rsidRPr="007301DC" w:rsidRDefault="00974F6D" w:rsidP="00974F6D">
            <w:pPr>
              <w:pStyle w:val="TableCen"/>
            </w:pPr>
            <w:r w:rsidRPr="007301DC">
              <w:t>Class 170</w:t>
            </w:r>
          </w:p>
        </w:tc>
        <w:tc>
          <w:tcPr>
            <w:tcW w:w="1772" w:type="dxa"/>
            <w:tcBorders>
              <w:top w:val="single" w:sz="4" w:space="0" w:color="auto"/>
            </w:tcBorders>
            <w:vAlign w:val="center"/>
          </w:tcPr>
          <w:p w14:paraId="79963B33" w14:textId="77777777" w:rsidR="00974F6D" w:rsidRPr="007301DC" w:rsidRDefault="00974F6D" w:rsidP="00974F6D">
            <w:pPr>
              <w:pStyle w:val="TableCen"/>
            </w:pPr>
            <w:r w:rsidRPr="007301DC">
              <w:t>160</w:t>
            </w:r>
          </w:p>
        </w:tc>
        <w:tc>
          <w:tcPr>
            <w:tcW w:w="1772" w:type="dxa"/>
            <w:tcBorders>
              <w:top w:val="single" w:sz="4" w:space="0" w:color="auto"/>
            </w:tcBorders>
            <w:vAlign w:val="center"/>
          </w:tcPr>
          <w:p w14:paraId="1369FC5B" w14:textId="77777777" w:rsidR="00974F6D" w:rsidRPr="007301DC" w:rsidRDefault="00974F6D" w:rsidP="00974F6D">
            <w:pPr>
              <w:pStyle w:val="TableCen"/>
            </w:pPr>
            <w:r w:rsidRPr="007301DC">
              <w:t>190</w:t>
            </w:r>
          </w:p>
        </w:tc>
      </w:tr>
      <w:tr w:rsidR="00974F6D" w:rsidRPr="007301DC" w14:paraId="4C79F84C" w14:textId="77777777" w:rsidTr="008627C0">
        <w:trPr>
          <w:trHeight w:val="340"/>
        </w:trPr>
        <w:tc>
          <w:tcPr>
            <w:tcW w:w="2977" w:type="dxa"/>
            <w:vMerge/>
            <w:tcBorders>
              <w:bottom w:val="single" w:sz="4" w:space="0" w:color="auto"/>
            </w:tcBorders>
            <w:vAlign w:val="center"/>
          </w:tcPr>
          <w:p w14:paraId="5E65EBAE" w14:textId="77777777" w:rsidR="00974F6D" w:rsidRPr="007301DC" w:rsidRDefault="00974F6D" w:rsidP="00974F6D">
            <w:pPr>
              <w:pStyle w:val="TableCen"/>
            </w:pPr>
          </w:p>
        </w:tc>
        <w:tc>
          <w:tcPr>
            <w:tcW w:w="2126" w:type="dxa"/>
            <w:tcBorders>
              <w:bottom w:val="single" w:sz="4" w:space="0" w:color="auto"/>
            </w:tcBorders>
            <w:vAlign w:val="center"/>
          </w:tcPr>
          <w:p w14:paraId="070F60E2" w14:textId="5AC2B229" w:rsidR="00974F6D" w:rsidRPr="007301DC" w:rsidRDefault="00974F6D" w:rsidP="00974F6D">
            <w:pPr>
              <w:pStyle w:val="TableCen"/>
            </w:pPr>
            <w:r w:rsidRPr="007301DC">
              <w:t>Class 320</w:t>
            </w:r>
          </w:p>
        </w:tc>
        <w:tc>
          <w:tcPr>
            <w:tcW w:w="1772" w:type="dxa"/>
            <w:tcBorders>
              <w:bottom w:val="single" w:sz="4" w:space="0" w:color="auto"/>
            </w:tcBorders>
            <w:vAlign w:val="center"/>
          </w:tcPr>
          <w:p w14:paraId="74047C70" w14:textId="77777777" w:rsidR="00974F6D" w:rsidRPr="007301DC" w:rsidRDefault="00974F6D" w:rsidP="00974F6D">
            <w:pPr>
              <w:pStyle w:val="TableCen"/>
            </w:pPr>
            <w:r w:rsidRPr="007301DC">
              <w:t>170</w:t>
            </w:r>
          </w:p>
        </w:tc>
        <w:tc>
          <w:tcPr>
            <w:tcW w:w="1772" w:type="dxa"/>
            <w:tcBorders>
              <w:bottom w:val="single" w:sz="4" w:space="0" w:color="auto"/>
            </w:tcBorders>
            <w:vAlign w:val="center"/>
          </w:tcPr>
          <w:p w14:paraId="6B26D9AF" w14:textId="77777777" w:rsidR="00974F6D" w:rsidRPr="007301DC" w:rsidRDefault="00974F6D" w:rsidP="00974F6D">
            <w:pPr>
              <w:pStyle w:val="TableCen"/>
            </w:pPr>
            <w:r w:rsidRPr="007301DC">
              <w:t>195</w:t>
            </w:r>
          </w:p>
        </w:tc>
      </w:tr>
      <w:tr w:rsidR="00974F6D" w:rsidRPr="007301DC" w14:paraId="6ACF0A73" w14:textId="77777777" w:rsidTr="008627C0">
        <w:tc>
          <w:tcPr>
            <w:tcW w:w="2977" w:type="dxa"/>
            <w:tcBorders>
              <w:top w:val="single" w:sz="4" w:space="0" w:color="auto"/>
              <w:bottom w:val="single" w:sz="4" w:space="0" w:color="auto"/>
            </w:tcBorders>
            <w:vAlign w:val="center"/>
          </w:tcPr>
          <w:p w14:paraId="7E3760D6" w14:textId="77777777" w:rsidR="00974F6D" w:rsidRPr="007301DC" w:rsidRDefault="00974F6D" w:rsidP="00974F6D">
            <w:pPr>
              <w:pStyle w:val="TableCen"/>
            </w:pPr>
            <w:r w:rsidRPr="007301DC">
              <w:t>Polymer modified bitumen</w:t>
            </w:r>
          </w:p>
        </w:tc>
        <w:tc>
          <w:tcPr>
            <w:tcW w:w="2126" w:type="dxa"/>
            <w:tcBorders>
              <w:top w:val="single" w:sz="4" w:space="0" w:color="auto"/>
              <w:bottom w:val="single" w:sz="4" w:space="0" w:color="auto"/>
            </w:tcBorders>
            <w:vAlign w:val="center"/>
          </w:tcPr>
          <w:p w14:paraId="2D8ADACB" w14:textId="5F10D31A" w:rsidR="00974F6D" w:rsidRPr="002F3BF5" w:rsidRDefault="00974F6D" w:rsidP="00974F6D">
            <w:pPr>
              <w:pStyle w:val="TableCen"/>
              <w:rPr>
                <w:i/>
                <w:iCs/>
                <w:vertAlign w:val="superscript"/>
              </w:rPr>
            </w:pPr>
            <w:r w:rsidRPr="002F3BF5">
              <w:rPr>
                <w:i/>
                <w:iCs/>
                <w:vertAlign w:val="superscript"/>
              </w:rPr>
              <w:t>(1)</w:t>
            </w:r>
          </w:p>
        </w:tc>
        <w:tc>
          <w:tcPr>
            <w:tcW w:w="1772" w:type="dxa"/>
            <w:tcBorders>
              <w:top w:val="single" w:sz="4" w:space="0" w:color="auto"/>
              <w:bottom w:val="single" w:sz="4" w:space="0" w:color="auto"/>
            </w:tcBorders>
            <w:vAlign w:val="center"/>
          </w:tcPr>
          <w:p w14:paraId="42F86AB3" w14:textId="237F6610" w:rsidR="00974F6D" w:rsidRPr="007301DC" w:rsidRDefault="00974F6D" w:rsidP="00974F6D">
            <w:pPr>
              <w:pStyle w:val="TableCen"/>
            </w:pPr>
            <w:r w:rsidRPr="00ED41A6">
              <w:rPr>
                <w:i/>
                <w:iCs/>
                <w:vertAlign w:val="superscript"/>
              </w:rPr>
              <w:t>(1)</w:t>
            </w:r>
          </w:p>
        </w:tc>
        <w:tc>
          <w:tcPr>
            <w:tcW w:w="1772" w:type="dxa"/>
            <w:tcBorders>
              <w:top w:val="single" w:sz="4" w:space="0" w:color="auto"/>
              <w:bottom w:val="single" w:sz="4" w:space="0" w:color="auto"/>
            </w:tcBorders>
            <w:vAlign w:val="center"/>
          </w:tcPr>
          <w:p w14:paraId="4F221D68" w14:textId="697B3094" w:rsidR="00974F6D" w:rsidRPr="007301DC" w:rsidRDefault="00974F6D" w:rsidP="00974F6D">
            <w:pPr>
              <w:pStyle w:val="TableCen"/>
            </w:pPr>
            <w:r w:rsidRPr="00ED41A6">
              <w:rPr>
                <w:i/>
                <w:iCs/>
                <w:vertAlign w:val="superscript"/>
              </w:rPr>
              <w:t>(1)</w:t>
            </w:r>
          </w:p>
        </w:tc>
      </w:tr>
      <w:tr w:rsidR="00974F6D" w:rsidRPr="007301DC" w14:paraId="67B117EF" w14:textId="77777777" w:rsidTr="008627C0">
        <w:tc>
          <w:tcPr>
            <w:tcW w:w="2977" w:type="dxa"/>
            <w:tcBorders>
              <w:top w:val="single" w:sz="4" w:space="0" w:color="auto"/>
              <w:bottom w:val="single" w:sz="12" w:space="0" w:color="auto"/>
            </w:tcBorders>
            <w:vAlign w:val="center"/>
          </w:tcPr>
          <w:p w14:paraId="23D0DEA8" w14:textId="77777777" w:rsidR="00974F6D" w:rsidRPr="007301DC" w:rsidRDefault="00974F6D" w:rsidP="00974F6D">
            <w:pPr>
              <w:pStyle w:val="TableCen"/>
            </w:pPr>
            <w:r w:rsidRPr="007301DC">
              <w:t>Crumb rubber modified bitumen</w:t>
            </w:r>
          </w:p>
        </w:tc>
        <w:tc>
          <w:tcPr>
            <w:tcW w:w="2126" w:type="dxa"/>
            <w:tcBorders>
              <w:top w:val="single" w:sz="4" w:space="0" w:color="auto"/>
              <w:bottom w:val="single" w:sz="12" w:space="0" w:color="auto"/>
            </w:tcBorders>
            <w:vAlign w:val="center"/>
          </w:tcPr>
          <w:p w14:paraId="1EFA96B2" w14:textId="77777777" w:rsidR="00974F6D" w:rsidRPr="007301DC" w:rsidRDefault="00974F6D" w:rsidP="00974F6D">
            <w:pPr>
              <w:pStyle w:val="TableCen"/>
            </w:pPr>
            <w:r w:rsidRPr="007301DC">
              <w:t>S45R, S15RF, S18RF</w:t>
            </w:r>
          </w:p>
        </w:tc>
        <w:tc>
          <w:tcPr>
            <w:tcW w:w="1772" w:type="dxa"/>
            <w:tcBorders>
              <w:top w:val="single" w:sz="4" w:space="0" w:color="auto"/>
              <w:bottom w:val="single" w:sz="12" w:space="0" w:color="auto"/>
            </w:tcBorders>
            <w:vAlign w:val="center"/>
          </w:tcPr>
          <w:p w14:paraId="0E73DEF8" w14:textId="77777777" w:rsidR="00974F6D" w:rsidRPr="007301DC" w:rsidRDefault="00974F6D" w:rsidP="00974F6D">
            <w:pPr>
              <w:pStyle w:val="TableCen"/>
            </w:pPr>
            <w:r w:rsidRPr="007301DC">
              <w:t>190</w:t>
            </w:r>
          </w:p>
        </w:tc>
        <w:tc>
          <w:tcPr>
            <w:tcW w:w="1772" w:type="dxa"/>
            <w:tcBorders>
              <w:top w:val="single" w:sz="4" w:space="0" w:color="auto"/>
              <w:bottom w:val="single" w:sz="12" w:space="0" w:color="auto"/>
            </w:tcBorders>
            <w:vAlign w:val="center"/>
          </w:tcPr>
          <w:p w14:paraId="0E3D7B55" w14:textId="77777777" w:rsidR="00974F6D" w:rsidRPr="007301DC" w:rsidRDefault="00974F6D" w:rsidP="00974F6D">
            <w:pPr>
              <w:pStyle w:val="TableCen"/>
            </w:pPr>
            <w:r w:rsidRPr="007301DC">
              <w:t>200</w:t>
            </w:r>
          </w:p>
        </w:tc>
      </w:tr>
    </w:tbl>
    <w:p w14:paraId="0FF02489" w14:textId="36038385" w:rsidR="0067023B" w:rsidRPr="007301DC" w:rsidRDefault="00974F6D" w:rsidP="00A11301">
      <w:pPr>
        <w:pStyle w:val="TableNote"/>
      </w:pPr>
      <w:r w:rsidRPr="002F3BF5">
        <w:rPr>
          <w:vertAlign w:val="superscript"/>
        </w:rPr>
        <w:t>(1)</w:t>
      </w:r>
      <w:r w:rsidR="00A11301" w:rsidRPr="007301DC">
        <w:tab/>
      </w:r>
      <w:r w:rsidR="0067023B" w:rsidRPr="007301DC">
        <w:t>Refer to manufacturer’s recommendations</w:t>
      </w:r>
    </w:p>
    <w:p w14:paraId="0AB66727" w14:textId="77777777" w:rsidR="0067023B" w:rsidRPr="007301DC" w:rsidRDefault="0067023B" w:rsidP="00A11301">
      <w:pPr>
        <w:pStyle w:val="BodyTextIndentBoldUnderline"/>
      </w:pPr>
      <w:r w:rsidRPr="007301DC">
        <w:t>Recording</w:t>
      </w:r>
    </w:p>
    <w:p w14:paraId="129FEC4F" w14:textId="77777777" w:rsidR="0067023B" w:rsidRPr="007301DC" w:rsidRDefault="0067023B" w:rsidP="00A11301">
      <w:pPr>
        <w:pStyle w:val="BodyTextIndent"/>
      </w:pPr>
      <w:r w:rsidRPr="002F3BF5">
        <w:rPr>
          <w:u w:val="single"/>
        </w:rPr>
        <w:t>Requirement</w:t>
      </w:r>
      <w:r w:rsidRPr="007301DC">
        <w:t>: After each spray run, record all details of the sealing operations on appropriate bituminous materials spraying record sheets.</w:t>
      </w:r>
    </w:p>
    <w:p w14:paraId="1C393B76" w14:textId="1C86D6C2" w:rsidR="0067023B" w:rsidRPr="007301DC" w:rsidRDefault="0067023B" w:rsidP="00A11301">
      <w:pPr>
        <w:pStyle w:val="BodyTextIndent"/>
      </w:pPr>
      <w:r w:rsidRPr="002F3BF5">
        <w:rPr>
          <w:u w:val="single"/>
        </w:rPr>
        <w:t>Actual spray rate</w:t>
      </w:r>
      <w:r w:rsidRPr="007301DC">
        <w:t>: Calculate actual spray rate for each spray run at 15</w:t>
      </w:r>
      <w:r w:rsidR="00A336B0">
        <w:rPr>
          <w:rFonts w:cs="Arial"/>
        </w:rPr>
        <w:t>°</w:t>
      </w:r>
      <w:r w:rsidRPr="007301DC">
        <w:t xml:space="preserve">C prior to the next spray run.  Use volume conversion formula specified in </w:t>
      </w:r>
      <w:r w:rsidRPr="007301DC">
        <w:rPr>
          <w:i/>
        </w:rPr>
        <w:t>Clause 4.</w:t>
      </w:r>
      <w:r w:rsidR="003E3C26" w:rsidRPr="007301DC">
        <w:rPr>
          <w:i/>
        </w:rPr>
        <w:t>8</w:t>
      </w:r>
      <w:r w:rsidRPr="007301DC">
        <w:t xml:space="preserve"> in relation to changes in temperature of bituminous materials.</w:t>
      </w:r>
    </w:p>
    <w:p w14:paraId="5AAAF083" w14:textId="77777777" w:rsidR="0067023B" w:rsidRPr="007301DC" w:rsidRDefault="00F13432" w:rsidP="00AE0A3B">
      <w:pPr>
        <w:pStyle w:val="Heading3"/>
      </w:pPr>
      <w:bookmarkStart w:id="55" w:name="_Toc457204417"/>
      <w:bookmarkStart w:id="56" w:name="_Toc76106336"/>
      <w:r w:rsidRPr="007301DC">
        <w:t>Priming</w:t>
      </w:r>
      <w:bookmarkEnd w:id="55"/>
      <w:bookmarkEnd w:id="56"/>
    </w:p>
    <w:p w14:paraId="6AD9B8D7" w14:textId="77777777" w:rsidR="0067023B" w:rsidRPr="007301DC" w:rsidRDefault="0067023B" w:rsidP="004C5FF6">
      <w:pPr>
        <w:pStyle w:val="BodyTextIndent"/>
      </w:pPr>
      <w:r w:rsidRPr="002F3BF5">
        <w:rPr>
          <w:u w:val="single"/>
        </w:rPr>
        <w:t>General</w:t>
      </w:r>
      <w:r w:rsidRPr="007301DC">
        <w:t>: Prime the newly constructed granular pavement to achieve and maintain a strong bond between the granular surface and the permanent treatment seal.</w:t>
      </w:r>
    </w:p>
    <w:p w14:paraId="3D94F57C" w14:textId="77777777" w:rsidR="0067023B" w:rsidRPr="007301DC" w:rsidRDefault="0067023B" w:rsidP="004C5FF6">
      <w:pPr>
        <w:pStyle w:val="BodyTextIndent"/>
      </w:pPr>
      <w:r w:rsidRPr="002F3BF5">
        <w:rPr>
          <w:u w:val="single"/>
        </w:rPr>
        <w:t>Material</w:t>
      </w:r>
      <w:r w:rsidRPr="007301DC">
        <w:t xml:space="preserve">: Cutback bitumen grades complying with </w:t>
      </w:r>
      <w:r w:rsidRPr="007301DC">
        <w:rPr>
          <w:i/>
        </w:rPr>
        <w:t>AS 2157</w:t>
      </w:r>
      <w:r w:rsidRPr="007301DC">
        <w:t>.</w:t>
      </w:r>
    </w:p>
    <w:p w14:paraId="169A66BF" w14:textId="77777777" w:rsidR="0067023B" w:rsidRPr="007301DC" w:rsidRDefault="0067023B" w:rsidP="004C5FF6">
      <w:pPr>
        <w:pStyle w:val="BodyTextIndent"/>
      </w:pPr>
      <w:r w:rsidRPr="002F3BF5">
        <w:rPr>
          <w:u w:val="single"/>
        </w:rPr>
        <w:t>Application</w:t>
      </w:r>
      <w:r w:rsidRPr="007301DC">
        <w:t>: Select cutback bitumen grades and application rates to suit the pavement surface, generally in accordance with Table 6.2.</w:t>
      </w:r>
    </w:p>
    <w:p w14:paraId="3C6478EA" w14:textId="0F3BA931" w:rsidR="0067023B" w:rsidRPr="007301DC" w:rsidRDefault="0067023B" w:rsidP="004C5FF6">
      <w:pPr>
        <w:pStyle w:val="BodyTextIndent"/>
      </w:pPr>
      <w:r w:rsidRPr="002F3BF5">
        <w:rPr>
          <w:u w:val="single"/>
        </w:rPr>
        <w:t>Pavement dry back</w:t>
      </w:r>
      <w:r w:rsidRPr="007301DC">
        <w:t>: Do not prime on damp pavement.  Allow the top pavement surface to dry out sufficiently</w:t>
      </w:r>
      <w:r w:rsidR="00D7100C" w:rsidRPr="007301DC">
        <w:t xml:space="preserve"> to at least degree of saturation (DOS) specified in </w:t>
      </w:r>
      <w:r w:rsidR="00C004CE" w:rsidRPr="002F3BF5">
        <w:rPr>
          <w:i/>
          <w:iCs/>
        </w:rPr>
        <w:t>Reference Specification</w:t>
      </w:r>
      <w:r w:rsidR="00C004CE">
        <w:t xml:space="preserve"> </w:t>
      </w:r>
      <w:r w:rsidR="00D7100C" w:rsidRPr="007301DC">
        <w:rPr>
          <w:i/>
        </w:rPr>
        <w:t>S150 Roadworks</w:t>
      </w:r>
      <w:r w:rsidR="00D7100C" w:rsidRPr="007301DC">
        <w:t xml:space="preserve"> for the appropriate Class of gravel and</w:t>
      </w:r>
      <w:r w:rsidRPr="007301DC">
        <w:t xml:space="preserve"> to achieve 6 - 10 mm depth of primer penetration into the pavement pores.</w:t>
      </w:r>
      <w:r w:rsidR="00D7100C" w:rsidRPr="007301DC">
        <w:t xml:space="preserve">  For Class</w:t>
      </w:r>
      <w:r w:rsidR="00C004CE" w:rsidRPr="007301DC">
        <w:t> </w:t>
      </w:r>
      <w:r w:rsidR="00D7100C" w:rsidRPr="007301DC">
        <w:t>1 gravel, this is typically a DOS of 65%.</w:t>
      </w:r>
    </w:p>
    <w:p w14:paraId="757F8671" w14:textId="050E14EA" w:rsidR="0067023B" w:rsidRPr="007301DC" w:rsidRDefault="0067023B" w:rsidP="004C5FF6">
      <w:pPr>
        <w:pStyle w:val="BodyTextIndent"/>
      </w:pPr>
      <w:r w:rsidRPr="002F3BF5">
        <w:rPr>
          <w:u w:val="single"/>
        </w:rPr>
        <w:t>Primed surface</w:t>
      </w:r>
      <w:r w:rsidRPr="007301DC">
        <w:t>: Keep traffic off the primed surface.  Where the primed surface is open to light traffic use (such as pedestrian and light construction traffic), cover surface with clean sand or crusher dust.  Allow at least 4</w:t>
      </w:r>
      <w:r w:rsidR="00AE4A6A" w:rsidRPr="007301DC">
        <w:t> </w:t>
      </w:r>
      <w:r w:rsidRPr="007301DC">
        <w:t>hours between priming and the spreading of prime cover material.</w:t>
      </w:r>
    </w:p>
    <w:p w14:paraId="38558A4C" w14:textId="77777777" w:rsidR="0067023B" w:rsidRPr="007301DC" w:rsidRDefault="0067023B" w:rsidP="004C5FF6">
      <w:pPr>
        <w:pStyle w:val="BodyTextIndent"/>
      </w:pPr>
      <w:r w:rsidRPr="002F3BF5">
        <w:rPr>
          <w:u w:val="single"/>
        </w:rPr>
        <w:t>Unkerbed edges</w:t>
      </w:r>
      <w:r w:rsidRPr="007301DC">
        <w:t>: Extend the primer 150 mm beyond the edge of the seal.</w:t>
      </w:r>
    </w:p>
    <w:p w14:paraId="44A75928" w14:textId="77777777" w:rsidR="0067023B" w:rsidRPr="007301DC" w:rsidRDefault="00F13432" w:rsidP="00AE0A3B">
      <w:pPr>
        <w:pStyle w:val="Heading3"/>
      </w:pPr>
      <w:bookmarkStart w:id="57" w:name="_Toc457204418"/>
      <w:bookmarkStart w:id="58" w:name="_Toc76106337"/>
      <w:r w:rsidRPr="007301DC">
        <w:lastRenderedPageBreak/>
        <w:t>Primer Sealing</w:t>
      </w:r>
      <w:bookmarkEnd w:id="57"/>
      <w:bookmarkEnd w:id="58"/>
    </w:p>
    <w:p w14:paraId="63141B50" w14:textId="77777777" w:rsidR="0067023B" w:rsidRPr="007301DC" w:rsidRDefault="0067023B" w:rsidP="004C5FF6">
      <w:pPr>
        <w:pStyle w:val="BodyTextIndent"/>
      </w:pPr>
      <w:r w:rsidRPr="002F3BF5">
        <w:rPr>
          <w:u w:val="single"/>
        </w:rPr>
        <w:t>General</w:t>
      </w:r>
      <w:r w:rsidRPr="007301DC">
        <w:t>: Provide primer seal to newly constructed granular pavement that is subject to vehicular traffic or to cold planed (profiled) surface where the granular pavement is exposed or to hold the newly constructed pavement in good condition until the permanent seal treatment can be applied.</w:t>
      </w:r>
    </w:p>
    <w:p w14:paraId="1568A65B" w14:textId="084511C7" w:rsidR="0067023B" w:rsidRPr="007301DC" w:rsidRDefault="0067023B" w:rsidP="004C5FF6">
      <w:pPr>
        <w:pStyle w:val="BodyTextIndent"/>
      </w:pPr>
      <w:r w:rsidRPr="002F3BF5">
        <w:rPr>
          <w:u w:val="single"/>
        </w:rPr>
        <w:t>Moisture content</w:t>
      </w:r>
      <w:r w:rsidRPr="007301DC">
        <w:t>: Do not primer seal pavement that have a high moisture content</w:t>
      </w:r>
      <w:r w:rsidR="000D76C0" w:rsidRPr="007301DC">
        <w:t>.</w:t>
      </w:r>
      <w:r w:rsidRPr="007301DC">
        <w:t xml:space="preserve">  Allow the pavement to dry back to at least </w:t>
      </w:r>
      <w:r w:rsidR="00260178" w:rsidRPr="007301DC">
        <w:t xml:space="preserve">the </w:t>
      </w:r>
      <w:r w:rsidR="005F3168" w:rsidRPr="007301DC">
        <w:t xml:space="preserve">degree of saturation (DOS) specified in </w:t>
      </w:r>
      <w:r w:rsidR="001D646B" w:rsidRPr="002F3BF5">
        <w:rPr>
          <w:i/>
          <w:iCs/>
        </w:rPr>
        <w:t>Reference Specification</w:t>
      </w:r>
      <w:r w:rsidR="001D646B">
        <w:t xml:space="preserve"> </w:t>
      </w:r>
      <w:r w:rsidR="005F3168" w:rsidRPr="007301DC">
        <w:rPr>
          <w:i/>
        </w:rPr>
        <w:t>S150 Roadworks</w:t>
      </w:r>
      <w:r w:rsidR="005F3168" w:rsidRPr="007301DC">
        <w:t xml:space="preserve"> for the appropriate </w:t>
      </w:r>
      <w:r w:rsidR="00260178" w:rsidRPr="007301DC">
        <w:t xml:space="preserve">gravel </w:t>
      </w:r>
      <w:r w:rsidR="005F3168" w:rsidRPr="007301DC">
        <w:t xml:space="preserve">Class </w:t>
      </w:r>
      <w:r w:rsidRPr="007301DC">
        <w:t>before applying the primer seal.</w:t>
      </w:r>
      <w:r w:rsidR="005F3168" w:rsidRPr="007301DC">
        <w:t xml:space="preserve">  For Class</w:t>
      </w:r>
      <w:r w:rsidR="00AE4A6A" w:rsidRPr="007301DC">
        <w:t> </w:t>
      </w:r>
      <w:r w:rsidR="005F3168" w:rsidRPr="007301DC">
        <w:t>1 gravel, this is typically a DOS of 65%.</w:t>
      </w:r>
    </w:p>
    <w:p w14:paraId="6AC29FD0" w14:textId="77777777" w:rsidR="0067023B" w:rsidRPr="007301DC" w:rsidRDefault="00F13432" w:rsidP="00AE0A3B">
      <w:pPr>
        <w:pStyle w:val="Heading3"/>
      </w:pPr>
      <w:bookmarkStart w:id="59" w:name="_Toc457204419"/>
      <w:bookmarkStart w:id="60" w:name="_Toc76106338"/>
      <w:r w:rsidRPr="007301DC">
        <w:t>Spreading Prime Cover Material</w:t>
      </w:r>
      <w:bookmarkEnd w:id="59"/>
      <w:bookmarkEnd w:id="60"/>
    </w:p>
    <w:p w14:paraId="4779D597" w14:textId="77777777" w:rsidR="0067023B" w:rsidRPr="007301DC" w:rsidRDefault="0067023B" w:rsidP="004C5FF6">
      <w:pPr>
        <w:pStyle w:val="BodyTextIndent"/>
      </w:pPr>
      <w:r w:rsidRPr="002F3BF5">
        <w:rPr>
          <w:u w:val="single"/>
        </w:rPr>
        <w:t>Spreading</w:t>
      </w:r>
      <w:r w:rsidRPr="007301DC">
        <w:t>: Spread prime cover material evenly to completely cover the surface.</w:t>
      </w:r>
    </w:p>
    <w:p w14:paraId="2803D255" w14:textId="77777777" w:rsidR="0067023B" w:rsidRPr="007301DC" w:rsidRDefault="0067023B" w:rsidP="004C5FF6">
      <w:pPr>
        <w:pStyle w:val="BodyTextIndent"/>
      </w:pPr>
      <w:r w:rsidRPr="002F3BF5">
        <w:rPr>
          <w:u w:val="single"/>
        </w:rPr>
        <w:t>Wet cover material</w:t>
      </w:r>
      <w:r w:rsidRPr="007301DC">
        <w:t>: Do not use wet cover material containing free surface water.</w:t>
      </w:r>
    </w:p>
    <w:p w14:paraId="35A8BD81" w14:textId="77777777" w:rsidR="0067023B" w:rsidRPr="007301DC" w:rsidRDefault="0067023B" w:rsidP="004C5FF6">
      <w:pPr>
        <w:pStyle w:val="BodyTextIndent"/>
      </w:pPr>
      <w:r w:rsidRPr="002F3BF5">
        <w:rPr>
          <w:u w:val="single"/>
        </w:rPr>
        <w:t>Time limit</w:t>
      </w:r>
      <w:r w:rsidRPr="007301DC">
        <w:t>: Allow at least 4 hours between priming and the application of cover material to permit penetration of the prime, unless traffic requirements dictate otherwise.</w:t>
      </w:r>
    </w:p>
    <w:p w14:paraId="257AC14D" w14:textId="77777777" w:rsidR="0067023B" w:rsidRPr="007301DC" w:rsidRDefault="0067023B" w:rsidP="004C5FF6">
      <w:pPr>
        <w:pStyle w:val="BodyTextIndent"/>
      </w:pPr>
      <w:r w:rsidRPr="002F3BF5">
        <w:rPr>
          <w:u w:val="single"/>
        </w:rPr>
        <w:t>Excess cover material</w:t>
      </w:r>
      <w:r w:rsidRPr="007301DC">
        <w:t>: Remove all excess cover material from the pavement.</w:t>
      </w:r>
    </w:p>
    <w:p w14:paraId="71566CBA" w14:textId="77777777" w:rsidR="0067023B" w:rsidRPr="007301DC" w:rsidRDefault="00F13432" w:rsidP="00AE0A3B">
      <w:pPr>
        <w:pStyle w:val="Heading3"/>
      </w:pPr>
      <w:bookmarkStart w:id="61" w:name="_Toc457204420"/>
      <w:bookmarkStart w:id="62" w:name="_Toc76106339"/>
      <w:r w:rsidRPr="007301DC">
        <w:t>Spreading Cover Aggregate</w:t>
      </w:r>
      <w:bookmarkEnd w:id="61"/>
      <w:bookmarkEnd w:id="62"/>
    </w:p>
    <w:p w14:paraId="1B961FE5" w14:textId="77777777" w:rsidR="0067023B" w:rsidRPr="007301DC" w:rsidRDefault="0067023B" w:rsidP="004C5FF6">
      <w:pPr>
        <w:pStyle w:val="BodyTextIndentBoldUnderline"/>
      </w:pPr>
      <w:r w:rsidRPr="007301DC">
        <w:t>Spreading</w:t>
      </w:r>
    </w:p>
    <w:p w14:paraId="695265A3" w14:textId="77777777" w:rsidR="0067023B" w:rsidRPr="007301DC" w:rsidRDefault="0067023B" w:rsidP="004C5FF6">
      <w:pPr>
        <w:pStyle w:val="BodyTextIndent"/>
      </w:pPr>
      <w:r w:rsidRPr="002F3BF5">
        <w:rPr>
          <w:u w:val="single"/>
        </w:rPr>
        <w:t>Timing</w:t>
      </w:r>
      <w:r w:rsidRPr="007301DC">
        <w:t>: Immediately after the binder or primer binder has been sprayed, cover with a uniform layer of precoated aggregate.  Do not leave any portion of binder without cover aggregate for longer than 10 minutes after spraying.</w:t>
      </w:r>
    </w:p>
    <w:p w14:paraId="19120911" w14:textId="77777777" w:rsidR="0067023B" w:rsidRPr="007301DC" w:rsidRDefault="0067023B" w:rsidP="004C5FF6">
      <w:pPr>
        <w:pStyle w:val="BodyTextIndent"/>
      </w:pPr>
      <w:r w:rsidRPr="002F3BF5">
        <w:rPr>
          <w:u w:val="single"/>
        </w:rPr>
        <w:t>Method</w:t>
      </w:r>
      <w:r w:rsidRPr="007301DC">
        <w:t>: Carry out spreading using an aggregate spreader.  Spread cover aggregate to form a single layer on the pavement surface of partly interlocked aggregates after compaction.  Make every attempt to achieve the required spread pattern on the first spreading pass.</w:t>
      </w:r>
    </w:p>
    <w:p w14:paraId="63F28566" w14:textId="77777777" w:rsidR="0067023B" w:rsidRPr="007301DC" w:rsidRDefault="0067023B" w:rsidP="004C5FF6">
      <w:pPr>
        <w:pStyle w:val="BodyTextIndent"/>
      </w:pPr>
      <w:r w:rsidRPr="002F3BF5">
        <w:rPr>
          <w:u w:val="single"/>
        </w:rPr>
        <w:t>Under spreading</w:t>
      </w:r>
      <w:r w:rsidRPr="007301DC">
        <w:t>: Retreat bare or insufficiently covered areas as soon as possible with a further light spreading run or by hand spreading.</w:t>
      </w:r>
    </w:p>
    <w:p w14:paraId="69F48B0B" w14:textId="77777777" w:rsidR="0067023B" w:rsidRPr="007301DC" w:rsidRDefault="0067023B" w:rsidP="004C5FF6">
      <w:pPr>
        <w:pStyle w:val="BodyTextIndent"/>
      </w:pPr>
      <w:r w:rsidRPr="002F3BF5">
        <w:rPr>
          <w:u w:val="single"/>
        </w:rPr>
        <w:t>Uneven distribution</w:t>
      </w:r>
      <w:r w:rsidRPr="007301DC">
        <w:t>: Drag broom the affected area until it is evenly distributed without dislodgment of any embedded cover aggregate.</w:t>
      </w:r>
    </w:p>
    <w:p w14:paraId="658721E6" w14:textId="77777777" w:rsidR="0067023B" w:rsidRPr="007301DC" w:rsidRDefault="0067023B" w:rsidP="004C5FF6">
      <w:pPr>
        <w:pStyle w:val="BodyTextIndent"/>
      </w:pPr>
      <w:r w:rsidRPr="002F3BF5">
        <w:rPr>
          <w:u w:val="single"/>
        </w:rPr>
        <w:t>Sealing</w:t>
      </w:r>
      <w:r w:rsidRPr="007301DC">
        <w:t>: Incorporate the first course of aggregate thoroughly into the binder before a second course is applied.  Remove loose particles from the sealed area by sweeping lightly, without disturbing embedded aggregate.</w:t>
      </w:r>
    </w:p>
    <w:p w14:paraId="0C2C6CE5" w14:textId="77777777" w:rsidR="0067023B" w:rsidRPr="007301DC" w:rsidRDefault="0067023B" w:rsidP="004C5FF6">
      <w:pPr>
        <w:pStyle w:val="BodyTextIndentBoldUnderline"/>
      </w:pPr>
      <w:r w:rsidRPr="007301DC">
        <w:t>Pneumatic tyred rolling</w:t>
      </w:r>
    </w:p>
    <w:p w14:paraId="1F5A35BB" w14:textId="77777777" w:rsidR="0067023B" w:rsidRPr="007301DC" w:rsidRDefault="0067023B" w:rsidP="004C5FF6">
      <w:pPr>
        <w:pStyle w:val="BodyTextIndent"/>
      </w:pPr>
      <w:r w:rsidRPr="002F3BF5">
        <w:rPr>
          <w:u w:val="single"/>
        </w:rPr>
        <w:t>Timing</w:t>
      </w:r>
      <w:r w:rsidRPr="007301DC">
        <w:t>: Immediately after spreading, roll and drag broom the area until it is uniformly covered with aggregate thoroughly embedded in the binder.  Roll uniformly over the whole area with multi-tyred rollers.  Complete rolling as soon as possible but not later than 3 days after spraying.  Roll during daylight hours.</w:t>
      </w:r>
    </w:p>
    <w:p w14:paraId="62CC04AC" w14:textId="75EB0CAC" w:rsidR="0067023B" w:rsidRPr="007301DC" w:rsidRDefault="0067023B" w:rsidP="004C5FF6">
      <w:pPr>
        <w:pStyle w:val="BodyTextIndent"/>
      </w:pPr>
      <w:r w:rsidRPr="002F3BF5">
        <w:rPr>
          <w:u w:val="single"/>
        </w:rPr>
        <w:t>Rolling rate</w:t>
      </w:r>
      <w:r w:rsidRPr="007301DC">
        <w:t xml:space="preserve">: Not less than </w:t>
      </w:r>
      <w:r w:rsidRPr="00921D5D">
        <w:t>6</w:t>
      </w:r>
      <w:r w:rsidR="00921D5D" w:rsidRPr="00921D5D">
        <w:t> </w:t>
      </w:r>
      <w:r w:rsidRPr="0016734E">
        <w:t>passes within 1</w:t>
      </w:r>
      <w:r w:rsidR="00921D5D" w:rsidRPr="007301DC">
        <w:t> </w:t>
      </w:r>
      <w:r w:rsidRPr="007301DC">
        <w:t xml:space="preserve">hour of spraying at every point on the surface.  </w:t>
      </w:r>
      <w:r w:rsidRPr="007301DC">
        <w:rPr>
          <w:i/>
        </w:rPr>
        <w:t>Refer annexure</w:t>
      </w:r>
      <w:r w:rsidRPr="007301DC">
        <w:t>.</w:t>
      </w:r>
    </w:p>
    <w:p w14:paraId="47DC2E19" w14:textId="55521F2A" w:rsidR="0067023B" w:rsidRPr="007301DC" w:rsidRDefault="0067023B" w:rsidP="004C5FF6">
      <w:pPr>
        <w:pStyle w:val="BodyTextIndent"/>
      </w:pPr>
      <w:r w:rsidRPr="007301DC">
        <w:t>Moist cover aggregate: For Class</w:t>
      </w:r>
      <w:r w:rsidR="00921D5D" w:rsidRPr="007301DC">
        <w:t> </w:t>
      </w:r>
      <w:r w:rsidRPr="007301DC">
        <w:t xml:space="preserve">170 bitumen, delay rolling until the cover aggregate has dried sufficiently to promote adhesion but not such that the binder has become cold.  For polymer </w:t>
      </w:r>
      <w:r w:rsidR="000D76C0" w:rsidRPr="007301DC">
        <w:t xml:space="preserve">or crumb rubber </w:t>
      </w:r>
      <w:r w:rsidRPr="007301DC">
        <w:t>modified binder, start rolling immediately and continue until adhesion is complete.</w:t>
      </w:r>
    </w:p>
    <w:p w14:paraId="64E15956" w14:textId="77777777" w:rsidR="0067023B" w:rsidRPr="007301DC" w:rsidRDefault="0067023B" w:rsidP="004C5FF6">
      <w:pPr>
        <w:pStyle w:val="BodyTextIndentBoldUnderline"/>
      </w:pPr>
      <w:r w:rsidRPr="007301DC">
        <w:t>Loose aggregate</w:t>
      </w:r>
    </w:p>
    <w:p w14:paraId="342D136E" w14:textId="77777777" w:rsidR="0067023B" w:rsidRPr="007301DC" w:rsidRDefault="0067023B" w:rsidP="004C5FF6">
      <w:pPr>
        <w:pStyle w:val="BodyTextIndent"/>
      </w:pPr>
      <w:r w:rsidRPr="007301DC">
        <w:t>When the aggregate has been evenly spread and embedded, remove loose particles remaining on the pavement and apply additional aggregate as required.</w:t>
      </w:r>
    </w:p>
    <w:p w14:paraId="404F3EF9" w14:textId="36C5ABB9" w:rsidR="0067023B" w:rsidRPr="007301DC" w:rsidRDefault="0067023B" w:rsidP="004C5FF6">
      <w:pPr>
        <w:pStyle w:val="BodyTextIndentBoldUnderline"/>
      </w:pPr>
      <w:r w:rsidRPr="007301DC">
        <w:t>Surface finish</w:t>
      </w:r>
    </w:p>
    <w:p w14:paraId="3B2FB265" w14:textId="77777777" w:rsidR="0067023B" w:rsidRPr="007301DC" w:rsidRDefault="0067023B" w:rsidP="004C5FF6">
      <w:pPr>
        <w:pStyle w:val="BodyTextIndent"/>
      </w:pPr>
      <w:r w:rsidRPr="007301DC">
        <w:t>Provide an even, smooth riding and free draining surface.</w:t>
      </w:r>
    </w:p>
    <w:p w14:paraId="2FDBA1A9" w14:textId="77777777" w:rsidR="0067023B" w:rsidRPr="007301DC" w:rsidRDefault="00F13432" w:rsidP="0071409E">
      <w:pPr>
        <w:pStyle w:val="Heading3"/>
      </w:pPr>
      <w:bookmarkStart w:id="63" w:name="_Toc457204421"/>
      <w:bookmarkStart w:id="64" w:name="_Toc76106340"/>
      <w:r w:rsidRPr="007301DC">
        <w:lastRenderedPageBreak/>
        <w:t>Defective Surfacing</w:t>
      </w:r>
      <w:bookmarkEnd w:id="63"/>
      <w:bookmarkEnd w:id="64"/>
    </w:p>
    <w:p w14:paraId="17D5A97D" w14:textId="77777777" w:rsidR="0067023B" w:rsidRPr="007301DC" w:rsidRDefault="0067023B" w:rsidP="004C5FF6">
      <w:pPr>
        <w:pStyle w:val="BodyTextIndentBoldUnderline"/>
      </w:pPr>
      <w:r w:rsidRPr="007301DC">
        <w:t>Primer</w:t>
      </w:r>
    </w:p>
    <w:p w14:paraId="7AD3D2C2" w14:textId="7FB12140" w:rsidR="0067023B" w:rsidRPr="007301DC" w:rsidRDefault="0067023B" w:rsidP="004C5FF6">
      <w:pPr>
        <w:pStyle w:val="BodyTextIndent"/>
      </w:pPr>
      <w:r w:rsidRPr="007301DC">
        <w:t>Actual rate of application &lt;90% of designed spray rate: Make up the deficiency with a second spray run.</w:t>
      </w:r>
    </w:p>
    <w:p w14:paraId="2B495F14" w14:textId="495580AC" w:rsidR="0067023B" w:rsidRPr="007301DC" w:rsidRDefault="0067023B" w:rsidP="004C5FF6">
      <w:pPr>
        <w:pStyle w:val="BodyTextIndent"/>
      </w:pPr>
      <w:r w:rsidRPr="007301DC">
        <w:t>Actual rate of application &gt;110% of designed spray rate: Cover the surface with sand.</w:t>
      </w:r>
    </w:p>
    <w:p w14:paraId="38D14CD2" w14:textId="77777777" w:rsidR="0067023B" w:rsidRPr="007301DC" w:rsidRDefault="0067023B" w:rsidP="004C5FF6">
      <w:pPr>
        <w:pStyle w:val="BodyTextIndentBoldUnderline"/>
      </w:pPr>
      <w:r w:rsidRPr="007301DC">
        <w:t>Binder and primer binder</w:t>
      </w:r>
    </w:p>
    <w:p w14:paraId="507CE3DD" w14:textId="66916CAF" w:rsidR="0067023B" w:rsidRPr="007301DC" w:rsidRDefault="0067023B" w:rsidP="004C5FF6">
      <w:pPr>
        <w:pStyle w:val="BodyTextIndent"/>
      </w:pPr>
      <w:r w:rsidRPr="007301DC">
        <w:t>Actual rate of application &lt;90% or &gt;110% of designed spray rate: Remove defective seal and reseal the surface.</w:t>
      </w:r>
    </w:p>
    <w:p w14:paraId="623E6B60" w14:textId="77777777" w:rsidR="0067023B" w:rsidRPr="007301DC" w:rsidRDefault="0067023B" w:rsidP="004C5FF6">
      <w:pPr>
        <w:pStyle w:val="BodyTextIndentBoldUnderline"/>
      </w:pPr>
      <w:r w:rsidRPr="007301DC">
        <w:t>Conformance criteria</w:t>
      </w:r>
    </w:p>
    <w:p w14:paraId="0FAA36C4" w14:textId="17C5D3B3" w:rsidR="0067023B" w:rsidRPr="007301DC" w:rsidRDefault="0067023B" w:rsidP="004C5FF6">
      <w:pPr>
        <w:pStyle w:val="BodyTextIndent"/>
      </w:pPr>
      <w:r w:rsidRPr="007301DC">
        <w:t xml:space="preserve">Acceptance and rejection criteria: Comply with the requirements of </w:t>
      </w:r>
      <w:r w:rsidR="0016734E" w:rsidRPr="0016734E">
        <w:rPr>
          <w:i/>
          <w:iCs/>
        </w:rPr>
        <w:t>Reference Specification</w:t>
      </w:r>
      <w:r w:rsidR="0016734E">
        <w:t xml:space="preserve"> </w:t>
      </w:r>
      <w:r w:rsidRPr="007301DC">
        <w:rPr>
          <w:i/>
        </w:rPr>
        <w:t>S120 Quality</w:t>
      </w:r>
      <w:r w:rsidR="00FC774A">
        <w:rPr>
          <w:i/>
        </w:rPr>
        <w:t>,</w:t>
      </w:r>
      <w:r w:rsidRPr="007301DC">
        <w:rPr>
          <w:i/>
        </w:rPr>
        <w:t xml:space="preserve"> Clause 8.2</w:t>
      </w:r>
      <w:r w:rsidRPr="007301DC">
        <w:t>.</w:t>
      </w:r>
    </w:p>
    <w:p w14:paraId="1003BE78" w14:textId="79301F22" w:rsidR="0067023B" w:rsidRPr="007301DC" w:rsidRDefault="008627C0" w:rsidP="0071409E">
      <w:pPr>
        <w:pStyle w:val="Heading2"/>
      </w:pPr>
      <w:bookmarkStart w:id="65" w:name="_Toc457204422"/>
      <w:bookmarkStart w:id="66" w:name="_Toc76106341"/>
      <w:r w:rsidRPr="007301DC">
        <w:rPr>
          <w:caps w:val="0"/>
        </w:rPr>
        <w:t>COMPLETION</w:t>
      </w:r>
      <w:bookmarkEnd w:id="65"/>
      <w:bookmarkEnd w:id="66"/>
    </w:p>
    <w:p w14:paraId="7AAEBD15" w14:textId="77777777" w:rsidR="0067023B" w:rsidRPr="007301DC" w:rsidRDefault="0067023B" w:rsidP="004C5FF6">
      <w:pPr>
        <w:pStyle w:val="BodyTextIndentBoldUnderline"/>
      </w:pPr>
      <w:r w:rsidRPr="007301DC">
        <w:t>Traffic on pavement</w:t>
      </w:r>
    </w:p>
    <w:p w14:paraId="1C98D760" w14:textId="77777777" w:rsidR="0067023B" w:rsidRDefault="0067023B" w:rsidP="004C5FF6">
      <w:pPr>
        <w:pStyle w:val="BodyTextIndent"/>
      </w:pPr>
      <w:r w:rsidRPr="007301DC">
        <w:t>Give notice before opening the pavement to traffic before the work is completed.  Provide adequate means of protection.</w:t>
      </w:r>
    </w:p>
    <w:sectPr w:rsidR="0067023B" w:rsidSect="00550E61">
      <w:footerReference w:type="default" r:id="rId17"/>
      <w:pgSz w:w="11906" w:h="16838" w:code="9"/>
      <w:pgMar w:top="1134" w:right="1134" w:bottom="992" w:left="1418"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50303" w14:textId="77777777" w:rsidR="00E23142" w:rsidRDefault="00E23142">
      <w:r>
        <w:separator/>
      </w:r>
    </w:p>
  </w:endnote>
  <w:endnote w:type="continuationSeparator" w:id="0">
    <w:p w14:paraId="4482C6FE" w14:textId="77777777" w:rsidR="00E23142" w:rsidRDefault="00E2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MarkingPenHeavy">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55E0" w14:textId="13BA822A" w:rsidR="007A108F" w:rsidRPr="008177E2" w:rsidRDefault="008177E2" w:rsidP="008177E2">
    <w:pPr>
      <w:pStyle w:val="Footer"/>
    </w:pPr>
    <w:r w:rsidRPr="008177E2">
      <w:t xml:space="preserve">Revision 5.0 – </w:t>
    </w:r>
    <w:r w:rsidR="008274EA">
      <w:t>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9DF4" w14:textId="77777777" w:rsidR="00F72C46" w:rsidRPr="008177E2" w:rsidRDefault="00F72C46" w:rsidP="008177E2">
    <w:pPr>
      <w:pStyle w:val="Footer"/>
    </w:pPr>
    <w:r w:rsidRPr="008177E2">
      <w:rPr>
        <w:noProof/>
      </w:rPr>
      <mc:AlternateContent>
        <mc:Choice Requires="wps">
          <w:drawing>
            <wp:anchor distT="0" distB="0" distL="114300" distR="114300" simplePos="0" relativeHeight="251672576" behindDoc="0" locked="0" layoutInCell="1" allowOverlap="1" wp14:anchorId="70B47E44" wp14:editId="575CF4BB">
              <wp:simplePos x="0" y="0"/>
              <wp:positionH relativeFrom="page">
                <wp:posOffset>5083810</wp:posOffset>
              </wp:positionH>
              <wp:positionV relativeFrom="page">
                <wp:posOffset>7605395</wp:posOffset>
              </wp:positionV>
              <wp:extent cx="4277360" cy="385445"/>
              <wp:effectExtent l="1869757" t="0" r="1859598"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427736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ACBB8C" w14:textId="77777777" w:rsidR="00F72C46" w:rsidRPr="008274EA" w:rsidRDefault="00F72C46" w:rsidP="008177E2">
                          <w:pPr>
                            <w:pStyle w:val="NormalWeb"/>
                            <w:rPr>
                              <w:rFonts w:ascii="Arial Bold" w:hAnsi="Arial Bold"/>
                              <w:sz w:val="28"/>
                              <w:szCs w:val="28"/>
                            </w:rPr>
                          </w:pPr>
                          <w:r w:rsidRPr="008274EA">
                            <w:rPr>
                              <w:rFonts w:ascii="Arial Bold" w:hAnsi="Arial Bold" w:cs="Arial"/>
                              <w:b/>
                              <w:bCs/>
                              <w:i/>
                              <w:iCs/>
                              <w:sz w:val="28"/>
                              <w:szCs w:val="28"/>
                            </w:rPr>
                            <w:t>S330 SPRAYED BITUMINOUS SURFACING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47E44" id="_x0000_t202" coordsize="21600,21600" o:spt="202" path="m,l,21600r21600,l21600,xe">
              <v:stroke joinstyle="miter"/>
              <v:path gradientshapeok="t" o:connecttype="rect"/>
            </v:shapetype>
            <v:shape id="Text Box 2" o:spid="_x0000_s1027" type="#_x0000_t202" style="position:absolute;left:0;text-align:left;margin-left:400.3pt;margin-top:598.85pt;width:336.8pt;height:30.35pt;rotation:-5921140fd;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" filled="f" stroked="f">
              <v:stroke joinstyle="round"/>
              <o:lock v:ext="edit" shapetype="t"/>
              <v:textbox style="layout-flow:vertical;mso-layout-flow-alt:bottom-to-top">
                <w:txbxContent>
                  <w:p w14:paraId="65ACBB8C" w14:textId="77777777" w:rsidR="00F72C46" w:rsidRPr="008274EA" w:rsidRDefault="00F72C46" w:rsidP="008177E2">
                    <w:pPr>
                      <w:pStyle w:val="NormalWeb"/>
                      <w:rPr>
                        <w:rFonts w:ascii="Arial Bold" w:hAnsi="Arial Bold"/>
                        <w:sz w:val="28"/>
                        <w:szCs w:val="28"/>
                      </w:rPr>
                    </w:pPr>
                    <w:r w:rsidRPr="008274EA">
                      <w:rPr>
                        <w:rFonts w:ascii="Arial Bold" w:hAnsi="Arial Bold" w:cs="Arial"/>
                        <w:b/>
                        <w:bCs/>
                        <w:i/>
                        <w:iCs/>
                        <w:sz w:val="28"/>
                        <w:szCs w:val="28"/>
                      </w:rPr>
                      <w:t>S330 SPRAYED BITUMINOUS SURFACING</w:t>
                    </w:r>
                  </w:p>
                </w:txbxContent>
              </v:textbox>
              <w10:wrap anchorx="page" anchory="page"/>
            </v:shape>
          </w:pict>
        </mc:Fallback>
      </mc:AlternateContent>
    </w:r>
    <w:r w:rsidRPr="008177E2">
      <w:t xml:space="preserve">Revision 5.0 – </w:t>
    </w:r>
    <w:r>
      <w:t>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1FA09" w14:textId="6D1F5531" w:rsidR="008177E2" w:rsidRPr="008177E2" w:rsidRDefault="008177E2" w:rsidP="008177E2">
    <w:pPr>
      <w:pStyle w:val="Footer"/>
    </w:pPr>
    <w:r w:rsidRPr="008177E2">
      <w:rPr>
        <w:noProof/>
      </w:rPr>
      <mc:AlternateContent>
        <mc:Choice Requires="wps">
          <w:drawing>
            <wp:anchor distT="0" distB="0" distL="114300" distR="114300" simplePos="0" relativeHeight="251664384" behindDoc="0" locked="0" layoutInCell="1" allowOverlap="1" wp14:anchorId="7A2845C2" wp14:editId="76091B95">
              <wp:simplePos x="0" y="0"/>
              <wp:positionH relativeFrom="page">
                <wp:posOffset>5083810</wp:posOffset>
              </wp:positionH>
              <wp:positionV relativeFrom="page">
                <wp:posOffset>7605395</wp:posOffset>
              </wp:positionV>
              <wp:extent cx="4277360" cy="385445"/>
              <wp:effectExtent l="1869757" t="0" r="1859598"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427736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58A001" w14:textId="77777777" w:rsidR="008177E2" w:rsidRPr="0095675E" w:rsidRDefault="008177E2" w:rsidP="008177E2">
                          <w:pPr>
                            <w:pStyle w:val="NormalWeb"/>
                            <w:rPr>
                              <w:rFonts w:ascii="Arial Bold" w:hAnsi="Arial Bold"/>
                              <w:sz w:val="28"/>
                              <w:szCs w:val="28"/>
                            </w:rPr>
                          </w:pPr>
                          <w:r w:rsidRPr="008177E2">
                            <w:rPr>
                              <w:rFonts w:ascii="Arial Bold" w:hAnsi="Arial Bold" w:cs="Arial"/>
                              <w:b/>
                              <w:bCs/>
                              <w:i/>
                              <w:iCs/>
                              <w:sz w:val="28"/>
                              <w:szCs w:val="28"/>
                            </w:rPr>
                            <w:t>S330 SPRAYED BITUMINOUS SURFACING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845C2" id="_x0000_t202" coordsize="21600,21600" o:spt="202" path="m,l,21600r21600,l21600,xe">
              <v:stroke joinstyle="miter"/>
              <v:path gradientshapeok="t" o:connecttype="rect"/>
            </v:shapetype>
            <v:shape id="Text Box 7" o:spid="_x0000_s1028" type="#_x0000_t202" style="position:absolute;left:0;text-align:left;margin-left:400.3pt;margin-top:598.85pt;width:336.8pt;height:30.35pt;rotation:-5921140fd;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" filled="f" stroked="f">
              <v:stroke joinstyle="round"/>
              <o:lock v:ext="edit" shapetype="t"/>
              <v:textbox style="layout-flow:vertical;mso-layout-flow-alt:bottom-to-top">
                <w:txbxContent>
                  <w:p w14:paraId="1058A001" w14:textId="77777777" w:rsidR="008177E2" w:rsidRPr="0095675E" w:rsidRDefault="008177E2" w:rsidP="008177E2">
                    <w:pPr>
                      <w:pStyle w:val="NormalWeb"/>
                      <w:rPr>
                        <w:rFonts w:ascii="Arial Bold" w:hAnsi="Arial Bold"/>
                        <w:sz w:val="28"/>
                        <w:szCs w:val="28"/>
                      </w:rPr>
                    </w:pPr>
                    <w:r w:rsidRPr="008177E2">
                      <w:rPr>
                        <w:rFonts w:ascii="Arial Bold" w:hAnsi="Arial Bold" w:cs="Arial"/>
                        <w:b/>
                        <w:bCs/>
                        <w:i/>
                        <w:iCs/>
                        <w:sz w:val="28"/>
                        <w:szCs w:val="28"/>
                      </w:rPr>
                      <w:t>S330 SPRAYED BITUMINOUS SURFACING</w:t>
                    </w:r>
                  </w:p>
                </w:txbxContent>
              </v:textbox>
              <w10:wrap anchorx="page" anchory="page"/>
            </v:shape>
          </w:pict>
        </mc:Fallback>
      </mc:AlternateContent>
    </w:r>
    <w:r w:rsidRPr="008177E2">
      <w:t xml:space="preserve">Revision 5.0 – </w:t>
    </w:r>
    <w:r w:rsidR="008274EA" w:rsidRPr="008274EA">
      <w:t>March 2021</w:t>
    </w:r>
    <w:r w:rsidR="000669CF">
      <w:tab/>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E2765" w14:textId="0C23C57C" w:rsidR="008177E2" w:rsidRPr="008177E2" w:rsidRDefault="008177E2" w:rsidP="008177E2">
    <w:pPr>
      <w:pStyle w:val="Footer"/>
    </w:pPr>
    <w:r w:rsidRPr="008177E2">
      <w:rPr>
        <w:noProof/>
      </w:rPr>
      <mc:AlternateContent>
        <mc:Choice Requires="wps">
          <w:drawing>
            <wp:anchor distT="0" distB="0" distL="114300" distR="114300" simplePos="0" relativeHeight="251666432" behindDoc="0" locked="0" layoutInCell="1" allowOverlap="1" wp14:anchorId="229A3C83" wp14:editId="121039DF">
              <wp:simplePos x="0" y="0"/>
              <wp:positionH relativeFrom="page">
                <wp:posOffset>5083810</wp:posOffset>
              </wp:positionH>
              <wp:positionV relativeFrom="page">
                <wp:posOffset>7605395</wp:posOffset>
              </wp:positionV>
              <wp:extent cx="4277360" cy="385445"/>
              <wp:effectExtent l="1869757" t="0" r="1859598"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427736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A1F919" w14:textId="77777777" w:rsidR="008177E2" w:rsidRPr="0095675E" w:rsidRDefault="008177E2" w:rsidP="008177E2">
                          <w:pPr>
                            <w:pStyle w:val="NormalWeb"/>
                            <w:rPr>
                              <w:rFonts w:ascii="Arial Bold" w:hAnsi="Arial Bold"/>
                              <w:sz w:val="28"/>
                              <w:szCs w:val="28"/>
                            </w:rPr>
                          </w:pPr>
                          <w:r w:rsidRPr="008177E2">
                            <w:rPr>
                              <w:rFonts w:ascii="Arial Bold" w:hAnsi="Arial Bold" w:cs="Arial"/>
                              <w:b/>
                              <w:bCs/>
                              <w:i/>
                              <w:iCs/>
                              <w:sz w:val="28"/>
                              <w:szCs w:val="28"/>
                            </w:rPr>
                            <w:t>S330 SPRAYED BITUMINOUS SURFACING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A3C83" id="_x0000_t202" coordsize="21600,21600" o:spt="202" path="m,l,21600r21600,l21600,xe">
              <v:stroke joinstyle="miter"/>
              <v:path gradientshapeok="t" o:connecttype="rect"/>
            </v:shapetype>
            <v:shape id="Text Box 8" o:spid="_x0000_s1029" type="#_x0000_t202" style="position:absolute;left:0;text-align:left;margin-left:400.3pt;margin-top:598.85pt;width:336.8pt;height:30.35pt;rotation:-5921140fd;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" filled="f" stroked="f">
              <v:stroke joinstyle="round"/>
              <o:lock v:ext="edit" shapetype="t"/>
              <v:textbox style="layout-flow:vertical;mso-layout-flow-alt:bottom-to-top">
                <w:txbxContent>
                  <w:p w14:paraId="75A1F919" w14:textId="77777777" w:rsidR="008177E2" w:rsidRPr="0095675E" w:rsidRDefault="008177E2" w:rsidP="008177E2">
                    <w:pPr>
                      <w:pStyle w:val="NormalWeb"/>
                      <w:rPr>
                        <w:rFonts w:ascii="Arial Bold" w:hAnsi="Arial Bold"/>
                        <w:sz w:val="28"/>
                        <w:szCs w:val="28"/>
                      </w:rPr>
                    </w:pPr>
                    <w:r w:rsidRPr="008177E2">
                      <w:rPr>
                        <w:rFonts w:ascii="Arial Bold" w:hAnsi="Arial Bold" w:cs="Arial"/>
                        <w:b/>
                        <w:bCs/>
                        <w:i/>
                        <w:iCs/>
                        <w:sz w:val="28"/>
                        <w:szCs w:val="28"/>
                      </w:rPr>
                      <w:t>S330 SPRAYED BITUMINOUS SURFACING</w:t>
                    </w:r>
                  </w:p>
                </w:txbxContent>
              </v:textbox>
              <w10:wrap anchorx="page" anchory="page"/>
            </v:shape>
          </w:pict>
        </mc:Fallback>
      </mc:AlternateContent>
    </w:r>
    <w:r w:rsidRPr="008177E2">
      <w:t xml:space="preserve">Revision 5.0 – </w:t>
    </w:r>
    <w:r w:rsidR="008274EA" w:rsidRPr="008274EA">
      <w:t>March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0C9B2" w14:textId="23F3D581" w:rsidR="008177E2" w:rsidRPr="008177E2" w:rsidRDefault="008177E2" w:rsidP="008177E2">
    <w:pPr>
      <w:pStyle w:val="Footer"/>
    </w:pPr>
    <w:r w:rsidRPr="008177E2">
      <w:rPr>
        <w:noProof/>
      </w:rPr>
      <mc:AlternateContent>
        <mc:Choice Requires="wps">
          <w:drawing>
            <wp:anchor distT="0" distB="0" distL="114300" distR="114300" simplePos="0" relativeHeight="251668480" behindDoc="0" locked="0" layoutInCell="1" allowOverlap="1" wp14:anchorId="3E4F9075" wp14:editId="0D65A216">
              <wp:simplePos x="0" y="0"/>
              <wp:positionH relativeFrom="page">
                <wp:posOffset>5083810</wp:posOffset>
              </wp:positionH>
              <wp:positionV relativeFrom="page">
                <wp:posOffset>7605395</wp:posOffset>
              </wp:positionV>
              <wp:extent cx="4277360" cy="385445"/>
              <wp:effectExtent l="1869757" t="0" r="1859598"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427736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77CACB" w14:textId="77777777" w:rsidR="008177E2" w:rsidRPr="0095675E" w:rsidRDefault="008177E2" w:rsidP="008177E2">
                          <w:pPr>
                            <w:pStyle w:val="NormalWeb"/>
                            <w:rPr>
                              <w:rFonts w:ascii="Arial Bold" w:hAnsi="Arial Bold"/>
                              <w:sz w:val="28"/>
                              <w:szCs w:val="28"/>
                            </w:rPr>
                          </w:pPr>
                          <w:r w:rsidRPr="008177E2">
                            <w:rPr>
                              <w:rFonts w:ascii="Arial Bold" w:hAnsi="Arial Bold" w:cs="Arial"/>
                              <w:b/>
                              <w:bCs/>
                              <w:i/>
                              <w:iCs/>
                              <w:sz w:val="28"/>
                              <w:szCs w:val="28"/>
                            </w:rPr>
                            <w:t>S330 SPRAYED BITUMINOUS SURFACING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F9075" id="_x0000_t202" coordsize="21600,21600" o:spt="202" path="m,l,21600r21600,l21600,xe">
              <v:stroke joinstyle="miter"/>
              <v:path gradientshapeok="t" o:connecttype="rect"/>
            </v:shapetype>
            <v:shape id="Text Box 9" o:spid="_x0000_s1030" type="#_x0000_t202" style="position:absolute;left:0;text-align:left;margin-left:400.3pt;margin-top:598.85pt;width:336.8pt;height:30.35pt;rotation:-5921140fd;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" filled="f" stroked="f">
              <v:stroke joinstyle="round"/>
              <o:lock v:ext="edit" shapetype="t"/>
              <v:textbox style="layout-flow:vertical;mso-layout-flow-alt:bottom-to-top">
                <w:txbxContent>
                  <w:p w14:paraId="1177CACB" w14:textId="77777777" w:rsidR="008177E2" w:rsidRPr="0095675E" w:rsidRDefault="008177E2" w:rsidP="008177E2">
                    <w:pPr>
                      <w:pStyle w:val="NormalWeb"/>
                      <w:rPr>
                        <w:rFonts w:ascii="Arial Bold" w:hAnsi="Arial Bold"/>
                        <w:sz w:val="28"/>
                        <w:szCs w:val="28"/>
                      </w:rPr>
                    </w:pPr>
                    <w:r w:rsidRPr="008177E2">
                      <w:rPr>
                        <w:rFonts w:ascii="Arial Bold" w:hAnsi="Arial Bold" w:cs="Arial"/>
                        <w:b/>
                        <w:bCs/>
                        <w:i/>
                        <w:iCs/>
                        <w:sz w:val="28"/>
                        <w:szCs w:val="28"/>
                      </w:rPr>
                      <w:t>S330 SPRAYED BITUMINOUS SURFACING</w:t>
                    </w:r>
                  </w:p>
                </w:txbxContent>
              </v:textbox>
              <w10:wrap anchorx="page" anchory="page"/>
            </v:shape>
          </w:pict>
        </mc:Fallback>
      </mc:AlternateContent>
    </w:r>
    <w:r w:rsidRPr="008177E2">
      <w:t xml:space="preserve">Revision 5.0 – </w:t>
    </w:r>
    <w:r w:rsidR="008274EA" w:rsidRPr="008274EA">
      <w:t>March 2021</w:t>
    </w:r>
    <w:r w:rsidR="0071409E">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2496C" w14:textId="77777777" w:rsidR="00E23142" w:rsidRDefault="00E23142">
      <w:r>
        <w:separator/>
      </w:r>
    </w:p>
  </w:footnote>
  <w:footnote w:type="continuationSeparator" w:id="0">
    <w:p w14:paraId="73F0490E" w14:textId="77777777" w:rsidR="00E23142" w:rsidRDefault="00E2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F29B" w14:textId="77777777" w:rsidR="007A108F" w:rsidRDefault="007A108F">
    <w:pPr>
      <w:pStyle w:val="Header"/>
    </w:pPr>
    <w:r>
      <w:rPr>
        <w:noProof/>
        <w:lang w:eastAsia="en-AU"/>
      </w:rPr>
      <mc:AlternateContent>
        <mc:Choice Requires="wps">
          <w:drawing>
            <wp:anchor distT="0" distB="0" distL="114300" distR="114300" simplePos="0" relativeHeight="251655168" behindDoc="0" locked="0" layoutInCell="0" allowOverlap="1" wp14:anchorId="10609869" wp14:editId="64C3A05A">
              <wp:simplePos x="0" y="0"/>
              <wp:positionH relativeFrom="column">
                <wp:posOffset>3848100</wp:posOffset>
              </wp:positionH>
              <wp:positionV relativeFrom="paragraph">
                <wp:posOffset>3780790</wp:posOffset>
              </wp:positionV>
              <wp:extent cx="419100" cy="542925"/>
              <wp:effectExtent l="0" t="0" r="0" b="0"/>
              <wp:wrapNone/>
              <wp:docPr id="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19100" cy="542925"/>
                      </a:xfrm>
                      <a:prstGeom prst="rect">
                        <a:avLst/>
                      </a:prstGeom>
                      <a:extLst>
                        <a:ext uri="{AF507438-7753-43E0-B8FC-AC1667EBCBE1}">
                          <a14:hiddenEffects xmlns:a14="http://schemas.microsoft.com/office/drawing/2010/main">
                            <a:effectLst/>
                          </a14:hiddenEffects>
                        </a:ext>
                      </a:extLst>
                    </wps:spPr>
                    <wps:txbx>
                      <w:txbxContent>
                        <w:p w14:paraId="5D39AE2F" w14:textId="77777777" w:rsidR="007A108F" w:rsidRDefault="007A108F" w:rsidP="00FB788E">
                          <w:pPr>
                            <w:pStyle w:val="NormalWeb"/>
                            <w:spacing w:before="0" w:beforeAutospacing="0" w:after="0" w:afterAutospacing="0"/>
                            <w:jc w:val="center"/>
                          </w:pPr>
                          <w:r>
                            <w:rPr>
                              <w:rFonts w:ascii="Arial Narrow" w:hAnsi="Arial Narrow"/>
                              <w:color w:val="000000"/>
                              <w:sz w:val="72"/>
                              <w:szCs w:val="72"/>
                              <w14:textOutline w14:w="9525" w14:cap="flat" w14:cmpd="sng" w14:algn="ctr">
                                <w14:solidFill>
                                  <w14:srgbClr w14:val="000000"/>
                                </w14:solidFill>
                                <w14:prstDash w14:val="solid"/>
                                <w14:round/>
                              </w14:textOutline>
                            </w:rPr>
                            <w:t>14</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609869" id="_x0000_t202" coordsize="21600,21600" o:spt="202" path="m,l,21600r21600,l21600,xe">
              <v:stroke joinstyle="miter"/>
              <v:path gradientshapeok="t" o:connecttype="rect"/>
            </v:shapetype>
            <v:shape id="WordArt 7" o:spid="_x0000_s1026" type="#_x0000_t202" style="position:absolute;left:0;text-align:left;margin-left:303pt;margin-top:297.7pt;width:33pt;height:42.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" o:allowincell="f" filled="f" stroked="f">
              <o:lock v:ext="edit" shapetype="t"/>
              <v:textbox style="mso-fit-shape-to-text:t">
                <w:txbxContent>
                  <w:p w14:paraId="5D39AE2F" w14:textId="77777777" w:rsidR="007A108F" w:rsidRDefault="007A108F" w:rsidP="00FB788E">
                    <w:pPr>
                      <w:pStyle w:val="NormalWeb"/>
                      <w:spacing w:before="0" w:beforeAutospacing="0" w:after="0" w:afterAutospacing="0"/>
                      <w:jc w:val="center"/>
                    </w:pPr>
                    <w:r>
                      <w:rPr>
                        <w:rFonts w:ascii="Arial Narrow" w:hAnsi="Arial Narrow"/>
                        <w:color w:val="000000"/>
                        <w:sz w:val="72"/>
                        <w:szCs w:val="72"/>
                        <w14:textOutline w14:w="9525" w14:cap="flat" w14:cmpd="sng" w14:algn="ctr">
                          <w14:solidFill>
                            <w14:srgbClr w14:val="000000"/>
                          </w14:solidFill>
                          <w14:prstDash w14:val="solid"/>
                          <w14:round/>
                        </w14:textOutline>
                      </w:rPr>
                      <w:t>14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9FED1" w14:textId="43C78300" w:rsidR="007A108F" w:rsidRPr="00F53EDA" w:rsidRDefault="007A108F" w:rsidP="00960636">
    <w:pPr>
      <w:pStyle w:val="Header"/>
    </w:pPr>
    <w:r w:rsidRPr="00F53EDA">
      <w:rPr>
        <w:noProof/>
        <w:lang w:eastAsia="en-AU"/>
      </w:rPr>
      <w:drawing>
        <wp:inline distT="0" distB="0" distL="0" distR="0" wp14:anchorId="3FEB7CFA" wp14:editId="719C4E90">
          <wp:extent cx="1384069" cy="720000"/>
          <wp:effectExtent l="0" t="0" r="6985" b="4445"/>
          <wp:docPr id="44" name="Picture 44" descr="BCC Logo (Colour)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CC Logo (Colour) 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069" cy="720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1BD77" w14:textId="616B19AB" w:rsidR="00F72C46" w:rsidRPr="00F53EDA" w:rsidRDefault="00F72C46" w:rsidP="00960636">
    <w:pPr>
      <w:pStyle w:val="Header"/>
    </w:pPr>
    <w:r w:rsidRPr="00F53EDA">
      <w:t>Brisbane City Council</w:t>
    </w:r>
    <w:r w:rsidR="00517478">
      <w:tab/>
    </w:r>
    <w:r w:rsidRPr="008274EA">
      <w:t>Reference Specifications for Engineering Work</w:t>
    </w:r>
    <w:r w:rsidR="00517478">
      <w:t xml:space="preserve"> </w:t>
    </w:r>
    <w:r w:rsidRPr="00F53EDA">
      <w:t>S330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1020A1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090D852"/>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D98E9732"/>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3C8C24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7A50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06D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hybridMultilevel"/>
    <w:tmpl w:val="619E48B4"/>
    <w:lvl w:ilvl="0" w:tplc="0F1E7912">
      <w:start w:val="1"/>
      <w:numFmt w:val="bullet"/>
      <w:lvlText w:val=""/>
      <w:lvlJc w:val="left"/>
      <w:pPr>
        <w:tabs>
          <w:tab w:val="num" w:pos="926"/>
        </w:tabs>
        <w:ind w:left="926" w:hanging="360"/>
      </w:pPr>
      <w:rPr>
        <w:rFonts w:ascii="Symbol" w:hAnsi="Symbol" w:hint="default"/>
      </w:rPr>
    </w:lvl>
    <w:lvl w:ilvl="1" w:tplc="37D2D406">
      <w:numFmt w:val="decimal"/>
      <w:lvlText w:val=""/>
      <w:lvlJc w:val="left"/>
    </w:lvl>
    <w:lvl w:ilvl="2" w:tplc="7F64A930">
      <w:numFmt w:val="decimal"/>
      <w:lvlText w:val=""/>
      <w:lvlJc w:val="left"/>
    </w:lvl>
    <w:lvl w:ilvl="3" w:tplc="16506584">
      <w:numFmt w:val="decimal"/>
      <w:lvlText w:val=""/>
      <w:lvlJc w:val="left"/>
    </w:lvl>
    <w:lvl w:ilvl="4" w:tplc="0450DAF6">
      <w:numFmt w:val="decimal"/>
      <w:lvlText w:val=""/>
      <w:lvlJc w:val="left"/>
    </w:lvl>
    <w:lvl w:ilvl="5" w:tplc="C4DEFD38">
      <w:numFmt w:val="decimal"/>
      <w:lvlText w:val=""/>
      <w:lvlJc w:val="left"/>
    </w:lvl>
    <w:lvl w:ilvl="6" w:tplc="13D06C96">
      <w:numFmt w:val="decimal"/>
      <w:lvlText w:val=""/>
      <w:lvlJc w:val="left"/>
    </w:lvl>
    <w:lvl w:ilvl="7" w:tplc="271E1364">
      <w:numFmt w:val="decimal"/>
      <w:lvlText w:val=""/>
      <w:lvlJc w:val="left"/>
    </w:lvl>
    <w:lvl w:ilvl="8" w:tplc="2500F438">
      <w:numFmt w:val="decimal"/>
      <w:lvlText w:val=""/>
      <w:lvlJc w:val="left"/>
    </w:lvl>
  </w:abstractNum>
  <w:abstractNum w:abstractNumId="7" w15:restartNumberingAfterBreak="0">
    <w:nsid w:val="FFFFFF83"/>
    <w:multiLevelType w:val="hybridMultilevel"/>
    <w:tmpl w:val="5F20B2D6"/>
    <w:lvl w:ilvl="0" w:tplc="A96C46A8">
      <w:start w:val="1"/>
      <w:numFmt w:val="bullet"/>
      <w:lvlText w:val=""/>
      <w:lvlJc w:val="left"/>
      <w:pPr>
        <w:tabs>
          <w:tab w:val="num" w:pos="643"/>
        </w:tabs>
        <w:ind w:left="643" w:hanging="360"/>
      </w:pPr>
      <w:rPr>
        <w:rFonts w:ascii="Symbol" w:hAnsi="Symbol" w:hint="default"/>
      </w:rPr>
    </w:lvl>
    <w:lvl w:ilvl="1" w:tplc="102CD258">
      <w:numFmt w:val="decimal"/>
      <w:lvlText w:val=""/>
      <w:lvlJc w:val="left"/>
    </w:lvl>
    <w:lvl w:ilvl="2" w:tplc="106E9632">
      <w:numFmt w:val="decimal"/>
      <w:lvlText w:val=""/>
      <w:lvlJc w:val="left"/>
    </w:lvl>
    <w:lvl w:ilvl="3" w:tplc="9A7E606E">
      <w:numFmt w:val="decimal"/>
      <w:lvlText w:val=""/>
      <w:lvlJc w:val="left"/>
    </w:lvl>
    <w:lvl w:ilvl="4" w:tplc="BB46E650">
      <w:numFmt w:val="decimal"/>
      <w:lvlText w:val=""/>
      <w:lvlJc w:val="left"/>
    </w:lvl>
    <w:lvl w:ilvl="5" w:tplc="3AF88FEA">
      <w:numFmt w:val="decimal"/>
      <w:lvlText w:val=""/>
      <w:lvlJc w:val="left"/>
    </w:lvl>
    <w:lvl w:ilvl="6" w:tplc="79808002">
      <w:numFmt w:val="decimal"/>
      <w:lvlText w:val=""/>
      <w:lvlJc w:val="left"/>
    </w:lvl>
    <w:lvl w:ilvl="7" w:tplc="34888ED2">
      <w:numFmt w:val="decimal"/>
      <w:lvlText w:val=""/>
      <w:lvlJc w:val="left"/>
    </w:lvl>
    <w:lvl w:ilvl="8" w:tplc="7F8CAA00">
      <w:numFmt w:val="decimal"/>
      <w:lvlText w:val=""/>
      <w:lvlJc w:val="left"/>
    </w:lvl>
  </w:abstractNum>
  <w:abstractNum w:abstractNumId="8" w15:restartNumberingAfterBreak="0">
    <w:nsid w:val="FFFFFF88"/>
    <w:multiLevelType w:val="hybridMultilevel"/>
    <w:tmpl w:val="7F869944"/>
    <w:lvl w:ilvl="0" w:tplc="3044E562">
      <w:start w:val="1"/>
      <w:numFmt w:val="decimal"/>
      <w:lvlText w:val="%1."/>
      <w:lvlJc w:val="left"/>
      <w:pPr>
        <w:tabs>
          <w:tab w:val="num" w:pos="360"/>
        </w:tabs>
        <w:ind w:left="360" w:hanging="360"/>
      </w:pPr>
    </w:lvl>
    <w:lvl w:ilvl="1" w:tplc="96B635C0">
      <w:numFmt w:val="decimal"/>
      <w:lvlText w:val=""/>
      <w:lvlJc w:val="left"/>
    </w:lvl>
    <w:lvl w:ilvl="2" w:tplc="4D60C45C">
      <w:numFmt w:val="decimal"/>
      <w:lvlText w:val=""/>
      <w:lvlJc w:val="left"/>
    </w:lvl>
    <w:lvl w:ilvl="3" w:tplc="89C6F21C">
      <w:numFmt w:val="decimal"/>
      <w:lvlText w:val=""/>
      <w:lvlJc w:val="left"/>
    </w:lvl>
    <w:lvl w:ilvl="4" w:tplc="DD2A4ABC">
      <w:numFmt w:val="decimal"/>
      <w:lvlText w:val=""/>
      <w:lvlJc w:val="left"/>
    </w:lvl>
    <w:lvl w:ilvl="5" w:tplc="72E058CC">
      <w:numFmt w:val="decimal"/>
      <w:lvlText w:val=""/>
      <w:lvlJc w:val="left"/>
    </w:lvl>
    <w:lvl w:ilvl="6" w:tplc="FC3422E0">
      <w:numFmt w:val="decimal"/>
      <w:lvlText w:val=""/>
      <w:lvlJc w:val="left"/>
    </w:lvl>
    <w:lvl w:ilvl="7" w:tplc="73CCD576">
      <w:numFmt w:val="decimal"/>
      <w:lvlText w:val=""/>
      <w:lvlJc w:val="left"/>
    </w:lvl>
    <w:lvl w:ilvl="8" w:tplc="C9E62EF2">
      <w:numFmt w:val="decimal"/>
      <w:lvlText w:val=""/>
      <w:lvlJc w:val="left"/>
    </w:lvl>
  </w:abstractNum>
  <w:abstractNum w:abstractNumId="9" w15:restartNumberingAfterBreak="0">
    <w:nsid w:val="FFFFFF89"/>
    <w:multiLevelType w:val="hybridMultilevel"/>
    <w:tmpl w:val="940617C6"/>
    <w:lvl w:ilvl="0" w:tplc="6546BCC0">
      <w:start w:val="1"/>
      <w:numFmt w:val="bullet"/>
      <w:lvlText w:val=""/>
      <w:lvlJc w:val="left"/>
      <w:pPr>
        <w:tabs>
          <w:tab w:val="num" w:pos="360"/>
        </w:tabs>
        <w:ind w:left="360" w:hanging="360"/>
      </w:pPr>
      <w:rPr>
        <w:rFonts w:ascii="Symbol" w:hAnsi="Symbol" w:hint="default"/>
      </w:rPr>
    </w:lvl>
    <w:lvl w:ilvl="1" w:tplc="A398764A">
      <w:numFmt w:val="decimal"/>
      <w:lvlText w:val=""/>
      <w:lvlJc w:val="left"/>
    </w:lvl>
    <w:lvl w:ilvl="2" w:tplc="5C24636E">
      <w:numFmt w:val="decimal"/>
      <w:lvlText w:val=""/>
      <w:lvlJc w:val="left"/>
    </w:lvl>
    <w:lvl w:ilvl="3" w:tplc="05200B6E">
      <w:numFmt w:val="decimal"/>
      <w:lvlText w:val=""/>
      <w:lvlJc w:val="left"/>
    </w:lvl>
    <w:lvl w:ilvl="4" w:tplc="DDD03736">
      <w:numFmt w:val="decimal"/>
      <w:lvlText w:val=""/>
      <w:lvlJc w:val="left"/>
    </w:lvl>
    <w:lvl w:ilvl="5" w:tplc="A21232E2">
      <w:numFmt w:val="decimal"/>
      <w:lvlText w:val=""/>
      <w:lvlJc w:val="left"/>
    </w:lvl>
    <w:lvl w:ilvl="6" w:tplc="94D8B1DE">
      <w:numFmt w:val="decimal"/>
      <w:lvlText w:val=""/>
      <w:lvlJc w:val="left"/>
    </w:lvl>
    <w:lvl w:ilvl="7" w:tplc="2CB46BF6">
      <w:numFmt w:val="decimal"/>
      <w:lvlText w:val=""/>
      <w:lvlJc w:val="left"/>
    </w:lvl>
    <w:lvl w:ilvl="8" w:tplc="20945370">
      <w:numFmt w:val="decimal"/>
      <w:lvlText w:val=""/>
      <w:lvlJc w:val="left"/>
    </w:lvl>
  </w:abstractNum>
  <w:abstractNum w:abstractNumId="10" w15:restartNumberingAfterBreak="0">
    <w:nsid w:val="0136119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C841EC8"/>
    <w:multiLevelType w:val="multilevel"/>
    <w:tmpl w:val="CA4AF7E0"/>
    <w:lvl w:ilvl="0">
      <w:start w:val="1"/>
      <w:numFmt w:val="decimal"/>
      <w:pStyle w:val="Heading2"/>
      <w:lvlText w:val="%1.0"/>
      <w:lvlJc w:val="left"/>
      <w:pPr>
        <w:tabs>
          <w:tab w:val="num" w:pos="720"/>
        </w:tabs>
        <w:ind w:left="720" w:hanging="720"/>
      </w:pPr>
      <w:rPr>
        <w:rFonts w:hint="default"/>
      </w:rPr>
    </w:lvl>
    <w:lvl w:ilvl="1">
      <w:start w:val="1"/>
      <w:numFmt w:val="decimal"/>
      <w:pStyle w:val="Heading3"/>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289354BF"/>
    <w:multiLevelType w:val="hybridMultilevel"/>
    <w:tmpl w:val="346206DA"/>
    <w:lvl w:ilvl="0" w:tplc="04B4CDAE">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2A0539B7"/>
    <w:multiLevelType w:val="hybridMultilevel"/>
    <w:tmpl w:val="1446285C"/>
    <w:lvl w:ilvl="0" w:tplc="0C090001">
      <w:start w:val="1"/>
      <w:numFmt w:val="bullet"/>
      <w:lvlText w:val=""/>
      <w:lvlJc w:val="left"/>
      <w:pPr>
        <w:ind w:left="1429" w:hanging="360"/>
      </w:pPr>
      <w:rPr>
        <w:rFonts w:ascii="Symbol" w:hAnsi="Symbol" w:hint="default"/>
      </w:rPr>
    </w:lvl>
    <w:lvl w:ilvl="1" w:tplc="4E1609D6">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2F481210"/>
    <w:multiLevelType w:val="hybridMultilevel"/>
    <w:tmpl w:val="15B2B454"/>
    <w:lvl w:ilvl="0" w:tplc="DF28AB02">
      <w:start w:val="1"/>
      <w:numFmt w:val="bullet"/>
      <w:lvlText w:val=""/>
      <w:lvlJc w:val="left"/>
      <w:pPr>
        <w:ind w:left="1069" w:hanging="360"/>
      </w:pPr>
      <w:rPr>
        <w:rFonts w:ascii="Wingdings" w:eastAsia="Times New Roman" w:hAnsi="Wingdings"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32907F65"/>
    <w:multiLevelType w:val="singleLevel"/>
    <w:tmpl w:val="6E2E34A6"/>
    <w:lvl w:ilvl="0">
      <w:start w:val="1"/>
      <w:numFmt w:val="bullet"/>
      <w:pStyle w:val="BodyTextIndentDot"/>
      <w:lvlText w:val=""/>
      <w:lvlJc w:val="left"/>
      <w:pPr>
        <w:tabs>
          <w:tab w:val="num" w:pos="360"/>
        </w:tabs>
        <w:ind w:left="360" w:hanging="360"/>
      </w:pPr>
      <w:rPr>
        <w:rFonts w:ascii="Wingdings" w:hAnsi="Wingdings" w:hint="default"/>
      </w:rPr>
    </w:lvl>
  </w:abstractNum>
  <w:abstractNum w:abstractNumId="16" w15:restartNumberingAfterBreak="0">
    <w:nsid w:val="48BB7993"/>
    <w:multiLevelType w:val="hybridMultilevel"/>
    <w:tmpl w:val="548253DE"/>
    <w:lvl w:ilvl="0" w:tplc="BD9A7664">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15:restartNumberingAfterBreak="0">
    <w:nsid w:val="5C0C7EA1"/>
    <w:multiLevelType w:val="hybridMultilevel"/>
    <w:tmpl w:val="8388931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648916A4"/>
    <w:multiLevelType w:val="singleLevel"/>
    <w:tmpl w:val="84B0D13A"/>
    <w:lvl w:ilvl="0">
      <w:start w:val="1"/>
      <w:numFmt w:val="bullet"/>
      <w:pStyle w:val="bullets"/>
      <w:lvlText w:val=""/>
      <w:lvlJc w:val="left"/>
      <w:pPr>
        <w:tabs>
          <w:tab w:val="num" w:pos="360"/>
        </w:tabs>
        <w:ind w:left="360" w:hanging="360"/>
      </w:pPr>
      <w:rPr>
        <w:rFonts w:ascii="Wingdings" w:hAnsi="Wingdings" w:hint="default"/>
      </w:rPr>
    </w:lvl>
  </w:abstractNum>
  <w:abstractNum w:abstractNumId="19" w15:restartNumberingAfterBreak="0">
    <w:nsid w:val="6DF64D6E"/>
    <w:multiLevelType w:val="hybridMultilevel"/>
    <w:tmpl w:val="D990E61C"/>
    <w:lvl w:ilvl="0" w:tplc="4A54D9FC">
      <w:start w:val="1"/>
      <w:numFmt w:val="bullet"/>
      <w:pStyle w:val="BodyTextIndentDot2"/>
      <w:lvlText w:val="-"/>
      <w:lvlJc w:val="left"/>
      <w:pPr>
        <w:ind w:left="1854" w:hanging="360"/>
      </w:pPr>
      <w:rPr>
        <w:rFonts w:ascii="Arial" w:hAnsi="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79F6252D"/>
    <w:multiLevelType w:val="hybridMultilevel"/>
    <w:tmpl w:val="BD283520"/>
    <w:lvl w:ilvl="0" w:tplc="D35643A6">
      <w:start w:val="1"/>
      <w:numFmt w:val="decimal"/>
      <w:lvlText w:val="(%1)"/>
      <w:lvlJc w:val="left"/>
      <w:pPr>
        <w:ind w:left="1144" w:hanging="4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11"/>
  </w:num>
  <w:num w:numId="3">
    <w:abstractNumId w:val="18"/>
  </w:num>
  <w:num w:numId="4">
    <w:abstractNumId w:val="10"/>
  </w:num>
  <w:num w:numId="5">
    <w:abstractNumId w:val="15"/>
  </w:num>
  <w:num w:numId="6">
    <w:abstractNumId w:val="20"/>
  </w:num>
  <w:num w:numId="7">
    <w:abstractNumId w:val="17"/>
  </w:num>
  <w:num w:numId="8">
    <w:abstractNumId w:val="13"/>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4"/>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09"/>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DA"/>
    <w:rsid w:val="00010EDF"/>
    <w:rsid w:val="00027A06"/>
    <w:rsid w:val="00031D9E"/>
    <w:rsid w:val="00040FE0"/>
    <w:rsid w:val="000669CF"/>
    <w:rsid w:val="000A7B33"/>
    <w:rsid w:val="000B0375"/>
    <w:rsid w:val="000B6A58"/>
    <w:rsid w:val="000D3EBC"/>
    <w:rsid w:val="000D76C0"/>
    <w:rsid w:val="000E142D"/>
    <w:rsid w:val="000F5AB7"/>
    <w:rsid w:val="000F63E5"/>
    <w:rsid w:val="001219FE"/>
    <w:rsid w:val="00131A06"/>
    <w:rsid w:val="00137156"/>
    <w:rsid w:val="0016734E"/>
    <w:rsid w:val="001B1A96"/>
    <w:rsid w:val="001D1588"/>
    <w:rsid w:val="001D646B"/>
    <w:rsid w:val="001F2060"/>
    <w:rsid w:val="00200E30"/>
    <w:rsid w:val="002326C0"/>
    <w:rsid w:val="00260178"/>
    <w:rsid w:val="00265362"/>
    <w:rsid w:val="00292E6B"/>
    <w:rsid w:val="002A443F"/>
    <w:rsid w:val="002A77E3"/>
    <w:rsid w:val="002C4220"/>
    <w:rsid w:val="002D5CEA"/>
    <w:rsid w:val="002F3BF5"/>
    <w:rsid w:val="0031277E"/>
    <w:rsid w:val="00313C52"/>
    <w:rsid w:val="00321C6E"/>
    <w:rsid w:val="00353C9B"/>
    <w:rsid w:val="00363B7C"/>
    <w:rsid w:val="00370374"/>
    <w:rsid w:val="003A113A"/>
    <w:rsid w:val="003A4D50"/>
    <w:rsid w:val="003A56C3"/>
    <w:rsid w:val="003B6AF4"/>
    <w:rsid w:val="003C388F"/>
    <w:rsid w:val="003D6876"/>
    <w:rsid w:val="003E2E77"/>
    <w:rsid w:val="003E3C26"/>
    <w:rsid w:val="00407745"/>
    <w:rsid w:val="00410AE9"/>
    <w:rsid w:val="00436A7D"/>
    <w:rsid w:val="0046066D"/>
    <w:rsid w:val="004A5A46"/>
    <w:rsid w:val="004A6282"/>
    <w:rsid w:val="004B12B0"/>
    <w:rsid w:val="004B2E09"/>
    <w:rsid w:val="004C4BF0"/>
    <w:rsid w:val="004C5FF6"/>
    <w:rsid w:val="004F2367"/>
    <w:rsid w:val="004F2837"/>
    <w:rsid w:val="00502AD1"/>
    <w:rsid w:val="005109AD"/>
    <w:rsid w:val="0051504A"/>
    <w:rsid w:val="00517478"/>
    <w:rsid w:val="00545D56"/>
    <w:rsid w:val="00550E61"/>
    <w:rsid w:val="005807CD"/>
    <w:rsid w:val="005B066B"/>
    <w:rsid w:val="005C11E9"/>
    <w:rsid w:val="005D7D96"/>
    <w:rsid w:val="005F3168"/>
    <w:rsid w:val="00615276"/>
    <w:rsid w:val="006229E7"/>
    <w:rsid w:val="00622DF4"/>
    <w:rsid w:val="0067023B"/>
    <w:rsid w:val="00676FA3"/>
    <w:rsid w:val="006B0153"/>
    <w:rsid w:val="006B61DD"/>
    <w:rsid w:val="006C61D1"/>
    <w:rsid w:val="006D3572"/>
    <w:rsid w:val="0071409E"/>
    <w:rsid w:val="007249FE"/>
    <w:rsid w:val="007301DC"/>
    <w:rsid w:val="00761DC0"/>
    <w:rsid w:val="0078781D"/>
    <w:rsid w:val="007A108F"/>
    <w:rsid w:val="007B2282"/>
    <w:rsid w:val="007C478F"/>
    <w:rsid w:val="008073FE"/>
    <w:rsid w:val="0081055B"/>
    <w:rsid w:val="0081572B"/>
    <w:rsid w:val="008177E2"/>
    <w:rsid w:val="00820A32"/>
    <w:rsid w:val="008274EA"/>
    <w:rsid w:val="00827B82"/>
    <w:rsid w:val="00834B11"/>
    <w:rsid w:val="008627C0"/>
    <w:rsid w:val="00881E3D"/>
    <w:rsid w:val="008B0B68"/>
    <w:rsid w:val="008C66F5"/>
    <w:rsid w:val="008E6910"/>
    <w:rsid w:val="00912315"/>
    <w:rsid w:val="00921D5D"/>
    <w:rsid w:val="00942D29"/>
    <w:rsid w:val="00960636"/>
    <w:rsid w:val="00965325"/>
    <w:rsid w:val="00974F6D"/>
    <w:rsid w:val="0099651F"/>
    <w:rsid w:val="009A7E86"/>
    <w:rsid w:val="009C01CC"/>
    <w:rsid w:val="009C1F66"/>
    <w:rsid w:val="009C4B0D"/>
    <w:rsid w:val="009F0710"/>
    <w:rsid w:val="009F1A35"/>
    <w:rsid w:val="009F2AE0"/>
    <w:rsid w:val="009F5142"/>
    <w:rsid w:val="009F752F"/>
    <w:rsid w:val="00A01F7D"/>
    <w:rsid w:val="00A11301"/>
    <w:rsid w:val="00A136A4"/>
    <w:rsid w:val="00A20AC6"/>
    <w:rsid w:val="00A336B0"/>
    <w:rsid w:val="00A961F8"/>
    <w:rsid w:val="00AA2E72"/>
    <w:rsid w:val="00AB26FA"/>
    <w:rsid w:val="00AC795E"/>
    <w:rsid w:val="00AD3489"/>
    <w:rsid w:val="00AD42EA"/>
    <w:rsid w:val="00AE0A3B"/>
    <w:rsid w:val="00AE16A8"/>
    <w:rsid w:val="00AE4A6A"/>
    <w:rsid w:val="00AE6A89"/>
    <w:rsid w:val="00AF1B9D"/>
    <w:rsid w:val="00AF3328"/>
    <w:rsid w:val="00B24F23"/>
    <w:rsid w:val="00B44ED4"/>
    <w:rsid w:val="00B63315"/>
    <w:rsid w:val="00B76AAD"/>
    <w:rsid w:val="00B84C69"/>
    <w:rsid w:val="00B85FBB"/>
    <w:rsid w:val="00BB384A"/>
    <w:rsid w:val="00BE5260"/>
    <w:rsid w:val="00C004CE"/>
    <w:rsid w:val="00C100FA"/>
    <w:rsid w:val="00C11C50"/>
    <w:rsid w:val="00C40F9D"/>
    <w:rsid w:val="00C46E43"/>
    <w:rsid w:val="00CB51F8"/>
    <w:rsid w:val="00CF4613"/>
    <w:rsid w:val="00D36168"/>
    <w:rsid w:val="00D36D1A"/>
    <w:rsid w:val="00D41CEC"/>
    <w:rsid w:val="00D6593A"/>
    <w:rsid w:val="00D70ED1"/>
    <w:rsid w:val="00D7100C"/>
    <w:rsid w:val="00D7304D"/>
    <w:rsid w:val="00D87FE4"/>
    <w:rsid w:val="00DC1A25"/>
    <w:rsid w:val="00DE7157"/>
    <w:rsid w:val="00DE77B0"/>
    <w:rsid w:val="00DE7CB5"/>
    <w:rsid w:val="00DF288C"/>
    <w:rsid w:val="00E21F06"/>
    <w:rsid w:val="00E23142"/>
    <w:rsid w:val="00E233FA"/>
    <w:rsid w:val="00E30959"/>
    <w:rsid w:val="00E33635"/>
    <w:rsid w:val="00E339AC"/>
    <w:rsid w:val="00E429DA"/>
    <w:rsid w:val="00E46B16"/>
    <w:rsid w:val="00E67575"/>
    <w:rsid w:val="00EC601B"/>
    <w:rsid w:val="00EF4BF7"/>
    <w:rsid w:val="00F13432"/>
    <w:rsid w:val="00F454B1"/>
    <w:rsid w:val="00F52B96"/>
    <w:rsid w:val="00F53EDA"/>
    <w:rsid w:val="00F72C46"/>
    <w:rsid w:val="00F76BE3"/>
    <w:rsid w:val="00FA4B51"/>
    <w:rsid w:val="00FB788E"/>
    <w:rsid w:val="00FC774A"/>
    <w:rsid w:val="00FD164D"/>
    <w:rsid w:val="00FD7E47"/>
    <w:rsid w:val="4B2BEF3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FD0E78"/>
  <w15:chartTrackingRefBased/>
  <w15:docId w15:val="{0BE48BCE-06CC-480E-B36A-70EFF80F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2B0"/>
    <w:rPr>
      <w:rFonts w:ascii="Arial" w:hAnsi="Arial"/>
      <w:lang w:eastAsia="en-US"/>
    </w:rPr>
  </w:style>
  <w:style w:type="paragraph" w:styleId="Heading1">
    <w:name w:val="heading 1"/>
    <w:basedOn w:val="Normal"/>
    <w:next w:val="Normal"/>
    <w:qFormat/>
    <w:rsid w:val="00761DC0"/>
    <w:pPr>
      <w:keepNext/>
      <w:spacing w:before="240" w:after="60"/>
      <w:outlineLvl w:val="0"/>
    </w:pPr>
    <w:rPr>
      <w:b/>
      <w:caps/>
      <w:kern w:val="28"/>
      <w:sz w:val="24"/>
      <w:szCs w:val="24"/>
    </w:rPr>
  </w:style>
  <w:style w:type="paragraph" w:styleId="Heading2">
    <w:name w:val="heading 2"/>
    <w:basedOn w:val="Normal"/>
    <w:next w:val="Normal"/>
    <w:qFormat/>
    <w:rsid w:val="00761DC0"/>
    <w:pPr>
      <w:keepNext/>
      <w:numPr>
        <w:numId w:val="1"/>
      </w:numPr>
      <w:spacing w:before="240" w:after="60"/>
      <w:outlineLvl w:val="1"/>
    </w:pPr>
    <w:rPr>
      <w:b/>
      <w:caps/>
      <w:sz w:val="28"/>
      <w:szCs w:val="22"/>
    </w:rPr>
  </w:style>
  <w:style w:type="paragraph" w:styleId="Heading3">
    <w:name w:val="heading 3"/>
    <w:basedOn w:val="Heading2"/>
    <w:next w:val="Normal"/>
    <w:qFormat/>
    <w:rsid w:val="004B12B0"/>
    <w:pPr>
      <w:numPr>
        <w:ilvl w:val="1"/>
      </w:numPr>
      <w:tabs>
        <w:tab w:val="clear" w:pos="1440"/>
        <w:tab w:val="num" w:pos="709"/>
      </w:tabs>
      <w:ind w:left="709" w:hanging="709"/>
      <w:outlineLvl w:val="2"/>
    </w:pPr>
    <w:rPr>
      <w:sz w:val="24"/>
      <w:szCs w:val="20"/>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style>
  <w:style w:type="paragraph" w:styleId="Header">
    <w:name w:val="header"/>
    <w:basedOn w:val="Normal"/>
    <w:semiHidden/>
    <w:rsid w:val="00FA4B51"/>
    <w:pPr>
      <w:pBdr>
        <w:bottom w:val="single" w:sz="2" w:space="6" w:color="000000"/>
      </w:pBdr>
      <w:tabs>
        <w:tab w:val="right" w:pos="9356"/>
      </w:tabs>
      <w:spacing w:before="20" w:after="20"/>
      <w:jc w:val="both"/>
    </w:pPr>
    <w:rPr>
      <w:i/>
      <w:sz w:val="16"/>
    </w:rPr>
  </w:style>
  <w:style w:type="paragraph" w:styleId="Footer">
    <w:name w:val="footer"/>
    <w:basedOn w:val="Normal"/>
    <w:semiHidden/>
    <w:rsid w:val="00F72C46"/>
    <w:pPr>
      <w:pBdr>
        <w:top w:val="single" w:sz="2" w:space="6" w:color="000000"/>
      </w:pBdr>
      <w:tabs>
        <w:tab w:val="right" w:pos="9356"/>
      </w:tabs>
      <w:spacing w:before="20" w:after="20"/>
      <w:jc w:val="both"/>
    </w:pPr>
    <w:rPr>
      <w:b/>
      <w:i/>
      <w:sz w:val="16"/>
    </w:rPr>
  </w:style>
  <w:style w:type="character" w:styleId="PageNumber">
    <w:name w:val="page number"/>
    <w:semiHidden/>
    <w:rPr>
      <w:rFonts w:ascii="Arial" w:hAnsi="Arial"/>
      <w:sz w:val="16"/>
    </w:rPr>
  </w:style>
  <w:style w:type="paragraph" w:styleId="BodyText">
    <w:name w:val="Body Text"/>
    <w:basedOn w:val="Normal"/>
    <w:link w:val="BodyTextChar"/>
    <w:pPr>
      <w:spacing w:line="302" w:lineRule="exact"/>
      <w:ind w:left="737"/>
      <w:jc w:val="both"/>
    </w:pPr>
  </w:style>
  <w:style w:type="paragraph" w:styleId="Caption">
    <w:name w:val="caption"/>
    <w:basedOn w:val="Normal"/>
    <w:next w:val="Normal"/>
    <w:qFormat/>
    <w:pPr>
      <w:spacing w:before="120" w:after="120"/>
    </w:pPr>
    <w:rPr>
      <w:b/>
    </w:rPr>
  </w:style>
  <w:style w:type="paragraph" w:styleId="BodyText2">
    <w:name w:val="Body Text 2"/>
    <w:basedOn w:val="Normal"/>
    <w:semiHidden/>
    <w:pPr>
      <w:jc w:val="center"/>
    </w:pPr>
    <w:rPr>
      <w:b/>
      <w:sz w:val="24"/>
    </w:rPr>
  </w:style>
  <w:style w:type="paragraph" w:styleId="BodyText3">
    <w:name w:val="Body Text 3"/>
    <w:basedOn w:val="Normal"/>
    <w:semiHidden/>
    <w:pPr>
      <w:spacing w:before="4" w:line="211" w:lineRule="exact"/>
      <w:jc w:val="both"/>
    </w:pPr>
  </w:style>
  <w:style w:type="paragraph" w:styleId="BodyTextIndent">
    <w:name w:val="Body Text Indent"/>
    <w:basedOn w:val="Normal"/>
    <w:link w:val="BodyTextIndentChar"/>
    <w:rsid w:val="009C01CC"/>
    <w:pPr>
      <w:spacing w:before="60" w:after="60"/>
      <w:ind w:left="709"/>
      <w:jc w:val="both"/>
    </w:pPr>
  </w:style>
  <w:style w:type="paragraph" w:styleId="TOC1">
    <w:name w:val="toc 1"/>
    <w:basedOn w:val="Normal"/>
    <w:next w:val="Normal"/>
    <w:autoRedefine/>
    <w:uiPriority w:val="39"/>
    <w:rsid w:val="007A108F"/>
    <w:pPr>
      <w:tabs>
        <w:tab w:val="left" w:pos="567"/>
        <w:tab w:val="right" w:leader="dot" w:pos="9356"/>
      </w:tabs>
      <w:spacing w:before="120" w:after="120"/>
      <w:ind w:left="567" w:hanging="567"/>
    </w:pPr>
    <w:rPr>
      <w:b/>
      <w:caps/>
      <w:noProof/>
      <w:sz w:val="24"/>
    </w:rPr>
  </w:style>
  <w:style w:type="paragraph" w:styleId="TOC2">
    <w:name w:val="toc 2"/>
    <w:basedOn w:val="Normal"/>
    <w:next w:val="Normal"/>
    <w:autoRedefine/>
    <w:uiPriority w:val="39"/>
    <w:rsid w:val="006B61DD"/>
    <w:pPr>
      <w:tabs>
        <w:tab w:val="left" w:pos="1134"/>
        <w:tab w:val="right" w:leader="dot" w:pos="9356"/>
      </w:tabs>
      <w:ind w:left="1134" w:hanging="567"/>
    </w:pPr>
    <w:rPr>
      <w:rFonts w:eastAsiaTheme="minorEastAsia" w:cstheme="minorBidi"/>
      <w:b/>
      <w:smallCaps/>
      <w:noProof/>
      <w:sz w:val="22"/>
      <w:szCs w:val="22"/>
      <w:lang w:eastAsia="en-AU"/>
    </w:rPr>
  </w:style>
  <w:style w:type="paragraph" w:styleId="TOC3">
    <w:name w:val="toc 3"/>
    <w:basedOn w:val="Normal"/>
    <w:next w:val="Normal"/>
    <w:autoRedefine/>
    <w:semiHidden/>
    <w:pPr>
      <w:ind w:left="400"/>
    </w:pPr>
    <w:rPr>
      <w:rFonts w:ascii="Times New Roman" w:hAnsi="Times New Roman"/>
      <w:i/>
    </w:rPr>
  </w:style>
  <w:style w:type="paragraph" w:styleId="TOC4">
    <w:name w:val="toc 4"/>
    <w:basedOn w:val="Normal"/>
    <w:next w:val="Normal"/>
    <w:autoRedefine/>
    <w:semiHidden/>
    <w:pPr>
      <w:ind w:left="600"/>
    </w:pPr>
    <w:rPr>
      <w:rFonts w:ascii="Times New Roman" w:hAnsi="Times New Roman"/>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Normal"/>
    <w:next w:val="Normal"/>
    <w:autoRedefine/>
    <w:semiHidden/>
    <w:pPr>
      <w:ind w:left="1200"/>
    </w:pPr>
    <w:rPr>
      <w:rFonts w:ascii="Times New Roman" w:hAnsi="Times New Roman"/>
      <w:sz w:val="18"/>
    </w:rPr>
  </w:style>
  <w:style w:type="paragraph" w:styleId="TOC8">
    <w:name w:val="toc 8"/>
    <w:basedOn w:val="Normal"/>
    <w:next w:val="Normal"/>
    <w:autoRedefine/>
    <w:semiHidden/>
    <w:pPr>
      <w:ind w:left="1400"/>
    </w:pPr>
    <w:rPr>
      <w:rFonts w:ascii="Times New Roman" w:hAnsi="Times New Roman"/>
      <w:sz w:val="18"/>
    </w:rPr>
  </w:style>
  <w:style w:type="paragraph" w:styleId="TOC9">
    <w:name w:val="toc 9"/>
    <w:basedOn w:val="Normal"/>
    <w:next w:val="Normal"/>
    <w:autoRedefine/>
    <w:semiHidden/>
    <w:pPr>
      <w:ind w:left="1600"/>
    </w:pPr>
    <w:rPr>
      <w:rFonts w:ascii="Times New Roman" w:hAnsi="Times New Roman"/>
      <w:sz w:val="18"/>
    </w:rPr>
  </w:style>
  <w:style w:type="paragraph" w:customStyle="1" w:styleId="hdg1">
    <w:name w:val="hdg 1"/>
    <w:basedOn w:val="Normal"/>
    <w:next w:val="hdg2"/>
    <w:pPr>
      <w:keepNext/>
      <w:keepLines/>
      <w:pageBreakBefore/>
      <w:spacing w:before="360" w:after="360"/>
    </w:pPr>
    <w:rPr>
      <w:rFonts w:ascii="MarkingPenHeavy" w:hAnsi="MarkingPenHeavy"/>
      <w:i/>
      <w:caps/>
      <w:snapToGrid w:val="0"/>
      <w:color w:val="808080"/>
      <w:kern w:val="64"/>
      <w:sz w:val="64"/>
    </w:rPr>
  </w:style>
  <w:style w:type="paragraph" w:customStyle="1" w:styleId="hdg2">
    <w:name w:val="hdg 2"/>
    <w:basedOn w:val="Normal"/>
    <w:next w:val="hdg3"/>
    <w:pPr>
      <w:keepNext/>
      <w:keepLines/>
      <w:spacing w:before="240" w:after="240"/>
    </w:pPr>
    <w:rPr>
      <w:rFonts w:ascii="MarkingPenHeavy" w:hAnsi="MarkingPenHeavy"/>
      <w:i/>
      <w:caps/>
      <w:snapToGrid w:val="0"/>
      <w:color w:val="808080"/>
      <w:kern w:val="32"/>
      <w:sz w:val="32"/>
    </w:rPr>
  </w:style>
  <w:style w:type="paragraph" w:customStyle="1" w:styleId="hdg3">
    <w:name w:val="hdg 3"/>
    <w:basedOn w:val="Normal"/>
    <w:next w:val="hdg4"/>
    <w:pPr>
      <w:keepNext/>
      <w:keepLines/>
      <w:spacing w:before="120" w:after="120"/>
    </w:pPr>
    <w:rPr>
      <w:rFonts w:ascii="CG Times" w:hAnsi="CG Times"/>
      <w:b/>
      <w:caps/>
      <w:snapToGrid w:val="0"/>
      <w:sz w:val="24"/>
    </w:rPr>
  </w:style>
  <w:style w:type="paragraph" w:customStyle="1" w:styleId="hdg4">
    <w:name w:val="hdg 4"/>
    <w:basedOn w:val="Normal"/>
    <w:next w:val="BodyText"/>
    <w:pPr>
      <w:keepNext/>
      <w:keepLines/>
      <w:spacing w:before="60" w:after="60"/>
      <w:ind w:left="709"/>
    </w:pPr>
    <w:rPr>
      <w:b/>
      <w:snapToGrid w:val="0"/>
      <w:u w:val="single"/>
    </w:rPr>
  </w:style>
  <w:style w:type="paragraph" w:customStyle="1" w:styleId="Notes">
    <w:name w:val="Notes"/>
    <w:basedOn w:val="Normal"/>
    <w:next w:val="Normal"/>
    <w:rPr>
      <w:rFonts w:ascii="CG Times" w:hAnsi="CG Times"/>
      <w:sz w:val="18"/>
    </w:rPr>
  </w:style>
  <w:style w:type="paragraph" w:customStyle="1" w:styleId="bullets">
    <w:name w:val="bullets"/>
    <w:basedOn w:val="Normal"/>
    <w:next w:val="Normal"/>
    <w:pPr>
      <w:keepLines/>
      <w:numPr>
        <w:numId w:val="3"/>
      </w:numPr>
      <w:tabs>
        <w:tab w:val="clear" w:pos="360"/>
        <w:tab w:val="num" w:pos="1134"/>
      </w:tabs>
      <w:spacing w:before="120"/>
      <w:ind w:left="1134" w:hanging="425"/>
    </w:pPr>
  </w:style>
  <w:style w:type="paragraph" w:styleId="BodyTextIndent2">
    <w:name w:val="Body Text Indent 2"/>
    <w:basedOn w:val="Normal"/>
    <w:link w:val="BodyTextIndent2Char"/>
    <w:semiHidden/>
    <w:pPr>
      <w:spacing w:after="100"/>
      <w:ind w:left="709"/>
    </w:pPr>
  </w:style>
  <w:style w:type="paragraph" w:styleId="BlockText">
    <w:name w:val="Block Text"/>
    <w:basedOn w:val="Normal"/>
    <w:semiHidden/>
    <w:pPr>
      <w:spacing w:after="120"/>
      <w:ind w:left="1440" w:right="1440"/>
    </w:pPr>
  </w:style>
  <w:style w:type="paragraph" w:styleId="BodyTextIndent3">
    <w:name w:val="Body Text Indent 3"/>
    <w:basedOn w:val="Normal"/>
    <w:semiHidden/>
    <w:pPr>
      <w:ind w:left="709"/>
      <w:jc w:val="both"/>
    </w:pPr>
  </w:style>
  <w:style w:type="paragraph" w:customStyle="1" w:styleId="CoverHeading">
    <w:name w:val="Cover Heading"/>
    <w:basedOn w:val="Normal"/>
    <w:rsid w:val="00960636"/>
    <w:pPr>
      <w:spacing w:before="240" w:after="120"/>
      <w:jc w:val="center"/>
      <w:outlineLvl w:val="0"/>
    </w:pPr>
    <w:rPr>
      <w:b/>
      <w:caps/>
      <w:sz w:val="24"/>
      <w:lang w:eastAsia="en-AU"/>
    </w:rPr>
  </w:style>
  <w:style w:type="paragraph" w:customStyle="1" w:styleId="TableHeadCen">
    <w:name w:val="Table Head Cen"/>
    <w:basedOn w:val="Normal"/>
    <w:rsid w:val="00960636"/>
    <w:pPr>
      <w:spacing w:before="60" w:after="60"/>
      <w:jc w:val="center"/>
    </w:pPr>
    <w:rPr>
      <w:rFonts w:ascii="Arial Bold" w:hAnsi="Arial Bold"/>
      <w:b/>
      <w:sz w:val="18"/>
      <w:lang w:eastAsia="en-AU"/>
    </w:rPr>
  </w:style>
  <w:style w:type="paragraph" w:customStyle="1" w:styleId="Table">
    <w:name w:val="Table"/>
    <w:basedOn w:val="BodyTextIndent3"/>
    <w:rsid w:val="00960636"/>
    <w:pPr>
      <w:spacing w:before="40" w:after="40"/>
      <w:ind w:left="0"/>
      <w:jc w:val="left"/>
    </w:pPr>
    <w:rPr>
      <w:snapToGrid w:val="0"/>
      <w:sz w:val="18"/>
    </w:rPr>
  </w:style>
  <w:style w:type="paragraph" w:customStyle="1" w:styleId="TableCen">
    <w:name w:val="Table Cen"/>
    <w:basedOn w:val="Table"/>
    <w:rsid w:val="00960636"/>
    <w:pPr>
      <w:jc w:val="center"/>
    </w:pPr>
  </w:style>
  <w:style w:type="paragraph" w:customStyle="1" w:styleId="TableHead">
    <w:name w:val="Table Head"/>
    <w:basedOn w:val="Normal"/>
    <w:rsid w:val="00960636"/>
    <w:pPr>
      <w:spacing w:before="60" w:after="60"/>
    </w:pPr>
    <w:rPr>
      <w:b/>
      <w:sz w:val="18"/>
      <w:lang w:eastAsia="en-AU"/>
    </w:rPr>
  </w:style>
  <w:style w:type="paragraph" w:styleId="BalloonText">
    <w:name w:val="Balloon Text"/>
    <w:basedOn w:val="Normal"/>
    <w:link w:val="BalloonTextChar"/>
    <w:uiPriority w:val="99"/>
    <w:semiHidden/>
    <w:unhideWhenUsed/>
    <w:rsid w:val="00960636"/>
    <w:rPr>
      <w:rFonts w:ascii="Tahoma" w:hAnsi="Tahoma" w:cs="Tahoma"/>
      <w:sz w:val="16"/>
      <w:szCs w:val="16"/>
    </w:rPr>
  </w:style>
  <w:style w:type="character" w:customStyle="1" w:styleId="BalloonTextChar">
    <w:name w:val="Balloon Text Char"/>
    <w:link w:val="BalloonText"/>
    <w:uiPriority w:val="99"/>
    <w:semiHidden/>
    <w:rsid w:val="00960636"/>
    <w:rPr>
      <w:rFonts w:ascii="Tahoma" w:hAnsi="Tahoma" w:cs="Tahoma"/>
      <w:sz w:val="16"/>
      <w:szCs w:val="16"/>
      <w:lang w:eastAsia="en-US"/>
    </w:rPr>
  </w:style>
  <w:style w:type="paragraph" w:customStyle="1" w:styleId="BodyTextIndentBoldItalicCen">
    <w:name w:val="Body Text Indent Bold Italic Cen"/>
    <w:basedOn w:val="BodyTextIndent"/>
    <w:rsid w:val="00676FA3"/>
    <w:pPr>
      <w:jc w:val="center"/>
    </w:pPr>
    <w:rPr>
      <w:b/>
      <w:i/>
      <w:lang w:eastAsia="en-AU"/>
    </w:rPr>
  </w:style>
  <w:style w:type="paragraph" w:customStyle="1" w:styleId="BodyTextIndentDot">
    <w:name w:val="Body Text Indent Dot"/>
    <w:basedOn w:val="Normal"/>
    <w:qFormat/>
    <w:rsid w:val="00676FA3"/>
    <w:pPr>
      <w:numPr>
        <w:numId w:val="5"/>
      </w:numPr>
      <w:tabs>
        <w:tab w:val="clear" w:pos="360"/>
      </w:tabs>
      <w:spacing w:before="40" w:after="40"/>
      <w:ind w:left="1134" w:hanging="425"/>
      <w:jc w:val="both"/>
    </w:pPr>
    <w:rPr>
      <w:lang w:eastAsia="en-AU"/>
    </w:rPr>
  </w:style>
  <w:style w:type="paragraph" w:customStyle="1" w:styleId="BodyTextIndentBoldUnderline">
    <w:name w:val="Body Text Indent Bold Underline"/>
    <w:basedOn w:val="BodyTextIndent2"/>
    <w:qFormat/>
    <w:rsid w:val="009C01CC"/>
    <w:pPr>
      <w:spacing w:before="60" w:after="60"/>
      <w:jc w:val="both"/>
    </w:pPr>
    <w:rPr>
      <w:b/>
      <w:sz w:val="22"/>
      <w:u w:val="single"/>
    </w:rPr>
  </w:style>
  <w:style w:type="paragraph" w:customStyle="1" w:styleId="TableIDNum">
    <w:name w:val="Table ID Num"/>
    <w:basedOn w:val="BodyText"/>
    <w:next w:val="Normal"/>
    <w:qFormat/>
    <w:rsid w:val="004B12B0"/>
    <w:pPr>
      <w:spacing w:before="120" w:after="60" w:line="240" w:lineRule="auto"/>
      <w:ind w:left="709"/>
    </w:pPr>
    <w:rPr>
      <w:b/>
      <w:i/>
      <w:sz w:val="18"/>
      <w:lang w:eastAsia="en-AU"/>
    </w:rPr>
  </w:style>
  <w:style w:type="paragraph" w:customStyle="1" w:styleId="TableNote">
    <w:name w:val="Table Note"/>
    <w:basedOn w:val="Normal"/>
    <w:qFormat/>
    <w:rsid w:val="00A11301"/>
    <w:pPr>
      <w:spacing w:before="30" w:after="30"/>
      <w:ind w:left="1134" w:hanging="425"/>
      <w:jc w:val="both"/>
    </w:pPr>
    <w:rPr>
      <w:i/>
      <w:sz w:val="18"/>
      <w:szCs w:val="18"/>
      <w:lang w:eastAsia="en-AU"/>
    </w:rPr>
  </w:style>
  <w:style w:type="character" w:customStyle="1" w:styleId="BodyTextIndent2Char">
    <w:name w:val="Body Text Indent 2 Char"/>
    <w:link w:val="BodyTextIndent2"/>
    <w:semiHidden/>
    <w:rsid w:val="008C66F5"/>
    <w:rPr>
      <w:rFonts w:ascii="Arial" w:hAnsi="Arial"/>
      <w:lang w:eastAsia="en-US"/>
    </w:rPr>
  </w:style>
  <w:style w:type="paragraph" w:customStyle="1" w:styleId="BodyTextIndentDot2">
    <w:name w:val="Body Text Indent Dot 2"/>
    <w:basedOn w:val="BodyTextIndent"/>
    <w:qFormat/>
    <w:rsid w:val="009C1F66"/>
    <w:pPr>
      <w:numPr>
        <w:numId w:val="9"/>
      </w:numPr>
      <w:spacing w:after="0"/>
      <w:ind w:left="1701" w:hanging="567"/>
    </w:pPr>
  </w:style>
  <w:style w:type="character" w:customStyle="1" w:styleId="BodyTextChar">
    <w:name w:val="Body Text Char"/>
    <w:link w:val="BodyText"/>
    <w:rsid w:val="009C1F66"/>
    <w:rPr>
      <w:rFonts w:ascii="Arial" w:hAnsi="Arial"/>
      <w:lang w:eastAsia="en-US"/>
    </w:rPr>
  </w:style>
  <w:style w:type="character" w:customStyle="1" w:styleId="BodyTextIndentChar">
    <w:name w:val="Body Text Indent Char"/>
    <w:link w:val="BodyTextIndent"/>
    <w:rsid w:val="009C1F66"/>
    <w:rPr>
      <w:rFonts w:ascii="Arial" w:hAnsi="Arial"/>
      <w:lang w:eastAsia="en-US"/>
    </w:rPr>
  </w:style>
  <w:style w:type="paragraph" w:styleId="NormalWeb">
    <w:name w:val="Normal (Web)"/>
    <w:basedOn w:val="Normal"/>
    <w:uiPriority w:val="99"/>
    <w:semiHidden/>
    <w:unhideWhenUsed/>
    <w:rsid w:val="00FB788E"/>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4759DF36F0AA4389DA09C5F5563F7A" ma:contentTypeVersion="13" ma:contentTypeDescription="Create a new document." ma:contentTypeScope="" ma:versionID="2a343a1d58e6b6c69583b5a9a4e9bd9c">
  <xsd:schema xmlns:xsd="http://www.w3.org/2001/XMLSchema" xmlns:xs="http://www.w3.org/2001/XMLSchema" xmlns:p="http://schemas.microsoft.com/office/2006/metadata/properties" xmlns:ns2="4f40705d-e7da-4f43-bdce-ad8c70b86017" xmlns:ns3="1aac26e5-4c41-468c-83b0-97e8e79a919c" targetNamespace="http://schemas.microsoft.com/office/2006/metadata/properties" ma:root="true" ma:fieldsID="d09cfc405056459efc46a7c79e238e2a" ns2:_="" ns3:_="">
    <xsd:import namespace="4f40705d-e7da-4f43-bdce-ad8c70b86017"/>
    <xsd:import namespace="1aac26e5-4c41-468c-83b0-97e8e79a91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705d-e7da-4f43-bdce-ad8c70b86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c26e5-4c41-468c-83b0-97e8e79a91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628AF-D68A-40E4-9789-7C8460806A95}">
  <ds:schemaRefs>
    <ds:schemaRef ds:uri="http://schemas.microsoft.com/sharepoint/v3/contenttype/forms"/>
  </ds:schemaRefs>
</ds:datastoreItem>
</file>

<file path=customXml/itemProps2.xml><?xml version="1.0" encoding="utf-8"?>
<ds:datastoreItem xmlns:ds="http://schemas.openxmlformats.org/officeDocument/2006/customXml" ds:itemID="{4CD6024C-E503-4EA6-AB69-42A26A6044F3}">
  <ds:schemaRefs>
    <ds:schemaRef ds:uri="http://purl.org/dc/dcmitype/"/>
    <ds:schemaRef ds:uri="4f40705d-e7da-4f43-bdce-ad8c70b86017"/>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1aac26e5-4c41-468c-83b0-97e8e79a919c"/>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05879CB-C694-4C36-ABCB-782AD4FDF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705d-e7da-4f43-bdce-ad8c70b86017"/>
    <ds:schemaRef ds:uri="1aac26e5-4c41-468c-83b0-97e8e79a9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4527</Words>
  <Characters>26117</Characters>
  <Application>Microsoft Office Word</Application>
  <DocSecurity>0</DocSecurity>
  <Lines>217</Lines>
  <Paragraphs>61</Paragraphs>
  <ScaleCrop>false</ScaleCrop>
  <Manager>Bruce Hansen</Manager>
  <Company>Brisbane City Council</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Specifications for Civil Engineering Work 2001</dc:title>
  <dc:subject>S330 Sprayed Bituminous Surfacing</dc:subject>
  <dc:creator>Lucy Ting</dc:creator>
  <cp:keywords/>
  <dc:description/>
  <cp:lastModifiedBy>David Brady</cp:lastModifiedBy>
  <cp:revision>92</cp:revision>
  <cp:lastPrinted>2001-09-06T01:01:00Z</cp:lastPrinted>
  <dcterms:created xsi:type="dcterms:W3CDTF">2018-08-01T01:46:00Z</dcterms:created>
  <dcterms:modified xsi:type="dcterms:W3CDTF">2021-11-17T21:47:00Z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0x010100F74759DF36F0AA4389DA09C5F5563F7A</vt:lpwstr>
  </property>
</Properties>
</file>