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40C518" w14:textId="0CB14613" w:rsidR="001568E1" w:rsidRPr="000B7937" w:rsidRDefault="00CE2EB2" w:rsidP="000B7937">
      <w:pPr>
        <w:pStyle w:val="Heading1"/>
      </w:pPr>
      <w:bookmarkStart w:id="0" w:name="_Toc197934562"/>
      <w:bookmarkStart w:id="1" w:name="_Toc197935081"/>
      <w:bookmarkStart w:id="2" w:name="_Toc197936723"/>
      <w:r w:rsidRPr="000B7937">
        <w:rPr>
          <w:caps w:val="0"/>
        </w:rPr>
        <w:t>BRISBANE CITY COUNCIL</w:t>
      </w:r>
    </w:p>
    <w:p w14:paraId="40D6025C" w14:textId="60F7C503" w:rsidR="001568E1" w:rsidRDefault="00E1560F" w:rsidP="000B7937">
      <w:pPr>
        <w:pStyle w:val="Heading1"/>
      </w:pPr>
      <w:r>
        <w:rPr>
          <w:caps w:val="0"/>
        </w:rPr>
        <w:t>REFERENCE SPECIFICATIONS FOR ENGINEERING WORK</w:t>
      </w:r>
    </w:p>
    <w:p w14:paraId="3D54A430" w14:textId="7272E331" w:rsidR="00DC33D3" w:rsidRDefault="00E1560F" w:rsidP="000B7937">
      <w:pPr>
        <w:pStyle w:val="Heading1"/>
      </w:pPr>
      <w:r>
        <w:rPr>
          <w:caps w:val="0"/>
        </w:rPr>
        <w:t>S335 POLYMER MODIFIED EMULSION SURFACE TREATMENT</w:t>
      </w:r>
    </w:p>
    <w:p w14:paraId="5B0A2EC0" w14:textId="30F18A55" w:rsidR="000B7937" w:rsidRPr="000B7937" w:rsidRDefault="000B7937" w:rsidP="000B7937">
      <w:pPr>
        <w:sectPr w:rsidR="000B7937" w:rsidRPr="000B7937" w:rsidSect="00F42748">
          <w:headerReference w:type="default" r:id="rId10"/>
          <w:footerReference w:type="default" r:id="rId11"/>
          <w:pgSz w:w="11906" w:h="16838" w:code="9"/>
          <w:pgMar w:top="1134" w:right="1134" w:bottom="992" w:left="1418" w:header="1134" w:footer="851" w:gutter="0"/>
          <w:pgNumType w:start="1"/>
          <w:cols w:space="720"/>
        </w:sectPr>
      </w:pPr>
    </w:p>
    <w:p w14:paraId="47B9C859" w14:textId="5F3325CE" w:rsidR="003036C8" w:rsidRDefault="00E1560F" w:rsidP="00E1560F">
      <w:pPr>
        <w:pStyle w:val="Heading2"/>
        <w:numPr>
          <w:ilvl w:val="0"/>
          <w:numId w:val="0"/>
        </w:numPr>
        <w:ind w:left="720" w:hanging="720"/>
      </w:pPr>
      <w:r>
        <w:rPr>
          <w:caps w:val="0"/>
        </w:rPr>
        <w:lastRenderedPageBreak/>
        <w:t>AMENDMENT REGISTER</w:t>
      </w:r>
      <w:bookmarkEnd w:id="0"/>
      <w:bookmarkEnd w:id="1"/>
      <w:bookmarkEnd w:id="2"/>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310"/>
        <w:gridCol w:w="5528"/>
        <w:gridCol w:w="1417"/>
      </w:tblGrid>
      <w:tr w:rsidR="003036C8" w14:paraId="47B9C85E" w14:textId="77777777" w:rsidTr="00FB25E8">
        <w:tc>
          <w:tcPr>
            <w:tcW w:w="1242" w:type="dxa"/>
            <w:tcBorders>
              <w:top w:val="single" w:sz="12" w:space="0" w:color="auto"/>
              <w:left w:val="nil"/>
              <w:bottom w:val="single" w:sz="12" w:space="0" w:color="auto"/>
              <w:right w:val="single" w:sz="6" w:space="0" w:color="auto"/>
            </w:tcBorders>
            <w:shd w:val="pct10" w:color="auto" w:fill="auto"/>
            <w:vAlign w:val="center"/>
          </w:tcPr>
          <w:p w14:paraId="47B9C85A" w14:textId="77777777" w:rsidR="003036C8" w:rsidRDefault="003036C8" w:rsidP="00F44E99">
            <w:pPr>
              <w:pStyle w:val="TableHeadCen"/>
            </w:pPr>
            <w:r>
              <w:t>Ed/Rev Number</w:t>
            </w:r>
          </w:p>
        </w:tc>
        <w:tc>
          <w:tcPr>
            <w:tcW w:w="1310" w:type="dxa"/>
            <w:tcBorders>
              <w:top w:val="single" w:sz="12" w:space="0" w:color="auto"/>
              <w:left w:val="single" w:sz="6" w:space="0" w:color="auto"/>
              <w:bottom w:val="single" w:sz="12" w:space="0" w:color="auto"/>
              <w:right w:val="single" w:sz="6" w:space="0" w:color="auto"/>
            </w:tcBorders>
            <w:shd w:val="pct10" w:color="auto" w:fill="auto"/>
            <w:vAlign w:val="center"/>
          </w:tcPr>
          <w:p w14:paraId="47B9C85B" w14:textId="77777777" w:rsidR="003036C8" w:rsidRDefault="003036C8" w:rsidP="00F44E99">
            <w:pPr>
              <w:pStyle w:val="TableHeadCen"/>
            </w:pPr>
            <w:r>
              <w:t>Section Number</w:t>
            </w:r>
          </w:p>
        </w:tc>
        <w:tc>
          <w:tcPr>
            <w:tcW w:w="5528" w:type="dxa"/>
            <w:tcBorders>
              <w:top w:val="single" w:sz="12" w:space="0" w:color="auto"/>
              <w:left w:val="single" w:sz="6" w:space="0" w:color="auto"/>
              <w:bottom w:val="single" w:sz="12" w:space="0" w:color="auto"/>
              <w:right w:val="single" w:sz="6" w:space="0" w:color="auto"/>
            </w:tcBorders>
            <w:shd w:val="pct10" w:color="auto" w:fill="auto"/>
            <w:vAlign w:val="center"/>
          </w:tcPr>
          <w:p w14:paraId="47B9C85C" w14:textId="77777777" w:rsidR="003036C8" w:rsidRDefault="003036C8" w:rsidP="00F44E99">
            <w:pPr>
              <w:pStyle w:val="TableHead"/>
            </w:pPr>
            <w:r>
              <w:t>Description</w:t>
            </w:r>
          </w:p>
        </w:tc>
        <w:tc>
          <w:tcPr>
            <w:tcW w:w="1417" w:type="dxa"/>
            <w:tcBorders>
              <w:top w:val="single" w:sz="12" w:space="0" w:color="auto"/>
              <w:left w:val="single" w:sz="6" w:space="0" w:color="auto"/>
              <w:bottom w:val="single" w:sz="12" w:space="0" w:color="auto"/>
              <w:right w:val="nil"/>
            </w:tcBorders>
            <w:shd w:val="pct10" w:color="auto" w:fill="auto"/>
            <w:vAlign w:val="center"/>
          </w:tcPr>
          <w:p w14:paraId="47B9C85D" w14:textId="77777777" w:rsidR="003036C8" w:rsidRDefault="003036C8" w:rsidP="00F44E99">
            <w:pPr>
              <w:pStyle w:val="TableHeadCen"/>
            </w:pPr>
            <w:r>
              <w:t>Date</w:t>
            </w:r>
          </w:p>
        </w:tc>
      </w:tr>
      <w:tr w:rsidR="003036C8" w14:paraId="47B9C863" w14:textId="77777777" w:rsidTr="00FB25E8">
        <w:trPr>
          <w:trHeight w:val="340"/>
        </w:trPr>
        <w:tc>
          <w:tcPr>
            <w:tcW w:w="1242" w:type="dxa"/>
            <w:tcBorders>
              <w:top w:val="single" w:sz="12" w:space="0" w:color="auto"/>
              <w:left w:val="nil"/>
              <w:bottom w:val="single" w:sz="8" w:space="0" w:color="auto"/>
              <w:right w:val="single" w:sz="2" w:space="0" w:color="auto"/>
            </w:tcBorders>
            <w:vAlign w:val="center"/>
          </w:tcPr>
          <w:p w14:paraId="47B9C85F" w14:textId="77777777" w:rsidR="003036C8" w:rsidRDefault="003036C8" w:rsidP="00F44E99">
            <w:pPr>
              <w:pStyle w:val="TableCen"/>
            </w:pPr>
            <w:r>
              <w:t>1.0</w:t>
            </w:r>
          </w:p>
        </w:tc>
        <w:tc>
          <w:tcPr>
            <w:tcW w:w="1310" w:type="dxa"/>
            <w:tcBorders>
              <w:top w:val="single" w:sz="12" w:space="0" w:color="auto"/>
              <w:left w:val="single" w:sz="2" w:space="0" w:color="auto"/>
              <w:bottom w:val="single" w:sz="8" w:space="0" w:color="auto"/>
              <w:right w:val="single" w:sz="2" w:space="0" w:color="auto"/>
            </w:tcBorders>
            <w:vAlign w:val="center"/>
          </w:tcPr>
          <w:p w14:paraId="47B9C860" w14:textId="77777777" w:rsidR="003036C8" w:rsidRDefault="003036C8" w:rsidP="00F44E99">
            <w:pPr>
              <w:pStyle w:val="TableCen"/>
            </w:pPr>
          </w:p>
        </w:tc>
        <w:tc>
          <w:tcPr>
            <w:tcW w:w="5528" w:type="dxa"/>
            <w:tcBorders>
              <w:top w:val="single" w:sz="12" w:space="0" w:color="auto"/>
              <w:left w:val="single" w:sz="2" w:space="0" w:color="auto"/>
              <w:bottom w:val="single" w:sz="8" w:space="0" w:color="auto"/>
              <w:right w:val="single" w:sz="2" w:space="0" w:color="auto"/>
            </w:tcBorders>
            <w:vAlign w:val="center"/>
          </w:tcPr>
          <w:p w14:paraId="47B9C861" w14:textId="77777777" w:rsidR="003036C8" w:rsidRDefault="003036C8" w:rsidP="00F44E99">
            <w:pPr>
              <w:pStyle w:val="Table"/>
            </w:pPr>
            <w:r>
              <w:t>Original issue.</w:t>
            </w:r>
          </w:p>
        </w:tc>
        <w:tc>
          <w:tcPr>
            <w:tcW w:w="1417" w:type="dxa"/>
            <w:tcBorders>
              <w:top w:val="single" w:sz="12" w:space="0" w:color="auto"/>
              <w:left w:val="single" w:sz="2" w:space="0" w:color="auto"/>
              <w:bottom w:val="single" w:sz="8" w:space="0" w:color="auto"/>
              <w:right w:val="nil"/>
            </w:tcBorders>
            <w:vAlign w:val="center"/>
          </w:tcPr>
          <w:p w14:paraId="47B9C862" w14:textId="77777777" w:rsidR="003036C8" w:rsidRDefault="00296474" w:rsidP="00F44E99">
            <w:pPr>
              <w:pStyle w:val="TableCen"/>
            </w:pPr>
            <w:r>
              <w:rPr>
                <w:noProof/>
              </w:rPr>
              <w:t>Apr 2014</w:t>
            </w:r>
          </w:p>
        </w:tc>
      </w:tr>
      <w:tr w:rsidR="00F42748" w14:paraId="47B9C868" w14:textId="77777777" w:rsidTr="00916122">
        <w:trPr>
          <w:trHeight w:val="340"/>
        </w:trPr>
        <w:tc>
          <w:tcPr>
            <w:tcW w:w="1242" w:type="dxa"/>
            <w:tcBorders>
              <w:top w:val="single" w:sz="8" w:space="0" w:color="auto"/>
              <w:left w:val="nil"/>
              <w:bottom w:val="single" w:sz="8" w:space="0" w:color="auto"/>
              <w:right w:val="single" w:sz="2" w:space="0" w:color="auto"/>
            </w:tcBorders>
            <w:vAlign w:val="center"/>
          </w:tcPr>
          <w:p w14:paraId="47B9C864" w14:textId="77777777" w:rsidR="00F42748" w:rsidRDefault="000E2802" w:rsidP="00F44E99">
            <w:pPr>
              <w:pStyle w:val="TableCen"/>
            </w:pPr>
            <w:r>
              <w:t>2.0</w:t>
            </w:r>
          </w:p>
        </w:tc>
        <w:tc>
          <w:tcPr>
            <w:tcW w:w="1310" w:type="dxa"/>
            <w:tcBorders>
              <w:top w:val="single" w:sz="8" w:space="0" w:color="auto"/>
              <w:left w:val="single" w:sz="2" w:space="0" w:color="auto"/>
              <w:bottom w:val="single" w:sz="8" w:space="0" w:color="auto"/>
              <w:right w:val="single" w:sz="2" w:space="0" w:color="auto"/>
            </w:tcBorders>
            <w:vAlign w:val="center"/>
          </w:tcPr>
          <w:p w14:paraId="47B9C865" w14:textId="77777777" w:rsidR="00F42748" w:rsidRDefault="000E2802" w:rsidP="00F44E99">
            <w:pPr>
              <w:pStyle w:val="TableCen"/>
            </w:pPr>
            <w:r>
              <w:t>1.2 and 1.3</w:t>
            </w:r>
          </w:p>
        </w:tc>
        <w:tc>
          <w:tcPr>
            <w:tcW w:w="5528" w:type="dxa"/>
            <w:tcBorders>
              <w:top w:val="single" w:sz="8" w:space="0" w:color="auto"/>
              <w:left w:val="single" w:sz="2" w:space="0" w:color="auto"/>
              <w:bottom w:val="single" w:sz="8" w:space="0" w:color="auto"/>
              <w:right w:val="single" w:sz="2" w:space="0" w:color="auto"/>
            </w:tcBorders>
            <w:vAlign w:val="center"/>
          </w:tcPr>
          <w:p w14:paraId="47B9C866" w14:textId="77777777" w:rsidR="00F42748" w:rsidRDefault="000E2802" w:rsidP="00F44E99">
            <w:pPr>
              <w:pStyle w:val="Table"/>
            </w:pPr>
            <w:r w:rsidRPr="000E2802">
              <w:t>References list revised and updated</w:t>
            </w:r>
          </w:p>
        </w:tc>
        <w:tc>
          <w:tcPr>
            <w:tcW w:w="1417" w:type="dxa"/>
            <w:tcBorders>
              <w:top w:val="single" w:sz="8" w:space="0" w:color="auto"/>
              <w:left w:val="single" w:sz="2" w:space="0" w:color="auto"/>
              <w:bottom w:val="single" w:sz="8" w:space="0" w:color="auto"/>
              <w:right w:val="nil"/>
            </w:tcBorders>
            <w:vAlign w:val="center"/>
          </w:tcPr>
          <w:p w14:paraId="47B9C867" w14:textId="77777777" w:rsidR="00F42748" w:rsidRDefault="000E2802" w:rsidP="00F44E99">
            <w:pPr>
              <w:pStyle w:val="TableCen"/>
              <w:rPr>
                <w:noProof/>
              </w:rPr>
            </w:pPr>
            <w:r>
              <w:rPr>
                <w:noProof/>
              </w:rPr>
              <w:t>May 2016</w:t>
            </w:r>
          </w:p>
        </w:tc>
      </w:tr>
      <w:tr w:rsidR="006A1438" w14:paraId="1004BFB7" w14:textId="77777777" w:rsidTr="006A1438">
        <w:trPr>
          <w:trHeight w:val="340"/>
        </w:trPr>
        <w:tc>
          <w:tcPr>
            <w:tcW w:w="1242" w:type="dxa"/>
            <w:vMerge w:val="restart"/>
            <w:tcBorders>
              <w:top w:val="single" w:sz="8" w:space="0" w:color="auto"/>
              <w:left w:val="nil"/>
              <w:right w:val="single" w:sz="2" w:space="0" w:color="auto"/>
            </w:tcBorders>
            <w:vAlign w:val="center"/>
          </w:tcPr>
          <w:p w14:paraId="76B74102" w14:textId="0A386892" w:rsidR="006A1438" w:rsidRDefault="006A1438" w:rsidP="00FB25E8">
            <w:pPr>
              <w:pStyle w:val="TableCen"/>
            </w:pPr>
            <w:r>
              <w:t>3.0</w:t>
            </w:r>
          </w:p>
        </w:tc>
        <w:tc>
          <w:tcPr>
            <w:tcW w:w="1310" w:type="dxa"/>
            <w:tcBorders>
              <w:top w:val="single" w:sz="8" w:space="0" w:color="auto"/>
              <w:left w:val="single" w:sz="2" w:space="0" w:color="auto"/>
              <w:bottom w:val="single" w:sz="2" w:space="0" w:color="auto"/>
              <w:right w:val="single" w:sz="2" w:space="0" w:color="auto"/>
            </w:tcBorders>
            <w:vAlign w:val="center"/>
          </w:tcPr>
          <w:p w14:paraId="6F45E73B" w14:textId="27FF38D7" w:rsidR="006A1438" w:rsidRDefault="006A1438" w:rsidP="00FB25E8">
            <w:pPr>
              <w:pStyle w:val="TableCen"/>
            </w:pPr>
            <w:r>
              <w:t>General</w:t>
            </w:r>
          </w:p>
        </w:tc>
        <w:tc>
          <w:tcPr>
            <w:tcW w:w="5528" w:type="dxa"/>
            <w:tcBorders>
              <w:top w:val="single" w:sz="8" w:space="0" w:color="auto"/>
              <w:left w:val="single" w:sz="2" w:space="0" w:color="auto"/>
              <w:bottom w:val="single" w:sz="2" w:space="0" w:color="auto"/>
              <w:right w:val="single" w:sz="2" w:space="0" w:color="auto"/>
            </w:tcBorders>
            <w:vAlign w:val="center"/>
          </w:tcPr>
          <w:p w14:paraId="67C4A5DD" w14:textId="05345DBC" w:rsidR="006A1438" w:rsidRPr="000E2802" w:rsidRDefault="006A1438" w:rsidP="00FB25E8">
            <w:pPr>
              <w:pStyle w:val="Table"/>
            </w:pPr>
            <w:r w:rsidRPr="00AB07DE">
              <w:t>Document name changed from ‘Reference Specifications for Civil Engineering Work’ to ‘Reference Specifications for Engineering Work’</w:t>
            </w:r>
          </w:p>
        </w:tc>
        <w:tc>
          <w:tcPr>
            <w:tcW w:w="1417" w:type="dxa"/>
            <w:vMerge w:val="restart"/>
            <w:tcBorders>
              <w:top w:val="single" w:sz="8" w:space="0" w:color="auto"/>
              <w:left w:val="single" w:sz="2" w:space="0" w:color="auto"/>
              <w:right w:val="nil"/>
            </w:tcBorders>
            <w:vAlign w:val="center"/>
          </w:tcPr>
          <w:p w14:paraId="7E1BEA9F" w14:textId="20016C77" w:rsidR="006A1438" w:rsidRDefault="006B2EEC" w:rsidP="00FB25E8">
            <w:pPr>
              <w:pStyle w:val="TableCen"/>
              <w:rPr>
                <w:noProof/>
              </w:rPr>
            </w:pPr>
            <w:r>
              <w:t>Mar 2021</w:t>
            </w:r>
            <w:permStart w:id="1084322217" w:edGrp="everyone"/>
            <w:permEnd w:id="1084322217"/>
          </w:p>
        </w:tc>
      </w:tr>
      <w:tr w:rsidR="006A1438" w14:paraId="4ACAB91F" w14:textId="77777777" w:rsidTr="009161AD">
        <w:trPr>
          <w:trHeight w:val="340"/>
        </w:trPr>
        <w:tc>
          <w:tcPr>
            <w:tcW w:w="1242" w:type="dxa"/>
            <w:vMerge/>
            <w:tcBorders>
              <w:left w:val="nil"/>
              <w:bottom w:val="single" w:sz="12" w:space="0" w:color="auto"/>
              <w:right w:val="single" w:sz="2" w:space="0" w:color="auto"/>
            </w:tcBorders>
            <w:vAlign w:val="center"/>
          </w:tcPr>
          <w:p w14:paraId="68949A63" w14:textId="77777777" w:rsidR="006A1438" w:rsidRDefault="006A1438" w:rsidP="006A1438">
            <w:pPr>
              <w:pStyle w:val="TableCen"/>
            </w:pPr>
          </w:p>
        </w:tc>
        <w:tc>
          <w:tcPr>
            <w:tcW w:w="1310" w:type="dxa"/>
            <w:tcBorders>
              <w:top w:val="single" w:sz="2" w:space="0" w:color="auto"/>
              <w:left w:val="single" w:sz="2" w:space="0" w:color="auto"/>
              <w:bottom w:val="single" w:sz="12" w:space="0" w:color="auto"/>
              <w:right w:val="single" w:sz="2" w:space="0" w:color="auto"/>
            </w:tcBorders>
            <w:vAlign w:val="center"/>
          </w:tcPr>
          <w:p w14:paraId="27F3AF4B" w14:textId="4BB6DE5B" w:rsidR="006A1438" w:rsidRDefault="006A1438" w:rsidP="006A1438">
            <w:pPr>
              <w:pStyle w:val="TableCen"/>
            </w:pPr>
            <w:r>
              <w:t>1.3</w:t>
            </w:r>
          </w:p>
        </w:tc>
        <w:tc>
          <w:tcPr>
            <w:tcW w:w="5528" w:type="dxa"/>
            <w:tcBorders>
              <w:top w:val="single" w:sz="2" w:space="0" w:color="auto"/>
              <w:left w:val="single" w:sz="2" w:space="0" w:color="auto"/>
              <w:bottom w:val="single" w:sz="12" w:space="0" w:color="auto"/>
              <w:right w:val="single" w:sz="2" w:space="0" w:color="auto"/>
            </w:tcBorders>
            <w:vAlign w:val="center"/>
          </w:tcPr>
          <w:p w14:paraId="4A98963B" w14:textId="417D33D5" w:rsidR="006A1438" w:rsidRPr="00AB07DE" w:rsidRDefault="006A1438" w:rsidP="006A1438">
            <w:pPr>
              <w:pStyle w:val="Table"/>
            </w:pPr>
            <w:r>
              <w:t>References updated</w:t>
            </w:r>
          </w:p>
        </w:tc>
        <w:tc>
          <w:tcPr>
            <w:tcW w:w="1417" w:type="dxa"/>
            <w:vMerge/>
            <w:tcBorders>
              <w:left w:val="single" w:sz="2" w:space="0" w:color="auto"/>
              <w:bottom w:val="single" w:sz="12" w:space="0" w:color="auto"/>
              <w:right w:val="nil"/>
            </w:tcBorders>
            <w:vAlign w:val="center"/>
          </w:tcPr>
          <w:p w14:paraId="5AC821EF" w14:textId="77777777" w:rsidR="006A1438" w:rsidRDefault="006A1438" w:rsidP="006A1438">
            <w:pPr>
              <w:pStyle w:val="TableCen"/>
            </w:pPr>
          </w:p>
        </w:tc>
      </w:tr>
    </w:tbl>
    <w:p w14:paraId="47B9C869" w14:textId="77777777" w:rsidR="003036C8" w:rsidRDefault="003036C8" w:rsidP="003036C8"/>
    <w:p w14:paraId="47B9C86A" w14:textId="77777777" w:rsidR="003036C8" w:rsidRDefault="003036C8" w:rsidP="003036C8"/>
    <w:p w14:paraId="47B9C86B" w14:textId="77777777" w:rsidR="003036C8" w:rsidRDefault="003036C8" w:rsidP="003036C8"/>
    <w:p w14:paraId="47B9C86C" w14:textId="77777777" w:rsidR="003036C8" w:rsidRDefault="003036C8" w:rsidP="003036C8">
      <w:pPr>
        <w:pStyle w:val="BodyTextIndent"/>
        <w:sectPr w:rsidR="003036C8" w:rsidSect="00F42748">
          <w:headerReference w:type="default" r:id="rId12"/>
          <w:footerReference w:type="default" r:id="rId13"/>
          <w:pgSz w:w="11906" w:h="16838" w:code="9"/>
          <w:pgMar w:top="1134" w:right="1134" w:bottom="992" w:left="1418" w:header="1134" w:footer="851" w:gutter="0"/>
          <w:pgNumType w:start="1"/>
          <w:cols w:space="720"/>
        </w:sectPr>
      </w:pPr>
    </w:p>
    <w:p w14:paraId="47B9C86D" w14:textId="22B285D0" w:rsidR="003036C8" w:rsidRDefault="008258DD" w:rsidP="003036C8">
      <w:pPr>
        <w:pStyle w:val="BodyTextIndentBoldItalicCen"/>
        <w:sectPr w:rsidR="003036C8" w:rsidSect="00F42748">
          <w:headerReference w:type="even" r:id="rId14"/>
          <w:pgSz w:w="11906" w:h="16838" w:code="9"/>
          <w:pgMar w:top="1134" w:right="1134" w:bottom="992" w:left="1418" w:header="1134" w:footer="851" w:gutter="0"/>
          <w:pgNumType w:fmt="lowerRoman" w:start="1"/>
          <w:cols w:space="720"/>
          <w:vAlign w:val="center"/>
        </w:sectPr>
      </w:pPr>
      <w:r w:rsidRPr="00C62B5E">
        <w:lastRenderedPageBreak/>
        <w:t>(</w:t>
      </w:r>
      <w:r w:rsidR="003036C8" w:rsidRPr="00C62B5E">
        <w:t xml:space="preserve">This </w:t>
      </w:r>
      <w:r w:rsidRPr="00C62B5E">
        <w:t>Page Left Intentionally Blank)</w:t>
      </w:r>
    </w:p>
    <w:p w14:paraId="47B9C86E" w14:textId="77777777" w:rsidR="00DC3009" w:rsidRDefault="00DC3009" w:rsidP="00E1560F">
      <w:pPr>
        <w:pStyle w:val="Heading2"/>
        <w:numPr>
          <w:ilvl w:val="0"/>
          <w:numId w:val="0"/>
        </w:numPr>
        <w:ind w:left="720" w:hanging="720"/>
      </w:pPr>
      <w:bookmarkStart w:id="3" w:name="_Toc197934563"/>
      <w:bookmarkStart w:id="4" w:name="_Toc197935082"/>
      <w:bookmarkStart w:id="5" w:name="_Toc197936724"/>
      <w:r w:rsidRPr="005E132D">
        <w:lastRenderedPageBreak/>
        <w:t>TABLE OF CONTENTS</w:t>
      </w:r>
      <w:bookmarkEnd w:id="3"/>
      <w:bookmarkEnd w:id="4"/>
      <w:bookmarkEnd w:id="5"/>
    </w:p>
    <w:p w14:paraId="662A27D1" w14:textId="5DD6CA7F" w:rsidR="00104A79" w:rsidRDefault="00104A79">
      <w:pPr>
        <w:pStyle w:val="TOC1"/>
        <w:rPr>
          <w:rFonts w:asciiTheme="minorHAnsi" w:eastAsiaTheme="minorEastAsia" w:hAnsiTheme="minorHAnsi" w:cstheme="minorBidi"/>
          <w:b w:val="0"/>
          <w:caps w:val="0"/>
          <w:noProof/>
          <w:sz w:val="22"/>
          <w:szCs w:val="22"/>
          <w:lang w:eastAsia="en-AU"/>
        </w:rPr>
      </w:pPr>
      <w:r>
        <w:rPr>
          <w:b w:val="0"/>
          <w:caps w:val="0"/>
          <w:sz w:val="22"/>
        </w:rPr>
        <w:fldChar w:fldCharType="begin"/>
      </w:r>
      <w:r>
        <w:rPr>
          <w:b w:val="0"/>
          <w:caps w:val="0"/>
          <w:sz w:val="22"/>
        </w:rPr>
        <w:instrText xml:space="preserve"> TOC \t "Heading 2,1,Heading 3,2" </w:instrText>
      </w:r>
      <w:r>
        <w:rPr>
          <w:b w:val="0"/>
          <w:caps w:val="0"/>
          <w:sz w:val="22"/>
        </w:rPr>
        <w:fldChar w:fldCharType="separate"/>
      </w:r>
      <w:r>
        <w:rPr>
          <w:noProof/>
        </w:rPr>
        <w:t>1.0</w:t>
      </w:r>
      <w:r>
        <w:rPr>
          <w:rFonts w:asciiTheme="minorHAnsi" w:eastAsiaTheme="minorEastAsia" w:hAnsiTheme="minorHAnsi" w:cstheme="minorBidi"/>
          <w:b w:val="0"/>
          <w:caps w:val="0"/>
          <w:noProof/>
          <w:sz w:val="22"/>
          <w:szCs w:val="22"/>
          <w:lang w:eastAsia="en-AU"/>
        </w:rPr>
        <w:tab/>
      </w:r>
      <w:r>
        <w:rPr>
          <w:noProof/>
        </w:rPr>
        <w:t>General</w:t>
      </w:r>
      <w:r>
        <w:rPr>
          <w:noProof/>
        </w:rPr>
        <w:tab/>
      </w:r>
      <w:r>
        <w:rPr>
          <w:noProof/>
        </w:rPr>
        <w:fldChar w:fldCharType="begin"/>
      </w:r>
      <w:r>
        <w:rPr>
          <w:noProof/>
        </w:rPr>
        <w:instrText xml:space="preserve"> PAGEREF _Toc76106820 \h </w:instrText>
      </w:r>
      <w:r>
        <w:rPr>
          <w:noProof/>
        </w:rPr>
      </w:r>
      <w:r>
        <w:rPr>
          <w:noProof/>
        </w:rPr>
        <w:fldChar w:fldCharType="separate"/>
      </w:r>
      <w:r>
        <w:rPr>
          <w:noProof/>
        </w:rPr>
        <w:t>1</w:t>
      </w:r>
      <w:r>
        <w:rPr>
          <w:noProof/>
        </w:rPr>
        <w:fldChar w:fldCharType="end"/>
      </w:r>
    </w:p>
    <w:p w14:paraId="7A4668F8" w14:textId="71625692" w:rsidR="00104A79" w:rsidRDefault="00104A79">
      <w:pPr>
        <w:pStyle w:val="TOC2"/>
        <w:rPr>
          <w:rFonts w:asciiTheme="minorHAnsi" w:eastAsiaTheme="minorEastAsia" w:hAnsiTheme="minorHAnsi" w:cstheme="minorBidi"/>
          <w:b w:val="0"/>
          <w:smallCaps w:val="0"/>
          <w:lang w:eastAsia="en-AU"/>
        </w:rPr>
      </w:pPr>
      <w:r>
        <w:t>1.1</w:t>
      </w:r>
      <w:r>
        <w:rPr>
          <w:rFonts w:asciiTheme="minorHAnsi" w:eastAsiaTheme="minorEastAsia" w:hAnsiTheme="minorHAnsi" w:cstheme="minorBidi"/>
          <w:b w:val="0"/>
          <w:smallCaps w:val="0"/>
          <w:lang w:eastAsia="en-AU"/>
        </w:rPr>
        <w:tab/>
      </w:r>
      <w:r>
        <w:t>Section Content</w:t>
      </w:r>
      <w:r>
        <w:tab/>
      </w:r>
      <w:r>
        <w:fldChar w:fldCharType="begin"/>
      </w:r>
      <w:r>
        <w:instrText xml:space="preserve"> PAGEREF _Toc76106821 \h </w:instrText>
      </w:r>
      <w:r>
        <w:fldChar w:fldCharType="separate"/>
      </w:r>
      <w:r>
        <w:t>1</w:t>
      </w:r>
      <w:r>
        <w:fldChar w:fldCharType="end"/>
      </w:r>
    </w:p>
    <w:p w14:paraId="7A35EF72" w14:textId="1036EF47" w:rsidR="00104A79" w:rsidRDefault="00104A79">
      <w:pPr>
        <w:pStyle w:val="TOC2"/>
        <w:rPr>
          <w:rFonts w:asciiTheme="minorHAnsi" w:eastAsiaTheme="minorEastAsia" w:hAnsiTheme="minorHAnsi" w:cstheme="minorBidi"/>
          <w:b w:val="0"/>
          <w:smallCaps w:val="0"/>
          <w:lang w:eastAsia="en-AU"/>
        </w:rPr>
      </w:pPr>
      <w:r>
        <w:t>1.2</w:t>
      </w:r>
      <w:r>
        <w:rPr>
          <w:rFonts w:asciiTheme="minorHAnsi" w:eastAsiaTheme="minorEastAsia" w:hAnsiTheme="minorHAnsi" w:cstheme="minorBidi"/>
          <w:b w:val="0"/>
          <w:smallCaps w:val="0"/>
          <w:lang w:eastAsia="en-AU"/>
        </w:rPr>
        <w:tab/>
      </w:r>
      <w:r>
        <w:t>Standards</w:t>
      </w:r>
      <w:r>
        <w:tab/>
      </w:r>
      <w:r>
        <w:fldChar w:fldCharType="begin"/>
      </w:r>
      <w:r>
        <w:instrText xml:space="preserve"> PAGEREF _Toc76106822 \h </w:instrText>
      </w:r>
      <w:r>
        <w:fldChar w:fldCharType="separate"/>
      </w:r>
      <w:r>
        <w:t>1</w:t>
      </w:r>
      <w:r>
        <w:fldChar w:fldCharType="end"/>
      </w:r>
    </w:p>
    <w:p w14:paraId="022FE446" w14:textId="41C31DBD" w:rsidR="00104A79" w:rsidRDefault="00104A79">
      <w:pPr>
        <w:pStyle w:val="TOC2"/>
        <w:rPr>
          <w:rFonts w:asciiTheme="minorHAnsi" w:eastAsiaTheme="minorEastAsia" w:hAnsiTheme="minorHAnsi" w:cstheme="minorBidi"/>
          <w:b w:val="0"/>
          <w:smallCaps w:val="0"/>
          <w:lang w:eastAsia="en-AU"/>
        </w:rPr>
      </w:pPr>
      <w:r>
        <w:t>1.3</w:t>
      </w:r>
      <w:r>
        <w:rPr>
          <w:rFonts w:asciiTheme="minorHAnsi" w:eastAsiaTheme="minorEastAsia" w:hAnsiTheme="minorHAnsi" w:cstheme="minorBidi"/>
          <w:b w:val="0"/>
          <w:smallCaps w:val="0"/>
          <w:lang w:eastAsia="en-AU"/>
        </w:rPr>
        <w:tab/>
      </w:r>
      <w:r>
        <w:t>References</w:t>
      </w:r>
      <w:r>
        <w:tab/>
      </w:r>
      <w:r>
        <w:fldChar w:fldCharType="begin"/>
      </w:r>
      <w:r>
        <w:instrText xml:space="preserve"> PAGEREF _Toc76106823 \h </w:instrText>
      </w:r>
      <w:r>
        <w:fldChar w:fldCharType="separate"/>
      </w:r>
      <w:r>
        <w:t>1</w:t>
      </w:r>
      <w:r>
        <w:fldChar w:fldCharType="end"/>
      </w:r>
    </w:p>
    <w:p w14:paraId="02550EA6" w14:textId="4CDD9FD9" w:rsidR="00104A79" w:rsidRDefault="00104A79">
      <w:pPr>
        <w:pStyle w:val="TOC2"/>
        <w:rPr>
          <w:rFonts w:asciiTheme="minorHAnsi" w:eastAsiaTheme="minorEastAsia" w:hAnsiTheme="minorHAnsi" w:cstheme="minorBidi"/>
          <w:b w:val="0"/>
          <w:smallCaps w:val="0"/>
          <w:lang w:eastAsia="en-AU"/>
        </w:rPr>
      </w:pPr>
      <w:r>
        <w:t>1.4</w:t>
      </w:r>
      <w:r>
        <w:rPr>
          <w:rFonts w:asciiTheme="minorHAnsi" w:eastAsiaTheme="minorEastAsia" w:hAnsiTheme="minorHAnsi" w:cstheme="minorBidi"/>
          <w:b w:val="0"/>
          <w:smallCaps w:val="0"/>
          <w:lang w:eastAsia="en-AU"/>
        </w:rPr>
        <w:tab/>
      </w:r>
      <w:r>
        <w:t>Definitions</w:t>
      </w:r>
      <w:r>
        <w:tab/>
      </w:r>
      <w:r>
        <w:fldChar w:fldCharType="begin"/>
      </w:r>
      <w:r>
        <w:instrText xml:space="preserve"> PAGEREF _Toc76106824 \h </w:instrText>
      </w:r>
      <w:r>
        <w:fldChar w:fldCharType="separate"/>
      </w:r>
      <w:r>
        <w:t>1</w:t>
      </w:r>
      <w:r>
        <w:fldChar w:fldCharType="end"/>
      </w:r>
    </w:p>
    <w:p w14:paraId="141FB925" w14:textId="27F31ABC" w:rsidR="00104A79" w:rsidRDefault="00104A79">
      <w:pPr>
        <w:pStyle w:val="TOC1"/>
        <w:rPr>
          <w:rFonts w:asciiTheme="minorHAnsi" w:eastAsiaTheme="minorEastAsia" w:hAnsiTheme="minorHAnsi" w:cstheme="minorBidi"/>
          <w:b w:val="0"/>
          <w:caps w:val="0"/>
          <w:noProof/>
          <w:sz w:val="22"/>
          <w:szCs w:val="22"/>
          <w:lang w:eastAsia="en-AU"/>
        </w:rPr>
      </w:pPr>
      <w:r>
        <w:rPr>
          <w:noProof/>
        </w:rPr>
        <w:t>2.0</w:t>
      </w:r>
      <w:r>
        <w:rPr>
          <w:rFonts w:asciiTheme="minorHAnsi" w:eastAsiaTheme="minorEastAsia" w:hAnsiTheme="minorHAnsi" w:cstheme="minorBidi"/>
          <w:b w:val="0"/>
          <w:caps w:val="0"/>
          <w:noProof/>
          <w:sz w:val="22"/>
          <w:szCs w:val="22"/>
          <w:lang w:eastAsia="en-AU"/>
        </w:rPr>
        <w:tab/>
      </w:r>
      <w:r>
        <w:rPr>
          <w:noProof/>
        </w:rPr>
        <w:t>QUALITY</w:t>
      </w:r>
      <w:r>
        <w:rPr>
          <w:noProof/>
        </w:rPr>
        <w:tab/>
      </w:r>
      <w:r>
        <w:rPr>
          <w:noProof/>
        </w:rPr>
        <w:fldChar w:fldCharType="begin"/>
      </w:r>
      <w:r>
        <w:rPr>
          <w:noProof/>
        </w:rPr>
        <w:instrText xml:space="preserve"> PAGEREF _Toc76106825 \h </w:instrText>
      </w:r>
      <w:r>
        <w:rPr>
          <w:noProof/>
        </w:rPr>
      </w:r>
      <w:r>
        <w:rPr>
          <w:noProof/>
        </w:rPr>
        <w:fldChar w:fldCharType="separate"/>
      </w:r>
      <w:r>
        <w:rPr>
          <w:noProof/>
        </w:rPr>
        <w:t>1</w:t>
      </w:r>
      <w:r>
        <w:rPr>
          <w:noProof/>
        </w:rPr>
        <w:fldChar w:fldCharType="end"/>
      </w:r>
    </w:p>
    <w:p w14:paraId="200E8BD1" w14:textId="157FF2CC" w:rsidR="00104A79" w:rsidRDefault="00104A79">
      <w:pPr>
        <w:pStyle w:val="TOC2"/>
        <w:rPr>
          <w:rFonts w:asciiTheme="minorHAnsi" w:eastAsiaTheme="minorEastAsia" w:hAnsiTheme="minorHAnsi" w:cstheme="minorBidi"/>
          <w:b w:val="0"/>
          <w:smallCaps w:val="0"/>
          <w:lang w:eastAsia="en-AU"/>
        </w:rPr>
      </w:pPr>
      <w:r>
        <w:t>2.1</w:t>
      </w:r>
      <w:r>
        <w:rPr>
          <w:rFonts w:asciiTheme="minorHAnsi" w:eastAsiaTheme="minorEastAsia" w:hAnsiTheme="minorHAnsi" w:cstheme="minorBidi"/>
          <w:b w:val="0"/>
          <w:smallCaps w:val="0"/>
          <w:lang w:eastAsia="en-AU"/>
        </w:rPr>
        <w:tab/>
      </w:r>
      <w:r>
        <w:t>Quality System</w:t>
      </w:r>
      <w:r>
        <w:tab/>
      </w:r>
      <w:r>
        <w:fldChar w:fldCharType="begin"/>
      </w:r>
      <w:r>
        <w:instrText xml:space="preserve"> PAGEREF _Toc76106826 \h </w:instrText>
      </w:r>
      <w:r>
        <w:fldChar w:fldCharType="separate"/>
      </w:r>
      <w:r>
        <w:t>1</w:t>
      </w:r>
      <w:r>
        <w:fldChar w:fldCharType="end"/>
      </w:r>
    </w:p>
    <w:p w14:paraId="691698CC" w14:textId="701AD3DD" w:rsidR="00104A79" w:rsidRDefault="00104A79">
      <w:pPr>
        <w:pStyle w:val="TOC2"/>
        <w:rPr>
          <w:rFonts w:asciiTheme="minorHAnsi" w:eastAsiaTheme="minorEastAsia" w:hAnsiTheme="minorHAnsi" w:cstheme="minorBidi"/>
          <w:b w:val="0"/>
          <w:smallCaps w:val="0"/>
          <w:lang w:eastAsia="en-AU"/>
        </w:rPr>
      </w:pPr>
      <w:r>
        <w:t>2.2</w:t>
      </w:r>
      <w:r>
        <w:rPr>
          <w:rFonts w:asciiTheme="minorHAnsi" w:eastAsiaTheme="minorEastAsia" w:hAnsiTheme="minorHAnsi" w:cstheme="minorBidi"/>
          <w:b w:val="0"/>
          <w:smallCaps w:val="0"/>
          <w:lang w:eastAsia="en-AU"/>
        </w:rPr>
        <w:tab/>
      </w:r>
      <w:r>
        <w:t>Inspection</w:t>
      </w:r>
      <w:r>
        <w:tab/>
      </w:r>
      <w:r>
        <w:fldChar w:fldCharType="begin"/>
      </w:r>
      <w:r>
        <w:instrText xml:space="preserve"> PAGEREF _Toc76106827 \h </w:instrText>
      </w:r>
      <w:r>
        <w:fldChar w:fldCharType="separate"/>
      </w:r>
      <w:r>
        <w:t>2</w:t>
      </w:r>
      <w:r>
        <w:fldChar w:fldCharType="end"/>
      </w:r>
    </w:p>
    <w:p w14:paraId="22F0C9DD" w14:textId="64D164CC" w:rsidR="00104A79" w:rsidRDefault="00104A79">
      <w:pPr>
        <w:pStyle w:val="TOC2"/>
        <w:rPr>
          <w:rFonts w:asciiTheme="minorHAnsi" w:eastAsiaTheme="minorEastAsia" w:hAnsiTheme="minorHAnsi" w:cstheme="minorBidi"/>
          <w:b w:val="0"/>
          <w:smallCaps w:val="0"/>
          <w:lang w:eastAsia="en-AU"/>
        </w:rPr>
      </w:pPr>
      <w:r>
        <w:t>2.3</w:t>
      </w:r>
      <w:r>
        <w:rPr>
          <w:rFonts w:asciiTheme="minorHAnsi" w:eastAsiaTheme="minorEastAsia" w:hAnsiTheme="minorHAnsi" w:cstheme="minorBidi"/>
          <w:b w:val="0"/>
          <w:smallCaps w:val="0"/>
          <w:lang w:eastAsia="en-AU"/>
        </w:rPr>
        <w:tab/>
      </w:r>
      <w:r>
        <w:t>Tests</w:t>
      </w:r>
      <w:r>
        <w:tab/>
      </w:r>
      <w:r>
        <w:fldChar w:fldCharType="begin"/>
      </w:r>
      <w:r>
        <w:instrText xml:space="preserve"> PAGEREF _Toc76106828 \h </w:instrText>
      </w:r>
      <w:r>
        <w:fldChar w:fldCharType="separate"/>
      </w:r>
      <w:r>
        <w:t>2</w:t>
      </w:r>
      <w:r>
        <w:fldChar w:fldCharType="end"/>
      </w:r>
    </w:p>
    <w:p w14:paraId="0A7CF184" w14:textId="1BCF24E8" w:rsidR="00104A79" w:rsidRDefault="00104A79">
      <w:pPr>
        <w:pStyle w:val="TOC2"/>
        <w:rPr>
          <w:rFonts w:asciiTheme="minorHAnsi" w:eastAsiaTheme="minorEastAsia" w:hAnsiTheme="minorHAnsi" w:cstheme="minorBidi"/>
          <w:b w:val="0"/>
          <w:smallCaps w:val="0"/>
          <w:lang w:eastAsia="en-AU"/>
        </w:rPr>
      </w:pPr>
      <w:r>
        <w:t>2.4</w:t>
      </w:r>
      <w:r>
        <w:rPr>
          <w:rFonts w:asciiTheme="minorHAnsi" w:eastAsiaTheme="minorEastAsia" w:hAnsiTheme="minorHAnsi" w:cstheme="minorBidi"/>
          <w:b w:val="0"/>
          <w:smallCaps w:val="0"/>
          <w:lang w:eastAsia="en-AU"/>
        </w:rPr>
        <w:tab/>
      </w:r>
      <w:r>
        <w:t>Submissions</w:t>
      </w:r>
      <w:r>
        <w:tab/>
      </w:r>
      <w:r>
        <w:fldChar w:fldCharType="begin"/>
      </w:r>
      <w:r>
        <w:instrText xml:space="preserve"> PAGEREF _Toc76106829 \h </w:instrText>
      </w:r>
      <w:r>
        <w:fldChar w:fldCharType="separate"/>
      </w:r>
      <w:r>
        <w:t>2</w:t>
      </w:r>
      <w:r>
        <w:fldChar w:fldCharType="end"/>
      </w:r>
    </w:p>
    <w:p w14:paraId="7649FA57" w14:textId="09DAAD52" w:rsidR="00104A79" w:rsidRDefault="00104A79">
      <w:pPr>
        <w:pStyle w:val="TOC1"/>
        <w:rPr>
          <w:rFonts w:asciiTheme="minorHAnsi" w:eastAsiaTheme="minorEastAsia" w:hAnsiTheme="minorHAnsi" w:cstheme="minorBidi"/>
          <w:b w:val="0"/>
          <w:caps w:val="0"/>
          <w:noProof/>
          <w:sz w:val="22"/>
          <w:szCs w:val="22"/>
          <w:lang w:eastAsia="en-AU"/>
        </w:rPr>
      </w:pPr>
      <w:r>
        <w:rPr>
          <w:noProof/>
        </w:rPr>
        <w:t>3.0</w:t>
      </w:r>
      <w:r>
        <w:rPr>
          <w:rFonts w:asciiTheme="minorHAnsi" w:eastAsiaTheme="minorEastAsia" w:hAnsiTheme="minorHAnsi" w:cstheme="minorBidi"/>
          <w:b w:val="0"/>
          <w:caps w:val="0"/>
          <w:noProof/>
          <w:sz w:val="22"/>
          <w:szCs w:val="22"/>
          <w:lang w:eastAsia="en-AU"/>
        </w:rPr>
        <w:tab/>
      </w:r>
      <w:r>
        <w:rPr>
          <w:noProof/>
        </w:rPr>
        <w:t>MATERIALS</w:t>
      </w:r>
      <w:r>
        <w:rPr>
          <w:noProof/>
        </w:rPr>
        <w:tab/>
      </w:r>
      <w:r>
        <w:rPr>
          <w:noProof/>
        </w:rPr>
        <w:fldChar w:fldCharType="begin"/>
      </w:r>
      <w:r>
        <w:rPr>
          <w:noProof/>
        </w:rPr>
        <w:instrText xml:space="preserve"> PAGEREF _Toc76106830 \h </w:instrText>
      </w:r>
      <w:r>
        <w:rPr>
          <w:noProof/>
        </w:rPr>
      </w:r>
      <w:r>
        <w:rPr>
          <w:noProof/>
        </w:rPr>
        <w:fldChar w:fldCharType="separate"/>
      </w:r>
      <w:r>
        <w:rPr>
          <w:noProof/>
        </w:rPr>
        <w:t>3</w:t>
      </w:r>
      <w:r>
        <w:rPr>
          <w:noProof/>
        </w:rPr>
        <w:fldChar w:fldCharType="end"/>
      </w:r>
    </w:p>
    <w:p w14:paraId="0F15CDF3" w14:textId="6AAC2E48" w:rsidR="00104A79" w:rsidRDefault="00104A79">
      <w:pPr>
        <w:pStyle w:val="TOC2"/>
        <w:rPr>
          <w:rFonts w:asciiTheme="minorHAnsi" w:eastAsiaTheme="minorEastAsia" w:hAnsiTheme="minorHAnsi" w:cstheme="minorBidi"/>
          <w:b w:val="0"/>
          <w:smallCaps w:val="0"/>
          <w:lang w:eastAsia="en-AU"/>
        </w:rPr>
      </w:pPr>
      <w:r>
        <w:t>3.1</w:t>
      </w:r>
      <w:r>
        <w:rPr>
          <w:rFonts w:asciiTheme="minorHAnsi" w:eastAsiaTheme="minorEastAsia" w:hAnsiTheme="minorHAnsi" w:cstheme="minorBidi"/>
          <w:b w:val="0"/>
          <w:smallCaps w:val="0"/>
          <w:lang w:eastAsia="en-AU"/>
        </w:rPr>
        <w:tab/>
      </w:r>
      <w:r>
        <w:t>Aggregate</w:t>
      </w:r>
      <w:r>
        <w:tab/>
      </w:r>
      <w:r>
        <w:fldChar w:fldCharType="begin"/>
      </w:r>
      <w:r>
        <w:instrText xml:space="preserve"> PAGEREF _Toc76106831 \h </w:instrText>
      </w:r>
      <w:r>
        <w:fldChar w:fldCharType="separate"/>
      </w:r>
      <w:r>
        <w:t>3</w:t>
      </w:r>
      <w:r>
        <w:fldChar w:fldCharType="end"/>
      </w:r>
    </w:p>
    <w:p w14:paraId="528A9DF2" w14:textId="3B5529E9" w:rsidR="00104A79" w:rsidRDefault="00104A79">
      <w:pPr>
        <w:pStyle w:val="TOC2"/>
        <w:rPr>
          <w:rFonts w:asciiTheme="minorHAnsi" w:eastAsiaTheme="minorEastAsia" w:hAnsiTheme="minorHAnsi" w:cstheme="minorBidi"/>
          <w:b w:val="0"/>
          <w:smallCaps w:val="0"/>
          <w:lang w:eastAsia="en-AU"/>
        </w:rPr>
      </w:pPr>
      <w:r>
        <w:t>3.2</w:t>
      </w:r>
      <w:r>
        <w:rPr>
          <w:rFonts w:asciiTheme="minorHAnsi" w:eastAsiaTheme="minorEastAsia" w:hAnsiTheme="minorHAnsi" w:cstheme="minorBidi"/>
          <w:b w:val="0"/>
          <w:smallCaps w:val="0"/>
          <w:lang w:eastAsia="en-AU"/>
        </w:rPr>
        <w:tab/>
      </w:r>
      <w:r>
        <w:t>Filler</w:t>
      </w:r>
      <w:r>
        <w:tab/>
      </w:r>
      <w:r>
        <w:fldChar w:fldCharType="begin"/>
      </w:r>
      <w:r>
        <w:instrText xml:space="preserve"> PAGEREF _Toc76106832 \h </w:instrText>
      </w:r>
      <w:r>
        <w:fldChar w:fldCharType="separate"/>
      </w:r>
      <w:r>
        <w:t>3</w:t>
      </w:r>
      <w:r>
        <w:fldChar w:fldCharType="end"/>
      </w:r>
    </w:p>
    <w:p w14:paraId="2ADA2F5F" w14:textId="2FDFF23F" w:rsidR="00104A79" w:rsidRDefault="00104A79">
      <w:pPr>
        <w:pStyle w:val="TOC2"/>
        <w:rPr>
          <w:rFonts w:asciiTheme="minorHAnsi" w:eastAsiaTheme="minorEastAsia" w:hAnsiTheme="minorHAnsi" w:cstheme="minorBidi"/>
          <w:b w:val="0"/>
          <w:smallCaps w:val="0"/>
          <w:lang w:eastAsia="en-AU"/>
        </w:rPr>
      </w:pPr>
      <w:r>
        <w:t>3.3</w:t>
      </w:r>
      <w:r>
        <w:rPr>
          <w:rFonts w:asciiTheme="minorHAnsi" w:eastAsiaTheme="minorEastAsia" w:hAnsiTheme="minorHAnsi" w:cstheme="minorBidi"/>
          <w:b w:val="0"/>
          <w:smallCaps w:val="0"/>
          <w:lang w:eastAsia="en-AU"/>
        </w:rPr>
        <w:tab/>
      </w:r>
      <w:r>
        <w:t>Bitumen</w:t>
      </w:r>
      <w:r>
        <w:tab/>
      </w:r>
      <w:r>
        <w:fldChar w:fldCharType="begin"/>
      </w:r>
      <w:r>
        <w:instrText xml:space="preserve"> PAGEREF _Toc76106833 \h </w:instrText>
      </w:r>
      <w:r>
        <w:fldChar w:fldCharType="separate"/>
      </w:r>
      <w:r>
        <w:t>3</w:t>
      </w:r>
      <w:r>
        <w:fldChar w:fldCharType="end"/>
      </w:r>
    </w:p>
    <w:p w14:paraId="0F581CEA" w14:textId="473FD2EF" w:rsidR="00104A79" w:rsidRDefault="00104A79">
      <w:pPr>
        <w:pStyle w:val="TOC1"/>
        <w:rPr>
          <w:rFonts w:asciiTheme="minorHAnsi" w:eastAsiaTheme="minorEastAsia" w:hAnsiTheme="minorHAnsi" w:cstheme="minorBidi"/>
          <w:b w:val="0"/>
          <w:caps w:val="0"/>
          <w:noProof/>
          <w:sz w:val="22"/>
          <w:szCs w:val="22"/>
          <w:lang w:eastAsia="en-AU"/>
        </w:rPr>
      </w:pPr>
      <w:r>
        <w:rPr>
          <w:noProof/>
        </w:rPr>
        <w:t>4.0</w:t>
      </w:r>
      <w:r>
        <w:rPr>
          <w:rFonts w:asciiTheme="minorHAnsi" w:eastAsiaTheme="minorEastAsia" w:hAnsiTheme="minorHAnsi" w:cstheme="minorBidi"/>
          <w:b w:val="0"/>
          <w:caps w:val="0"/>
          <w:noProof/>
          <w:sz w:val="22"/>
          <w:szCs w:val="22"/>
          <w:lang w:eastAsia="en-AU"/>
        </w:rPr>
        <w:tab/>
      </w:r>
      <w:r>
        <w:rPr>
          <w:noProof/>
        </w:rPr>
        <w:t>MIX DESIGN</w:t>
      </w:r>
      <w:r>
        <w:rPr>
          <w:noProof/>
        </w:rPr>
        <w:tab/>
      </w:r>
      <w:r>
        <w:rPr>
          <w:noProof/>
        </w:rPr>
        <w:fldChar w:fldCharType="begin"/>
      </w:r>
      <w:r>
        <w:rPr>
          <w:noProof/>
        </w:rPr>
        <w:instrText xml:space="preserve"> PAGEREF _Toc76106834 \h </w:instrText>
      </w:r>
      <w:r>
        <w:rPr>
          <w:noProof/>
        </w:rPr>
      </w:r>
      <w:r>
        <w:rPr>
          <w:noProof/>
        </w:rPr>
        <w:fldChar w:fldCharType="separate"/>
      </w:r>
      <w:r>
        <w:rPr>
          <w:noProof/>
        </w:rPr>
        <w:t>3</w:t>
      </w:r>
      <w:r>
        <w:rPr>
          <w:noProof/>
        </w:rPr>
        <w:fldChar w:fldCharType="end"/>
      </w:r>
    </w:p>
    <w:p w14:paraId="425A08D6" w14:textId="60B8298A" w:rsidR="00104A79" w:rsidRDefault="00104A79">
      <w:pPr>
        <w:pStyle w:val="TOC2"/>
        <w:rPr>
          <w:rFonts w:asciiTheme="minorHAnsi" w:eastAsiaTheme="minorEastAsia" w:hAnsiTheme="minorHAnsi" w:cstheme="minorBidi"/>
          <w:b w:val="0"/>
          <w:smallCaps w:val="0"/>
          <w:lang w:eastAsia="en-AU"/>
        </w:rPr>
      </w:pPr>
      <w:r>
        <w:t>4.1</w:t>
      </w:r>
      <w:r>
        <w:rPr>
          <w:rFonts w:asciiTheme="minorHAnsi" w:eastAsiaTheme="minorEastAsia" w:hAnsiTheme="minorHAnsi" w:cstheme="minorBidi"/>
          <w:b w:val="0"/>
          <w:smallCaps w:val="0"/>
          <w:lang w:eastAsia="en-AU"/>
        </w:rPr>
        <w:tab/>
      </w:r>
      <w:r>
        <w:t>General</w:t>
      </w:r>
      <w:r>
        <w:tab/>
      </w:r>
      <w:r>
        <w:fldChar w:fldCharType="begin"/>
      </w:r>
      <w:r>
        <w:instrText xml:space="preserve"> PAGEREF _Toc76106835 \h </w:instrText>
      </w:r>
      <w:r>
        <w:fldChar w:fldCharType="separate"/>
      </w:r>
      <w:r>
        <w:t>3</w:t>
      </w:r>
      <w:r>
        <w:fldChar w:fldCharType="end"/>
      </w:r>
    </w:p>
    <w:p w14:paraId="1311CCB1" w14:textId="5004F39C" w:rsidR="00104A79" w:rsidRDefault="00104A79">
      <w:pPr>
        <w:pStyle w:val="TOC1"/>
        <w:rPr>
          <w:rFonts w:asciiTheme="minorHAnsi" w:eastAsiaTheme="minorEastAsia" w:hAnsiTheme="minorHAnsi" w:cstheme="minorBidi"/>
          <w:b w:val="0"/>
          <w:caps w:val="0"/>
          <w:noProof/>
          <w:sz w:val="22"/>
          <w:szCs w:val="22"/>
          <w:lang w:eastAsia="en-AU"/>
        </w:rPr>
      </w:pPr>
      <w:r>
        <w:rPr>
          <w:noProof/>
        </w:rPr>
        <w:t>5.0</w:t>
      </w:r>
      <w:r>
        <w:rPr>
          <w:rFonts w:asciiTheme="minorHAnsi" w:eastAsiaTheme="minorEastAsia" w:hAnsiTheme="minorHAnsi" w:cstheme="minorBidi"/>
          <w:b w:val="0"/>
          <w:caps w:val="0"/>
          <w:noProof/>
          <w:sz w:val="22"/>
          <w:szCs w:val="22"/>
          <w:lang w:eastAsia="en-AU"/>
        </w:rPr>
        <w:tab/>
      </w:r>
      <w:r>
        <w:rPr>
          <w:noProof/>
        </w:rPr>
        <w:t>PLACING</w:t>
      </w:r>
      <w:r>
        <w:rPr>
          <w:noProof/>
        </w:rPr>
        <w:tab/>
      </w:r>
      <w:r>
        <w:rPr>
          <w:noProof/>
        </w:rPr>
        <w:fldChar w:fldCharType="begin"/>
      </w:r>
      <w:r>
        <w:rPr>
          <w:noProof/>
        </w:rPr>
        <w:instrText xml:space="preserve"> PAGEREF _Toc76106836 \h </w:instrText>
      </w:r>
      <w:r>
        <w:rPr>
          <w:noProof/>
        </w:rPr>
      </w:r>
      <w:r>
        <w:rPr>
          <w:noProof/>
        </w:rPr>
        <w:fldChar w:fldCharType="separate"/>
      </w:r>
      <w:r>
        <w:rPr>
          <w:noProof/>
        </w:rPr>
        <w:t>3</w:t>
      </w:r>
      <w:r>
        <w:rPr>
          <w:noProof/>
        </w:rPr>
        <w:fldChar w:fldCharType="end"/>
      </w:r>
    </w:p>
    <w:p w14:paraId="2CE658B3" w14:textId="16A9F3AE" w:rsidR="00104A79" w:rsidRDefault="00104A79">
      <w:pPr>
        <w:pStyle w:val="TOC2"/>
        <w:rPr>
          <w:rFonts w:asciiTheme="minorHAnsi" w:eastAsiaTheme="minorEastAsia" w:hAnsiTheme="minorHAnsi" w:cstheme="minorBidi"/>
          <w:b w:val="0"/>
          <w:smallCaps w:val="0"/>
          <w:lang w:eastAsia="en-AU"/>
        </w:rPr>
      </w:pPr>
      <w:r>
        <w:t>5.1</w:t>
      </w:r>
      <w:r>
        <w:rPr>
          <w:rFonts w:asciiTheme="minorHAnsi" w:eastAsiaTheme="minorEastAsia" w:hAnsiTheme="minorHAnsi" w:cstheme="minorBidi"/>
          <w:b w:val="0"/>
          <w:smallCaps w:val="0"/>
          <w:lang w:eastAsia="en-AU"/>
        </w:rPr>
        <w:tab/>
      </w:r>
      <w:r>
        <w:t>Traffic Control</w:t>
      </w:r>
      <w:r>
        <w:tab/>
      </w:r>
      <w:r>
        <w:fldChar w:fldCharType="begin"/>
      </w:r>
      <w:r>
        <w:instrText xml:space="preserve"> PAGEREF _Toc76106837 \h </w:instrText>
      </w:r>
      <w:r>
        <w:fldChar w:fldCharType="separate"/>
      </w:r>
      <w:r>
        <w:t>3</w:t>
      </w:r>
      <w:r>
        <w:fldChar w:fldCharType="end"/>
      </w:r>
    </w:p>
    <w:p w14:paraId="1BE59FEC" w14:textId="6DB58EB2" w:rsidR="00104A79" w:rsidRDefault="00104A79">
      <w:pPr>
        <w:pStyle w:val="TOC2"/>
        <w:rPr>
          <w:rFonts w:asciiTheme="minorHAnsi" w:eastAsiaTheme="minorEastAsia" w:hAnsiTheme="minorHAnsi" w:cstheme="minorBidi"/>
          <w:b w:val="0"/>
          <w:smallCaps w:val="0"/>
          <w:lang w:eastAsia="en-AU"/>
        </w:rPr>
      </w:pPr>
      <w:r>
        <w:t>5.2</w:t>
      </w:r>
      <w:r>
        <w:rPr>
          <w:rFonts w:asciiTheme="minorHAnsi" w:eastAsiaTheme="minorEastAsia" w:hAnsiTheme="minorHAnsi" w:cstheme="minorBidi"/>
          <w:b w:val="0"/>
          <w:smallCaps w:val="0"/>
          <w:lang w:eastAsia="en-AU"/>
        </w:rPr>
        <w:tab/>
      </w:r>
      <w:r>
        <w:t>Plant</w:t>
      </w:r>
      <w:r>
        <w:tab/>
      </w:r>
      <w:r>
        <w:fldChar w:fldCharType="begin"/>
      </w:r>
      <w:r>
        <w:instrText xml:space="preserve"> PAGEREF _Toc76106838 \h </w:instrText>
      </w:r>
      <w:r>
        <w:fldChar w:fldCharType="separate"/>
      </w:r>
      <w:r>
        <w:t>4</w:t>
      </w:r>
      <w:r>
        <w:fldChar w:fldCharType="end"/>
      </w:r>
    </w:p>
    <w:p w14:paraId="5334F2DB" w14:textId="69481B34" w:rsidR="00104A79" w:rsidRDefault="00104A79">
      <w:pPr>
        <w:pStyle w:val="TOC2"/>
        <w:rPr>
          <w:rFonts w:asciiTheme="minorHAnsi" w:eastAsiaTheme="minorEastAsia" w:hAnsiTheme="minorHAnsi" w:cstheme="minorBidi"/>
          <w:b w:val="0"/>
          <w:smallCaps w:val="0"/>
          <w:lang w:eastAsia="en-AU"/>
        </w:rPr>
      </w:pPr>
      <w:r>
        <w:t>5.3</w:t>
      </w:r>
      <w:r>
        <w:rPr>
          <w:rFonts w:asciiTheme="minorHAnsi" w:eastAsiaTheme="minorEastAsia" w:hAnsiTheme="minorHAnsi" w:cstheme="minorBidi"/>
          <w:b w:val="0"/>
          <w:smallCaps w:val="0"/>
          <w:lang w:eastAsia="en-AU"/>
        </w:rPr>
        <w:tab/>
      </w:r>
      <w:r>
        <w:t>Preparation for Spraying</w:t>
      </w:r>
      <w:r>
        <w:tab/>
      </w:r>
      <w:r>
        <w:fldChar w:fldCharType="begin"/>
      </w:r>
      <w:r>
        <w:instrText xml:space="preserve"> PAGEREF _Toc76106839 \h </w:instrText>
      </w:r>
      <w:r>
        <w:fldChar w:fldCharType="separate"/>
      </w:r>
      <w:r>
        <w:t>4</w:t>
      </w:r>
      <w:r>
        <w:fldChar w:fldCharType="end"/>
      </w:r>
    </w:p>
    <w:p w14:paraId="31559865" w14:textId="487BCD74" w:rsidR="00104A79" w:rsidRDefault="00104A79">
      <w:pPr>
        <w:pStyle w:val="TOC2"/>
        <w:rPr>
          <w:rFonts w:asciiTheme="minorHAnsi" w:eastAsiaTheme="minorEastAsia" w:hAnsiTheme="minorHAnsi" w:cstheme="minorBidi"/>
          <w:b w:val="0"/>
          <w:smallCaps w:val="0"/>
          <w:lang w:eastAsia="en-AU"/>
        </w:rPr>
      </w:pPr>
      <w:r>
        <w:t>5.4</w:t>
      </w:r>
      <w:r>
        <w:rPr>
          <w:rFonts w:asciiTheme="minorHAnsi" w:eastAsiaTheme="minorEastAsia" w:hAnsiTheme="minorHAnsi" w:cstheme="minorBidi"/>
          <w:b w:val="0"/>
          <w:smallCaps w:val="0"/>
          <w:lang w:eastAsia="en-AU"/>
        </w:rPr>
        <w:tab/>
      </w:r>
      <w:r>
        <w:t>Application Rate</w:t>
      </w:r>
      <w:r>
        <w:tab/>
      </w:r>
      <w:r>
        <w:fldChar w:fldCharType="begin"/>
      </w:r>
      <w:r>
        <w:instrText xml:space="preserve"> PAGEREF _Toc76106840 \h </w:instrText>
      </w:r>
      <w:r>
        <w:fldChar w:fldCharType="separate"/>
      </w:r>
      <w:r>
        <w:t>4</w:t>
      </w:r>
      <w:r>
        <w:fldChar w:fldCharType="end"/>
      </w:r>
    </w:p>
    <w:p w14:paraId="3BC4368E" w14:textId="1C43B2A6" w:rsidR="00104A79" w:rsidRDefault="00104A79">
      <w:pPr>
        <w:pStyle w:val="TOC2"/>
        <w:rPr>
          <w:rFonts w:asciiTheme="minorHAnsi" w:eastAsiaTheme="minorEastAsia" w:hAnsiTheme="minorHAnsi" w:cstheme="minorBidi"/>
          <w:b w:val="0"/>
          <w:smallCaps w:val="0"/>
          <w:lang w:eastAsia="en-AU"/>
        </w:rPr>
      </w:pPr>
      <w:r>
        <w:t>5.5</w:t>
      </w:r>
      <w:r>
        <w:rPr>
          <w:rFonts w:asciiTheme="minorHAnsi" w:eastAsiaTheme="minorEastAsia" w:hAnsiTheme="minorHAnsi" w:cstheme="minorBidi"/>
          <w:b w:val="0"/>
          <w:smallCaps w:val="0"/>
          <w:lang w:eastAsia="en-AU"/>
        </w:rPr>
        <w:tab/>
      </w:r>
      <w:r>
        <w:t>Spraying Operations</w:t>
      </w:r>
      <w:r>
        <w:tab/>
      </w:r>
      <w:r>
        <w:fldChar w:fldCharType="begin"/>
      </w:r>
      <w:r>
        <w:instrText xml:space="preserve"> PAGEREF _Toc76106841 \h </w:instrText>
      </w:r>
      <w:r>
        <w:fldChar w:fldCharType="separate"/>
      </w:r>
      <w:r>
        <w:t>5</w:t>
      </w:r>
      <w:r>
        <w:fldChar w:fldCharType="end"/>
      </w:r>
    </w:p>
    <w:p w14:paraId="716DB395" w14:textId="14E8DE64" w:rsidR="00104A79" w:rsidRDefault="00104A79">
      <w:pPr>
        <w:pStyle w:val="TOC2"/>
        <w:rPr>
          <w:rFonts w:asciiTheme="minorHAnsi" w:eastAsiaTheme="minorEastAsia" w:hAnsiTheme="minorHAnsi" w:cstheme="minorBidi"/>
          <w:b w:val="0"/>
          <w:smallCaps w:val="0"/>
          <w:lang w:eastAsia="en-AU"/>
        </w:rPr>
      </w:pPr>
      <w:r>
        <w:t>5.6</w:t>
      </w:r>
      <w:r>
        <w:rPr>
          <w:rFonts w:asciiTheme="minorHAnsi" w:eastAsiaTheme="minorEastAsia" w:hAnsiTheme="minorHAnsi" w:cstheme="minorBidi"/>
          <w:b w:val="0"/>
          <w:smallCaps w:val="0"/>
          <w:lang w:eastAsia="en-AU"/>
        </w:rPr>
        <w:tab/>
      </w:r>
      <w:r>
        <w:t>Defective Surfacing</w:t>
      </w:r>
      <w:r>
        <w:tab/>
      </w:r>
      <w:r>
        <w:fldChar w:fldCharType="begin"/>
      </w:r>
      <w:r>
        <w:instrText xml:space="preserve"> PAGEREF _Toc76106842 \h </w:instrText>
      </w:r>
      <w:r>
        <w:fldChar w:fldCharType="separate"/>
      </w:r>
      <w:r>
        <w:t>5</w:t>
      </w:r>
      <w:r>
        <w:fldChar w:fldCharType="end"/>
      </w:r>
    </w:p>
    <w:p w14:paraId="188F5EB5" w14:textId="044451EB" w:rsidR="00104A79" w:rsidRDefault="00104A79">
      <w:pPr>
        <w:pStyle w:val="TOC1"/>
        <w:rPr>
          <w:rFonts w:asciiTheme="minorHAnsi" w:eastAsiaTheme="minorEastAsia" w:hAnsiTheme="minorHAnsi" w:cstheme="minorBidi"/>
          <w:b w:val="0"/>
          <w:caps w:val="0"/>
          <w:noProof/>
          <w:sz w:val="22"/>
          <w:szCs w:val="22"/>
          <w:lang w:eastAsia="en-AU"/>
        </w:rPr>
      </w:pPr>
      <w:r>
        <w:rPr>
          <w:noProof/>
        </w:rPr>
        <w:t>6.0</w:t>
      </w:r>
      <w:r>
        <w:rPr>
          <w:rFonts w:asciiTheme="minorHAnsi" w:eastAsiaTheme="minorEastAsia" w:hAnsiTheme="minorHAnsi" w:cstheme="minorBidi"/>
          <w:b w:val="0"/>
          <w:caps w:val="0"/>
          <w:noProof/>
          <w:sz w:val="22"/>
          <w:szCs w:val="22"/>
          <w:lang w:eastAsia="en-AU"/>
        </w:rPr>
        <w:tab/>
      </w:r>
      <w:r>
        <w:rPr>
          <w:noProof/>
        </w:rPr>
        <w:t>CURING</w:t>
      </w:r>
      <w:r>
        <w:rPr>
          <w:noProof/>
        </w:rPr>
        <w:tab/>
      </w:r>
      <w:r>
        <w:rPr>
          <w:noProof/>
        </w:rPr>
        <w:fldChar w:fldCharType="begin"/>
      </w:r>
      <w:r>
        <w:rPr>
          <w:noProof/>
        </w:rPr>
        <w:instrText xml:space="preserve"> PAGEREF _Toc76106843 \h </w:instrText>
      </w:r>
      <w:r>
        <w:rPr>
          <w:noProof/>
        </w:rPr>
      </w:r>
      <w:r>
        <w:rPr>
          <w:noProof/>
        </w:rPr>
        <w:fldChar w:fldCharType="separate"/>
      </w:r>
      <w:r>
        <w:rPr>
          <w:noProof/>
        </w:rPr>
        <w:t>6</w:t>
      </w:r>
      <w:r>
        <w:rPr>
          <w:noProof/>
        </w:rPr>
        <w:fldChar w:fldCharType="end"/>
      </w:r>
    </w:p>
    <w:p w14:paraId="4F30F7BB" w14:textId="3BD72FAE" w:rsidR="00104A79" w:rsidRDefault="00104A79">
      <w:pPr>
        <w:pStyle w:val="TOC2"/>
        <w:rPr>
          <w:rFonts w:asciiTheme="minorHAnsi" w:eastAsiaTheme="minorEastAsia" w:hAnsiTheme="minorHAnsi" w:cstheme="minorBidi"/>
          <w:b w:val="0"/>
          <w:smallCaps w:val="0"/>
          <w:lang w:eastAsia="en-AU"/>
        </w:rPr>
      </w:pPr>
      <w:r>
        <w:t>6.1</w:t>
      </w:r>
      <w:r>
        <w:rPr>
          <w:rFonts w:asciiTheme="minorHAnsi" w:eastAsiaTheme="minorEastAsia" w:hAnsiTheme="minorHAnsi" w:cstheme="minorBidi"/>
          <w:b w:val="0"/>
          <w:smallCaps w:val="0"/>
          <w:lang w:eastAsia="en-AU"/>
        </w:rPr>
        <w:tab/>
      </w:r>
      <w:r>
        <w:t>Time Limitations</w:t>
      </w:r>
      <w:r>
        <w:tab/>
      </w:r>
      <w:r>
        <w:fldChar w:fldCharType="begin"/>
      </w:r>
      <w:r>
        <w:instrText xml:space="preserve"> PAGEREF _Toc76106844 \h </w:instrText>
      </w:r>
      <w:r>
        <w:fldChar w:fldCharType="separate"/>
      </w:r>
      <w:r>
        <w:t>6</w:t>
      </w:r>
      <w:r>
        <w:fldChar w:fldCharType="end"/>
      </w:r>
    </w:p>
    <w:p w14:paraId="249CA0B2" w14:textId="6B4DB139" w:rsidR="00104A79" w:rsidRDefault="00104A79">
      <w:pPr>
        <w:pStyle w:val="TOC2"/>
        <w:rPr>
          <w:rFonts w:asciiTheme="minorHAnsi" w:eastAsiaTheme="minorEastAsia" w:hAnsiTheme="minorHAnsi" w:cstheme="minorBidi"/>
          <w:b w:val="0"/>
          <w:smallCaps w:val="0"/>
          <w:lang w:eastAsia="en-AU"/>
        </w:rPr>
      </w:pPr>
      <w:r>
        <w:t>6.2</w:t>
      </w:r>
      <w:r>
        <w:rPr>
          <w:rFonts w:asciiTheme="minorHAnsi" w:eastAsiaTheme="minorEastAsia" w:hAnsiTheme="minorHAnsi" w:cstheme="minorBidi"/>
          <w:b w:val="0"/>
          <w:smallCaps w:val="0"/>
          <w:lang w:eastAsia="en-AU"/>
        </w:rPr>
        <w:tab/>
      </w:r>
      <w:r>
        <w:t>Traffic on Pavement</w:t>
      </w:r>
      <w:r>
        <w:tab/>
      </w:r>
      <w:r>
        <w:fldChar w:fldCharType="begin"/>
      </w:r>
      <w:r>
        <w:instrText xml:space="preserve"> PAGEREF _Toc76106845 \h </w:instrText>
      </w:r>
      <w:r>
        <w:fldChar w:fldCharType="separate"/>
      </w:r>
      <w:r>
        <w:t>6</w:t>
      </w:r>
      <w:r>
        <w:fldChar w:fldCharType="end"/>
      </w:r>
    </w:p>
    <w:p w14:paraId="47B9C889" w14:textId="27CD8563" w:rsidR="0035296C" w:rsidRDefault="00104A79" w:rsidP="00F44E99">
      <w:r>
        <w:rPr>
          <w:b/>
          <w:caps/>
          <w:sz w:val="22"/>
        </w:rPr>
        <w:fldChar w:fldCharType="end"/>
      </w:r>
    </w:p>
    <w:p w14:paraId="47B9C88A" w14:textId="77777777" w:rsidR="0035296C" w:rsidRDefault="0035296C" w:rsidP="00F44E99"/>
    <w:p w14:paraId="47B9C88B" w14:textId="77777777" w:rsidR="0035296C" w:rsidRDefault="0035296C"/>
    <w:p w14:paraId="47B9C88C" w14:textId="77777777" w:rsidR="0035296C" w:rsidRDefault="0035296C"/>
    <w:p w14:paraId="47B9C88D" w14:textId="77777777" w:rsidR="0035296C" w:rsidRDefault="0035296C"/>
    <w:p w14:paraId="47B9C88E" w14:textId="77777777" w:rsidR="0035296C" w:rsidRDefault="0035296C">
      <w:pPr>
        <w:sectPr w:rsidR="0035296C" w:rsidSect="00F42748">
          <w:footerReference w:type="default" r:id="rId15"/>
          <w:pgSz w:w="11906" w:h="16838" w:code="9"/>
          <w:pgMar w:top="1134" w:right="1134" w:bottom="992" w:left="1418" w:header="1134" w:footer="851" w:gutter="0"/>
          <w:pgNumType w:fmt="lowerRoman" w:start="1"/>
          <w:cols w:space="720"/>
        </w:sectPr>
      </w:pPr>
    </w:p>
    <w:p w14:paraId="47B9C88F" w14:textId="48481456" w:rsidR="004F34E8" w:rsidRDefault="008258DD" w:rsidP="004F34E8">
      <w:pPr>
        <w:pStyle w:val="BodyTextIndentBoldItalicCen"/>
      </w:pPr>
      <w:bookmarkStart w:id="6" w:name="_Toc493942064"/>
      <w:bookmarkStart w:id="7" w:name="_Toc493986903"/>
      <w:r w:rsidRPr="00C62B5E">
        <w:lastRenderedPageBreak/>
        <w:t>(</w:t>
      </w:r>
      <w:r w:rsidR="004F34E8" w:rsidRPr="00C62B5E">
        <w:t xml:space="preserve">This </w:t>
      </w:r>
      <w:r w:rsidRPr="00C62B5E">
        <w:t>Page Left Intentionally Blank)</w:t>
      </w:r>
    </w:p>
    <w:p w14:paraId="47B9C890" w14:textId="77777777" w:rsidR="004F34E8" w:rsidRDefault="004F34E8" w:rsidP="004F34E8">
      <w:pPr>
        <w:pStyle w:val="BodyTextIndentBoldItalicCen"/>
        <w:sectPr w:rsidR="004F34E8" w:rsidSect="00F42748">
          <w:headerReference w:type="even" r:id="rId16"/>
          <w:footerReference w:type="default" r:id="rId17"/>
          <w:pgSz w:w="11906" w:h="16838" w:code="9"/>
          <w:pgMar w:top="1134" w:right="1134" w:bottom="992" w:left="1418" w:header="1134" w:footer="851" w:gutter="0"/>
          <w:pgNumType w:fmt="lowerRoman" w:start="1"/>
          <w:cols w:space="720"/>
          <w:vAlign w:val="center"/>
        </w:sectPr>
      </w:pPr>
    </w:p>
    <w:p w14:paraId="47B9C891" w14:textId="77777777" w:rsidR="0035296C" w:rsidRPr="000B7937" w:rsidRDefault="0035296C" w:rsidP="000B7937">
      <w:pPr>
        <w:pStyle w:val="Heading2"/>
      </w:pPr>
      <w:bookmarkStart w:id="8" w:name="_Toc76106820"/>
      <w:bookmarkEnd w:id="6"/>
      <w:bookmarkEnd w:id="7"/>
      <w:r w:rsidRPr="000B7937">
        <w:lastRenderedPageBreak/>
        <w:t>General</w:t>
      </w:r>
      <w:bookmarkEnd w:id="8"/>
    </w:p>
    <w:p w14:paraId="47B9C892" w14:textId="77777777" w:rsidR="0035296C" w:rsidRPr="000B7937" w:rsidRDefault="00AC6DEF" w:rsidP="000B7937">
      <w:pPr>
        <w:pStyle w:val="Heading3"/>
      </w:pPr>
      <w:bookmarkStart w:id="9" w:name="_Toc76106821"/>
      <w:r w:rsidRPr="000B7937">
        <w:t>Section Content</w:t>
      </w:r>
      <w:bookmarkEnd w:id="9"/>
    </w:p>
    <w:p w14:paraId="47B9C893" w14:textId="77777777" w:rsidR="00A86BAC" w:rsidRDefault="00D514AE" w:rsidP="004F34E8">
      <w:pPr>
        <w:pStyle w:val="BodyTextIndent"/>
      </w:pPr>
      <w:r>
        <w:t>This section describes the rejuvenation treatment of an existing sprayed bitumen seal or asphalt surface by the a</w:t>
      </w:r>
      <w:r w:rsidR="0035296C">
        <w:t>pplication of</w:t>
      </w:r>
      <w:r>
        <w:t xml:space="preserve"> a</w:t>
      </w:r>
      <w:r w:rsidR="0035296C">
        <w:t xml:space="preserve"> </w:t>
      </w:r>
      <w:r w:rsidR="007D78D4">
        <w:t>sprayed surface treatment</w:t>
      </w:r>
      <w:r>
        <w:t xml:space="preserve"> consisting</w:t>
      </w:r>
      <w:r w:rsidR="00A86BAC">
        <w:t xml:space="preserve"> of:</w:t>
      </w:r>
    </w:p>
    <w:p w14:paraId="47B9C894" w14:textId="77777777" w:rsidR="0035296C" w:rsidRDefault="00012452" w:rsidP="00E71EF4">
      <w:pPr>
        <w:pStyle w:val="BodyTextIndentDot"/>
      </w:pPr>
      <w:r>
        <w:t>P</w:t>
      </w:r>
      <w:r w:rsidR="00A86BAC">
        <w:t xml:space="preserve">olymer </w:t>
      </w:r>
      <w:r w:rsidR="00E15B2D">
        <w:t xml:space="preserve">Modified Bitumen Emulsion </w:t>
      </w:r>
      <w:r w:rsidR="00586C0E">
        <w:t>(PMBE)</w:t>
      </w:r>
      <w:r>
        <w:t xml:space="preserve"> containing aggregate and/or fillers, fibres, </w:t>
      </w:r>
      <w:r w:rsidR="003E27F5">
        <w:t xml:space="preserve">propriety </w:t>
      </w:r>
      <w:r>
        <w:t>modifiers and stabilising additives</w:t>
      </w:r>
      <w:r w:rsidR="007D78D4">
        <w:t>.</w:t>
      </w:r>
    </w:p>
    <w:p w14:paraId="47B9C895" w14:textId="77777777" w:rsidR="00F42748" w:rsidRDefault="00F42748" w:rsidP="000B7937">
      <w:pPr>
        <w:pStyle w:val="Heading3"/>
      </w:pPr>
      <w:bookmarkStart w:id="10" w:name="_Toc76106822"/>
      <w:r>
        <w:t>Standards</w:t>
      </w:r>
      <w:bookmarkEnd w:id="10"/>
    </w:p>
    <w:tbl>
      <w:tblPr>
        <w:tblW w:w="8789" w:type="dxa"/>
        <w:tblInd w:w="817" w:type="dxa"/>
        <w:tblLook w:val="0400" w:firstRow="0" w:lastRow="0" w:firstColumn="0" w:lastColumn="0" w:noHBand="0" w:noVBand="1"/>
      </w:tblPr>
      <w:tblGrid>
        <w:gridCol w:w="2308"/>
        <w:gridCol w:w="1677"/>
        <w:gridCol w:w="4804"/>
      </w:tblGrid>
      <w:tr w:rsidR="00B26AD4" w:rsidRPr="003C58BE" w14:paraId="3B14CCCC" w14:textId="77777777" w:rsidTr="000B7937">
        <w:trPr>
          <w:trHeight w:val="340"/>
        </w:trPr>
        <w:tc>
          <w:tcPr>
            <w:tcW w:w="2308" w:type="dxa"/>
            <w:vAlign w:val="center"/>
          </w:tcPr>
          <w:p w14:paraId="56DEE46E" w14:textId="47DA7A87" w:rsidR="00B26AD4" w:rsidRPr="003C58BE" w:rsidRDefault="00B26AD4" w:rsidP="00B26AD4">
            <w:pPr>
              <w:pStyle w:val="Table"/>
            </w:pPr>
            <w:r w:rsidRPr="00482006">
              <w:t>ASTM International Standards</w:t>
            </w:r>
          </w:p>
        </w:tc>
        <w:tc>
          <w:tcPr>
            <w:tcW w:w="1677" w:type="dxa"/>
            <w:vAlign w:val="center"/>
          </w:tcPr>
          <w:p w14:paraId="3FEE23A8" w14:textId="239B6AEE" w:rsidR="00B26AD4" w:rsidRPr="00F42748" w:rsidRDefault="00B26AD4" w:rsidP="00B26AD4">
            <w:pPr>
              <w:pStyle w:val="TableCen"/>
            </w:pPr>
            <w:r>
              <w:t>ASTM E303-93</w:t>
            </w:r>
          </w:p>
        </w:tc>
        <w:tc>
          <w:tcPr>
            <w:tcW w:w="4804" w:type="dxa"/>
            <w:vAlign w:val="center"/>
          </w:tcPr>
          <w:p w14:paraId="2DDAB9C0" w14:textId="1C61F6CB" w:rsidR="00B26AD4" w:rsidRPr="00F42748" w:rsidRDefault="00B26AD4" w:rsidP="00B26AD4">
            <w:pPr>
              <w:pStyle w:val="Table"/>
            </w:pPr>
            <w:r w:rsidRPr="00962BAF">
              <w:t>Standard test method for measuring surface frictional properties using the British pendulum tester</w:t>
            </w:r>
          </w:p>
        </w:tc>
      </w:tr>
      <w:tr w:rsidR="00B26AD4" w:rsidRPr="003C58BE" w14:paraId="47B9C899" w14:textId="77777777" w:rsidTr="000B7937">
        <w:trPr>
          <w:trHeight w:val="340"/>
        </w:trPr>
        <w:tc>
          <w:tcPr>
            <w:tcW w:w="2308" w:type="dxa"/>
            <w:vAlign w:val="center"/>
          </w:tcPr>
          <w:p w14:paraId="47B9C896" w14:textId="77777777" w:rsidR="00B26AD4" w:rsidRPr="003C58BE" w:rsidRDefault="00B26AD4" w:rsidP="00B26AD4">
            <w:pPr>
              <w:pStyle w:val="Table"/>
            </w:pPr>
            <w:r w:rsidRPr="003C58BE">
              <w:t>Australian Standard</w:t>
            </w:r>
          </w:p>
        </w:tc>
        <w:tc>
          <w:tcPr>
            <w:tcW w:w="1677" w:type="dxa"/>
            <w:vAlign w:val="center"/>
          </w:tcPr>
          <w:p w14:paraId="47B9C897" w14:textId="77777777" w:rsidR="00B26AD4" w:rsidRPr="003C58BE" w:rsidRDefault="00B26AD4" w:rsidP="00B26AD4">
            <w:pPr>
              <w:pStyle w:val="TableCen"/>
            </w:pPr>
            <w:r w:rsidRPr="00F42748">
              <w:t>AS</w:t>
            </w:r>
            <w:r w:rsidRPr="00373FD7">
              <w:t> </w:t>
            </w:r>
            <w:r w:rsidRPr="00F42748">
              <w:t>1141.42</w:t>
            </w:r>
          </w:p>
        </w:tc>
        <w:tc>
          <w:tcPr>
            <w:tcW w:w="4804" w:type="dxa"/>
            <w:vAlign w:val="center"/>
          </w:tcPr>
          <w:p w14:paraId="47B9C898" w14:textId="77777777" w:rsidR="00B26AD4" w:rsidRPr="003C58BE" w:rsidRDefault="00B26AD4" w:rsidP="00B26AD4">
            <w:pPr>
              <w:pStyle w:val="Table"/>
            </w:pPr>
            <w:r w:rsidRPr="00F42748">
              <w:t xml:space="preserve">Methods for sampling and testing aggregates </w:t>
            </w:r>
            <w:r>
              <w:t>–</w:t>
            </w:r>
            <w:r w:rsidRPr="00F42748">
              <w:t xml:space="preserve"> Pendulum friction test</w:t>
            </w:r>
          </w:p>
        </w:tc>
      </w:tr>
      <w:tr w:rsidR="00B26AD4" w:rsidRPr="003C58BE" w14:paraId="47B9C89D" w14:textId="77777777" w:rsidTr="000B7937">
        <w:trPr>
          <w:trHeight w:val="340"/>
        </w:trPr>
        <w:tc>
          <w:tcPr>
            <w:tcW w:w="2308" w:type="dxa"/>
            <w:vAlign w:val="center"/>
          </w:tcPr>
          <w:p w14:paraId="47B9C89A" w14:textId="77777777" w:rsidR="00B26AD4" w:rsidRPr="003C58BE" w:rsidRDefault="00B26AD4" w:rsidP="00B26AD4">
            <w:pPr>
              <w:pStyle w:val="Table"/>
            </w:pPr>
            <w:r w:rsidRPr="00EF0D7A">
              <w:t>Australian/New Zealand Standard, International Standards Organization</w:t>
            </w:r>
          </w:p>
        </w:tc>
        <w:tc>
          <w:tcPr>
            <w:tcW w:w="1677" w:type="dxa"/>
            <w:vAlign w:val="center"/>
          </w:tcPr>
          <w:p w14:paraId="47B9C89B" w14:textId="77777777" w:rsidR="00B26AD4" w:rsidRPr="003C58BE" w:rsidRDefault="00B26AD4" w:rsidP="00B26AD4">
            <w:pPr>
              <w:pStyle w:val="TableCen"/>
            </w:pPr>
            <w:r w:rsidRPr="00EF0D7A">
              <w:t>AS/NZS</w:t>
            </w:r>
            <w:r w:rsidRPr="00373FD7">
              <w:t> </w:t>
            </w:r>
            <w:r w:rsidRPr="00EF0D7A">
              <w:t>ISO</w:t>
            </w:r>
            <w:r w:rsidRPr="00373FD7">
              <w:t> </w:t>
            </w:r>
            <w:r w:rsidRPr="00EF0D7A">
              <w:t>9001</w:t>
            </w:r>
          </w:p>
        </w:tc>
        <w:tc>
          <w:tcPr>
            <w:tcW w:w="4804" w:type="dxa"/>
            <w:vAlign w:val="center"/>
          </w:tcPr>
          <w:p w14:paraId="47B9C89C" w14:textId="77777777" w:rsidR="00B26AD4" w:rsidRPr="003C58BE" w:rsidRDefault="00B26AD4" w:rsidP="00B26AD4">
            <w:pPr>
              <w:pStyle w:val="Table"/>
            </w:pPr>
            <w:r w:rsidRPr="00EF0D7A">
              <w:t>Quality management systems – Requirements</w:t>
            </w:r>
          </w:p>
        </w:tc>
      </w:tr>
    </w:tbl>
    <w:p w14:paraId="47B9C89E" w14:textId="77777777" w:rsidR="0035296C" w:rsidRDefault="00AC6DEF" w:rsidP="000B7937">
      <w:pPr>
        <w:pStyle w:val="Heading3"/>
      </w:pPr>
      <w:bookmarkStart w:id="11" w:name="_Toc76106823"/>
      <w:r>
        <w:t>References</w:t>
      </w:r>
      <w:bookmarkEnd w:id="11"/>
    </w:p>
    <w:tbl>
      <w:tblPr>
        <w:tblW w:w="8789" w:type="dxa"/>
        <w:tblInd w:w="817" w:type="dxa"/>
        <w:tblLayout w:type="fixed"/>
        <w:tblLook w:val="0400" w:firstRow="0" w:lastRow="0" w:firstColumn="0" w:lastColumn="0" w:noHBand="0" w:noVBand="1"/>
      </w:tblPr>
      <w:tblGrid>
        <w:gridCol w:w="2410"/>
        <w:gridCol w:w="1417"/>
        <w:gridCol w:w="1276"/>
        <w:gridCol w:w="3686"/>
      </w:tblGrid>
      <w:tr w:rsidR="003C58BE" w:rsidRPr="00A00F35" w14:paraId="47B9C8A3" w14:textId="77777777" w:rsidTr="000B7937">
        <w:trPr>
          <w:trHeight w:val="340"/>
        </w:trPr>
        <w:tc>
          <w:tcPr>
            <w:tcW w:w="2410" w:type="dxa"/>
            <w:vAlign w:val="center"/>
          </w:tcPr>
          <w:p w14:paraId="47B9C89F" w14:textId="77777777" w:rsidR="003C58BE" w:rsidRPr="00A00F35" w:rsidRDefault="003C58BE" w:rsidP="00F54896">
            <w:pPr>
              <w:pStyle w:val="Table"/>
            </w:pPr>
            <w:r w:rsidRPr="00A00F35">
              <w:t>Queensland Department of Transport and Main Roads</w:t>
            </w:r>
          </w:p>
        </w:tc>
        <w:tc>
          <w:tcPr>
            <w:tcW w:w="1417" w:type="dxa"/>
            <w:vAlign w:val="center"/>
          </w:tcPr>
          <w:p w14:paraId="47B9C8A0" w14:textId="77777777" w:rsidR="003C58BE" w:rsidRPr="00A00F35" w:rsidRDefault="003C58BE" w:rsidP="00F54896">
            <w:pPr>
              <w:pStyle w:val="TableCen"/>
            </w:pPr>
          </w:p>
        </w:tc>
        <w:tc>
          <w:tcPr>
            <w:tcW w:w="1276" w:type="dxa"/>
            <w:vAlign w:val="center"/>
          </w:tcPr>
          <w:p w14:paraId="47B9C8A1" w14:textId="77777777" w:rsidR="003C58BE" w:rsidRPr="00A00F35" w:rsidRDefault="003C58BE" w:rsidP="00F54896">
            <w:pPr>
              <w:pStyle w:val="TableCen"/>
            </w:pPr>
            <w:r w:rsidRPr="00A00F35">
              <w:t>MUTCD</w:t>
            </w:r>
          </w:p>
        </w:tc>
        <w:tc>
          <w:tcPr>
            <w:tcW w:w="3686" w:type="dxa"/>
            <w:vAlign w:val="center"/>
          </w:tcPr>
          <w:p w14:paraId="47B9C8A2" w14:textId="77777777" w:rsidR="003C58BE" w:rsidRPr="00A00F35" w:rsidRDefault="003C58BE" w:rsidP="00F54896">
            <w:pPr>
              <w:pStyle w:val="Table"/>
            </w:pPr>
            <w:r w:rsidRPr="00A00F35">
              <w:t>Queensland Manual or Uniform Traffic Control Devices</w:t>
            </w:r>
          </w:p>
        </w:tc>
      </w:tr>
      <w:tr w:rsidR="00FF6275" w:rsidRPr="00A00F35" w14:paraId="7CD5EC64" w14:textId="77777777" w:rsidTr="000B7937">
        <w:trPr>
          <w:trHeight w:val="340"/>
        </w:trPr>
        <w:tc>
          <w:tcPr>
            <w:tcW w:w="2410" w:type="dxa"/>
            <w:vAlign w:val="center"/>
          </w:tcPr>
          <w:p w14:paraId="44736DFE" w14:textId="51158859" w:rsidR="00FF6275" w:rsidRPr="00A00F35" w:rsidRDefault="00FF6275" w:rsidP="00FF6275">
            <w:pPr>
              <w:pStyle w:val="Table"/>
            </w:pPr>
            <w:r w:rsidRPr="00B12FF4">
              <w:t>Queensland Department of Transport and Main Roads</w:t>
            </w:r>
          </w:p>
        </w:tc>
        <w:tc>
          <w:tcPr>
            <w:tcW w:w="1417" w:type="dxa"/>
            <w:vAlign w:val="center"/>
          </w:tcPr>
          <w:p w14:paraId="1B4F8DC2" w14:textId="421C9147" w:rsidR="00FF6275" w:rsidRPr="00A00F35" w:rsidRDefault="00FF6275" w:rsidP="00FF6275">
            <w:pPr>
              <w:pStyle w:val="TableCen"/>
            </w:pPr>
            <w:r>
              <w:t>Test M</w:t>
            </w:r>
            <w:r w:rsidRPr="009C16FE">
              <w:t>ethod</w:t>
            </w:r>
          </w:p>
        </w:tc>
        <w:tc>
          <w:tcPr>
            <w:tcW w:w="1276" w:type="dxa"/>
            <w:vAlign w:val="center"/>
          </w:tcPr>
          <w:p w14:paraId="55FE05D8" w14:textId="5CFE2D8E" w:rsidR="00FF6275" w:rsidRPr="00A00F35" w:rsidRDefault="00FF6275" w:rsidP="00FF6275">
            <w:pPr>
              <w:pStyle w:val="TableCen"/>
            </w:pPr>
            <w:r w:rsidRPr="009C16FE">
              <w:t>Q704</w:t>
            </w:r>
          </w:p>
        </w:tc>
        <w:tc>
          <w:tcPr>
            <w:tcW w:w="3686" w:type="dxa"/>
            <w:vAlign w:val="center"/>
          </w:tcPr>
          <w:p w14:paraId="0D331C6B" w14:textId="1E26757B" w:rsidR="00FF6275" w:rsidRPr="00A00F35" w:rsidRDefault="00FF6275" w:rsidP="00FF6275">
            <w:pPr>
              <w:pStyle w:val="Table"/>
            </w:pPr>
            <w:r w:rsidRPr="00C17847">
              <w:t xml:space="preserve">Skid resistance </w:t>
            </w:r>
            <w:r>
              <w:t>–</w:t>
            </w:r>
            <w:r w:rsidRPr="00C17847">
              <w:t xml:space="preserve"> portable pendulum</w:t>
            </w:r>
          </w:p>
        </w:tc>
      </w:tr>
    </w:tbl>
    <w:p w14:paraId="47B9C8A4" w14:textId="507B1AED" w:rsidR="00E71EF4" w:rsidRPr="004E3A36" w:rsidRDefault="00E71EF4" w:rsidP="000E2802">
      <w:pPr>
        <w:pStyle w:val="BodyTextIndent"/>
      </w:pPr>
      <w:r w:rsidRPr="004E3A36">
        <w:t>Refer to the following other Reference Specifications for Engineering Work:</w:t>
      </w:r>
      <w:permStart w:id="1346464960" w:edGrp="everyone"/>
      <w:permEnd w:id="1346464960"/>
    </w:p>
    <w:tbl>
      <w:tblPr>
        <w:tblW w:w="8789" w:type="dxa"/>
        <w:tblInd w:w="817" w:type="dxa"/>
        <w:tblLook w:val="0400" w:firstRow="0" w:lastRow="0" w:firstColumn="0" w:lastColumn="0" w:noHBand="0" w:noVBand="1"/>
      </w:tblPr>
      <w:tblGrid>
        <w:gridCol w:w="973"/>
        <w:gridCol w:w="7816"/>
      </w:tblGrid>
      <w:tr w:rsidR="003C58BE" w:rsidRPr="004E3A36" w14:paraId="47B9C8A7" w14:textId="77777777" w:rsidTr="000B7937">
        <w:trPr>
          <w:trHeight w:val="340"/>
        </w:trPr>
        <w:tc>
          <w:tcPr>
            <w:tcW w:w="973" w:type="dxa"/>
            <w:vAlign w:val="center"/>
          </w:tcPr>
          <w:p w14:paraId="47B9C8A5" w14:textId="77777777" w:rsidR="003C58BE" w:rsidRPr="004E3A36" w:rsidRDefault="003C58BE" w:rsidP="00F54896">
            <w:pPr>
              <w:pStyle w:val="TableCen"/>
            </w:pPr>
            <w:r w:rsidRPr="004E3A36">
              <w:t>S110</w:t>
            </w:r>
          </w:p>
        </w:tc>
        <w:tc>
          <w:tcPr>
            <w:tcW w:w="7816" w:type="dxa"/>
            <w:vAlign w:val="center"/>
          </w:tcPr>
          <w:p w14:paraId="47B9C8A6" w14:textId="77777777" w:rsidR="003C58BE" w:rsidRPr="004E3A36" w:rsidRDefault="003C58BE" w:rsidP="00F54896">
            <w:pPr>
              <w:pStyle w:val="Table"/>
            </w:pPr>
            <w:r w:rsidRPr="004E3A36">
              <w:t>General Requirements</w:t>
            </w:r>
          </w:p>
        </w:tc>
      </w:tr>
      <w:tr w:rsidR="003C58BE" w:rsidRPr="004E3A36" w14:paraId="47B9C8AA" w14:textId="77777777" w:rsidTr="000B7937">
        <w:trPr>
          <w:trHeight w:val="340"/>
        </w:trPr>
        <w:tc>
          <w:tcPr>
            <w:tcW w:w="973" w:type="dxa"/>
            <w:vAlign w:val="center"/>
          </w:tcPr>
          <w:p w14:paraId="47B9C8A8" w14:textId="77777777" w:rsidR="003C58BE" w:rsidRPr="004E3A36" w:rsidRDefault="003C58BE" w:rsidP="00F54896">
            <w:pPr>
              <w:pStyle w:val="TableCen"/>
            </w:pPr>
            <w:r w:rsidRPr="004E3A36">
              <w:t>S120</w:t>
            </w:r>
          </w:p>
        </w:tc>
        <w:tc>
          <w:tcPr>
            <w:tcW w:w="7816" w:type="dxa"/>
            <w:vAlign w:val="center"/>
          </w:tcPr>
          <w:p w14:paraId="47B9C8A9" w14:textId="77777777" w:rsidR="003C58BE" w:rsidRPr="004E3A36" w:rsidRDefault="003C58BE" w:rsidP="00F54896">
            <w:pPr>
              <w:pStyle w:val="Table"/>
            </w:pPr>
            <w:r w:rsidRPr="004E3A36">
              <w:t>Quality</w:t>
            </w:r>
          </w:p>
        </w:tc>
      </w:tr>
      <w:tr w:rsidR="0034327F" w:rsidRPr="004E3A36" w14:paraId="20C12FA0" w14:textId="77777777" w:rsidTr="000B7937">
        <w:trPr>
          <w:trHeight w:val="340"/>
        </w:trPr>
        <w:tc>
          <w:tcPr>
            <w:tcW w:w="973" w:type="dxa"/>
            <w:vAlign w:val="center"/>
          </w:tcPr>
          <w:p w14:paraId="261B01BB" w14:textId="2B240520" w:rsidR="0034327F" w:rsidRPr="004E3A36" w:rsidRDefault="0034327F" w:rsidP="00F54896">
            <w:pPr>
              <w:pStyle w:val="TableCen"/>
            </w:pPr>
            <w:r w:rsidRPr="004E3A36">
              <w:t>S310</w:t>
            </w:r>
          </w:p>
        </w:tc>
        <w:tc>
          <w:tcPr>
            <w:tcW w:w="7816" w:type="dxa"/>
            <w:vAlign w:val="center"/>
          </w:tcPr>
          <w:p w14:paraId="751E26BE" w14:textId="1FE56562" w:rsidR="0034327F" w:rsidRPr="004E3A36" w:rsidRDefault="0034327F" w:rsidP="00F54896">
            <w:pPr>
              <w:pStyle w:val="Table"/>
            </w:pPr>
            <w:r w:rsidRPr="004E3A36">
              <w:t>Supply of Dense Graded Asphalt</w:t>
            </w:r>
          </w:p>
        </w:tc>
      </w:tr>
      <w:tr w:rsidR="003C58BE" w:rsidRPr="004E3A36" w14:paraId="47B9C8AD" w14:textId="77777777" w:rsidTr="000B7937">
        <w:trPr>
          <w:trHeight w:val="340"/>
        </w:trPr>
        <w:tc>
          <w:tcPr>
            <w:tcW w:w="973" w:type="dxa"/>
            <w:vAlign w:val="center"/>
          </w:tcPr>
          <w:p w14:paraId="47B9C8AB" w14:textId="77777777" w:rsidR="003C58BE" w:rsidRPr="004E3A36" w:rsidRDefault="003C58BE" w:rsidP="00F54896">
            <w:pPr>
              <w:pStyle w:val="TableCen"/>
            </w:pPr>
            <w:r w:rsidRPr="004E3A36">
              <w:t>S330</w:t>
            </w:r>
          </w:p>
        </w:tc>
        <w:tc>
          <w:tcPr>
            <w:tcW w:w="7816" w:type="dxa"/>
            <w:vAlign w:val="center"/>
          </w:tcPr>
          <w:p w14:paraId="47B9C8AC" w14:textId="77777777" w:rsidR="003C58BE" w:rsidRPr="004E3A36" w:rsidRDefault="003C58BE" w:rsidP="00F54896">
            <w:pPr>
              <w:pStyle w:val="Table"/>
            </w:pPr>
            <w:r w:rsidRPr="004E3A36">
              <w:t>Sprayed Bituminous Surfacing: Materials</w:t>
            </w:r>
          </w:p>
        </w:tc>
      </w:tr>
      <w:tr w:rsidR="00F721DC" w:rsidRPr="00A537A1" w14:paraId="3A55D439" w14:textId="77777777" w:rsidTr="000B7937">
        <w:trPr>
          <w:trHeight w:val="340"/>
        </w:trPr>
        <w:tc>
          <w:tcPr>
            <w:tcW w:w="973" w:type="dxa"/>
            <w:vAlign w:val="center"/>
          </w:tcPr>
          <w:p w14:paraId="6FCF7627" w14:textId="7CBD7DFD" w:rsidR="00F721DC" w:rsidRPr="004E3A36" w:rsidRDefault="00361FD5" w:rsidP="00F54896">
            <w:pPr>
              <w:pStyle w:val="TableCen"/>
            </w:pPr>
            <w:r w:rsidRPr="004E3A36">
              <w:t>S336</w:t>
            </w:r>
          </w:p>
        </w:tc>
        <w:tc>
          <w:tcPr>
            <w:tcW w:w="7816" w:type="dxa"/>
            <w:vAlign w:val="center"/>
          </w:tcPr>
          <w:p w14:paraId="04F4B1CE" w14:textId="7B97D94C" w:rsidR="00F721DC" w:rsidRPr="004E3A36" w:rsidRDefault="00361FD5" w:rsidP="00F54896">
            <w:pPr>
              <w:pStyle w:val="Table"/>
            </w:pPr>
            <w:r w:rsidRPr="004E3A36">
              <w:t>Polymer Modified Emulsion Micro-Surfacing Treatment</w:t>
            </w:r>
          </w:p>
        </w:tc>
      </w:tr>
    </w:tbl>
    <w:p w14:paraId="47B9C8AE" w14:textId="77777777" w:rsidR="00BE3B30" w:rsidRPr="00E71EF4" w:rsidRDefault="00BE3B30" w:rsidP="000B7937">
      <w:pPr>
        <w:pStyle w:val="Heading3"/>
      </w:pPr>
      <w:bookmarkStart w:id="12" w:name="_Toc76106824"/>
      <w:r w:rsidRPr="00E71EF4">
        <w:t>Definitions</w:t>
      </w:r>
      <w:bookmarkEnd w:id="12"/>
    </w:p>
    <w:p w14:paraId="47B9C8AF" w14:textId="77777777" w:rsidR="00BE3B30" w:rsidRPr="00687234" w:rsidRDefault="00BE3B30" w:rsidP="00BE3B30">
      <w:pPr>
        <w:pStyle w:val="BodyTextIndent"/>
        <w:rPr>
          <w:b/>
          <w:i/>
        </w:rPr>
      </w:pPr>
      <w:r w:rsidRPr="00B13D7B">
        <w:rPr>
          <w:rStyle w:val="BodyTextIndentUnderlineChar"/>
        </w:rPr>
        <w:t>Actual spray rate</w:t>
      </w:r>
      <w:r w:rsidRPr="004A4B22">
        <w:rPr>
          <w:rStyle w:val="BodyTextIndentUnderlineChar"/>
          <w:u w:val="none"/>
        </w:rPr>
        <w:t>:</w:t>
      </w:r>
      <w:r w:rsidRPr="00687234">
        <w:t xml:space="preserve"> The spray rate for the PMBE material achieved during the surfacing operation.</w:t>
      </w:r>
    </w:p>
    <w:p w14:paraId="47B9C8B0" w14:textId="77777777" w:rsidR="00BE3B30" w:rsidRDefault="00BE3B30" w:rsidP="00BE3B30">
      <w:pPr>
        <w:pStyle w:val="BodyTextIndent"/>
      </w:pPr>
      <w:r w:rsidRPr="00B13D7B">
        <w:rPr>
          <w:rStyle w:val="BodyTextIndentUnderlineChar"/>
        </w:rPr>
        <w:t>Bitumen</w:t>
      </w:r>
      <w:r w:rsidRPr="004A4B22">
        <w:rPr>
          <w:rStyle w:val="BodyTextIndentUnderlineChar"/>
          <w:u w:val="none"/>
        </w:rPr>
        <w:t>:</w:t>
      </w:r>
      <w:r>
        <w:t xml:space="preserve"> A bituminous material obtained by processing the residue from refining certain naturally occurring crude oils.</w:t>
      </w:r>
    </w:p>
    <w:p w14:paraId="47B9C8B1" w14:textId="77777777" w:rsidR="00BE3B30" w:rsidRDefault="00BE3B30" w:rsidP="00BE3B30">
      <w:pPr>
        <w:pStyle w:val="BodyTextIndent"/>
      </w:pPr>
      <w:r w:rsidRPr="00B13D7B">
        <w:rPr>
          <w:rStyle w:val="BodyTextIndentUnderlineChar"/>
        </w:rPr>
        <w:t>Bitumen emulsion</w:t>
      </w:r>
      <w:r w:rsidRPr="004A4B22">
        <w:rPr>
          <w:rStyle w:val="BodyTextIndentUnderlineChar"/>
          <w:u w:val="none"/>
        </w:rPr>
        <w:t>:</w:t>
      </w:r>
      <w:r>
        <w:t xml:space="preserve"> A liquid product in which a substantial amount of bitumen (to which some oil may be added) is dispersed in a finely divided condition in water and stabilised, by means of one or more emulsifying agents.</w:t>
      </w:r>
    </w:p>
    <w:p w14:paraId="47B9C8B2" w14:textId="77777777" w:rsidR="00BE3B30" w:rsidRDefault="00BE3B30" w:rsidP="00BE3B30">
      <w:pPr>
        <w:pStyle w:val="BodyTextIndent"/>
      </w:pPr>
      <w:r w:rsidRPr="00B13D7B">
        <w:rPr>
          <w:rStyle w:val="BodyTextIndentUnderlineChar"/>
        </w:rPr>
        <w:t>Designated spray rate</w:t>
      </w:r>
      <w:r w:rsidRPr="004A4B22">
        <w:rPr>
          <w:rStyle w:val="BodyTextIndentUnderlineChar"/>
          <w:u w:val="none"/>
        </w:rPr>
        <w:t>:</w:t>
      </w:r>
      <w:r>
        <w:t xml:space="preserve"> The spray rate for the PMBE that is ordered by the Superintendent.</w:t>
      </w:r>
    </w:p>
    <w:p w14:paraId="47B9C8B3" w14:textId="77777777" w:rsidR="00BE3B30" w:rsidRDefault="00BE3B30" w:rsidP="00BE3B30">
      <w:pPr>
        <w:pStyle w:val="BodyTextIndent"/>
        <w:rPr>
          <w:rFonts w:cs="Arial"/>
          <w:lang w:val="en-US"/>
        </w:rPr>
      </w:pPr>
      <w:r w:rsidRPr="00B13D7B">
        <w:rPr>
          <w:rStyle w:val="BodyTextIndentUnderlineChar"/>
        </w:rPr>
        <w:t>Polymer</w:t>
      </w:r>
      <w:r w:rsidRPr="004A4B22">
        <w:rPr>
          <w:rStyle w:val="BodyTextIndentUnderlineChar"/>
          <w:u w:val="none"/>
        </w:rPr>
        <w:t>:</w:t>
      </w:r>
      <w:r>
        <w:rPr>
          <w:rFonts w:cs="Arial"/>
          <w:lang w:val="en-US"/>
        </w:rPr>
        <w:t xml:space="preserve"> A predominantly organic substance comprising a very large number of chemical entities. These chemical entities may comprise identical segments (producing a homopolymer) or a combination of two or more different segments (producing a copolymer).</w:t>
      </w:r>
    </w:p>
    <w:p w14:paraId="47B9C8B4" w14:textId="77777777" w:rsidR="00BE3B30" w:rsidRDefault="00BE3B30" w:rsidP="00BE3B30">
      <w:pPr>
        <w:pStyle w:val="BodyTextIndent"/>
      </w:pPr>
      <w:r w:rsidRPr="00B13D7B">
        <w:rPr>
          <w:rStyle w:val="BodyTextIndentUnderlineChar"/>
        </w:rPr>
        <w:t>Polymer modified bitumen</w:t>
      </w:r>
      <w:r w:rsidRPr="004A4B22">
        <w:rPr>
          <w:rStyle w:val="BodyTextIndentUnderlineChar"/>
          <w:u w:val="none"/>
        </w:rPr>
        <w:t>:</w:t>
      </w:r>
      <w:r>
        <w:t xml:space="preserve"> Bitumen</w:t>
      </w:r>
      <w:r>
        <w:rPr>
          <w:lang w:val="en-US"/>
        </w:rPr>
        <w:t xml:space="preserve"> containing dispersed polymeric material to give enhanced bitumen performance for particular applications.</w:t>
      </w:r>
    </w:p>
    <w:p w14:paraId="47B9C8B5" w14:textId="77777777" w:rsidR="00BE3B30" w:rsidRDefault="00BE3B30" w:rsidP="00BE3B30">
      <w:pPr>
        <w:pStyle w:val="BodyTextIndent3"/>
      </w:pPr>
      <w:r w:rsidRPr="00B13D7B">
        <w:rPr>
          <w:rStyle w:val="BodyTextIndentUnderlineChar"/>
        </w:rPr>
        <w:t>Spray run</w:t>
      </w:r>
      <w:r w:rsidRPr="004A4B22">
        <w:rPr>
          <w:rStyle w:val="BodyTextIndentUnderlineChar"/>
          <w:u w:val="none"/>
        </w:rPr>
        <w:t>:</w:t>
      </w:r>
      <w:r>
        <w:t xml:space="preserve"> The area of pavement selected for coverage with PMBE during one continuous operation with a sprayer.</w:t>
      </w:r>
    </w:p>
    <w:p w14:paraId="47B9C8B6" w14:textId="77777777" w:rsidR="0035296C" w:rsidRDefault="0035296C" w:rsidP="000B7937">
      <w:pPr>
        <w:pStyle w:val="Heading2"/>
      </w:pPr>
      <w:bookmarkStart w:id="13" w:name="_Toc76106825"/>
      <w:r>
        <w:t>QUALITY</w:t>
      </w:r>
      <w:bookmarkEnd w:id="13"/>
    </w:p>
    <w:p w14:paraId="47B9C8B7" w14:textId="77777777" w:rsidR="0035296C" w:rsidRDefault="0035296C" w:rsidP="000B7937">
      <w:pPr>
        <w:pStyle w:val="Heading3"/>
      </w:pPr>
      <w:bookmarkStart w:id="14" w:name="_Toc76106826"/>
      <w:r>
        <w:t xml:space="preserve">Quality </w:t>
      </w:r>
      <w:r w:rsidR="00E71EF4">
        <w:t>System</w:t>
      </w:r>
      <w:bookmarkEnd w:id="14"/>
    </w:p>
    <w:p w14:paraId="47B9C8B8" w14:textId="77777777" w:rsidR="0035296C" w:rsidRDefault="0035296C" w:rsidP="00E71EF4">
      <w:pPr>
        <w:pStyle w:val="BodyTextIndent"/>
      </w:pPr>
      <w:r>
        <w:t xml:space="preserve">The supplier must maintain a Quality Assurance System with third party accreditation to </w:t>
      </w:r>
      <w:r w:rsidR="000E2802" w:rsidRPr="000E2802">
        <w:rPr>
          <w:i/>
        </w:rPr>
        <w:t>AS/NZS ISO 9001</w:t>
      </w:r>
      <w:r>
        <w:t xml:space="preserve">.  The supplier must notify the Contractor or Superintendent within two days of </w:t>
      </w:r>
      <w:r>
        <w:lastRenderedPageBreak/>
        <w:t>becoming aware that process control tests relevant to the work have fallen outside the specified limits.</w:t>
      </w:r>
    </w:p>
    <w:p w14:paraId="47B9C8B9" w14:textId="77777777" w:rsidR="0035296C" w:rsidRDefault="00E71EF4" w:rsidP="000B7937">
      <w:pPr>
        <w:pStyle w:val="Heading3"/>
      </w:pPr>
      <w:bookmarkStart w:id="15" w:name="_Toc76106827"/>
      <w:r>
        <w:t>Inspection</w:t>
      </w:r>
      <w:bookmarkEnd w:id="15"/>
    </w:p>
    <w:p w14:paraId="47B9C8BA" w14:textId="77777777" w:rsidR="00E71EF4" w:rsidRDefault="00E71EF4" w:rsidP="00E71EF4">
      <w:pPr>
        <w:pStyle w:val="BodyTextIndentBoldUnderline"/>
      </w:pPr>
      <w:r w:rsidRPr="00A02F36">
        <w:t>Witness points</w:t>
      </w:r>
    </w:p>
    <w:p w14:paraId="47B9C8BB" w14:textId="77777777" w:rsidR="0035296C" w:rsidRDefault="0035296C" w:rsidP="00E71EF4">
      <w:pPr>
        <w:pStyle w:val="BodyTextIndent"/>
      </w:pPr>
      <w:r>
        <w:t xml:space="preserve">Give sufficient notice so that inspection </w:t>
      </w:r>
      <w:r w:rsidR="007A174B">
        <w:t>can</w:t>
      </w:r>
      <w:r>
        <w:t xml:space="preserve"> be made of the following stages:</w:t>
      </w:r>
    </w:p>
    <w:p w14:paraId="47B9C8BC" w14:textId="77777777" w:rsidR="0035296C" w:rsidRDefault="0035296C" w:rsidP="00E71EF4">
      <w:pPr>
        <w:pStyle w:val="BodyTextIndentDot"/>
      </w:pPr>
      <w:r>
        <w:t xml:space="preserve">Surfaces </w:t>
      </w:r>
      <w:r w:rsidR="00196E18">
        <w:t xml:space="preserve">cleaned and </w:t>
      </w:r>
      <w:r>
        <w:t>prepared for surfacing.</w:t>
      </w:r>
    </w:p>
    <w:p w14:paraId="47B9C8BD" w14:textId="77777777" w:rsidR="00196E18" w:rsidRDefault="00196E18" w:rsidP="00E71EF4">
      <w:pPr>
        <w:pStyle w:val="BodyTextIndentDot"/>
      </w:pPr>
      <w:r>
        <w:t>Masking of pavement markings, fixtures and features.</w:t>
      </w:r>
    </w:p>
    <w:p w14:paraId="47B9C8BE" w14:textId="77777777" w:rsidR="0035296C" w:rsidRDefault="0035296C" w:rsidP="00E71EF4">
      <w:pPr>
        <w:pStyle w:val="BodyTextIndentDot"/>
      </w:pPr>
      <w:r>
        <w:t xml:space="preserve">Commencement of </w:t>
      </w:r>
      <w:r w:rsidR="00FA006C">
        <w:t>application</w:t>
      </w:r>
      <w:r>
        <w:t xml:space="preserve"> of </w:t>
      </w:r>
      <w:r w:rsidR="00FA006C">
        <w:t>surfacing</w:t>
      </w:r>
      <w:r>
        <w:t>.</w:t>
      </w:r>
    </w:p>
    <w:p w14:paraId="47B9C8BF" w14:textId="77777777" w:rsidR="00AF4145" w:rsidRPr="00405734" w:rsidRDefault="00AF4145" w:rsidP="00AF4145">
      <w:pPr>
        <w:pStyle w:val="BodyTextIndentBoldUnderline"/>
        <w:rPr>
          <w:snapToGrid w:val="0"/>
        </w:rPr>
      </w:pPr>
      <w:r w:rsidRPr="00405734">
        <w:t>Hold points</w:t>
      </w:r>
    </w:p>
    <w:p w14:paraId="47B9C8C0" w14:textId="77777777" w:rsidR="00AF4145" w:rsidRDefault="00AF4145" w:rsidP="00AF4145">
      <w:pPr>
        <w:pStyle w:val="BodyTextIndent"/>
      </w:pPr>
      <w:r>
        <w:t>Do not proceed without approval of the following stages:</w:t>
      </w:r>
    </w:p>
    <w:p w14:paraId="47B9C8C1" w14:textId="77777777" w:rsidR="00572D8F" w:rsidRDefault="00AF4145">
      <w:pPr>
        <w:pStyle w:val="BodyTextIndentDot"/>
        <w:numPr>
          <w:ilvl w:val="0"/>
          <w:numId w:val="6"/>
        </w:numPr>
        <w:tabs>
          <w:tab w:val="clear" w:pos="360"/>
          <w:tab w:val="num" w:pos="1134"/>
        </w:tabs>
        <w:ind w:left="1134" w:hanging="425"/>
      </w:pPr>
      <w:r>
        <w:t>Polymer Modified Bitumen Emulsion (PMBE) mix design.</w:t>
      </w:r>
    </w:p>
    <w:p w14:paraId="47B9C8C2" w14:textId="77777777" w:rsidR="00572D8F" w:rsidRDefault="00AF4145">
      <w:pPr>
        <w:pStyle w:val="BodyTextIndentDot"/>
        <w:numPr>
          <w:ilvl w:val="0"/>
          <w:numId w:val="6"/>
        </w:numPr>
        <w:tabs>
          <w:tab w:val="clear" w:pos="360"/>
          <w:tab w:val="num" w:pos="1134"/>
        </w:tabs>
        <w:ind w:left="1134" w:hanging="425"/>
      </w:pPr>
      <w:r>
        <w:t>Format and wording of the notice to be given to residents and business owners whose access will be temporally restricted.</w:t>
      </w:r>
    </w:p>
    <w:p w14:paraId="47B9C8C3" w14:textId="77777777" w:rsidR="00AF4145" w:rsidRDefault="00AF4145">
      <w:pPr>
        <w:pStyle w:val="BodyTextIndentDot"/>
        <w:numPr>
          <w:ilvl w:val="0"/>
          <w:numId w:val="6"/>
        </w:numPr>
        <w:tabs>
          <w:tab w:val="clear" w:pos="360"/>
          <w:tab w:val="num" w:pos="1134"/>
        </w:tabs>
        <w:ind w:left="1134" w:hanging="425"/>
      </w:pPr>
      <w:r>
        <w:t>Submission of calibration and approval to commence spreading.</w:t>
      </w:r>
    </w:p>
    <w:p w14:paraId="47B9C8C4" w14:textId="77777777" w:rsidR="0035296C" w:rsidRPr="00E71EF4" w:rsidRDefault="00E71EF4" w:rsidP="000B7937">
      <w:pPr>
        <w:pStyle w:val="Heading3"/>
      </w:pPr>
      <w:bookmarkStart w:id="16" w:name="_Toc76106828"/>
      <w:r w:rsidRPr="00E71EF4">
        <w:t>Tests</w:t>
      </w:r>
      <w:bookmarkEnd w:id="16"/>
    </w:p>
    <w:p w14:paraId="47B9C8C5" w14:textId="77777777" w:rsidR="00D163B7" w:rsidRDefault="00D163B7" w:rsidP="00E71EF4">
      <w:pPr>
        <w:pStyle w:val="BodyTextIndentBoldUnderline"/>
        <w:rPr>
          <w:snapToGrid w:val="0"/>
        </w:rPr>
      </w:pPr>
      <w:r>
        <w:t>General</w:t>
      </w:r>
    </w:p>
    <w:p w14:paraId="47B9C8C6" w14:textId="77777777" w:rsidR="0035296C" w:rsidRDefault="0035296C" w:rsidP="00E71EF4">
      <w:pPr>
        <w:pStyle w:val="BodyTextIndent"/>
      </w:pPr>
      <w:r w:rsidRPr="00E71EF4">
        <w:rPr>
          <w:rStyle w:val="BodyTextIndentUnderlineChar"/>
        </w:rPr>
        <w:t>Methods</w:t>
      </w:r>
      <w:r w:rsidRPr="004A4B22">
        <w:rPr>
          <w:rStyle w:val="BodyTextIndentUnderlineChar"/>
          <w:u w:val="none"/>
        </w:rPr>
        <w:t>:</w:t>
      </w:r>
      <w:r>
        <w:t xml:space="preserve"> Use Australian Standard or Queensland Department of </w:t>
      </w:r>
      <w:r w:rsidR="001B4BDC">
        <w:t xml:space="preserve">Transport and </w:t>
      </w:r>
      <w:r>
        <w:t xml:space="preserve">Main Roads </w:t>
      </w:r>
      <w:r w:rsidR="00175548">
        <w:t xml:space="preserve">(TMR) </w:t>
      </w:r>
      <w:r>
        <w:t>test methods.</w:t>
      </w:r>
    </w:p>
    <w:p w14:paraId="47B9C8C7" w14:textId="77777777" w:rsidR="0035296C" w:rsidRDefault="0035296C" w:rsidP="00E71EF4">
      <w:pPr>
        <w:pStyle w:val="BodyTextIndent"/>
      </w:pPr>
      <w:r w:rsidRPr="00E71EF4">
        <w:rPr>
          <w:rStyle w:val="BodyTextIndentUnderlineChar"/>
        </w:rPr>
        <w:t>Testing authority</w:t>
      </w:r>
      <w:r w:rsidRPr="004A4B22">
        <w:rPr>
          <w:rStyle w:val="BodyTextIndentUnderlineChar"/>
          <w:u w:val="none"/>
        </w:rPr>
        <w:t>:</w:t>
      </w:r>
      <w:r>
        <w:t xml:space="preserve"> Use a testing facility registered by NATA for the test required.</w:t>
      </w:r>
    </w:p>
    <w:p w14:paraId="47B9C8C8" w14:textId="77777777" w:rsidR="00D163B7" w:rsidRDefault="00D163B7" w:rsidP="00E71EF4">
      <w:pPr>
        <w:pStyle w:val="BodyTextIndentBoldUnderline"/>
        <w:rPr>
          <w:snapToGrid w:val="0"/>
        </w:rPr>
      </w:pPr>
      <w:r>
        <w:t>Process control testing</w:t>
      </w:r>
    </w:p>
    <w:p w14:paraId="47B9C8C9" w14:textId="67F7FC43" w:rsidR="007A48EA" w:rsidRDefault="0035296C" w:rsidP="00E71EF4">
      <w:pPr>
        <w:pStyle w:val="BodyTextIndent"/>
      </w:pPr>
      <w:r>
        <w:t>Perform sampling and testing of the type and frequency necessary to adequately control the work.</w:t>
      </w:r>
      <w:r w:rsidR="00D163B7">
        <w:t xml:space="preserve">  Comply with the minimum requirements specified in</w:t>
      </w:r>
      <w:r w:rsidR="00F821D5" w:rsidRPr="00F821D5">
        <w:rPr>
          <w:rStyle w:val="BodyTextIndentItalicChar"/>
        </w:rPr>
        <w:t xml:space="preserve"> Reference Specification </w:t>
      </w:r>
      <w:r w:rsidR="00D163B7" w:rsidRPr="00F821D5">
        <w:rPr>
          <w:rStyle w:val="BodyTextIndentItalicChar"/>
        </w:rPr>
        <w:t>S120 Quality</w:t>
      </w:r>
      <w:r w:rsidR="006433A1" w:rsidRPr="006433A1">
        <w:rPr>
          <w:rStyle w:val="BodyTextIndentItalicChar"/>
        </w:rPr>
        <w:t xml:space="preserve"> </w:t>
      </w:r>
      <w:r w:rsidR="006433A1" w:rsidRPr="00F821D5">
        <w:rPr>
          <w:rStyle w:val="BodyTextIndentItalicChar"/>
        </w:rPr>
        <w:t>Clause</w:t>
      </w:r>
      <w:r w:rsidR="00763918" w:rsidRPr="00C7218C">
        <w:rPr>
          <w:rStyle w:val="BodyTextIndentItalicChar"/>
        </w:rPr>
        <w:t> </w:t>
      </w:r>
      <w:r w:rsidR="006433A1" w:rsidRPr="00F821D5">
        <w:rPr>
          <w:rStyle w:val="BodyTextIndentItalicChar"/>
        </w:rPr>
        <w:t>8.1</w:t>
      </w:r>
      <w:r w:rsidR="00D163B7">
        <w:t>.</w:t>
      </w:r>
    </w:p>
    <w:p w14:paraId="47B9C8CA" w14:textId="77777777" w:rsidR="00D163B7" w:rsidRDefault="00D163B7" w:rsidP="00E71EF4">
      <w:pPr>
        <w:pStyle w:val="BodyTextIndentBoldUnderline"/>
      </w:pPr>
      <w:r>
        <w:t>Compliance assessment tests</w:t>
      </w:r>
    </w:p>
    <w:p w14:paraId="47B9C8CB" w14:textId="77777777" w:rsidR="00D163B7" w:rsidRDefault="00D163B7" w:rsidP="00E71EF4">
      <w:pPr>
        <w:pStyle w:val="BodyTextIndent"/>
      </w:pPr>
      <w:r w:rsidRPr="00E71EF4">
        <w:rPr>
          <w:rStyle w:val="BodyTextIndentUnderlineChar"/>
        </w:rPr>
        <w:t>General</w:t>
      </w:r>
      <w:r w:rsidRPr="004A4B22">
        <w:rPr>
          <w:rStyle w:val="BodyTextIndentUnderlineChar"/>
          <w:u w:val="none"/>
        </w:rPr>
        <w:t>:</w:t>
      </w:r>
      <w:r>
        <w:t xml:space="preserve"> The Contractor or Superintendent may carry out compliance assessment testing using a testing laboratory registered with NATA for the particular test.</w:t>
      </w:r>
    </w:p>
    <w:p w14:paraId="47B9C8CC" w14:textId="77777777" w:rsidR="00655711" w:rsidRDefault="00655711" w:rsidP="00E71EF4">
      <w:pPr>
        <w:pStyle w:val="BodyTextIndentBoldUnderline"/>
      </w:pPr>
      <w:r>
        <w:t>Test lot</w:t>
      </w:r>
    </w:p>
    <w:p w14:paraId="47B9C8CD" w14:textId="77777777" w:rsidR="00CC276B" w:rsidRDefault="00CC276B" w:rsidP="00E71EF4">
      <w:pPr>
        <w:pStyle w:val="BodyTextIndent"/>
      </w:pPr>
      <w:r>
        <w:t xml:space="preserve">A spray run or a series of spray runs applied on any calendar day on the same street.  Test lots must be uniform in terms of material properties and </w:t>
      </w:r>
      <w:r w:rsidR="00055270">
        <w:t>spray application rates</w:t>
      </w:r>
      <w:r>
        <w:t>.</w:t>
      </w:r>
    </w:p>
    <w:p w14:paraId="47B9C8CE" w14:textId="77777777" w:rsidR="00CC276B" w:rsidRDefault="00CC276B" w:rsidP="00E71EF4">
      <w:pPr>
        <w:pStyle w:val="BodyTextIndent"/>
      </w:pPr>
      <w:r w:rsidRPr="00B13D7B">
        <w:rPr>
          <w:rStyle w:val="BodyTextIndentUnderlineChar"/>
        </w:rPr>
        <w:t>Sampling location</w:t>
      </w:r>
      <w:r w:rsidRPr="004A4B22">
        <w:rPr>
          <w:rStyle w:val="BodyTextIndentUnderlineChar"/>
          <w:u w:val="none"/>
        </w:rPr>
        <w:t>:</w:t>
      </w:r>
      <w:r>
        <w:t xml:space="preserve"> Sample from </w:t>
      </w:r>
      <w:r w:rsidR="00655711">
        <w:t>agreed</w:t>
      </w:r>
      <w:r>
        <w:t xml:space="preserve"> sample sites within designated uniform test</w:t>
      </w:r>
      <w:r w:rsidR="007A48EA">
        <w:t xml:space="preserve"> </w:t>
      </w:r>
      <w:r>
        <w:t>lots.</w:t>
      </w:r>
    </w:p>
    <w:p w14:paraId="47B9C8CF" w14:textId="77777777" w:rsidR="0035296C" w:rsidRPr="00E71EF4" w:rsidRDefault="00E71EF4" w:rsidP="000B7937">
      <w:pPr>
        <w:pStyle w:val="Heading3"/>
      </w:pPr>
      <w:bookmarkStart w:id="17" w:name="_Toc76106829"/>
      <w:r w:rsidRPr="00E71EF4">
        <w:t>Submissions</w:t>
      </w:r>
      <w:bookmarkEnd w:id="17"/>
    </w:p>
    <w:p w14:paraId="47B9C8D0" w14:textId="77777777" w:rsidR="009C1311" w:rsidRDefault="00E71EF4" w:rsidP="00E71EF4">
      <w:pPr>
        <w:pStyle w:val="BodyTextIndentBoldUnderline"/>
      </w:pPr>
      <w:r>
        <w:t>Mix d</w:t>
      </w:r>
      <w:r w:rsidR="00752877">
        <w:t>esign</w:t>
      </w:r>
      <w:r w:rsidR="00BE3B30">
        <w:t xml:space="preserve"> and application rate</w:t>
      </w:r>
    </w:p>
    <w:p w14:paraId="47B9C8D1" w14:textId="77777777" w:rsidR="009C1311" w:rsidRDefault="009C1311" w:rsidP="00E71EF4">
      <w:pPr>
        <w:pStyle w:val="BodyTextIndent"/>
      </w:pPr>
      <w:r w:rsidRPr="00752877">
        <w:t>Submit details of the proposed Polymer Modified Bitumen Emulsion treatment along with supporting evidence of previous satisfactory performance on pavements under Australian conditions.</w:t>
      </w:r>
    </w:p>
    <w:p w14:paraId="47B9C8D2" w14:textId="77777777" w:rsidR="00221CA0" w:rsidRDefault="00221CA0" w:rsidP="00E71EF4">
      <w:pPr>
        <w:pStyle w:val="BodyTextIndentBoldUnderline"/>
      </w:pPr>
      <w:r>
        <w:t>Samples</w:t>
      </w:r>
    </w:p>
    <w:p w14:paraId="47B9C8D3" w14:textId="77777777" w:rsidR="00221CA0" w:rsidRDefault="00221CA0" w:rsidP="00E71EF4">
      <w:pPr>
        <w:pStyle w:val="BodyTextIndent"/>
      </w:pPr>
      <w:r>
        <w:t>On request, submit samples of PMBE (</w:t>
      </w:r>
      <w:r w:rsidR="00E15B2D">
        <w:t>4 </w:t>
      </w:r>
      <w:r>
        <w:t>L) supplied under the Contract.</w:t>
      </w:r>
    </w:p>
    <w:p w14:paraId="47B9C8D4" w14:textId="77777777" w:rsidR="009C1311" w:rsidRDefault="00E71EF4" w:rsidP="00E71EF4">
      <w:pPr>
        <w:pStyle w:val="BodyTextIndentBoldUnderline"/>
      </w:pPr>
      <w:r>
        <w:t>Work method statement</w:t>
      </w:r>
    </w:p>
    <w:p w14:paraId="47B9C8D5" w14:textId="77777777" w:rsidR="009C1311" w:rsidRDefault="009C1311" w:rsidP="00E71EF4">
      <w:pPr>
        <w:pStyle w:val="BodyTextIndent"/>
      </w:pPr>
      <w:r>
        <w:t>Submit the proposed Work Method Statement and testing program at least 14 days prior to the commencement of the works.</w:t>
      </w:r>
    </w:p>
    <w:p w14:paraId="47B9C8D6" w14:textId="77777777" w:rsidR="00221CA0" w:rsidRDefault="00221CA0" w:rsidP="00E71EF4">
      <w:pPr>
        <w:pStyle w:val="BodyTextIndent"/>
      </w:pPr>
      <w:r>
        <w:t>Work Method Statement shall detail all methods and equipment to be used for the works, including the following:</w:t>
      </w:r>
    </w:p>
    <w:p w14:paraId="47B9C8D7" w14:textId="77777777" w:rsidR="00221CA0" w:rsidRDefault="00221CA0" w:rsidP="00E71EF4">
      <w:pPr>
        <w:pStyle w:val="BodyTextIndentDot"/>
      </w:pPr>
      <w:r>
        <w:t>Staging of the work, access and traffic control methods.</w:t>
      </w:r>
    </w:p>
    <w:p w14:paraId="47B9C8D8" w14:textId="77777777" w:rsidR="00221CA0" w:rsidRDefault="00221CA0" w:rsidP="00E71EF4">
      <w:pPr>
        <w:pStyle w:val="BodyTextIndentDot"/>
      </w:pPr>
      <w:r>
        <w:t>Methods and equipment for each operation.</w:t>
      </w:r>
    </w:p>
    <w:p w14:paraId="47B9C8D9" w14:textId="77777777" w:rsidR="00221CA0" w:rsidRDefault="00221CA0" w:rsidP="00E71EF4">
      <w:pPr>
        <w:pStyle w:val="BodyTextIndentDot"/>
      </w:pPr>
      <w:r>
        <w:lastRenderedPageBreak/>
        <w:t>Sources of materials.</w:t>
      </w:r>
    </w:p>
    <w:p w14:paraId="47B9C8DA" w14:textId="77777777" w:rsidR="0035296C" w:rsidRDefault="0035296C" w:rsidP="00E71EF4">
      <w:pPr>
        <w:pStyle w:val="BodyTextIndentBoldUnderline"/>
      </w:pPr>
      <w:r>
        <w:t>Test program</w:t>
      </w:r>
    </w:p>
    <w:p w14:paraId="47B9C8DB" w14:textId="77777777" w:rsidR="00257B75" w:rsidRDefault="009C1311" w:rsidP="00257B75">
      <w:pPr>
        <w:pStyle w:val="BodyTextIndent"/>
      </w:pPr>
      <w:r>
        <w:t>S</w:t>
      </w:r>
      <w:r w:rsidR="0035296C">
        <w:t xml:space="preserve">ubmit details of the </w:t>
      </w:r>
      <w:r w:rsidR="003B51AB">
        <w:t>in</w:t>
      </w:r>
      <w:r w:rsidR="0035296C">
        <w:t>spection and test program covering all specified properties of the materials</w:t>
      </w:r>
      <w:r w:rsidR="00267C27">
        <w:t xml:space="preserve"> and </w:t>
      </w:r>
      <w:r w:rsidR="0035296C">
        <w:t xml:space="preserve">details of recent test results demonstrating sustained compliance of similar work with the </w:t>
      </w:r>
      <w:r w:rsidR="00221CA0">
        <w:t>same</w:t>
      </w:r>
      <w:r w:rsidR="0035296C">
        <w:t xml:space="preserve"> properties.</w:t>
      </w:r>
      <w:r w:rsidR="00257B75">
        <w:t xml:space="preserve">  Submit the following test information relating to the material to be used and the application rates of the sprayed surface treatment:</w:t>
      </w:r>
    </w:p>
    <w:p w14:paraId="47B9C8DC" w14:textId="77777777" w:rsidR="00257B75" w:rsidRDefault="00257B75" w:rsidP="00257B75">
      <w:pPr>
        <w:pStyle w:val="BodyTextIndentDot"/>
      </w:pPr>
      <w:r>
        <w:t>The test methods to be used to assure the quality of its product;</w:t>
      </w:r>
    </w:p>
    <w:p w14:paraId="47B9C8DD" w14:textId="77777777" w:rsidR="00257B75" w:rsidRDefault="00257B75" w:rsidP="00257B75">
      <w:pPr>
        <w:pStyle w:val="BodyTextIndentDot"/>
      </w:pPr>
      <w:r>
        <w:t>The sampling frequency necessary for adequate quality control of the material and its application to the roadway surface.</w:t>
      </w:r>
    </w:p>
    <w:p w14:paraId="47B9C8DE" w14:textId="77777777" w:rsidR="0035296C" w:rsidRDefault="0035296C" w:rsidP="00E71EF4">
      <w:pPr>
        <w:pStyle w:val="BodyTextIndentBoldUnderline"/>
      </w:pPr>
      <w:r>
        <w:t>Records of measurement</w:t>
      </w:r>
    </w:p>
    <w:p w14:paraId="47B9C8DF" w14:textId="77777777" w:rsidR="00752877" w:rsidRDefault="00752877" w:rsidP="00E71EF4">
      <w:pPr>
        <w:pStyle w:val="BodyTextIndent"/>
      </w:pPr>
      <w:r w:rsidRPr="00B13D7B">
        <w:rPr>
          <w:rStyle w:val="BodyTextIndentUnderlineChar"/>
        </w:rPr>
        <w:t>Requirement</w:t>
      </w:r>
      <w:r w:rsidRPr="004A4B22">
        <w:rPr>
          <w:rStyle w:val="BodyTextIndentUnderlineChar"/>
          <w:u w:val="none"/>
        </w:rPr>
        <w:t>:</w:t>
      </w:r>
      <w:r>
        <w:t xml:space="preserve"> Record all details of the sealing operations on approved bituminous materials spraying record sheets.  Calculate actual spray rate for each spray run prior to the next spray run.</w:t>
      </w:r>
    </w:p>
    <w:p w14:paraId="47B9C8E0" w14:textId="77777777" w:rsidR="0035296C" w:rsidRDefault="00D47D7C" w:rsidP="00E71EF4">
      <w:pPr>
        <w:pStyle w:val="BodyTextIndent"/>
      </w:pPr>
      <w:r>
        <w:rPr>
          <w:snapToGrid w:val="0"/>
        </w:rPr>
        <w:t>C</w:t>
      </w:r>
      <w:r w:rsidRPr="00196E18">
        <w:rPr>
          <w:snapToGrid w:val="0"/>
        </w:rPr>
        <w:t>omplete a Daily Project Site Return recording plant, equipment, labour, traffic control</w:t>
      </w:r>
      <w:r>
        <w:rPr>
          <w:snapToGrid w:val="0"/>
        </w:rPr>
        <w:t>, times of closure of road</w:t>
      </w:r>
      <w:r w:rsidRPr="00196E18">
        <w:rPr>
          <w:snapToGrid w:val="0"/>
        </w:rPr>
        <w:t xml:space="preserve"> and areas of work completed</w:t>
      </w:r>
      <w:r>
        <w:rPr>
          <w:snapToGrid w:val="0"/>
        </w:rPr>
        <w:t xml:space="preserve"> including spraying records</w:t>
      </w:r>
      <w:r w:rsidR="000C78A6">
        <w:t xml:space="preserve"> showing the </w:t>
      </w:r>
      <w:r w:rsidR="00752877">
        <w:t xml:space="preserve">actual </w:t>
      </w:r>
      <w:r w:rsidR="000C78A6">
        <w:t xml:space="preserve">application rate of the </w:t>
      </w:r>
      <w:r w:rsidR="00752877">
        <w:t>PMBE</w:t>
      </w:r>
      <w:r w:rsidR="0035296C">
        <w:t>.</w:t>
      </w:r>
    </w:p>
    <w:p w14:paraId="47B9C8E1" w14:textId="77777777" w:rsidR="0035296C" w:rsidRDefault="0035296C" w:rsidP="000B7937">
      <w:pPr>
        <w:pStyle w:val="Heading2"/>
      </w:pPr>
      <w:bookmarkStart w:id="18" w:name="_Toc76106830"/>
      <w:r>
        <w:t>MATERIALS</w:t>
      </w:r>
      <w:bookmarkEnd w:id="18"/>
    </w:p>
    <w:p w14:paraId="47B9C8E2" w14:textId="77777777" w:rsidR="00B1083D" w:rsidRPr="00B1083D" w:rsidRDefault="00B1083D" w:rsidP="00B1083D">
      <w:pPr>
        <w:pStyle w:val="BodyTextIndent"/>
        <w:rPr>
          <w:rStyle w:val="BodyTextIndentChar"/>
        </w:rPr>
      </w:pPr>
      <w:r w:rsidRPr="00B1083D">
        <w:rPr>
          <w:rStyle w:val="BodyTextIndentUnderlineChar"/>
        </w:rPr>
        <w:t>General</w:t>
      </w:r>
      <w:r w:rsidRPr="004A4B22">
        <w:rPr>
          <w:rStyle w:val="BodyTextIndentUnderlineChar"/>
          <w:u w:val="none"/>
        </w:rPr>
        <w:t>:</w:t>
      </w:r>
      <w:r w:rsidRPr="00B1083D">
        <w:rPr>
          <w:rStyle w:val="BodyTextIndentChar"/>
        </w:rPr>
        <w:t xml:space="preserve"> </w:t>
      </w:r>
      <w:r w:rsidR="003F5964" w:rsidRPr="00B1083D">
        <w:rPr>
          <w:rStyle w:val="BodyTextIndentChar"/>
        </w:rPr>
        <w:t xml:space="preserve">PMBE </w:t>
      </w:r>
      <w:r w:rsidR="0054233E" w:rsidRPr="00B1083D">
        <w:rPr>
          <w:rStyle w:val="BodyTextIndentChar"/>
        </w:rPr>
        <w:t>Surface Treatment material</w:t>
      </w:r>
      <w:r w:rsidR="001F2410" w:rsidRPr="00B1083D">
        <w:rPr>
          <w:rStyle w:val="BodyTextIndentChar"/>
        </w:rPr>
        <w:t xml:space="preserve"> shall consist of a homogeneous combination of emulsified </w:t>
      </w:r>
      <w:r w:rsidR="003F5964" w:rsidRPr="00B1083D">
        <w:rPr>
          <w:rStyle w:val="BodyTextIndentChar"/>
        </w:rPr>
        <w:t xml:space="preserve">polymer modified </w:t>
      </w:r>
      <w:r w:rsidR="001F2410" w:rsidRPr="00B1083D">
        <w:rPr>
          <w:rStyle w:val="BodyTextIndentChar"/>
        </w:rPr>
        <w:t>bi</w:t>
      </w:r>
      <w:r w:rsidR="0054233E" w:rsidRPr="00B1083D">
        <w:rPr>
          <w:rStyle w:val="BodyTextIndentChar"/>
        </w:rPr>
        <w:t>tumen</w:t>
      </w:r>
      <w:r w:rsidR="001F2410" w:rsidRPr="00B1083D">
        <w:rPr>
          <w:rStyle w:val="BodyTextIndentChar"/>
        </w:rPr>
        <w:t xml:space="preserve"> (60% minimum bi</w:t>
      </w:r>
      <w:r w:rsidR="00221CA0" w:rsidRPr="00B1083D">
        <w:rPr>
          <w:rStyle w:val="BodyTextIndentChar"/>
        </w:rPr>
        <w:t>tumen</w:t>
      </w:r>
      <w:r w:rsidR="001F2410" w:rsidRPr="00B1083D">
        <w:rPr>
          <w:rStyle w:val="BodyTextIndentChar"/>
        </w:rPr>
        <w:t xml:space="preserve"> content) and added </w:t>
      </w:r>
      <w:r w:rsidR="0054233E" w:rsidRPr="00B1083D">
        <w:rPr>
          <w:rStyle w:val="BodyTextIndentChar"/>
        </w:rPr>
        <w:t>aggregate</w:t>
      </w:r>
      <w:r w:rsidR="001F2410" w:rsidRPr="00B1083D">
        <w:rPr>
          <w:rStyle w:val="BodyTextIndentChar"/>
        </w:rPr>
        <w:t>.</w:t>
      </w:r>
    </w:p>
    <w:p w14:paraId="47B9C8E3" w14:textId="77777777" w:rsidR="001F2410" w:rsidRDefault="00B1083D" w:rsidP="00B13D7B">
      <w:pPr>
        <w:pStyle w:val="BodyTextIndent"/>
      </w:pPr>
      <w:r w:rsidRPr="009A3A4A">
        <w:t xml:space="preserve">All materials (including sand) are to be thoroughly mixed into </w:t>
      </w:r>
      <w:r>
        <w:t xml:space="preserve">Bitumen Emulsion </w:t>
      </w:r>
      <w:r w:rsidRPr="009A3A4A">
        <w:t>prior to delivery to site.  Delivery vehicles sh</w:t>
      </w:r>
      <w:r>
        <w:t>all</w:t>
      </w:r>
      <w:r w:rsidRPr="009A3A4A">
        <w:t xml:space="preserve"> have devices to ensure that fine aggregates remain in suspension.</w:t>
      </w:r>
    </w:p>
    <w:p w14:paraId="47B9C8E4" w14:textId="77777777" w:rsidR="00B1083D" w:rsidRDefault="00B1083D" w:rsidP="000B7937">
      <w:pPr>
        <w:pStyle w:val="Heading3"/>
      </w:pPr>
      <w:bookmarkStart w:id="19" w:name="_Toc76106831"/>
      <w:r>
        <w:t>Aggregate</w:t>
      </w:r>
      <w:bookmarkEnd w:id="19"/>
    </w:p>
    <w:p w14:paraId="47B9C8E5" w14:textId="4D3345A0" w:rsidR="0054233E" w:rsidRDefault="0054233E" w:rsidP="00B13D7B">
      <w:pPr>
        <w:pStyle w:val="BodyTextIndent"/>
      </w:pPr>
      <w:r>
        <w:t xml:space="preserve">Aggregate shall consist of clean, dry, tough, sound and moderately sharp grains, free of coatings or loose particle of clay, silt or other matter deleterious to bituminous surfacing. Aggregate </w:t>
      </w:r>
      <w:r w:rsidRPr="009A3A4A">
        <w:t xml:space="preserve">shall have greater than 100% passing the </w:t>
      </w:r>
      <w:r w:rsidR="00C741AD">
        <w:t>2</w:t>
      </w:r>
      <w:r w:rsidRPr="009A3A4A">
        <w:t>.</w:t>
      </w:r>
      <w:r w:rsidR="00C741AD">
        <w:t>36</w:t>
      </w:r>
      <w:r w:rsidR="00F821D5">
        <w:t> </w:t>
      </w:r>
      <w:r w:rsidRPr="009A3A4A">
        <w:t>mm sieve with less than 1% passing the 150</w:t>
      </w:r>
      <w:r w:rsidR="007E02F6" w:rsidRPr="00373FD7">
        <w:t> </w:t>
      </w:r>
      <w:r w:rsidRPr="009A3A4A">
        <w:t>micron sieve.</w:t>
      </w:r>
    </w:p>
    <w:p w14:paraId="47B9C8E6" w14:textId="77777777" w:rsidR="00B1083D" w:rsidRDefault="00B1083D" w:rsidP="000B7937">
      <w:pPr>
        <w:pStyle w:val="Heading3"/>
      </w:pPr>
      <w:bookmarkStart w:id="20" w:name="_Toc76106832"/>
      <w:r>
        <w:t>Filler</w:t>
      </w:r>
      <w:bookmarkEnd w:id="20"/>
    </w:p>
    <w:p w14:paraId="47B9C8E7" w14:textId="77777777" w:rsidR="001F2410" w:rsidRDefault="001F2410" w:rsidP="00B13D7B">
      <w:pPr>
        <w:pStyle w:val="BodyTextIndent"/>
      </w:pPr>
      <w:r>
        <w:t>Proprietary fillers, fibres</w:t>
      </w:r>
      <w:r w:rsidR="00DC168D">
        <w:t xml:space="preserve">, </w:t>
      </w:r>
      <w:r w:rsidR="003E27F5">
        <w:t xml:space="preserve">propriety </w:t>
      </w:r>
      <w:r w:rsidR="00DC168D">
        <w:t>modifiers</w:t>
      </w:r>
      <w:r>
        <w:t xml:space="preserve"> and stabilising additives may be included provided the added fine aggregate content is not less than 30% by mass of the mixed emulsion.</w:t>
      </w:r>
      <w:r w:rsidR="004D55E5">
        <w:t xml:space="preserve">  </w:t>
      </w:r>
    </w:p>
    <w:p w14:paraId="47B9C8E8" w14:textId="77777777" w:rsidR="00B1083D" w:rsidRDefault="00B1083D" w:rsidP="000B7937">
      <w:pPr>
        <w:pStyle w:val="Heading3"/>
      </w:pPr>
      <w:bookmarkStart w:id="21" w:name="_Toc76106833"/>
      <w:r>
        <w:t>Bitumen</w:t>
      </w:r>
      <w:bookmarkEnd w:id="21"/>
    </w:p>
    <w:p w14:paraId="47B9C8E9" w14:textId="77777777" w:rsidR="00202E1D" w:rsidRDefault="00655711" w:rsidP="00B13D7B">
      <w:pPr>
        <w:pStyle w:val="BodyTextIndent"/>
      </w:pPr>
      <w:r>
        <w:t xml:space="preserve">Bitumen and aggregate shall comply with the requirements of </w:t>
      </w:r>
      <w:r w:rsidR="00A83D24" w:rsidRPr="00F44E99">
        <w:rPr>
          <w:rStyle w:val="BodyTextIndentItalicChar"/>
        </w:rPr>
        <w:t xml:space="preserve">Reference Specification </w:t>
      </w:r>
      <w:r w:rsidRPr="00F44E99">
        <w:rPr>
          <w:rStyle w:val="BodyTextIndentItalicChar"/>
        </w:rPr>
        <w:t>S330 Sprayed Bituminous Surfacing: Materials</w:t>
      </w:r>
      <w:r>
        <w:t>.</w:t>
      </w:r>
    </w:p>
    <w:p w14:paraId="47B9C8EA" w14:textId="77777777" w:rsidR="00B1083D" w:rsidRDefault="00B1083D" w:rsidP="000B7937">
      <w:pPr>
        <w:pStyle w:val="Heading2"/>
      </w:pPr>
      <w:bookmarkStart w:id="22" w:name="_Toc303087948"/>
      <w:bookmarkStart w:id="23" w:name="_Toc302724318"/>
      <w:bookmarkStart w:id="24" w:name="_Toc76106834"/>
      <w:bookmarkEnd w:id="22"/>
      <w:r>
        <w:t>MIX DESIGN</w:t>
      </w:r>
      <w:bookmarkEnd w:id="23"/>
      <w:bookmarkEnd w:id="24"/>
    </w:p>
    <w:p w14:paraId="47B9C8EB" w14:textId="77777777" w:rsidR="00B1083D" w:rsidRDefault="00B1083D" w:rsidP="000B7937">
      <w:pPr>
        <w:pStyle w:val="Heading3"/>
      </w:pPr>
      <w:bookmarkStart w:id="25" w:name="_Toc302724319"/>
      <w:bookmarkStart w:id="26" w:name="_Toc76106835"/>
      <w:r>
        <w:t>General</w:t>
      </w:r>
      <w:bookmarkEnd w:id="25"/>
      <w:bookmarkEnd w:id="26"/>
    </w:p>
    <w:p w14:paraId="47B9C8EC" w14:textId="77777777" w:rsidR="00B1083D" w:rsidRDefault="00B1083D" w:rsidP="00B1083D">
      <w:pPr>
        <w:pStyle w:val="BodyTextIndent"/>
      </w:pPr>
      <w:r w:rsidRPr="00973176">
        <w:rPr>
          <w:rStyle w:val="BodyTextIndentUnderlineChar"/>
        </w:rPr>
        <w:t>Requirement</w:t>
      </w:r>
      <w:r w:rsidRPr="004A4B22">
        <w:rPr>
          <w:rStyle w:val="BodyTextIndentUnderlineChar"/>
          <w:u w:val="none"/>
        </w:rPr>
        <w:t>:</w:t>
      </w:r>
      <w:r>
        <w:t xml:space="preserve"> Manufacture </w:t>
      </w:r>
      <w:r w:rsidR="00E15B2D">
        <w:t>P</w:t>
      </w:r>
      <w:r w:rsidR="00FD2722">
        <w:t>M</w:t>
      </w:r>
      <w:r w:rsidR="00E15B2D">
        <w:t>BE Surface Treatment</w:t>
      </w:r>
      <w:r w:rsidRPr="00A84FEE">
        <w:t xml:space="preserve"> to </w:t>
      </w:r>
      <w:r>
        <w:t>the</w:t>
      </w:r>
      <w:r w:rsidRPr="00A84FEE">
        <w:t xml:space="preserve"> mix design</w:t>
      </w:r>
      <w:r>
        <w:t xml:space="preserve"> approved by the Superintendent.</w:t>
      </w:r>
    </w:p>
    <w:p w14:paraId="47B9C8ED" w14:textId="77777777" w:rsidR="002A269F" w:rsidRPr="00A84FEE" w:rsidRDefault="00D62C83" w:rsidP="00B1083D">
      <w:pPr>
        <w:pStyle w:val="BodyTextIndent"/>
      </w:pPr>
      <w:r>
        <w:t xml:space="preserve">Do not dilute the </w:t>
      </w:r>
      <w:r w:rsidR="002A269F">
        <w:t>PMBE Surface Treatment</w:t>
      </w:r>
      <w:r>
        <w:t xml:space="preserve"> with</w:t>
      </w:r>
      <w:r w:rsidR="002A269F">
        <w:t xml:space="preserve"> water or </w:t>
      </w:r>
      <w:r>
        <w:t xml:space="preserve">any </w:t>
      </w:r>
      <w:r w:rsidR="002A269F">
        <w:t xml:space="preserve">other substance </w:t>
      </w:r>
      <w:r>
        <w:t>without the</w:t>
      </w:r>
      <w:r w:rsidR="002A269F">
        <w:t xml:space="preserve"> approval of the Superintendent</w:t>
      </w:r>
      <w:r w:rsidR="00433497">
        <w:t>.</w:t>
      </w:r>
    </w:p>
    <w:p w14:paraId="47B9C8EE" w14:textId="77777777" w:rsidR="00B1083D" w:rsidRDefault="000B779F" w:rsidP="00B1083D">
      <w:pPr>
        <w:pStyle w:val="BodyTextIndent"/>
      </w:pPr>
      <w:r>
        <w:t>Notwithstanding these requirements, the Contractor shall take full responsibility for the mix design, manufacture, supply and placing of PMBE Surface Treatment.</w:t>
      </w:r>
    </w:p>
    <w:p w14:paraId="47B9C8EF" w14:textId="77777777" w:rsidR="0035296C" w:rsidRDefault="00BE3B30" w:rsidP="000B7937">
      <w:pPr>
        <w:pStyle w:val="Heading2"/>
      </w:pPr>
      <w:bookmarkStart w:id="27" w:name="_Toc303087951"/>
      <w:bookmarkStart w:id="28" w:name="_Toc303087967"/>
      <w:bookmarkStart w:id="29" w:name="_Toc76106836"/>
      <w:bookmarkEnd w:id="27"/>
      <w:bookmarkEnd w:id="28"/>
      <w:r>
        <w:t>PLACING</w:t>
      </w:r>
      <w:bookmarkEnd w:id="29"/>
    </w:p>
    <w:p w14:paraId="47B9C8F0" w14:textId="77777777" w:rsidR="006C4314" w:rsidRDefault="006C4314" w:rsidP="000B7937">
      <w:pPr>
        <w:pStyle w:val="Heading3"/>
      </w:pPr>
      <w:bookmarkStart w:id="30" w:name="_Toc76106837"/>
      <w:r>
        <w:t xml:space="preserve">Traffic </w:t>
      </w:r>
      <w:r w:rsidR="00B13D7B">
        <w:t>Control</w:t>
      </w:r>
      <w:bookmarkEnd w:id="30"/>
    </w:p>
    <w:p w14:paraId="47B9C8F1" w14:textId="77777777" w:rsidR="006C4314" w:rsidRDefault="00EF3CF9" w:rsidP="00B13D7B">
      <w:pPr>
        <w:pStyle w:val="BodyTextIndentBoldUnderline"/>
      </w:pPr>
      <w:r>
        <w:t>Traffic</w:t>
      </w:r>
    </w:p>
    <w:p w14:paraId="47B9C8F2" w14:textId="77777777" w:rsidR="006C4314" w:rsidRDefault="006C4314" w:rsidP="00B13D7B">
      <w:pPr>
        <w:pStyle w:val="BodyTextIndent"/>
      </w:pPr>
      <w:r w:rsidRPr="00B13D7B">
        <w:rPr>
          <w:rStyle w:val="BodyTextIndentUnderlineChar"/>
        </w:rPr>
        <w:lastRenderedPageBreak/>
        <w:t>General</w:t>
      </w:r>
      <w:r w:rsidRPr="004A4B22">
        <w:rPr>
          <w:rStyle w:val="BodyTextIndentUnderlineChar"/>
          <w:u w:val="none"/>
        </w:rPr>
        <w:t>:</w:t>
      </w:r>
      <w:r>
        <w:t xml:space="preserve"> Traffic control shall be undertaken in accordance with the approved Traffic Management Plans and Permits.</w:t>
      </w:r>
    </w:p>
    <w:p w14:paraId="47B9C8F3" w14:textId="77777777" w:rsidR="00074FC1" w:rsidRDefault="006C4314" w:rsidP="00B13D7B">
      <w:pPr>
        <w:pStyle w:val="BodyTextIndent"/>
        <w:rPr>
          <w:i/>
        </w:rPr>
      </w:pPr>
      <w:r w:rsidRPr="00B13D7B">
        <w:rPr>
          <w:rStyle w:val="BodyTextIndentUnderlineChar"/>
        </w:rPr>
        <w:t>Method</w:t>
      </w:r>
      <w:r w:rsidRPr="004A4B22">
        <w:rPr>
          <w:rStyle w:val="BodyTextIndentUnderlineChar"/>
          <w:u w:val="none"/>
        </w:rPr>
        <w:t>:</w:t>
      </w:r>
      <w:r>
        <w:t xml:space="preserve"> </w:t>
      </w:r>
      <w:r w:rsidR="00DC168D">
        <w:t>P</w:t>
      </w:r>
      <w:r w:rsidR="002204C6">
        <w:t xml:space="preserve">rovide for traffic while undertaking the works in accordance with the requirements of </w:t>
      </w:r>
      <w:r w:rsidR="00074FC1" w:rsidRPr="00074FC1">
        <w:rPr>
          <w:i/>
        </w:rPr>
        <w:t>Manual of Uniform Traffic Control Devices</w:t>
      </w:r>
      <w:r w:rsidR="002B5ECE">
        <w:rPr>
          <w:i/>
        </w:rPr>
        <w:t xml:space="preserve"> (Queensland)</w:t>
      </w:r>
      <w:r w:rsidR="00074FC1" w:rsidRPr="00074FC1">
        <w:rPr>
          <w:i/>
        </w:rPr>
        <w:t>, Part 3: Works on Roads.</w:t>
      </w:r>
    </w:p>
    <w:p w14:paraId="47B9C8F4" w14:textId="77777777" w:rsidR="00B13D7B" w:rsidRDefault="00B13D7B" w:rsidP="00B13D7B">
      <w:pPr>
        <w:pStyle w:val="BodyTextIndentBoldUnderline"/>
      </w:pPr>
      <w:r w:rsidRPr="001E53FC">
        <w:t>Public Notification</w:t>
      </w:r>
    </w:p>
    <w:p w14:paraId="47B9C8F5" w14:textId="77777777" w:rsidR="00B13D7B" w:rsidRDefault="00B13D7B" w:rsidP="00B13D7B">
      <w:pPr>
        <w:pStyle w:val="BodyTextIndent"/>
      </w:pPr>
      <w:r w:rsidRPr="004D6453">
        <w:rPr>
          <w:rStyle w:val="BodyTextIndentUnderlineChar"/>
        </w:rPr>
        <w:t>General</w:t>
      </w:r>
      <w:r w:rsidRPr="004A4B22">
        <w:rPr>
          <w:rStyle w:val="BodyTextIndentUnderlineChar"/>
          <w:u w:val="none"/>
        </w:rPr>
        <w:t xml:space="preserve">: </w:t>
      </w:r>
      <w:r>
        <w:t xml:space="preserve">Notify all affected residents and business owners whose access will be temporally restricted by the proposed works.  Wording of the notification to be approved by the Superintendent and be in </w:t>
      </w:r>
      <w:r w:rsidR="00A83D24">
        <w:t>accordance</w:t>
      </w:r>
      <w:r>
        <w:t xml:space="preserve"> with Council requirements and distributed within approved timelines.</w:t>
      </w:r>
    </w:p>
    <w:p w14:paraId="47B9C8F6" w14:textId="77777777" w:rsidR="00BE3B30" w:rsidRDefault="00724D8F" w:rsidP="000B7937">
      <w:pPr>
        <w:pStyle w:val="Heading3"/>
      </w:pPr>
      <w:bookmarkStart w:id="31" w:name="_Toc76106838"/>
      <w:r>
        <w:t>Plant</w:t>
      </w:r>
      <w:bookmarkEnd w:id="31"/>
    </w:p>
    <w:p w14:paraId="47B9C8F7" w14:textId="77777777" w:rsidR="00BE3B30" w:rsidRDefault="00BE3B30" w:rsidP="00BE3B30">
      <w:pPr>
        <w:pStyle w:val="BodyTextIndent"/>
      </w:pPr>
      <w:r w:rsidRPr="00B13D7B">
        <w:rPr>
          <w:rStyle w:val="BodyTextIndentUnderlineChar"/>
        </w:rPr>
        <w:t>General</w:t>
      </w:r>
      <w:r w:rsidRPr="004A4B22">
        <w:rPr>
          <w:rStyle w:val="BodyTextIndentUnderlineChar"/>
          <w:u w:val="none"/>
        </w:rPr>
        <w:t>:</w:t>
      </w:r>
      <w:r>
        <w:t xml:space="preserve"> Provide the required plant necessary for the performance of the particular operation.</w:t>
      </w:r>
    </w:p>
    <w:p w14:paraId="47B9C8F8" w14:textId="77777777" w:rsidR="00BE3B30" w:rsidRDefault="00BE3B30" w:rsidP="00BE3B30">
      <w:pPr>
        <w:pStyle w:val="BodyTextIndent"/>
      </w:pPr>
      <w:r w:rsidRPr="00B13D7B">
        <w:rPr>
          <w:rStyle w:val="BodyTextIndentUnderlineChar"/>
        </w:rPr>
        <w:t>Sprayer</w:t>
      </w:r>
      <w:r w:rsidRPr="004A4B22">
        <w:rPr>
          <w:rStyle w:val="BodyTextIndentUnderlineChar"/>
          <w:u w:val="none"/>
        </w:rPr>
        <w:t>:</w:t>
      </w:r>
      <w:r>
        <w:t xml:space="preserve"> Provide purpose built spray equipment capable of spraying PMBE with sand added.  Equipment shall have continuous agitation or mixing capabilities to maintain homogeneous consistency of the mixture throughout the application process and be fitted with brush devices behind the spray bar to assure adequate distribution and penetration into the bituminous pavement.  The spray bar shall be fitted with shields to prevent over-spray beyond the edge of the pavement.</w:t>
      </w:r>
    </w:p>
    <w:p w14:paraId="47B9C8F9" w14:textId="77777777" w:rsidR="00BE3B30" w:rsidRDefault="00BE3B30" w:rsidP="00B13D7B">
      <w:pPr>
        <w:pStyle w:val="BodyTextIndent"/>
      </w:pPr>
      <w:r w:rsidRPr="00B13D7B">
        <w:rPr>
          <w:rStyle w:val="BodyTextIndentUnderlineChar"/>
        </w:rPr>
        <w:t xml:space="preserve">Sprayer </w:t>
      </w:r>
      <w:r>
        <w:rPr>
          <w:rStyle w:val="BodyTextIndentUnderlineChar"/>
        </w:rPr>
        <w:t>c</w:t>
      </w:r>
      <w:r w:rsidRPr="00B13D7B">
        <w:rPr>
          <w:rStyle w:val="BodyTextIndentUnderlineChar"/>
        </w:rPr>
        <w:t>alibration</w:t>
      </w:r>
      <w:r w:rsidRPr="004A4B22">
        <w:rPr>
          <w:rStyle w:val="BodyTextIndentUnderlineChar"/>
          <w:u w:val="none"/>
        </w:rPr>
        <w:t>:</w:t>
      </w:r>
      <w:r>
        <w:t xml:space="preserve"> Prior to commencing spraying, demonstrate that sprayer is calibrated for the materials used.</w:t>
      </w:r>
    </w:p>
    <w:p w14:paraId="47B9C8FA" w14:textId="77777777" w:rsidR="0035296C" w:rsidRPr="004E6DE1" w:rsidRDefault="00B13D7B" w:rsidP="000B7937">
      <w:pPr>
        <w:pStyle w:val="Heading3"/>
      </w:pPr>
      <w:bookmarkStart w:id="32" w:name="_Toc76106839"/>
      <w:r w:rsidRPr="004E6DE1">
        <w:t>Preparation for Spraying</w:t>
      </w:r>
      <w:bookmarkEnd w:id="32"/>
    </w:p>
    <w:p w14:paraId="47B9C8FB" w14:textId="77777777" w:rsidR="0035296C" w:rsidRDefault="0035296C" w:rsidP="00B13D7B">
      <w:pPr>
        <w:pStyle w:val="BodyTextIndentBoldUnderline"/>
      </w:pPr>
      <w:r>
        <w:t>Cleaning</w:t>
      </w:r>
    </w:p>
    <w:p w14:paraId="47B9C8FC" w14:textId="77777777" w:rsidR="0036432D" w:rsidRDefault="0035296C" w:rsidP="00B13D7B">
      <w:pPr>
        <w:pStyle w:val="BodyTextIndent"/>
      </w:pPr>
      <w:r w:rsidRPr="00B13D7B">
        <w:rPr>
          <w:rStyle w:val="BodyTextIndentUnderlineChar"/>
        </w:rPr>
        <w:t>General:</w:t>
      </w:r>
      <w:r>
        <w:t xml:space="preserve"> Immediately before spraying remove loose and foreign material on the </w:t>
      </w:r>
      <w:r w:rsidR="00272DEC">
        <w:t>existing pavement</w:t>
      </w:r>
      <w:r>
        <w:t xml:space="preserve"> surface, including dust, debris</w:t>
      </w:r>
      <w:r w:rsidR="0036432D">
        <w:t>, silt, soil</w:t>
      </w:r>
      <w:r w:rsidR="00AC1EE7">
        <w:t>, flaking paint</w:t>
      </w:r>
      <w:r w:rsidR="0036432D">
        <w:t xml:space="preserve"> </w:t>
      </w:r>
      <w:r>
        <w:t xml:space="preserve">and </w:t>
      </w:r>
      <w:r w:rsidR="0036432D">
        <w:rPr>
          <w:rFonts w:cs="Arial"/>
        </w:rPr>
        <w:t xml:space="preserve">any other </w:t>
      </w:r>
      <w:r w:rsidR="0036432D">
        <w:t>deleterious material.  Keep traffic off the cleaned surface.</w:t>
      </w:r>
    </w:p>
    <w:p w14:paraId="47B9C8FD" w14:textId="77777777" w:rsidR="0035296C" w:rsidRDefault="0035296C" w:rsidP="00B13D7B">
      <w:pPr>
        <w:pStyle w:val="BodyTextIndent"/>
      </w:pPr>
      <w:r w:rsidRPr="00B13D7B">
        <w:rPr>
          <w:rStyle w:val="BodyTextIndentUnderlineChar"/>
        </w:rPr>
        <w:t>Method</w:t>
      </w:r>
      <w:r w:rsidRPr="004A4B22">
        <w:rPr>
          <w:rStyle w:val="BodyTextIndentUnderlineChar"/>
          <w:u w:val="none"/>
        </w:rPr>
        <w:t>:</w:t>
      </w:r>
      <w:r>
        <w:t xml:space="preserve"> Use suitable powe</w:t>
      </w:r>
      <w:r w:rsidR="0036432D">
        <w:t>r blowers or road brooms, or use</w:t>
      </w:r>
      <w:r>
        <w:t xml:space="preserve"> hand methods where inaccessible to power equipment.</w:t>
      </w:r>
    </w:p>
    <w:p w14:paraId="47B9C8FE" w14:textId="77777777" w:rsidR="00724D8F" w:rsidRDefault="00724D8F" w:rsidP="00724D8F">
      <w:pPr>
        <w:pStyle w:val="BodyTextIndentBoldUnderline"/>
      </w:pPr>
      <w:r>
        <w:rPr>
          <w:rStyle w:val="BodyTextIndentUnderlineChar"/>
        </w:rPr>
        <w:t>Crack sealing</w:t>
      </w:r>
    </w:p>
    <w:p w14:paraId="47B9C8FF" w14:textId="77777777" w:rsidR="00724D8F" w:rsidRDefault="00724D8F" w:rsidP="00B13D7B">
      <w:pPr>
        <w:pStyle w:val="BodyTextIndent"/>
      </w:pPr>
      <w:r>
        <w:t>Where crack</w:t>
      </w:r>
      <w:r w:rsidR="00E71BDB">
        <w:t xml:space="preserve"> seal</w:t>
      </w:r>
      <w:r>
        <w:t xml:space="preserve">ing is required, the extent and method to be utilised will be negotiated by the </w:t>
      </w:r>
      <w:r w:rsidR="00AE2DDC">
        <w:t>Superintendent</w:t>
      </w:r>
      <w:r>
        <w:t>.</w:t>
      </w:r>
    </w:p>
    <w:p w14:paraId="47B9C900" w14:textId="77777777" w:rsidR="00AE2DDC" w:rsidRPr="004E6DE1" w:rsidRDefault="00AE2DDC" w:rsidP="000B7937">
      <w:pPr>
        <w:pStyle w:val="Heading3"/>
      </w:pPr>
      <w:bookmarkStart w:id="33" w:name="_Toc76106840"/>
      <w:r w:rsidRPr="004E6DE1">
        <w:t>Application Rate</w:t>
      </w:r>
      <w:bookmarkEnd w:id="33"/>
    </w:p>
    <w:p w14:paraId="47B9C901" w14:textId="77777777" w:rsidR="00AE2DDC" w:rsidRDefault="00AE2DDC" w:rsidP="00AE2DDC">
      <w:pPr>
        <w:pStyle w:val="BodyTextIndent"/>
      </w:pPr>
      <w:r w:rsidRPr="00724D8F">
        <w:rPr>
          <w:rStyle w:val="BodyTextIndentUnderlineChar"/>
        </w:rPr>
        <w:t>General</w:t>
      </w:r>
      <w:r w:rsidRPr="004A4B22">
        <w:rPr>
          <w:rStyle w:val="BodyTextIndentUnderlineChar"/>
          <w:u w:val="none"/>
        </w:rPr>
        <w:t>:</w:t>
      </w:r>
      <w:r>
        <w:t xml:space="preserve"> </w:t>
      </w:r>
      <w:r w:rsidRPr="00440319">
        <w:t>The application rate is dependent on the pavement condition, porosity, surface texture and age of the asphalt</w:t>
      </w:r>
      <w:r>
        <w:t xml:space="preserve"> or </w:t>
      </w:r>
      <w:r w:rsidRPr="00440319">
        <w:t>spray</w:t>
      </w:r>
      <w:r>
        <w:t xml:space="preserve"> </w:t>
      </w:r>
      <w:r w:rsidRPr="00440319">
        <w:t>seal</w:t>
      </w:r>
      <w:r>
        <w:t>ed surface</w:t>
      </w:r>
      <w:r w:rsidRPr="00440319">
        <w:t xml:space="preserve">. </w:t>
      </w:r>
      <w:r>
        <w:t xml:space="preserve"> </w:t>
      </w:r>
      <w:r w:rsidRPr="00440319">
        <w:t xml:space="preserve">As the surface condition and texture of the </w:t>
      </w:r>
      <w:r>
        <w:t>existing</w:t>
      </w:r>
      <w:r w:rsidRPr="00440319">
        <w:t xml:space="preserve"> surfacing is variable, </w:t>
      </w:r>
      <w:r>
        <w:t xml:space="preserve">the </w:t>
      </w:r>
      <w:r w:rsidRPr="00440319">
        <w:t xml:space="preserve">designated </w:t>
      </w:r>
      <w:r>
        <w:t xml:space="preserve">application </w:t>
      </w:r>
      <w:r w:rsidRPr="00440319">
        <w:t xml:space="preserve">rates for particular areas of pavement surface </w:t>
      </w:r>
      <w:r>
        <w:t xml:space="preserve">shall be agreed between </w:t>
      </w:r>
      <w:r w:rsidRPr="00440319">
        <w:t>the Contractor and the Superintendent.</w:t>
      </w:r>
      <w:r>
        <w:t xml:space="preserve">  </w:t>
      </w:r>
      <w:r w:rsidR="00E71BDB">
        <w:t>Unless agreed otherwise</w:t>
      </w:r>
      <w:r w:rsidR="003E27F5">
        <w:t>,</w:t>
      </w:r>
      <w:r w:rsidR="00E71BDB">
        <w:t xml:space="preserve"> a nominal application rate of 1.0 L/m</w:t>
      </w:r>
      <w:r w:rsidR="00E71BDB" w:rsidRPr="00724D8F">
        <w:rPr>
          <w:vertAlign w:val="superscript"/>
        </w:rPr>
        <w:t>2</w:t>
      </w:r>
      <w:r w:rsidR="003E27F5">
        <w:rPr>
          <w:vertAlign w:val="superscript"/>
        </w:rPr>
        <w:t xml:space="preserve"> </w:t>
      </w:r>
      <w:r w:rsidR="003E27F5" w:rsidRPr="003E27F5">
        <w:t>shall apply</w:t>
      </w:r>
      <w:r w:rsidR="003E27F5">
        <w:t xml:space="preserve">.  </w:t>
      </w:r>
      <w:r>
        <w:t>Where directed, undertake trial applications to determine the appropriate designated application rate.</w:t>
      </w:r>
    </w:p>
    <w:p w14:paraId="47B9C902" w14:textId="77777777" w:rsidR="00AE2DDC" w:rsidRDefault="00AE2DDC" w:rsidP="00B13D7B">
      <w:pPr>
        <w:pStyle w:val="BodyTextIndent"/>
      </w:pPr>
      <w:r>
        <w:t xml:space="preserve">Where an application rate of, or greater than, </w:t>
      </w:r>
      <w:r w:rsidRPr="00440319">
        <w:t>1.</w:t>
      </w:r>
      <w:r>
        <w:t>20 L/m</w:t>
      </w:r>
      <w:r w:rsidRPr="00724D8F">
        <w:rPr>
          <w:vertAlign w:val="superscript"/>
        </w:rPr>
        <w:t>2</w:t>
      </w:r>
      <w:r>
        <w:t xml:space="preserve"> is ordered, the PMBE</w:t>
      </w:r>
      <w:r w:rsidRPr="00440319">
        <w:t xml:space="preserve"> </w:t>
      </w:r>
      <w:r>
        <w:t>shall be applied in two coats (allowing for curing time between coats) with a minimum application rate for any coat being 0.5 L/m</w:t>
      </w:r>
      <w:r w:rsidRPr="00724D8F">
        <w:rPr>
          <w:vertAlign w:val="superscript"/>
        </w:rPr>
        <w:t>2</w:t>
      </w:r>
      <w:r>
        <w:t>.</w:t>
      </w:r>
    </w:p>
    <w:p w14:paraId="47B9C903" w14:textId="4B69FDFA" w:rsidR="0035296C" w:rsidRDefault="000B7937" w:rsidP="000B7937">
      <w:pPr>
        <w:pStyle w:val="Heading3"/>
      </w:pPr>
      <w:r>
        <w:br w:type="page"/>
      </w:r>
      <w:bookmarkStart w:id="34" w:name="_Toc76106841"/>
      <w:r w:rsidR="00B13D7B">
        <w:lastRenderedPageBreak/>
        <w:t>Spraying Operations</w:t>
      </w:r>
      <w:bookmarkEnd w:id="34"/>
    </w:p>
    <w:p w14:paraId="47B9C904" w14:textId="77777777" w:rsidR="0035296C" w:rsidRDefault="0035296C" w:rsidP="00B13D7B">
      <w:pPr>
        <w:pStyle w:val="BodyTextIndentBoldUnderline"/>
      </w:pPr>
      <w:r>
        <w:t>Protection</w:t>
      </w:r>
    </w:p>
    <w:p w14:paraId="47B9C905" w14:textId="77777777" w:rsidR="0035296C" w:rsidRDefault="0035296C" w:rsidP="00B13D7B">
      <w:pPr>
        <w:pStyle w:val="BodyTextIndent"/>
      </w:pPr>
      <w:r>
        <w:t xml:space="preserve">Protect adjacent surfaces during spraying.  </w:t>
      </w:r>
      <w:r w:rsidR="0079779E">
        <w:t xml:space="preserve">Protect all raised pavement markers, hydrant and valve covers and other structures by suitable means to avoid splashing or spraying them with </w:t>
      </w:r>
      <w:r w:rsidR="003F5964">
        <w:t>PMBE</w:t>
      </w:r>
      <w:r w:rsidR="0079779E">
        <w:t xml:space="preserve">.  </w:t>
      </w:r>
      <w:r w:rsidR="005F2B14">
        <w:t>Mask existing paint markings an</w:t>
      </w:r>
      <w:r w:rsidR="0083134C">
        <w:t>d other features as required to</w:t>
      </w:r>
      <w:r w:rsidR="002D1D97">
        <w:t xml:space="preserve"> </w:t>
      </w:r>
      <w:r w:rsidR="005F2B14">
        <w:t xml:space="preserve">prevent </w:t>
      </w:r>
      <w:r w:rsidR="000F22BA">
        <w:t>PMBE from covering these areas</w:t>
      </w:r>
      <w:r w:rsidR="005F2B14">
        <w:t xml:space="preserve"> (if not masked, paint markings shall be reinstated at the Contractor’s own cost</w:t>
      </w:r>
      <w:r w:rsidR="003F5964">
        <w:t>, unless</w:t>
      </w:r>
      <w:r w:rsidR="000F22BA">
        <w:t xml:space="preserve"> prior approval of the Superintendent is obtained</w:t>
      </w:r>
      <w:r w:rsidR="005F2B14">
        <w:t>).</w:t>
      </w:r>
    </w:p>
    <w:p w14:paraId="47B9C906" w14:textId="77777777" w:rsidR="0035296C" w:rsidRDefault="004253E5" w:rsidP="00B13D7B">
      <w:pPr>
        <w:pStyle w:val="BodyTextIndent"/>
      </w:pPr>
      <w:r>
        <w:t xml:space="preserve">Immediately following the </w:t>
      </w:r>
      <w:r w:rsidR="000F22BA">
        <w:t>drying</w:t>
      </w:r>
      <w:r>
        <w:t xml:space="preserve"> of the </w:t>
      </w:r>
      <w:r w:rsidR="000F22BA">
        <w:t>PMBE</w:t>
      </w:r>
      <w:r>
        <w:t>, remove the protective coverings and dispose off site.</w:t>
      </w:r>
    </w:p>
    <w:p w14:paraId="47B9C907" w14:textId="77777777" w:rsidR="00A46432" w:rsidRDefault="00A160AA" w:rsidP="00B13D7B">
      <w:pPr>
        <w:pStyle w:val="BodyTextIndent"/>
      </w:pPr>
      <w:r>
        <w:t>Clean PMBE materials from adjacent surfaces and structures or, if this is not possible, replace and make good the surface or structure.</w:t>
      </w:r>
    </w:p>
    <w:p w14:paraId="47B9C908" w14:textId="77777777" w:rsidR="00A160AA" w:rsidRDefault="00A160AA" w:rsidP="00B13D7B">
      <w:pPr>
        <w:pStyle w:val="BodyTextIndent"/>
      </w:pPr>
      <w:r>
        <w:t>Protect freshly sprayed surfaces from contamination.</w:t>
      </w:r>
    </w:p>
    <w:p w14:paraId="47B9C909" w14:textId="77777777" w:rsidR="00D61A45" w:rsidRDefault="00D61A45" w:rsidP="00B13D7B">
      <w:pPr>
        <w:pStyle w:val="BodyTextIndent"/>
      </w:pPr>
      <w:r>
        <w:t xml:space="preserve">In the event of rain occurring before the </w:t>
      </w:r>
      <w:r w:rsidR="000F22BA">
        <w:t>PMBE</w:t>
      </w:r>
      <w:r>
        <w:t xml:space="preserve"> has dried, take all steps necessary to prevent the </w:t>
      </w:r>
      <w:r w:rsidR="000F22BA">
        <w:t>PMBE</w:t>
      </w:r>
      <w:r>
        <w:t xml:space="preserve"> from contaminating the surrounding area and associated drainage systems.</w:t>
      </w:r>
      <w:r w:rsidR="004253E5">
        <w:t xml:space="preserve">  </w:t>
      </w:r>
      <w:r>
        <w:t xml:space="preserve">Any pools of </w:t>
      </w:r>
      <w:r w:rsidR="000F22BA">
        <w:t>PMBE</w:t>
      </w:r>
      <w:r>
        <w:t xml:space="preserve">/water created by the rain shall be removed and disposed in an approved manner compliant with Environmental </w:t>
      </w:r>
      <w:r w:rsidR="002D1D97">
        <w:t>L</w:t>
      </w:r>
      <w:r>
        <w:t>egislation.</w:t>
      </w:r>
    </w:p>
    <w:p w14:paraId="47B9C90A" w14:textId="77777777" w:rsidR="00D61A45" w:rsidRDefault="004253E5" w:rsidP="00B13D7B">
      <w:pPr>
        <w:pStyle w:val="BodyTextIndent"/>
      </w:pPr>
      <w:r>
        <w:t>R</w:t>
      </w:r>
      <w:r w:rsidR="00D61A45">
        <w:t xml:space="preserve">einstate any </w:t>
      </w:r>
      <w:r w:rsidR="000F22BA">
        <w:t>PMBE</w:t>
      </w:r>
      <w:r w:rsidR="00D61A45">
        <w:t xml:space="preserve"> washed off the pavement surface due to rain.</w:t>
      </w:r>
      <w:r>
        <w:t xml:space="preserve"> </w:t>
      </w:r>
      <w:r w:rsidR="00D61A45">
        <w:t xml:space="preserve"> </w:t>
      </w:r>
      <w:r w:rsidR="000F22BA">
        <w:t>PMBE</w:t>
      </w:r>
      <w:r w:rsidR="00D61A45">
        <w:t xml:space="preserve"> application rates and the extent of reinstatement shall be determined by a joint inspection conducted by the Superintendent and the Contractor.</w:t>
      </w:r>
    </w:p>
    <w:p w14:paraId="47B9C90B" w14:textId="77777777" w:rsidR="0035296C" w:rsidRDefault="0035296C" w:rsidP="00B13D7B">
      <w:pPr>
        <w:pStyle w:val="BodyTextIndentBoldUnderline"/>
      </w:pPr>
      <w:r>
        <w:t>Restrictions</w:t>
      </w:r>
    </w:p>
    <w:p w14:paraId="47B9C90C" w14:textId="225FB86F" w:rsidR="0035296C" w:rsidRDefault="0035296C" w:rsidP="00B13D7B">
      <w:pPr>
        <w:pStyle w:val="BodyTextIndent"/>
      </w:pPr>
      <w:r w:rsidRPr="00B13D7B">
        <w:rPr>
          <w:rStyle w:val="BodyTextIndentUnderlineChar"/>
        </w:rPr>
        <w:t>Pavement surface temperature</w:t>
      </w:r>
      <w:r w:rsidRPr="004A4B22">
        <w:rPr>
          <w:rStyle w:val="BodyTextIndentUnderlineChar"/>
          <w:u w:val="none"/>
        </w:rPr>
        <w:t>:</w:t>
      </w:r>
      <w:r>
        <w:t xml:space="preserve"> Do not commence spraying until the </w:t>
      </w:r>
      <w:r w:rsidR="00C220CE">
        <w:t>ambient</w:t>
      </w:r>
      <w:r>
        <w:t xml:space="preserve"> temperature is above </w:t>
      </w:r>
      <w:r w:rsidR="00C220CE">
        <w:t>15</w:t>
      </w:r>
      <w:r w:rsidR="004126AC">
        <w:rPr>
          <w:rFonts w:cs="Arial"/>
        </w:rPr>
        <w:t>°</w:t>
      </w:r>
      <w:r>
        <w:t xml:space="preserve">C </w:t>
      </w:r>
      <w:r w:rsidR="00C220CE">
        <w:t>and is likely to remain at least at that temperature during all spraying</w:t>
      </w:r>
      <w:r w:rsidR="000F22BA">
        <w:t xml:space="preserve"> operations</w:t>
      </w:r>
      <w:r>
        <w:t>.</w:t>
      </w:r>
    </w:p>
    <w:p w14:paraId="47B9C90D" w14:textId="1D70F82A" w:rsidR="0035296C" w:rsidRDefault="0035296C" w:rsidP="00B13D7B">
      <w:pPr>
        <w:pStyle w:val="BodyTextIndent"/>
      </w:pPr>
      <w:r w:rsidRPr="00B13D7B">
        <w:rPr>
          <w:rStyle w:val="BodyTextIndentUnderlineChar"/>
        </w:rPr>
        <w:t>Weather conditions</w:t>
      </w:r>
      <w:r w:rsidRPr="004A4B22">
        <w:rPr>
          <w:rStyle w:val="BodyTextIndentUnderlineChar"/>
          <w:u w:val="none"/>
        </w:rPr>
        <w:t>:</w:t>
      </w:r>
      <w:r>
        <w:t xml:space="preserve"> </w:t>
      </w:r>
      <w:r w:rsidR="00C220CE">
        <w:t>Spraying shall proceed only when the pavement surface is dry.</w:t>
      </w:r>
      <w:r w:rsidR="006F2B9D">
        <w:t xml:space="preserve"> </w:t>
      </w:r>
      <w:r w:rsidR="00C220CE">
        <w:t xml:space="preserve"> </w:t>
      </w:r>
      <w:r>
        <w:t xml:space="preserve">Do not spray during rain or if rain is </w:t>
      </w:r>
      <w:r w:rsidR="00C220CE">
        <w:t xml:space="preserve">forecast </w:t>
      </w:r>
      <w:r w:rsidR="00776597">
        <w:t>by the Bureau of Meteorology within the following 12</w:t>
      </w:r>
      <w:r w:rsidR="004126AC" w:rsidRPr="00373FD7">
        <w:t> </w:t>
      </w:r>
      <w:r w:rsidR="00776597">
        <w:t>hours.</w:t>
      </w:r>
      <w:r w:rsidR="006F2B9D">
        <w:t xml:space="preserve">  Spraying shall not proceed during periods of strong winds.</w:t>
      </w:r>
    </w:p>
    <w:p w14:paraId="47B9C90E" w14:textId="77777777" w:rsidR="00890D39" w:rsidRDefault="00890D39" w:rsidP="00B13D7B">
      <w:pPr>
        <w:pStyle w:val="BodyTextIndent"/>
      </w:pPr>
      <w:r>
        <w:t>Do not proceed with the application unless there is sufficient time for the material to cure before opening to traffic within the specified approved period of road closure.</w:t>
      </w:r>
    </w:p>
    <w:p w14:paraId="47B9C90F" w14:textId="11ED2A25" w:rsidR="0035296C" w:rsidRDefault="0035296C" w:rsidP="00B13D7B">
      <w:pPr>
        <w:pStyle w:val="BodyTextIndent"/>
      </w:pPr>
      <w:r>
        <w:t xml:space="preserve">Minimum period between bituminous treatments: </w:t>
      </w:r>
      <w:r w:rsidR="00563392">
        <w:t xml:space="preserve">New asphalt surfaces must be </w:t>
      </w:r>
      <w:r>
        <w:t xml:space="preserve">at least </w:t>
      </w:r>
      <w:r w:rsidR="006F2B9D">
        <w:t>28</w:t>
      </w:r>
      <w:r w:rsidR="00936A7E" w:rsidRPr="00373FD7">
        <w:t> </w:t>
      </w:r>
      <w:r>
        <w:t xml:space="preserve">days </w:t>
      </w:r>
      <w:r w:rsidR="00563392">
        <w:t xml:space="preserve">old before placing </w:t>
      </w:r>
      <w:r w:rsidR="00561A85">
        <w:t>the polymer modified emulsion surface treatment</w:t>
      </w:r>
      <w:r>
        <w:t>.</w:t>
      </w:r>
    </w:p>
    <w:p w14:paraId="47B9C910" w14:textId="77777777" w:rsidR="0035296C" w:rsidRDefault="0035296C" w:rsidP="00B13D7B">
      <w:pPr>
        <w:pStyle w:val="BodyTextIndentBoldUnderline"/>
      </w:pPr>
      <w:r>
        <w:t>Method of application</w:t>
      </w:r>
    </w:p>
    <w:p w14:paraId="47B9C911" w14:textId="77777777" w:rsidR="0053523B" w:rsidRDefault="0035296C" w:rsidP="00B13D7B">
      <w:pPr>
        <w:pStyle w:val="BodyTextIndent"/>
      </w:pPr>
      <w:r>
        <w:t xml:space="preserve">Apply </w:t>
      </w:r>
      <w:r w:rsidR="00A160AA">
        <w:t>PMBE</w:t>
      </w:r>
      <w:r>
        <w:t xml:space="preserve"> by means of the mechanically operated spray bar of a bitumen sprayer.  In areas not accessible to the mechanical sprayer, spray using hand spray equipment attached to the mechanical sprayer</w:t>
      </w:r>
      <w:r w:rsidR="0053523B">
        <w:t xml:space="preserve"> and spread by squeegee</w:t>
      </w:r>
      <w:r>
        <w:t>.</w:t>
      </w:r>
    </w:p>
    <w:p w14:paraId="47B9C912" w14:textId="77777777" w:rsidR="0035296C" w:rsidRDefault="00CC27E8" w:rsidP="00B13D7B">
      <w:pPr>
        <w:pStyle w:val="BodyTextIndent"/>
      </w:pPr>
      <w:r>
        <w:t>Hand brooming may be carried out in localised areas where the machine mounted brooms are not effective or where ponding occurs to ensure an even application and prevent local pooling.</w:t>
      </w:r>
    </w:p>
    <w:p w14:paraId="47B9C913" w14:textId="0B0CBDDE" w:rsidR="0035296C" w:rsidRDefault="0035296C" w:rsidP="00B13D7B">
      <w:pPr>
        <w:pStyle w:val="BodyTextIndentBoldUnderline"/>
      </w:pPr>
      <w:r>
        <w:t>Spraying</w:t>
      </w:r>
    </w:p>
    <w:p w14:paraId="47B9C914" w14:textId="77777777" w:rsidR="0035296C" w:rsidRDefault="0035296C" w:rsidP="004E6DE1">
      <w:pPr>
        <w:pStyle w:val="BodyTextIndent"/>
      </w:pPr>
      <w:r w:rsidRPr="004E6DE1">
        <w:rPr>
          <w:rStyle w:val="BodyTextIndentUnderlineChar"/>
        </w:rPr>
        <w:t>General</w:t>
      </w:r>
      <w:r w:rsidRPr="004A4B22">
        <w:rPr>
          <w:rStyle w:val="BodyTextIndentUnderlineChar"/>
          <w:u w:val="none"/>
        </w:rPr>
        <w:t>:</w:t>
      </w:r>
      <w:r>
        <w:t xml:space="preserve"> Completely and uniformly cover the surface to be treated.  Prevent the spray overlapping previously treated areas, except that where part width spraying is used, lap the longitudinal joint between adjacent runs by 50 mm.</w:t>
      </w:r>
      <w:r w:rsidR="0053523B">
        <w:t xml:space="preserve">  The application is to be uniform both longitudinally and transversely</w:t>
      </w:r>
      <w:r w:rsidR="00486CF9">
        <w:t xml:space="preserve"> over the whole area</w:t>
      </w:r>
      <w:r w:rsidR="0053523B">
        <w:t xml:space="preserve">. </w:t>
      </w:r>
    </w:p>
    <w:p w14:paraId="47B9C915" w14:textId="77777777" w:rsidR="0035296C" w:rsidRPr="004E6DE1" w:rsidRDefault="004E6DE1" w:rsidP="00BE1FD9">
      <w:pPr>
        <w:pStyle w:val="Heading3"/>
      </w:pPr>
      <w:bookmarkStart w:id="35" w:name="_Toc76106842"/>
      <w:r w:rsidRPr="004E6DE1">
        <w:t>Defective Surfacing</w:t>
      </w:r>
      <w:bookmarkEnd w:id="35"/>
    </w:p>
    <w:p w14:paraId="47B9C916" w14:textId="77777777" w:rsidR="004E6DE1" w:rsidRDefault="0035296C" w:rsidP="004E6DE1">
      <w:pPr>
        <w:pStyle w:val="BodyTextIndent"/>
      </w:pPr>
      <w:r w:rsidRPr="00C7218C">
        <w:rPr>
          <w:u w:val="single"/>
        </w:rPr>
        <w:t>Actual rate of application &lt;9</w:t>
      </w:r>
      <w:r w:rsidR="00486CF9" w:rsidRPr="00C7218C">
        <w:rPr>
          <w:u w:val="single"/>
        </w:rPr>
        <w:t>5</w:t>
      </w:r>
      <w:r w:rsidRPr="00C7218C">
        <w:rPr>
          <w:u w:val="single"/>
        </w:rPr>
        <w:t>% of design</w:t>
      </w:r>
      <w:r w:rsidR="00D901A0" w:rsidRPr="00C7218C">
        <w:rPr>
          <w:u w:val="single"/>
        </w:rPr>
        <w:t>at</w:t>
      </w:r>
      <w:r w:rsidRPr="00C7218C">
        <w:rPr>
          <w:u w:val="single"/>
        </w:rPr>
        <w:t>ed spray rate</w:t>
      </w:r>
      <w:r>
        <w:t>: Make up the deficiency with a second spray run.</w:t>
      </w:r>
    </w:p>
    <w:p w14:paraId="0F3E7058" w14:textId="4BF7A1C3" w:rsidR="00BD2762" w:rsidRDefault="0035296C" w:rsidP="004E6DE1">
      <w:pPr>
        <w:pStyle w:val="BodyTextIndent"/>
      </w:pPr>
      <w:r w:rsidRPr="00BE1FD9">
        <w:rPr>
          <w:u w:val="single"/>
        </w:rPr>
        <w:t>Actual rate of application &gt;110% of design</w:t>
      </w:r>
      <w:r w:rsidR="00D901A0" w:rsidRPr="00BE1FD9">
        <w:rPr>
          <w:u w:val="single"/>
        </w:rPr>
        <w:t>at</w:t>
      </w:r>
      <w:r w:rsidRPr="00BE1FD9">
        <w:rPr>
          <w:u w:val="single"/>
        </w:rPr>
        <w:t>ed spray rate</w:t>
      </w:r>
      <w:r w:rsidRPr="00BE1FD9">
        <w:t xml:space="preserve">: </w:t>
      </w:r>
      <w:r w:rsidR="00BD2762" w:rsidRPr="00BE1FD9">
        <w:t xml:space="preserve">Carry out Portable pendulum skid resistance tests (British Pendulum) tests on wet surfaces in accordance with </w:t>
      </w:r>
      <w:r w:rsidR="00BD2762" w:rsidRPr="00BE1FD9">
        <w:rPr>
          <w:i/>
          <w:iCs/>
        </w:rPr>
        <w:t>ASTM</w:t>
      </w:r>
      <w:r w:rsidR="004655ED" w:rsidRPr="00BE1FD9">
        <w:rPr>
          <w:i/>
          <w:iCs/>
        </w:rPr>
        <w:t> </w:t>
      </w:r>
      <w:r w:rsidR="00BD2762" w:rsidRPr="00BE1FD9">
        <w:rPr>
          <w:i/>
          <w:iCs/>
        </w:rPr>
        <w:t>E303-93</w:t>
      </w:r>
      <w:r w:rsidR="00BD2762" w:rsidRPr="00BE1FD9">
        <w:t xml:space="preserve"> or D</w:t>
      </w:r>
      <w:r w:rsidR="00CD62DC" w:rsidRPr="00BE1FD9">
        <w:t xml:space="preserve">epartment of </w:t>
      </w:r>
      <w:r w:rsidR="00BD2762" w:rsidRPr="00BE1FD9">
        <w:t>T</w:t>
      </w:r>
      <w:r w:rsidR="00CD62DC" w:rsidRPr="00BE1FD9">
        <w:t xml:space="preserve">ransport and </w:t>
      </w:r>
      <w:r w:rsidR="00BD2762" w:rsidRPr="00BE1FD9">
        <w:t>M</w:t>
      </w:r>
      <w:r w:rsidR="00BA69FA" w:rsidRPr="00BE1FD9">
        <w:t xml:space="preserve">ain </w:t>
      </w:r>
      <w:r w:rsidR="00BD2762" w:rsidRPr="00BE1FD9">
        <w:t>R</w:t>
      </w:r>
      <w:r w:rsidR="00BA69FA" w:rsidRPr="00BE1FD9">
        <w:t>oads</w:t>
      </w:r>
      <w:r w:rsidR="007C5960" w:rsidRPr="00BE1FD9">
        <w:t xml:space="preserve"> test method</w:t>
      </w:r>
      <w:r w:rsidR="00BD2762" w:rsidRPr="00BE1FD9">
        <w:t xml:space="preserve"> </w:t>
      </w:r>
      <w:r w:rsidR="00BD2762" w:rsidRPr="00BE1FD9">
        <w:rPr>
          <w:i/>
          <w:iCs/>
        </w:rPr>
        <w:t>Q704</w:t>
      </w:r>
      <w:r w:rsidR="00BD2762" w:rsidRPr="00BE1FD9">
        <w:t xml:space="preserve">.  Skid resistance measurements to be recorded and presented as a BPN.  </w:t>
      </w:r>
      <w:r w:rsidR="00CF0295" w:rsidRPr="00BE1FD9">
        <w:t>Subject to Skid Resistance Test results, the surfacing may remain, but will be paid for at the designated application rate.</w:t>
      </w:r>
    </w:p>
    <w:p w14:paraId="47B9C918" w14:textId="77777777" w:rsidR="0035296C" w:rsidRDefault="004E6DE1" w:rsidP="00BE1FD9">
      <w:pPr>
        <w:pStyle w:val="Heading2"/>
      </w:pPr>
      <w:bookmarkStart w:id="36" w:name="_Toc76106843"/>
      <w:r>
        <w:lastRenderedPageBreak/>
        <w:t>CURING</w:t>
      </w:r>
      <w:bookmarkEnd w:id="36"/>
    </w:p>
    <w:p w14:paraId="47B9C919" w14:textId="77777777" w:rsidR="00CF0575" w:rsidRPr="004E6DE1" w:rsidRDefault="004E6DE1" w:rsidP="00BE1FD9">
      <w:pPr>
        <w:pStyle w:val="Heading3"/>
      </w:pPr>
      <w:bookmarkStart w:id="37" w:name="_Toc76106844"/>
      <w:r w:rsidRPr="004E6DE1">
        <w:t>Time Limitations</w:t>
      </w:r>
      <w:bookmarkEnd w:id="37"/>
    </w:p>
    <w:p w14:paraId="47B9C91A" w14:textId="5EB3F37B" w:rsidR="00CF0575" w:rsidRDefault="00CF0575" w:rsidP="004E6DE1">
      <w:pPr>
        <w:pStyle w:val="BodyTextIndent"/>
      </w:pPr>
      <w:r w:rsidRPr="004E6DE1">
        <w:rPr>
          <w:rStyle w:val="BodyTextIndentUnderlineChar"/>
        </w:rPr>
        <w:t>General</w:t>
      </w:r>
      <w:r w:rsidRPr="004A4B22">
        <w:rPr>
          <w:rStyle w:val="BodyTextIndentUnderlineChar"/>
          <w:u w:val="none"/>
        </w:rPr>
        <w:t>:</w:t>
      </w:r>
      <w:r>
        <w:t xml:space="preserve"> Select materials and processes to ensure adequate curing occurs so that the direct access to properties is not restricted for more than 4</w:t>
      </w:r>
      <w:r w:rsidR="00ED0C7E">
        <w:t> </w:t>
      </w:r>
      <w:r>
        <w:t>hours at any one time.</w:t>
      </w:r>
    </w:p>
    <w:p w14:paraId="47B9C91B" w14:textId="77777777" w:rsidR="00CF0575" w:rsidRPr="004E6DE1" w:rsidRDefault="004E6DE1" w:rsidP="00BE1FD9">
      <w:pPr>
        <w:pStyle w:val="Heading3"/>
      </w:pPr>
      <w:bookmarkStart w:id="38" w:name="_Toc76106845"/>
      <w:r w:rsidRPr="004E6DE1">
        <w:t xml:space="preserve">Traffic </w:t>
      </w:r>
      <w:r w:rsidR="00724D8F" w:rsidRPr="004E6DE1">
        <w:t>on</w:t>
      </w:r>
      <w:r w:rsidRPr="004E6DE1">
        <w:t xml:space="preserve"> Pavement</w:t>
      </w:r>
      <w:bookmarkEnd w:id="38"/>
    </w:p>
    <w:p w14:paraId="47B9C91C" w14:textId="77777777" w:rsidR="00A160AA" w:rsidRDefault="00A160AA" w:rsidP="004E6DE1">
      <w:pPr>
        <w:pStyle w:val="BodyTextIndent"/>
      </w:pPr>
      <w:r>
        <w:t xml:space="preserve">Take all necessary precautions to protect the work from damage until such time the PMBE has fully broken and has developed sufficient strength </w:t>
      </w:r>
      <w:r w:rsidR="00204BE7">
        <w:t>to prevent being picked up by vehicular and pedestrian traffic.</w:t>
      </w:r>
    </w:p>
    <w:sectPr w:rsidR="00A160AA" w:rsidSect="00F42748">
      <w:footerReference w:type="default" r:id="rId18"/>
      <w:pgSz w:w="11906" w:h="16838" w:code="9"/>
      <w:pgMar w:top="1134" w:right="1134" w:bottom="992" w:left="1418" w:header="1134" w:footer="85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B9C921" w14:textId="77777777" w:rsidR="00533CCC" w:rsidRDefault="00533CCC">
      <w:r>
        <w:separator/>
      </w:r>
    </w:p>
  </w:endnote>
  <w:endnote w:type="continuationSeparator" w:id="0">
    <w:p w14:paraId="47B9C922" w14:textId="77777777" w:rsidR="00533CCC" w:rsidRDefault="00533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MarkingPenHeavy">
    <w:charset w:val="00"/>
    <w:family w:val="auto"/>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B9C926" w14:textId="3B7CEF16" w:rsidR="00F44E99" w:rsidRDefault="008F7C51" w:rsidP="00F44E99">
    <w:pPr>
      <w:pStyle w:val="Footer"/>
    </w:pPr>
    <w:r w:rsidRPr="008177E2">
      <w:t xml:space="preserve">Revision </w:t>
    </w:r>
    <w:r w:rsidR="00B53EED">
      <w:t>3</w:t>
    </w:r>
    <w:r w:rsidRPr="008177E2">
      <w:t xml:space="preserve">.0 – </w:t>
    </w:r>
    <w:r w:rsidR="004E3A36">
      <w:t>March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C2A2B9" w14:textId="77777777" w:rsidR="00DC33D3" w:rsidRDefault="00DC33D3" w:rsidP="00F44E99">
    <w:pPr>
      <w:pStyle w:val="Footer"/>
    </w:pPr>
    <w:r w:rsidRPr="008177E2">
      <w:t xml:space="preserve">Revision </w:t>
    </w:r>
    <w:r>
      <w:t>3</w:t>
    </w:r>
    <w:r w:rsidRPr="008177E2">
      <w:t xml:space="preserve">.0 – </w:t>
    </w:r>
    <w:r>
      <w:t>March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98DEA" w14:textId="13768859" w:rsidR="008258DD" w:rsidRDefault="00B53EED" w:rsidP="00F44E99">
    <w:pPr>
      <w:pStyle w:val="Footer"/>
    </w:pPr>
    <w:r w:rsidRPr="008177E2">
      <w:t xml:space="preserve">Revision </w:t>
    </w:r>
    <w:r>
      <w:t>3</w:t>
    </w:r>
    <w:r w:rsidRPr="008177E2">
      <w:t xml:space="preserve">.0 – </w:t>
    </w:r>
    <w:r w:rsidR="004E3A36" w:rsidRPr="004E3A36">
      <w:t>March 2021</w:t>
    </w:r>
    <w:r w:rsidR="00104A79">
      <w:tab/>
    </w:r>
    <w:r w:rsidR="008258DD">
      <w:fldChar w:fldCharType="begin"/>
    </w:r>
    <w:r w:rsidR="008258DD">
      <w:instrText xml:space="preserve"> PAGE   \* MERGEFORMAT </w:instrText>
    </w:r>
    <w:r w:rsidR="008258DD">
      <w:fldChar w:fldCharType="separate"/>
    </w:r>
    <w:r w:rsidR="008258DD">
      <w:rPr>
        <w:noProof/>
      </w:rPr>
      <w:t>1</w:t>
    </w:r>
    <w:r w:rsidR="008258DD">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CE2BD" w14:textId="1A09DE6C" w:rsidR="00B53EED" w:rsidRDefault="00B53EED" w:rsidP="00F44E99">
    <w:pPr>
      <w:pStyle w:val="Footer"/>
    </w:pPr>
    <w:r w:rsidRPr="00B53EED">
      <w:t>Revision</w:t>
    </w:r>
    <w:r w:rsidRPr="008177E2">
      <w:t xml:space="preserve"> </w:t>
    </w:r>
    <w:r>
      <w:t>3</w:t>
    </w:r>
    <w:r w:rsidRPr="008177E2">
      <w:t xml:space="preserve">.0 – </w:t>
    </w:r>
    <w:r w:rsidR="004E3A36" w:rsidRPr="004E3A36">
      <w:t>March 2021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F66EC6" w14:textId="6608D7A2" w:rsidR="008258DD" w:rsidRDefault="008258DD" w:rsidP="00F44E99">
    <w:pPr>
      <w:pStyle w:val="Footer"/>
    </w:pPr>
    <w:r w:rsidRPr="00B53EED">
      <w:t>Revision</w:t>
    </w:r>
    <w:r w:rsidRPr="008177E2">
      <w:t xml:space="preserve"> </w:t>
    </w:r>
    <w:r>
      <w:t>3</w:t>
    </w:r>
    <w:r w:rsidRPr="008177E2">
      <w:t xml:space="preserve">.0 – </w:t>
    </w:r>
    <w:r w:rsidR="004E3A36" w:rsidRPr="004E3A36">
      <w:t>March 2021</w:t>
    </w:r>
    <w:r w:rsidR="00104A79">
      <w:tab/>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B9C91F" w14:textId="77777777" w:rsidR="00533CCC" w:rsidRDefault="00533CCC">
      <w:r>
        <w:separator/>
      </w:r>
    </w:p>
  </w:footnote>
  <w:footnote w:type="continuationSeparator" w:id="0">
    <w:p w14:paraId="47B9C920" w14:textId="77777777" w:rsidR="00533CCC" w:rsidRDefault="00533C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B9C925" w14:textId="1739CE11" w:rsidR="00F44E99" w:rsidRPr="00C62B5E" w:rsidRDefault="00E1560F" w:rsidP="001568E1">
    <w:pPr>
      <w:pStyle w:val="Header"/>
    </w:pPr>
    <w:r>
      <w:pict w14:anchorId="1977A8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75pt;height:57pt">
          <v:imagedata r:id="rId1" o:title="BCC Logo (Colour) Le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76A07" w14:textId="48C0CA5F" w:rsidR="00DC33D3" w:rsidRPr="00C62B5E" w:rsidRDefault="00DC33D3" w:rsidP="00F44E99">
    <w:pPr>
      <w:pStyle w:val="Header"/>
    </w:pPr>
    <w:r w:rsidRPr="003036C8">
      <w:t>Brisbane City Council</w:t>
    </w:r>
    <w:r w:rsidR="00470254">
      <w:tab/>
    </w:r>
    <w:r w:rsidRPr="004E3A36">
      <w:t>Reference Specifications for Engineering Work</w:t>
    </w:r>
    <w:r w:rsidR="001568E1">
      <w:t xml:space="preserve"> </w:t>
    </w:r>
    <w:r w:rsidR="00E1560F">
      <w:rPr>
        <w:noProof/>
      </w:rPr>
      <w:pict w14:anchorId="6C9CFABC">
        <v:shapetype id="_x0000_t202" coordsize="21600,21600" o:spt="202" path="m,l,21600r21600,l21600,xe">
          <v:stroke joinstyle="miter"/>
          <v:path gradientshapeok="t" o:connecttype="rect"/>
        </v:shapetype>
        <v:shape id="Text Box 9" o:spid="_x0000_s2105" type="#_x0000_t202" style="position:absolute;left:0;text-align:left;margin-left:297.2pt;margin-top:496.4pt;width:541.7pt;height:30.35pt;rotation:-5921140fd;z-index:251664384;visibility:visible;mso-width-percent:0;mso-wrap-distance-left:9pt;mso-wrap-distance-top:0;mso-wrap-distance-right:9pt;mso-wrap-distance-bottom:0;mso-position-horizontal:absolute;mso-position-horizontal-relative:page;mso-position-vertical:absolute;mso-position-vertical-relative:page;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" filled="f" stroked="f">
          <v:stroke joinstyle="round"/>
          <o:lock v:ext="edit" shapetype="t"/>
          <v:textbox style="layout-flow:vertical;mso-layout-flow-alt:bottom-to-top">
            <w:txbxContent>
              <w:p w14:paraId="5D4BF56E" w14:textId="77777777" w:rsidR="00DC33D3" w:rsidRPr="0095675E" w:rsidRDefault="00DC33D3" w:rsidP="008F7C51">
                <w:pPr>
                  <w:pStyle w:val="NormalWeb"/>
                  <w:rPr>
                    <w:rFonts w:ascii="Arial Bold" w:hAnsi="Arial Bold"/>
                    <w:sz w:val="28"/>
                    <w:szCs w:val="28"/>
                  </w:rPr>
                </w:pPr>
                <w:r w:rsidRPr="00B53EED">
                  <w:rPr>
                    <w:rFonts w:ascii="Arial Bold" w:hAnsi="Arial Bold" w:cs="Arial"/>
                    <w:b/>
                    <w:bCs/>
                    <w:i/>
                    <w:iCs/>
                    <w:sz w:val="28"/>
                    <w:szCs w:val="28"/>
                  </w:rPr>
                  <w:t>S335 POLYMER MODIFIED EMULSION SURFACE TREATMENT</w:t>
                </w:r>
              </w:p>
            </w:txbxContent>
          </v:textbox>
          <w10:wrap anchorx="page" anchory="page"/>
        </v:shape>
      </w:pict>
    </w:r>
    <w:r w:rsidRPr="003036C8">
      <w:t>S335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B9C927" w14:textId="77777777" w:rsidR="00F44E99" w:rsidRDefault="00E1560F">
    <w:pPr>
      <w:pStyle w:val="Header"/>
    </w:pPr>
    <w:r>
      <w:rPr>
        <w:noProof/>
      </w:rPr>
      <w:pict w14:anchorId="47B9C9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5" type="#_x0000_t136" style="position:absolute;left:0;text-align:left;margin-left:303pt;margin-top:297.7pt;width:33pt;height:42.75pt;rotation:90;z-index:251656192" o:allowincell="f" fillcolor="black">
          <v:shadow color="#868686"/>
          <v:textpath style="font-family:&quot;Arial Narrow&quot;;v-rotate-letters:t;v-text-kern:t" trim="t" fitpath="t" string="14"/>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B9C92B" w14:textId="77777777" w:rsidR="00F44E99" w:rsidRDefault="00E1560F">
    <w:pPr>
      <w:pStyle w:val="Header"/>
    </w:pPr>
    <w:r>
      <w:rPr>
        <w:noProof/>
      </w:rPr>
      <w:pict w14:anchorId="47B9C9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00" type="#_x0000_t136" style="position:absolute;left:0;text-align:left;margin-left:303pt;margin-top:297.7pt;width:33pt;height:42.75pt;rotation:90;z-index:251659264" o:allowincell="f" fillcolor="black">
          <v:shadow color="#868686"/>
          <v:textpath style="font-family:&quot;Arial Narrow&quot;;v-rotate-letters:t;v-text-kern:t" trim="t" fitpath="t" string="14"/>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B36C1"/>
    <w:multiLevelType w:val="hybridMultilevel"/>
    <w:tmpl w:val="97E6B640"/>
    <w:lvl w:ilvl="0" w:tplc="F4F8822C">
      <w:start w:val="1"/>
      <w:numFmt w:val="bullet"/>
      <w:lvlText w:val=""/>
      <w:lvlJc w:val="left"/>
      <w:pPr>
        <w:tabs>
          <w:tab w:val="num" w:pos="1276"/>
        </w:tabs>
        <w:ind w:left="1276" w:hanging="510"/>
      </w:pPr>
      <w:rPr>
        <w:rFonts w:ascii="Symbol" w:hAnsi="Symbol" w:hint="default"/>
      </w:rPr>
    </w:lvl>
    <w:lvl w:ilvl="1" w:tplc="0C090003" w:tentative="1">
      <w:start w:val="1"/>
      <w:numFmt w:val="bullet"/>
      <w:lvlText w:val="o"/>
      <w:lvlJc w:val="left"/>
      <w:pPr>
        <w:tabs>
          <w:tab w:val="num" w:pos="2149"/>
        </w:tabs>
        <w:ind w:left="2149" w:hanging="360"/>
      </w:pPr>
      <w:rPr>
        <w:rFonts w:ascii="Courier New" w:hAnsi="Courier New" w:cs="Courier New" w:hint="default"/>
      </w:rPr>
    </w:lvl>
    <w:lvl w:ilvl="2" w:tplc="0C090005" w:tentative="1">
      <w:start w:val="1"/>
      <w:numFmt w:val="bullet"/>
      <w:lvlText w:val=""/>
      <w:lvlJc w:val="left"/>
      <w:pPr>
        <w:tabs>
          <w:tab w:val="num" w:pos="2869"/>
        </w:tabs>
        <w:ind w:left="2869" w:hanging="360"/>
      </w:pPr>
      <w:rPr>
        <w:rFonts w:ascii="Wingdings" w:hAnsi="Wingdings" w:hint="default"/>
      </w:rPr>
    </w:lvl>
    <w:lvl w:ilvl="3" w:tplc="0C090001" w:tentative="1">
      <w:start w:val="1"/>
      <w:numFmt w:val="bullet"/>
      <w:lvlText w:val=""/>
      <w:lvlJc w:val="left"/>
      <w:pPr>
        <w:tabs>
          <w:tab w:val="num" w:pos="3589"/>
        </w:tabs>
        <w:ind w:left="3589" w:hanging="360"/>
      </w:pPr>
      <w:rPr>
        <w:rFonts w:ascii="Symbol" w:hAnsi="Symbol" w:hint="default"/>
      </w:rPr>
    </w:lvl>
    <w:lvl w:ilvl="4" w:tplc="0C090003" w:tentative="1">
      <w:start w:val="1"/>
      <w:numFmt w:val="bullet"/>
      <w:lvlText w:val="o"/>
      <w:lvlJc w:val="left"/>
      <w:pPr>
        <w:tabs>
          <w:tab w:val="num" w:pos="4309"/>
        </w:tabs>
        <w:ind w:left="4309" w:hanging="360"/>
      </w:pPr>
      <w:rPr>
        <w:rFonts w:ascii="Courier New" w:hAnsi="Courier New" w:cs="Courier New" w:hint="default"/>
      </w:rPr>
    </w:lvl>
    <w:lvl w:ilvl="5" w:tplc="0C090005" w:tentative="1">
      <w:start w:val="1"/>
      <w:numFmt w:val="bullet"/>
      <w:lvlText w:val=""/>
      <w:lvlJc w:val="left"/>
      <w:pPr>
        <w:tabs>
          <w:tab w:val="num" w:pos="5029"/>
        </w:tabs>
        <w:ind w:left="5029" w:hanging="360"/>
      </w:pPr>
      <w:rPr>
        <w:rFonts w:ascii="Wingdings" w:hAnsi="Wingdings" w:hint="default"/>
      </w:rPr>
    </w:lvl>
    <w:lvl w:ilvl="6" w:tplc="0C090001" w:tentative="1">
      <w:start w:val="1"/>
      <w:numFmt w:val="bullet"/>
      <w:lvlText w:val=""/>
      <w:lvlJc w:val="left"/>
      <w:pPr>
        <w:tabs>
          <w:tab w:val="num" w:pos="5749"/>
        </w:tabs>
        <w:ind w:left="5749" w:hanging="360"/>
      </w:pPr>
      <w:rPr>
        <w:rFonts w:ascii="Symbol" w:hAnsi="Symbol" w:hint="default"/>
      </w:rPr>
    </w:lvl>
    <w:lvl w:ilvl="7" w:tplc="0C090003" w:tentative="1">
      <w:start w:val="1"/>
      <w:numFmt w:val="bullet"/>
      <w:lvlText w:val="o"/>
      <w:lvlJc w:val="left"/>
      <w:pPr>
        <w:tabs>
          <w:tab w:val="num" w:pos="6469"/>
        </w:tabs>
        <w:ind w:left="6469" w:hanging="360"/>
      </w:pPr>
      <w:rPr>
        <w:rFonts w:ascii="Courier New" w:hAnsi="Courier New" w:cs="Courier New" w:hint="default"/>
      </w:rPr>
    </w:lvl>
    <w:lvl w:ilvl="8" w:tplc="0C090005" w:tentative="1">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0136119A"/>
    <w:multiLevelType w:val="multilevel"/>
    <w:tmpl w:val="0C090005"/>
    <w:lvl w:ilvl="0">
      <w:start w:val="1"/>
      <w:numFmt w:val="bullet"/>
      <w:lvlText w:val=""/>
      <w:lvlJc w:val="left"/>
      <w:pPr>
        <w:tabs>
          <w:tab w:val="num" w:pos="360"/>
        </w:tabs>
        <w:ind w:left="360" w:hanging="360"/>
      </w:pPr>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E12687"/>
    <w:multiLevelType w:val="hybridMultilevel"/>
    <w:tmpl w:val="7A429752"/>
    <w:lvl w:ilvl="0" w:tplc="EEA0FD2C">
      <w:start w:val="1"/>
      <w:numFmt w:val="bullet"/>
      <w:pStyle w:val="BodyTextIndentDot"/>
      <w:lvlText w:val=""/>
      <w:lvlJc w:val="left"/>
      <w:pPr>
        <w:tabs>
          <w:tab w:val="num" w:pos="1134"/>
        </w:tabs>
        <w:ind w:left="1134" w:hanging="425"/>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841EC8"/>
    <w:multiLevelType w:val="multilevel"/>
    <w:tmpl w:val="3C5614DE"/>
    <w:lvl w:ilvl="0">
      <w:start w:val="1"/>
      <w:numFmt w:val="decimal"/>
      <w:pStyle w:val="Heading2"/>
      <w:lvlText w:val="%1.0"/>
      <w:lvlJc w:val="left"/>
      <w:pPr>
        <w:tabs>
          <w:tab w:val="num" w:pos="720"/>
        </w:tabs>
        <w:ind w:left="720" w:hanging="720"/>
      </w:pPr>
      <w:rPr>
        <w:rFonts w:hint="default"/>
      </w:rPr>
    </w:lvl>
    <w:lvl w:ilvl="1">
      <w:start w:val="1"/>
      <w:numFmt w:val="decimal"/>
      <w:pStyle w:val="Heading3"/>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4" w15:restartNumberingAfterBreak="0">
    <w:nsid w:val="32907F65"/>
    <w:multiLevelType w:val="singleLevel"/>
    <w:tmpl w:val="6E2E34A6"/>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3A550209"/>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3C554AC6"/>
    <w:multiLevelType w:val="hybridMultilevel"/>
    <w:tmpl w:val="B87630C6"/>
    <w:lvl w:ilvl="0" w:tplc="0C090001">
      <w:start w:val="1"/>
      <w:numFmt w:val="bullet"/>
      <w:lvlText w:val=""/>
      <w:lvlJc w:val="left"/>
      <w:pPr>
        <w:tabs>
          <w:tab w:val="num" w:pos="1069"/>
        </w:tabs>
        <w:ind w:left="1069" w:hanging="360"/>
      </w:pPr>
      <w:rPr>
        <w:rFonts w:ascii="Symbol" w:hAnsi="Symbol" w:hint="default"/>
      </w:rPr>
    </w:lvl>
    <w:lvl w:ilvl="1" w:tplc="0C090003" w:tentative="1">
      <w:start w:val="1"/>
      <w:numFmt w:val="bullet"/>
      <w:lvlText w:val="o"/>
      <w:lvlJc w:val="left"/>
      <w:pPr>
        <w:tabs>
          <w:tab w:val="num" w:pos="1789"/>
        </w:tabs>
        <w:ind w:left="1789" w:hanging="360"/>
      </w:pPr>
      <w:rPr>
        <w:rFonts w:ascii="Courier New" w:hAnsi="Courier New" w:cs="Courier New" w:hint="default"/>
      </w:rPr>
    </w:lvl>
    <w:lvl w:ilvl="2" w:tplc="0C090005" w:tentative="1">
      <w:start w:val="1"/>
      <w:numFmt w:val="bullet"/>
      <w:lvlText w:val=""/>
      <w:lvlJc w:val="left"/>
      <w:pPr>
        <w:tabs>
          <w:tab w:val="num" w:pos="2509"/>
        </w:tabs>
        <w:ind w:left="2509" w:hanging="360"/>
      </w:pPr>
      <w:rPr>
        <w:rFonts w:ascii="Wingdings" w:hAnsi="Wingdings" w:hint="default"/>
      </w:rPr>
    </w:lvl>
    <w:lvl w:ilvl="3" w:tplc="0C090001" w:tentative="1">
      <w:start w:val="1"/>
      <w:numFmt w:val="bullet"/>
      <w:lvlText w:val=""/>
      <w:lvlJc w:val="left"/>
      <w:pPr>
        <w:tabs>
          <w:tab w:val="num" w:pos="3229"/>
        </w:tabs>
        <w:ind w:left="3229" w:hanging="360"/>
      </w:pPr>
      <w:rPr>
        <w:rFonts w:ascii="Symbol" w:hAnsi="Symbol" w:hint="default"/>
      </w:rPr>
    </w:lvl>
    <w:lvl w:ilvl="4" w:tplc="0C090003" w:tentative="1">
      <w:start w:val="1"/>
      <w:numFmt w:val="bullet"/>
      <w:lvlText w:val="o"/>
      <w:lvlJc w:val="left"/>
      <w:pPr>
        <w:tabs>
          <w:tab w:val="num" w:pos="3949"/>
        </w:tabs>
        <w:ind w:left="3949" w:hanging="360"/>
      </w:pPr>
      <w:rPr>
        <w:rFonts w:ascii="Courier New" w:hAnsi="Courier New" w:cs="Courier New" w:hint="default"/>
      </w:rPr>
    </w:lvl>
    <w:lvl w:ilvl="5" w:tplc="0C090005" w:tentative="1">
      <w:start w:val="1"/>
      <w:numFmt w:val="bullet"/>
      <w:lvlText w:val=""/>
      <w:lvlJc w:val="left"/>
      <w:pPr>
        <w:tabs>
          <w:tab w:val="num" w:pos="4669"/>
        </w:tabs>
        <w:ind w:left="4669" w:hanging="360"/>
      </w:pPr>
      <w:rPr>
        <w:rFonts w:ascii="Wingdings" w:hAnsi="Wingdings" w:hint="default"/>
      </w:rPr>
    </w:lvl>
    <w:lvl w:ilvl="6" w:tplc="0C090001" w:tentative="1">
      <w:start w:val="1"/>
      <w:numFmt w:val="bullet"/>
      <w:lvlText w:val=""/>
      <w:lvlJc w:val="left"/>
      <w:pPr>
        <w:tabs>
          <w:tab w:val="num" w:pos="5389"/>
        </w:tabs>
        <w:ind w:left="5389" w:hanging="360"/>
      </w:pPr>
      <w:rPr>
        <w:rFonts w:ascii="Symbol" w:hAnsi="Symbol" w:hint="default"/>
      </w:rPr>
    </w:lvl>
    <w:lvl w:ilvl="7" w:tplc="0C090003" w:tentative="1">
      <w:start w:val="1"/>
      <w:numFmt w:val="bullet"/>
      <w:lvlText w:val="o"/>
      <w:lvlJc w:val="left"/>
      <w:pPr>
        <w:tabs>
          <w:tab w:val="num" w:pos="6109"/>
        </w:tabs>
        <w:ind w:left="6109" w:hanging="360"/>
      </w:pPr>
      <w:rPr>
        <w:rFonts w:ascii="Courier New" w:hAnsi="Courier New" w:cs="Courier New" w:hint="default"/>
      </w:rPr>
    </w:lvl>
    <w:lvl w:ilvl="8" w:tplc="0C090005" w:tentative="1">
      <w:start w:val="1"/>
      <w:numFmt w:val="bullet"/>
      <w:lvlText w:val=""/>
      <w:lvlJc w:val="left"/>
      <w:pPr>
        <w:tabs>
          <w:tab w:val="num" w:pos="6829"/>
        </w:tabs>
        <w:ind w:left="6829" w:hanging="360"/>
      </w:pPr>
      <w:rPr>
        <w:rFonts w:ascii="Wingdings" w:hAnsi="Wingdings" w:hint="default"/>
      </w:rPr>
    </w:lvl>
  </w:abstractNum>
  <w:abstractNum w:abstractNumId="7" w15:restartNumberingAfterBreak="0">
    <w:nsid w:val="428069C2"/>
    <w:multiLevelType w:val="hybridMultilevel"/>
    <w:tmpl w:val="0C090005"/>
    <w:lvl w:ilvl="0" w:tplc="6E32EE14">
      <w:start w:val="1"/>
      <w:numFmt w:val="bullet"/>
      <w:lvlText w:val=""/>
      <w:lvlJc w:val="left"/>
      <w:pPr>
        <w:tabs>
          <w:tab w:val="num" w:pos="360"/>
        </w:tabs>
        <w:ind w:left="360" w:hanging="360"/>
      </w:pPr>
      <w:rPr>
        <w:rFonts w:ascii="Wingdings" w:hAnsi="Wingdings" w:hint="default"/>
      </w:rPr>
    </w:lvl>
    <w:lvl w:ilvl="1" w:tplc="0BCA7EA8">
      <w:numFmt w:val="decimal"/>
      <w:lvlText w:val=""/>
      <w:lvlJc w:val="left"/>
    </w:lvl>
    <w:lvl w:ilvl="2" w:tplc="821A9CE2">
      <w:numFmt w:val="decimal"/>
      <w:lvlText w:val=""/>
      <w:lvlJc w:val="left"/>
    </w:lvl>
    <w:lvl w:ilvl="3" w:tplc="0CCC5072">
      <w:numFmt w:val="decimal"/>
      <w:lvlText w:val=""/>
      <w:lvlJc w:val="left"/>
    </w:lvl>
    <w:lvl w:ilvl="4" w:tplc="75303168">
      <w:numFmt w:val="decimal"/>
      <w:lvlText w:val=""/>
      <w:lvlJc w:val="left"/>
    </w:lvl>
    <w:lvl w:ilvl="5" w:tplc="BD8C5AD2">
      <w:numFmt w:val="decimal"/>
      <w:lvlText w:val=""/>
      <w:lvlJc w:val="left"/>
    </w:lvl>
    <w:lvl w:ilvl="6" w:tplc="8636576A">
      <w:numFmt w:val="decimal"/>
      <w:lvlText w:val=""/>
      <w:lvlJc w:val="left"/>
    </w:lvl>
    <w:lvl w:ilvl="7" w:tplc="E4121DBC">
      <w:numFmt w:val="decimal"/>
      <w:lvlText w:val=""/>
      <w:lvlJc w:val="left"/>
    </w:lvl>
    <w:lvl w:ilvl="8" w:tplc="0E4848C8">
      <w:numFmt w:val="decimal"/>
      <w:lvlText w:val=""/>
      <w:lvlJc w:val="left"/>
    </w:lvl>
  </w:abstractNum>
  <w:abstractNum w:abstractNumId="8" w15:restartNumberingAfterBreak="0">
    <w:nsid w:val="5A3E4E97"/>
    <w:multiLevelType w:val="hybridMultilevel"/>
    <w:tmpl w:val="7F5AFCF6"/>
    <w:lvl w:ilvl="0" w:tplc="04090001">
      <w:start w:val="1"/>
      <w:numFmt w:val="bullet"/>
      <w:lvlText w:val=""/>
      <w:lvlJc w:val="left"/>
      <w:pPr>
        <w:tabs>
          <w:tab w:val="num" w:pos="1069"/>
        </w:tabs>
        <w:ind w:left="1069" w:hanging="360"/>
      </w:pPr>
      <w:rPr>
        <w:rFonts w:ascii="Symbol" w:hAnsi="Symbol" w:hint="default"/>
      </w:rPr>
    </w:lvl>
    <w:lvl w:ilvl="1" w:tplc="04090003" w:tentative="1">
      <w:start w:val="1"/>
      <w:numFmt w:val="bullet"/>
      <w:lvlText w:val="o"/>
      <w:lvlJc w:val="left"/>
      <w:pPr>
        <w:tabs>
          <w:tab w:val="num" w:pos="1789"/>
        </w:tabs>
        <w:ind w:left="1789" w:hanging="360"/>
      </w:pPr>
      <w:rPr>
        <w:rFonts w:ascii="Courier New" w:hAnsi="Courier New" w:cs="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cs="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cs="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9" w15:restartNumberingAfterBreak="0">
    <w:nsid w:val="648916A4"/>
    <w:multiLevelType w:val="hybridMultilevel"/>
    <w:tmpl w:val="84B0D13A"/>
    <w:lvl w:ilvl="0" w:tplc="E0FE06EC">
      <w:start w:val="1"/>
      <w:numFmt w:val="bullet"/>
      <w:pStyle w:val="bullets"/>
      <w:lvlText w:val=""/>
      <w:lvlJc w:val="left"/>
      <w:pPr>
        <w:tabs>
          <w:tab w:val="num" w:pos="360"/>
        </w:tabs>
        <w:ind w:left="360" w:hanging="360"/>
      </w:pPr>
      <w:rPr>
        <w:rFonts w:ascii="Wingdings" w:hAnsi="Wingdings" w:hint="default"/>
      </w:rPr>
    </w:lvl>
    <w:lvl w:ilvl="1" w:tplc="FD204EC2">
      <w:numFmt w:val="decimal"/>
      <w:lvlText w:val=""/>
      <w:lvlJc w:val="left"/>
    </w:lvl>
    <w:lvl w:ilvl="2" w:tplc="DABAA6E4">
      <w:numFmt w:val="decimal"/>
      <w:lvlText w:val=""/>
      <w:lvlJc w:val="left"/>
    </w:lvl>
    <w:lvl w:ilvl="3" w:tplc="24869194">
      <w:numFmt w:val="decimal"/>
      <w:lvlText w:val=""/>
      <w:lvlJc w:val="left"/>
    </w:lvl>
    <w:lvl w:ilvl="4" w:tplc="4D5E682E">
      <w:numFmt w:val="decimal"/>
      <w:lvlText w:val=""/>
      <w:lvlJc w:val="left"/>
    </w:lvl>
    <w:lvl w:ilvl="5" w:tplc="06D2EFC6">
      <w:numFmt w:val="decimal"/>
      <w:lvlText w:val=""/>
      <w:lvlJc w:val="left"/>
    </w:lvl>
    <w:lvl w:ilvl="6" w:tplc="2D0A4F78">
      <w:numFmt w:val="decimal"/>
      <w:lvlText w:val=""/>
      <w:lvlJc w:val="left"/>
    </w:lvl>
    <w:lvl w:ilvl="7" w:tplc="02D60890">
      <w:numFmt w:val="decimal"/>
      <w:lvlText w:val=""/>
      <w:lvlJc w:val="left"/>
    </w:lvl>
    <w:lvl w:ilvl="8" w:tplc="FB0A3AE4">
      <w:numFmt w:val="decimal"/>
      <w:lvlText w:val=""/>
      <w:lvlJc w:val="left"/>
    </w:lvl>
  </w:abstractNum>
  <w:num w:numId="1">
    <w:abstractNumId w:val="3"/>
  </w:num>
  <w:num w:numId="2">
    <w:abstractNumId w:val="3"/>
  </w:num>
  <w:num w:numId="3">
    <w:abstractNumId w:val="9"/>
  </w:num>
  <w:num w:numId="4">
    <w:abstractNumId w:val="1"/>
  </w:num>
  <w:num w:numId="5">
    <w:abstractNumId w:val="5"/>
  </w:num>
  <w:num w:numId="6">
    <w:abstractNumId w:val="7"/>
  </w:num>
  <w:num w:numId="7">
    <w:abstractNumId w:val="6"/>
  </w:num>
  <w:num w:numId="8">
    <w:abstractNumId w:val="8"/>
  </w:num>
  <w:num w:numId="9">
    <w:abstractNumId w:val="2"/>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AU" w:vendorID="8" w:dllVersion="513"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ocumentProtection w:edit="readOnly" w:formatting="1" w:enforcement="0"/>
  <w:defaultTabStop w:val="709"/>
  <w:displayHorizontalDrawingGridEvery w:val="0"/>
  <w:displayVerticalDrawingGridEvery w:val="0"/>
  <w:doNotUseMarginsForDrawingGridOrigin/>
  <w:noPunctuationKerning/>
  <w:characterSpacingControl w:val="doNotCompress"/>
  <w:hdrShapeDefaults>
    <o:shapedefaults v:ext="edit" spidmax="2108"/>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42977"/>
    <w:rsid w:val="00012452"/>
    <w:rsid w:val="000265CE"/>
    <w:rsid w:val="00051D81"/>
    <w:rsid w:val="00055270"/>
    <w:rsid w:val="00074FC1"/>
    <w:rsid w:val="000A3CAE"/>
    <w:rsid w:val="000A7C2E"/>
    <w:rsid w:val="000B779F"/>
    <w:rsid w:val="000B7937"/>
    <w:rsid w:val="000C78A6"/>
    <w:rsid w:val="000D6508"/>
    <w:rsid w:val="000E2802"/>
    <w:rsid w:val="000F22BA"/>
    <w:rsid w:val="000F70C2"/>
    <w:rsid w:val="00104692"/>
    <w:rsid w:val="00104A79"/>
    <w:rsid w:val="001136FE"/>
    <w:rsid w:val="00116B94"/>
    <w:rsid w:val="00136494"/>
    <w:rsid w:val="001538D3"/>
    <w:rsid w:val="001568E1"/>
    <w:rsid w:val="00175548"/>
    <w:rsid w:val="00175D31"/>
    <w:rsid w:val="00196E18"/>
    <w:rsid w:val="001A08D3"/>
    <w:rsid w:val="001B0A3A"/>
    <w:rsid w:val="001B14E4"/>
    <w:rsid w:val="001B4BDC"/>
    <w:rsid w:val="001D76FE"/>
    <w:rsid w:val="001F2410"/>
    <w:rsid w:val="00202E1D"/>
    <w:rsid w:val="0020458D"/>
    <w:rsid w:val="00204BE7"/>
    <w:rsid w:val="0021526A"/>
    <w:rsid w:val="00217668"/>
    <w:rsid w:val="002204C6"/>
    <w:rsid w:val="00221CA0"/>
    <w:rsid w:val="00257B75"/>
    <w:rsid w:val="00267C27"/>
    <w:rsid w:val="00272DEC"/>
    <w:rsid w:val="00273296"/>
    <w:rsid w:val="00296474"/>
    <w:rsid w:val="002A269F"/>
    <w:rsid w:val="002A34CC"/>
    <w:rsid w:val="002B5ECE"/>
    <w:rsid w:val="002B7FF5"/>
    <w:rsid w:val="002C04C1"/>
    <w:rsid w:val="002D1D97"/>
    <w:rsid w:val="002D7494"/>
    <w:rsid w:val="002F64F8"/>
    <w:rsid w:val="003036C8"/>
    <w:rsid w:val="00322B64"/>
    <w:rsid w:val="003357EA"/>
    <w:rsid w:val="0034327F"/>
    <w:rsid w:val="0035296C"/>
    <w:rsid w:val="00361FD5"/>
    <w:rsid w:val="0036432D"/>
    <w:rsid w:val="00375FA8"/>
    <w:rsid w:val="003A38CF"/>
    <w:rsid w:val="003B51AB"/>
    <w:rsid w:val="003C58BE"/>
    <w:rsid w:val="003E26A4"/>
    <w:rsid w:val="003E27F5"/>
    <w:rsid w:val="003F5964"/>
    <w:rsid w:val="004126AC"/>
    <w:rsid w:val="004253E5"/>
    <w:rsid w:val="00433497"/>
    <w:rsid w:val="00440319"/>
    <w:rsid w:val="00443327"/>
    <w:rsid w:val="00455890"/>
    <w:rsid w:val="004655ED"/>
    <w:rsid w:val="00470254"/>
    <w:rsid w:val="00472CA9"/>
    <w:rsid w:val="004824C0"/>
    <w:rsid w:val="00486CF9"/>
    <w:rsid w:val="004A0E05"/>
    <w:rsid w:val="004A4B22"/>
    <w:rsid w:val="004C4595"/>
    <w:rsid w:val="004D3436"/>
    <w:rsid w:val="004D55E5"/>
    <w:rsid w:val="004E358B"/>
    <w:rsid w:val="004E3A36"/>
    <w:rsid w:val="004E6DE1"/>
    <w:rsid w:val="004F34E8"/>
    <w:rsid w:val="00533CCC"/>
    <w:rsid w:val="0053523B"/>
    <w:rsid w:val="005418C0"/>
    <w:rsid w:val="0054233E"/>
    <w:rsid w:val="00561A85"/>
    <w:rsid w:val="00563392"/>
    <w:rsid w:val="0057125C"/>
    <w:rsid w:val="00572D8F"/>
    <w:rsid w:val="00577565"/>
    <w:rsid w:val="00586C0E"/>
    <w:rsid w:val="005B6050"/>
    <w:rsid w:val="005F2B14"/>
    <w:rsid w:val="005F62CE"/>
    <w:rsid w:val="006042B1"/>
    <w:rsid w:val="00642977"/>
    <w:rsid w:val="006433A1"/>
    <w:rsid w:val="00646C30"/>
    <w:rsid w:val="00655711"/>
    <w:rsid w:val="00687234"/>
    <w:rsid w:val="006A1438"/>
    <w:rsid w:val="006B2EEC"/>
    <w:rsid w:val="006C4314"/>
    <w:rsid w:val="006F2B9D"/>
    <w:rsid w:val="006F4C68"/>
    <w:rsid w:val="007173A4"/>
    <w:rsid w:val="00724D8F"/>
    <w:rsid w:val="00726FF1"/>
    <w:rsid w:val="00731575"/>
    <w:rsid w:val="007525C5"/>
    <w:rsid w:val="00752877"/>
    <w:rsid w:val="00763918"/>
    <w:rsid w:val="00776597"/>
    <w:rsid w:val="007933D4"/>
    <w:rsid w:val="0079779E"/>
    <w:rsid w:val="007A174B"/>
    <w:rsid w:val="007A48EA"/>
    <w:rsid w:val="007B4E64"/>
    <w:rsid w:val="007C5960"/>
    <w:rsid w:val="007D78D4"/>
    <w:rsid w:val="007E02F6"/>
    <w:rsid w:val="007E5C5D"/>
    <w:rsid w:val="007E64B0"/>
    <w:rsid w:val="008228AC"/>
    <w:rsid w:val="008258DD"/>
    <w:rsid w:val="0083134C"/>
    <w:rsid w:val="00841743"/>
    <w:rsid w:val="00866ECE"/>
    <w:rsid w:val="00873542"/>
    <w:rsid w:val="00890D39"/>
    <w:rsid w:val="008C539D"/>
    <w:rsid w:val="008D459D"/>
    <w:rsid w:val="008E435B"/>
    <w:rsid w:val="008F7C51"/>
    <w:rsid w:val="009035BF"/>
    <w:rsid w:val="00916122"/>
    <w:rsid w:val="0093666F"/>
    <w:rsid w:val="00936A7E"/>
    <w:rsid w:val="00983812"/>
    <w:rsid w:val="00986B66"/>
    <w:rsid w:val="00990660"/>
    <w:rsid w:val="009A3A4A"/>
    <w:rsid w:val="009C1311"/>
    <w:rsid w:val="009D4ED9"/>
    <w:rsid w:val="00A160AA"/>
    <w:rsid w:val="00A46432"/>
    <w:rsid w:val="00A5072A"/>
    <w:rsid w:val="00A57694"/>
    <w:rsid w:val="00A83D24"/>
    <w:rsid w:val="00A86BAC"/>
    <w:rsid w:val="00AA7682"/>
    <w:rsid w:val="00AB4590"/>
    <w:rsid w:val="00AC1EE7"/>
    <w:rsid w:val="00AC6DEF"/>
    <w:rsid w:val="00AE2DDC"/>
    <w:rsid w:val="00AE4C4E"/>
    <w:rsid w:val="00AF4145"/>
    <w:rsid w:val="00B1083D"/>
    <w:rsid w:val="00B13D7B"/>
    <w:rsid w:val="00B26AD4"/>
    <w:rsid w:val="00B45CA8"/>
    <w:rsid w:val="00B53EED"/>
    <w:rsid w:val="00B63B05"/>
    <w:rsid w:val="00B72107"/>
    <w:rsid w:val="00BA69FA"/>
    <w:rsid w:val="00BD26F7"/>
    <w:rsid w:val="00BD2762"/>
    <w:rsid w:val="00BE1FD9"/>
    <w:rsid w:val="00BE3B30"/>
    <w:rsid w:val="00C00E69"/>
    <w:rsid w:val="00C220CE"/>
    <w:rsid w:val="00C50200"/>
    <w:rsid w:val="00C5505B"/>
    <w:rsid w:val="00C7218C"/>
    <w:rsid w:val="00C741AD"/>
    <w:rsid w:val="00C74931"/>
    <w:rsid w:val="00CA4E23"/>
    <w:rsid w:val="00CC276B"/>
    <w:rsid w:val="00CC27E8"/>
    <w:rsid w:val="00CD62DC"/>
    <w:rsid w:val="00CE2EB2"/>
    <w:rsid w:val="00CF0295"/>
    <w:rsid w:val="00CF0575"/>
    <w:rsid w:val="00CF153A"/>
    <w:rsid w:val="00D14D24"/>
    <w:rsid w:val="00D163B7"/>
    <w:rsid w:val="00D471F0"/>
    <w:rsid w:val="00D47D7C"/>
    <w:rsid w:val="00D514AE"/>
    <w:rsid w:val="00D61A45"/>
    <w:rsid w:val="00D62C83"/>
    <w:rsid w:val="00D86D4B"/>
    <w:rsid w:val="00D901A0"/>
    <w:rsid w:val="00DA1B28"/>
    <w:rsid w:val="00DC168D"/>
    <w:rsid w:val="00DC3009"/>
    <w:rsid w:val="00DC33D3"/>
    <w:rsid w:val="00E1560F"/>
    <w:rsid w:val="00E15B2D"/>
    <w:rsid w:val="00E4206C"/>
    <w:rsid w:val="00E61666"/>
    <w:rsid w:val="00E71BDB"/>
    <w:rsid w:val="00E71EF4"/>
    <w:rsid w:val="00E72369"/>
    <w:rsid w:val="00EA726E"/>
    <w:rsid w:val="00EC2C47"/>
    <w:rsid w:val="00ED0C7E"/>
    <w:rsid w:val="00ED196E"/>
    <w:rsid w:val="00EF305C"/>
    <w:rsid w:val="00EF3CF9"/>
    <w:rsid w:val="00F42748"/>
    <w:rsid w:val="00F44E99"/>
    <w:rsid w:val="00F721DC"/>
    <w:rsid w:val="00F821D5"/>
    <w:rsid w:val="00FA006C"/>
    <w:rsid w:val="00FB25E8"/>
    <w:rsid w:val="00FC3E56"/>
    <w:rsid w:val="00FD2722"/>
    <w:rsid w:val="00FD3CE2"/>
    <w:rsid w:val="00FF6275"/>
    <w:rsid w:val="00FF7444"/>
    <w:rsid w:val="68407B8E"/>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8"/>
    <o:shapelayout v:ext="edit">
      <o:idmap v:ext="edit" data="1"/>
    </o:shapelayout>
  </w:shapeDefaults>
  <w:decimalSymbol w:val="."/>
  <w:listSeparator w:val=","/>
  <w14:docId w14:val="47B9C859"/>
  <w15:docId w15:val="{3FEAC402-6D1B-4AEA-BC99-5E5CBA3EB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zh-CN" w:bidi="th-TH"/>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lang w:eastAsia="en-US" w:bidi="ar-SA"/>
    </w:rPr>
  </w:style>
  <w:style w:type="paragraph" w:styleId="Heading1">
    <w:name w:val="heading 1"/>
    <w:basedOn w:val="Normal"/>
    <w:next w:val="Normal"/>
    <w:qFormat/>
    <w:rsid w:val="000B7937"/>
    <w:pPr>
      <w:keepNext/>
      <w:spacing w:before="200" w:after="80"/>
      <w:outlineLvl w:val="0"/>
    </w:pPr>
    <w:rPr>
      <w:rFonts w:ascii="Arial Bold" w:hAnsi="Arial Bold"/>
      <w:b/>
      <w:caps/>
      <w:kern w:val="28"/>
      <w:sz w:val="24"/>
      <w:szCs w:val="18"/>
    </w:rPr>
  </w:style>
  <w:style w:type="paragraph" w:styleId="Heading2">
    <w:name w:val="heading 2"/>
    <w:basedOn w:val="Normal"/>
    <w:next w:val="BodyTextIndent"/>
    <w:qFormat/>
    <w:rsid w:val="000B7937"/>
    <w:pPr>
      <w:keepNext/>
      <w:numPr>
        <w:numId w:val="1"/>
      </w:numPr>
      <w:spacing w:before="160" w:after="60"/>
      <w:outlineLvl w:val="1"/>
    </w:pPr>
    <w:rPr>
      <w:rFonts w:ascii="Arial Bold" w:hAnsi="Arial Bold"/>
      <w:b/>
      <w:caps/>
      <w:sz w:val="28"/>
      <w:szCs w:val="24"/>
    </w:rPr>
  </w:style>
  <w:style w:type="paragraph" w:styleId="Heading3">
    <w:name w:val="heading 3"/>
    <w:basedOn w:val="Heading2"/>
    <w:next w:val="Normal"/>
    <w:qFormat/>
    <w:rsid w:val="000B7937"/>
    <w:pPr>
      <w:numPr>
        <w:ilvl w:val="1"/>
      </w:numPr>
      <w:tabs>
        <w:tab w:val="clear" w:pos="1440"/>
        <w:tab w:val="num" w:pos="709"/>
      </w:tabs>
      <w:ind w:left="709" w:hanging="709"/>
      <w:outlineLvl w:val="2"/>
    </w:pPr>
    <w:rPr>
      <w:sz w:val="24"/>
      <w:szCs w:val="20"/>
    </w:rPr>
  </w:style>
  <w:style w:type="paragraph" w:styleId="Heading4">
    <w:name w:val="heading 4"/>
    <w:basedOn w:val="Normal"/>
    <w:next w:val="Normal"/>
    <w:qFormat/>
    <w:pPr>
      <w:keepNext/>
      <w:spacing w:before="240" w:after="60"/>
      <w:outlineLvl w:val="3"/>
    </w:pPr>
    <w:rPr>
      <w:b/>
      <w:sz w:val="24"/>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tyle>
  <w:style w:type="paragraph" w:styleId="Header">
    <w:name w:val="header"/>
    <w:basedOn w:val="Normal"/>
    <w:rsid w:val="00470254"/>
    <w:pPr>
      <w:pBdr>
        <w:bottom w:val="single" w:sz="2" w:space="5" w:color="auto"/>
      </w:pBdr>
      <w:tabs>
        <w:tab w:val="right" w:pos="9356"/>
      </w:tabs>
      <w:spacing w:before="20" w:after="20"/>
      <w:jc w:val="both"/>
    </w:pPr>
    <w:rPr>
      <w:i/>
      <w:sz w:val="16"/>
    </w:rPr>
  </w:style>
  <w:style w:type="paragraph" w:styleId="Footer">
    <w:name w:val="footer"/>
    <w:basedOn w:val="Normal"/>
    <w:rsid w:val="00DC33D3"/>
    <w:pPr>
      <w:pBdr>
        <w:top w:val="single" w:sz="2" w:space="4" w:color="auto"/>
      </w:pBdr>
      <w:tabs>
        <w:tab w:val="right" w:pos="9356"/>
      </w:tabs>
      <w:spacing w:before="80"/>
      <w:jc w:val="both"/>
    </w:pPr>
    <w:rPr>
      <w:b/>
      <w:i/>
      <w:sz w:val="16"/>
    </w:rPr>
  </w:style>
  <w:style w:type="character" w:styleId="PageNumber">
    <w:name w:val="page number"/>
    <w:rPr>
      <w:rFonts w:ascii="Arial" w:hAnsi="Arial"/>
      <w:sz w:val="16"/>
    </w:rPr>
  </w:style>
  <w:style w:type="paragraph" w:styleId="BodyText">
    <w:name w:val="Body Text"/>
    <w:basedOn w:val="Normal"/>
    <w:pPr>
      <w:spacing w:line="302" w:lineRule="exact"/>
      <w:ind w:left="737"/>
      <w:jc w:val="both"/>
    </w:pPr>
  </w:style>
  <w:style w:type="paragraph" w:styleId="Caption">
    <w:name w:val="caption"/>
    <w:basedOn w:val="Normal"/>
    <w:next w:val="Normal"/>
    <w:qFormat/>
    <w:pPr>
      <w:spacing w:before="120" w:after="120"/>
    </w:pPr>
    <w:rPr>
      <w:b/>
    </w:rPr>
  </w:style>
  <w:style w:type="paragraph" w:styleId="BodyText2">
    <w:name w:val="Body Text 2"/>
    <w:basedOn w:val="Normal"/>
    <w:pPr>
      <w:jc w:val="center"/>
    </w:pPr>
    <w:rPr>
      <w:b/>
      <w:sz w:val="24"/>
    </w:rPr>
  </w:style>
  <w:style w:type="paragraph" w:styleId="BodyText3">
    <w:name w:val="Body Text 3"/>
    <w:basedOn w:val="Normal"/>
    <w:pPr>
      <w:spacing w:before="4" w:line="211" w:lineRule="exact"/>
      <w:jc w:val="both"/>
    </w:pPr>
  </w:style>
  <w:style w:type="paragraph" w:styleId="BodyTextIndent">
    <w:name w:val="Body Text Indent"/>
    <w:basedOn w:val="Normal"/>
    <w:link w:val="BodyTextIndentChar"/>
    <w:rsid w:val="004F34E8"/>
    <w:pPr>
      <w:spacing w:before="60" w:after="60"/>
      <w:ind w:left="709"/>
      <w:jc w:val="both"/>
    </w:pPr>
  </w:style>
  <w:style w:type="paragraph" w:styleId="TOC1">
    <w:name w:val="toc 1"/>
    <w:basedOn w:val="Normal"/>
    <w:next w:val="Normal"/>
    <w:autoRedefine/>
    <w:uiPriority w:val="39"/>
    <w:rsid w:val="00AB4590"/>
    <w:pPr>
      <w:tabs>
        <w:tab w:val="left" w:pos="709"/>
        <w:tab w:val="right" w:leader="dot" w:pos="9498"/>
      </w:tabs>
      <w:spacing w:before="120" w:after="120"/>
      <w:ind w:left="709" w:hanging="709"/>
    </w:pPr>
    <w:rPr>
      <w:b/>
      <w:caps/>
      <w:sz w:val="24"/>
    </w:rPr>
  </w:style>
  <w:style w:type="paragraph" w:styleId="TOC2">
    <w:name w:val="toc 2"/>
    <w:basedOn w:val="Normal"/>
    <w:next w:val="Normal"/>
    <w:autoRedefine/>
    <w:uiPriority w:val="39"/>
    <w:rsid w:val="00AB4590"/>
    <w:pPr>
      <w:tabs>
        <w:tab w:val="left" w:pos="1134"/>
        <w:tab w:val="right" w:leader="dot" w:pos="9498"/>
      </w:tabs>
      <w:ind w:left="1134" w:hanging="425"/>
    </w:pPr>
    <w:rPr>
      <w:rFonts w:cs="Arial"/>
      <w:b/>
      <w:smallCaps/>
      <w:noProof/>
      <w:sz w:val="22"/>
      <w:szCs w:val="22"/>
    </w:rPr>
  </w:style>
  <w:style w:type="paragraph" w:styleId="TOC3">
    <w:name w:val="toc 3"/>
    <w:basedOn w:val="Normal"/>
    <w:next w:val="Normal"/>
    <w:autoRedefine/>
    <w:semiHidden/>
    <w:pPr>
      <w:ind w:left="400"/>
    </w:pPr>
    <w:rPr>
      <w:rFonts w:ascii="Times New Roman" w:hAnsi="Times New Roman"/>
      <w:i/>
    </w:rPr>
  </w:style>
  <w:style w:type="paragraph" w:styleId="TOC4">
    <w:name w:val="toc 4"/>
    <w:basedOn w:val="Normal"/>
    <w:next w:val="Normal"/>
    <w:autoRedefine/>
    <w:semiHidden/>
    <w:pPr>
      <w:ind w:left="600"/>
    </w:pPr>
    <w:rPr>
      <w:rFonts w:ascii="Times New Roman" w:hAnsi="Times New Roman"/>
      <w:sz w:val="18"/>
    </w:rPr>
  </w:style>
  <w:style w:type="paragraph" w:styleId="TOC5">
    <w:name w:val="toc 5"/>
    <w:basedOn w:val="Normal"/>
    <w:next w:val="Normal"/>
    <w:autoRedefine/>
    <w:semiHidden/>
    <w:pPr>
      <w:ind w:left="800"/>
    </w:pPr>
    <w:rPr>
      <w:rFonts w:ascii="Times New Roman" w:hAnsi="Times New Roman"/>
      <w:sz w:val="18"/>
    </w:rPr>
  </w:style>
  <w:style w:type="paragraph" w:styleId="TOC6">
    <w:name w:val="toc 6"/>
    <w:basedOn w:val="Normal"/>
    <w:next w:val="Normal"/>
    <w:autoRedefine/>
    <w:semiHidden/>
    <w:pPr>
      <w:ind w:left="1000"/>
    </w:pPr>
    <w:rPr>
      <w:rFonts w:ascii="Times New Roman" w:hAnsi="Times New Roman"/>
      <w:sz w:val="18"/>
    </w:rPr>
  </w:style>
  <w:style w:type="paragraph" w:styleId="TOC7">
    <w:name w:val="toc 7"/>
    <w:basedOn w:val="Normal"/>
    <w:next w:val="Normal"/>
    <w:autoRedefine/>
    <w:semiHidden/>
    <w:pPr>
      <w:ind w:left="1200"/>
    </w:pPr>
    <w:rPr>
      <w:rFonts w:ascii="Times New Roman" w:hAnsi="Times New Roman"/>
      <w:sz w:val="18"/>
    </w:rPr>
  </w:style>
  <w:style w:type="paragraph" w:styleId="TOC8">
    <w:name w:val="toc 8"/>
    <w:basedOn w:val="Normal"/>
    <w:next w:val="Normal"/>
    <w:autoRedefine/>
    <w:semiHidden/>
    <w:pPr>
      <w:ind w:left="1400"/>
    </w:pPr>
    <w:rPr>
      <w:rFonts w:ascii="Times New Roman" w:hAnsi="Times New Roman"/>
      <w:sz w:val="18"/>
    </w:rPr>
  </w:style>
  <w:style w:type="paragraph" w:styleId="TOC9">
    <w:name w:val="toc 9"/>
    <w:basedOn w:val="Normal"/>
    <w:next w:val="Normal"/>
    <w:autoRedefine/>
    <w:semiHidden/>
    <w:pPr>
      <w:ind w:left="1600"/>
    </w:pPr>
    <w:rPr>
      <w:rFonts w:ascii="Times New Roman" w:hAnsi="Times New Roman"/>
      <w:sz w:val="18"/>
    </w:rPr>
  </w:style>
  <w:style w:type="paragraph" w:customStyle="1" w:styleId="hdg1">
    <w:name w:val="hdg 1"/>
    <w:basedOn w:val="Normal"/>
    <w:next w:val="hdg2"/>
    <w:pPr>
      <w:keepNext/>
      <w:keepLines/>
      <w:pageBreakBefore/>
      <w:spacing w:before="360" w:after="360"/>
    </w:pPr>
    <w:rPr>
      <w:rFonts w:ascii="MarkingPenHeavy" w:hAnsi="MarkingPenHeavy"/>
      <w:i/>
      <w:caps/>
      <w:snapToGrid w:val="0"/>
      <w:color w:val="808080"/>
      <w:kern w:val="64"/>
      <w:sz w:val="64"/>
    </w:rPr>
  </w:style>
  <w:style w:type="paragraph" w:customStyle="1" w:styleId="hdg2">
    <w:name w:val="hdg 2"/>
    <w:basedOn w:val="Normal"/>
    <w:next w:val="hdg3"/>
    <w:pPr>
      <w:keepNext/>
      <w:keepLines/>
      <w:spacing w:before="240" w:after="240"/>
    </w:pPr>
    <w:rPr>
      <w:rFonts w:ascii="MarkingPenHeavy" w:hAnsi="MarkingPenHeavy"/>
      <w:i/>
      <w:caps/>
      <w:snapToGrid w:val="0"/>
      <w:color w:val="808080"/>
      <w:kern w:val="32"/>
      <w:sz w:val="32"/>
    </w:rPr>
  </w:style>
  <w:style w:type="paragraph" w:customStyle="1" w:styleId="hdg3">
    <w:name w:val="hdg 3"/>
    <w:basedOn w:val="Normal"/>
    <w:next w:val="hdg4"/>
    <w:pPr>
      <w:keepNext/>
      <w:keepLines/>
      <w:spacing w:before="120" w:after="120"/>
    </w:pPr>
    <w:rPr>
      <w:rFonts w:ascii="CG Times" w:hAnsi="CG Times"/>
      <w:b/>
      <w:caps/>
      <w:snapToGrid w:val="0"/>
      <w:sz w:val="24"/>
    </w:rPr>
  </w:style>
  <w:style w:type="paragraph" w:customStyle="1" w:styleId="hdg4">
    <w:name w:val="hdg 4"/>
    <w:basedOn w:val="Normal"/>
    <w:next w:val="BodyText"/>
    <w:pPr>
      <w:keepNext/>
      <w:keepLines/>
      <w:spacing w:before="60" w:after="60"/>
      <w:ind w:left="709"/>
    </w:pPr>
    <w:rPr>
      <w:b/>
      <w:snapToGrid w:val="0"/>
      <w:u w:val="single"/>
    </w:rPr>
  </w:style>
  <w:style w:type="paragraph" w:customStyle="1" w:styleId="Notes">
    <w:name w:val="Notes"/>
    <w:basedOn w:val="Normal"/>
    <w:next w:val="Normal"/>
    <w:rPr>
      <w:rFonts w:ascii="CG Times" w:hAnsi="CG Times"/>
      <w:sz w:val="18"/>
    </w:rPr>
  </w:style>
  <w:style w:type="paragraph" w:customStyle="1" w:styleId="bullets">
    <w:name w:val="bullets"/>
    <w:basedOn w:val="Normal"/>
    <w:next w:val="Normal"/>
    <w:pPr>
      <w:keepLines/>
      <w:numPr>
        <w:numId w:val="3"/>
      </w:numPr>
      <w:tabs>
        <w:tab w:val="clear" w:pos="360"/>
        <w:tab w:val="num" w:pos="1134"/>
      </w:tabs>
      <w:spacing w:before="120"/>
      <w:ind w:left="1134" w:hanging="425"/>
    </w:pPr>
  </w:style>
  <w:style w:type="paragraph" w:styleId="BodyTextIndent2">
    <w:name w:val="Body Text Indent 2"/>
    <w:basedOn w:val="Normal"/>
    <w:pPr>
      <w:spacing w:after="100"/>
      <w:ind w:left="709"/>
    </w:pPr>
  </w:style>
  <w:style w:type="paragraph" w:styleId="BlockText">
    <w:name w:val="Block Text"/>
    <w:basedOn w:val="Normal"/>
    <w:pPr>
      <w:spacing w:after="120"/>
      <w:ind w:left="1440" w:right="1440"/>
    </w:pPr>
  </w:style>
  <w:style w:type="paragraph" w:styleId="BodyTextIndent3">
    <w:name w:val="Body Text Indent 3"/>
    <w:basedOn w:val="Normal"/>
    <w:pPr>
      <w:ind w:left="709"/>
      <w:jc w:val="both"/>
    </w:pPr>
  </w:style>
  <w:style w:type="paragraph" w:styleId="BalloonText">
    <w:name w:val="Balloon Text"/>
    <w:basedOn w:val="Normal"/>
    <w:semiHidden/>
    <w:rsid w:val="00C00E69"/>
    <w:rPr>
      <w:rFonts w:ascii="Tahoma" w:hAnsi="Tahoma" w:cs="Tahoma"/>
      <w:sz w:val="16"/>
      <w:szCs w:val="16"/>
    </w:rPr>
  </w:style>
  <w:style w:type="paragraph" w:customStyle="1" w:styleId="Table">
    <w:name w:val="Table"/>
    <w:basedOn w:val="BodyTextIndent3"/>
    <w:rsid w:val="003036C8"/>
    <w:pPr>
      <w:spacing w:before="40" w:after="40"/>
      <w:ind w:left="0"/>
      <w:jc w:val="left"/>
    </w:pPr>
    <w:rPr>
      <w:snapToGrid w:val="0"/>
      <w:sz w:val="18"/>
    </w:rPr>
  </w:style>
  <w:style w:type="paragraph" w:customStyle="1" w:styleId="TableCen">
    <w:name w:val="Table Cen"/>
    <w:basedOn w:val="Table"/>
    <w:rsid w:val="003036C8"/>
    <w:pPr>
      <w:jc w:val="center"/>
    </w:pPr>
  </w:style>
  <w:style w:type="paragraph" w:customStyle="1" w:styleId="TableHead">
    <w:name w:val="Table Head"/>
    <w:basedOn w:val="Normal"/>
    <w:rsid w:val="00296474"/>
    <w:pPr>
      <w:spacing w:before="60" w:after="60"/>
    </w:pPr>
    <w:rPr>
      <w:b/>
      <w:sz w:val="18"/>
      <w:lang w:eastAsia="en-AU"/>
    </w:rPr>
  </w:style>
  <w:style w:type="paragraph" w:customStyle="1" w:styleId="CoverHeading">
    <w:name w:val="Cover Heading"/>
    <w:basedOn w:val="Normal"/>
    <w:rsid w:val="003036C8"/>
    <w:pPr>
      <w:spacing w:before="240" w:after="120"/>
      <w:jc w:val="center"/>
      <w:outlineLvl w:val="0"/>
    </w:pPr>
    <w:rPr>
      <w:b/>
      <w:caps/>
      <w:sz w:val="24"/>
      <w:lang w:eastAsia="en-AU"/>
    </w:rPr>
  </w:style>
  <w:style w:type="paragraph" w:customStyle="1" w:styleId="BodyTextIndentBoldItalicCen">
    <w:name w:val="Body Text Indent Bold Italic Cen"/>
    <w:basedOn w:val="BodyTextIndent"/>
    <w:rsid w:val="003036C8"/>
    <w:pPr>
      <w:jc w:val="center"/>
    </w:pPr>
    <w:rPr>
      <w:b/>
      <w:i/>
      <w:lang w:eastAsia="en-AU"/>
    </w:rPr>
  </w:style>
  <w:style w:type="paragraph" w:customStyle="1" w:styleId="TableHeadCen">
    <w:name w:val="Table Head Cen"/>
    <w:basedOn w:val="Normal"/>
    <w:rsid w:val="00296474"/>
    <w:pPr>
      <w:spacing w:before="60" w:after="60"/>
      <w:jc w:val="center"/>
    </w:pPr>
    <w:rPr>
      <w:rFonts w:ascii="Arial Bold" w:hAnsi="Arial Bold"/>
      <w:b/>
      <w:sz w:val="18"/>
      <w:lang w:eastAsia="en-AU"/>
    </w:rPr>
  </w:style>
  <w:style w:type="paragraph" w:customStyle="1" w:styleId="BodyTextIndentDot">
    <w:name w:val="Body Text Indent Dot"/>
    <w:basedOn w:val="Normal"/>
    <w:qFormat/>
    <w:rsid w:val="00E71EF4"/>
    <w:pPr>
      <w:numPr>
        <w:numId w:val="9"/>
      </w:numPr>
      <w:spacing w:before="30" w:after="30"/>
      <w:jc w:val="both"/>
    </w:pPr>
    <w:rPr>
      <w:snapToGrid w:val="0"/>
    </w:rPr>
  </w:style>
  <w:style w:type="paragraph" w:customStyle="1" w:styleId="BodyTextIndentBoldUnderline">
    <w:name w:val="Body Text Indent Bold Underline"/>
    <w:basedOn w:val="Normal"/>
    <w:rsid w:val="00E71EF4"/>
    <w:pPr>
      <w:spacing w:before="60" w:after="60"/>
      <w:ind w:left="709"/>
      <w:jc w:val="both"/>
    </w:pPr>
    <w:rPr>
      <w:b/>
      <w:u w:val="single"/>
    </w:rPr>
  </w:style>
  <w:style w:type="paragraph" w:customStyle="1" w:styleId="BodyTextIndentUnderline">
    <w:name w:val="Body Text Indent Underline"/>
    <w:basedOn w:val="BodyTextIndent"/>
    <w:link w:val="BodyTextIndentUnderlineChar"/>
    <w:rsid w:val="00E71EF4"/>
    <w:rPr>
      <w:u w:val="single"/>
    </w:rPr>
  </w:style>
  <w:style w:type="character" w:customStyle="1" w:styleId="BodyTextIndentUnderlineChar">
    <w:name w:val="Body Text Indent Underline Char"/>
    <w:link w:val="BodyTextIndentUnderline"/>
    <w:rsid w:val="00E71EF4"/>
    <w:rPr>
      <w:rFonts w:ascii="Arial" w:hAnsi="Arial"/>
      <w:u w:val="single"/>
      <w:lang w:val="en-AU" w:eastAsia="en-US" w:bidi="ar-SA"/>
    </w:rPr>
  </w:style>
  <w:style w:type="character" w:customStyle="1" w:styleId="BodyTextIndentChar">
    <w:name w:val="Body Text Indent Char"/>
    <w:link w:val="BodyTextIndent"/>
    <w:rsid w:val="00B13D7B"/>
    <w:rPr>
      <w:rFonts w:ascii="Arial" w:hAnsi="Arial"/>
      <w:lang w:val="en-AU" w:eastAsia="en-US" w:bidi="ar-SA"/>
    </w:rPr>
  </w:style>
  <w:style w:type="paragraph" w:customStyle="1" w:styleId="BodyTextIndentItalic">
    <w:name w:val="Body Text Indent Italic"/>
    <w:basedOn w:val="BodyTextIndent"/>
    <w:link w:val="BodyTextIndentItalicChar"/>
    <w:rsid w:val="004E6DE1"/>
    <w:rPr>
      <w:i/>
    </w:rPr>
  </w:style>
  <w:style w:type="character" w:customStyle="1" w:styleId="BodyTextIndentItalicChar">
    <w:name w:val="Body Text Indent Italic Char"/>
    <w:link w:val="BodyTextIndentItalic"/>
    <w:rsid w:val="004E6DE1"/>
    <w:rPr>
      <w:rFonts w:ascii="Arial" w:hAnsi="Arial"/>
      <w:i/>
      <w:lang w:val="en-AU" w:eastAsia="en-US" w:bidi="ar-SA"/>
    </w:rPr>
  </w:style>
  <w:style w:type="table" w:styleId="TableGrid">
    <w:name w:val="Table Grid"/>
    <w:basedOn w:val="TableNormal"/>
    <w:rsid w:val="00B108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IndentNote">
    <w:name w:val="Body Text Indent Note"/>
    <w:basedOn w:val="Normal"/>
    <w:rsid w:val="00B1083D"/>
    <w:pPr>
      <w:spacing w:before="20" w:after="20"/>
      <w:ind w:left="709"/>
      <w:jc w:val="both"/>
    </w:pPr>
    <w:rPr>
      <w:sz w:val="16"/>
    </w:rPr>
  </w:style>
  <w:style w:type="paragraph" w:customStyle="1" w:styleId="TableLegend">
    <w:name w:val="Table Legend"/>
    <w:basedOn w:val="Normal"/>
    <w:rsid w:val="00B1083D"/>
    <w:pPr>
      <w:spacing w:before="40" w:after="80"/>
      <w:ind w:left="709"/>
    </w:pPr>
    <w:rPr>
      <w:i/>
      <w:sz w:val="18"/>
      <w:lang w:eastAsia="en-AU"/>
    </w:rPr>
  </w:style>
  <w:style w:type="paragraph" w:styleId="NormalWeb">
    <w:name w:val="Normal (Web)"/>
    <w:basedOn w:val="Normal"/>
    <w:uiPriority w:val="99"/>
    <w:semiHidden/>
    <w:unhideWhenUsed/>
    <w:rsid w:val="008F7C51"/>
    <w:pPr>
      <w:spacing w:before="100" w:beforeAutospacing="1" w:after="100" w:afterAutospacing="1"/>
    </w:pPr>
    <w:rPr>
      <w:rFonts w:ascii="Times New Roman" w:hAnsi="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4759DF36F0AA4389DA09C5F5563F7A" ma:contentTypeVersion="13" ma:contentTypeDescription="Create a new document." ma:contentTypeScope="" ma:versionID="2a343a1d58e6b6c69583b5a9a4e9bd9c">
  <xsd:schema xmlns:xsd="http://www.w3.org/2001/XMLSchema" xmlns:xs="http://www.w3.org/2001/XMLSchema" xmlns:p="http://schemas.microsoft.com/office/2006/metadata/properties" xmlns:ns2="4f40705d-e7da-4f43-bdce-ad8c70b86017" xmlns:ns3="1aac26e5-4c41-468c-83b0-97e8e79a919c" targetNamespace="http://schemas.microsoft.com/office/2006/metadata/properties" ma:root="true" ma:fieldsID="d09cfc405056459efc46a7c79e238e2a" ns2:_="" ns3:_="">
    <xsd:import namespace="4f40705d-e7da-4f43-bdce-ad8c70b86017"/>
    <xsd:import namespace="1aac26e5-4c41-468c-83b0-97e8e79a919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40705d-e7da-4f43-bdce-ad8c70b860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c26e5-4c41-468c-83b0-97e8e79a919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A61C6A-946A-4D4E-88EB-67ECD025778C}">
  <ds:schemaRefs>
    <ds:schemaRef ds:uri="http://www.w3.org/XML/1998/namespace"/>
    <ds:schemaRef ds:uri="http://schemas.microsoft.com/office/2006/documentManagement/types"/>
    <ds:schemaRef ds:uri="1aac26e5-4c41-468c-83b0-97e8e79a919c"/>
    <ds:schemaRef ds:uri="http://purl.org/dc/elements/1.1/"/>
    <ds:schemaRef ds:uri="http://purl.org/dc/terms/"/>
    <ds:schemaRef ds:uri="http://schemas.microsoft.com/office/infopath/2007/PartnerControls"/>
    <ds:schemaRef ds:uri="http://schemas.openxmlformats.org/package/2006/metadata/core-properties"/>
    <ds:schemaRef ds:uri="4f40705d-e7da-4f43-bdce-ad8c70b86017"/>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D4C6676C-76FB-4674-A2C1-B7A1901FBB9F}">
  <ds:schemaRefs>
    <ds:schemaRef ds:uri="http://schemas.microsoft.com/sharepoint/v3/contenttype/forms"/>
  </ds:schemaRefs>
</ds:datastoreItem>
</file>

<file path=customXml/itemProps3.xml><?xml version="1.0" encoding="utf-8"?>
<ds:datastoreItem xmlns:ds="http://schemas.openxmlformats.org/officeDocument/2006/customXml" ds:itemID="{9F8C7CE3-91A9-4AEB-9467-8C1A8863ED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40705d-e7da-4f43-bdce-ad8c70b86017"/>
    <ds:schemaRef ds:uri="1aac26e5-4c41-468c-83b0-97e8e79a91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11</Pages>
  <Words>2280</Words>
  <Characters>12999</Characters>
  <Application>Microsoft Office Word</Application>
  <DocSecurity>0</DocSecurity>
  <Lines>108</Lines>
  <Paragraphs>30</Paragraphs>
  <ScaleCrop>false</ScaleCrop>
  <Manager>Bruce Hansen</Manager>
  <Company>Brisbane City Council</Company>
  <LinksUpToDate>false</LinksUpToDate>
  <CharactersWithSpaces>15249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Reference Specifications for Civil Engineering Work 2001</dc:title>
  <dc:subject>S330 Sprayed Bituminous Surfacing</dc:subject>
  <dc:creator>Lucy Ting</dc:creator>
  <cp:keywords/>
  <dc:description/>
  <cp:lastModifiedBy>David Brady</cp:lastModifiedBy>
  <cp:revision>52</cp:revision>
  <cp:lastPrinted>2011-08-28T23:30:00Z</cp:lastPrinted>
  <dcterms:created xsi:type="dcterms:W3CDTF">2014-04-22T22:13:00Z</dcterms:created>
  <dcterms:modified xsi:type="dcterms:W3CDTF">2021-11-17T21:49:00Z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0x010100F74759DF36F0AA4389DA09C5F5563F7A</vt:lpwstr>
  </property>
</Properties>
</file>