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0061" w14:textId="458245DA" w:rsidR="00E31EF0" w:rsidRPr="00E31EF0" w:rsidRDefault="00D81141" w:rsidP="00E31EF0">
      <w:pPr>
        <w:pStyle w:val="Heading1"/>
      </w:pPr>
      <w:bookmarkStart w:id="0" w:name="_Toc197934562"/>
      <w:bookmarkStart w:id="1" w:name="_Toc197935081"/>
      <w:bookmarkStart w:id="2" w:name="_Toc197936723"/>
      <w:r w:rsidRPr="00E31EF0">
        <w:rPr>
          <w:caps w:val="0"/>
        </w:rPr>
        <w:t>BRISBANE CITY COUNCIL</w:t>
      </w:r>
    </w:p>
    <w:p w14:paraId="2A5E84DF" w14:textId="76F0900D" w:rsidR="00E31EF0" w:rsidRDefault="00D81141" w:rsidP="00E31EF0">
      <w:pPr>
        <w:pStyle w:val="Heading1"/>
      </w:pPr>
      <w:r>
        <w:rPr>
          <w:caps w:val="0"/>
        </w:rPr>
        <w:t>REFERENCE SPECIFICATIONS FOR ENGINEERING WORK</w:t>
      </w:r>
    </w:p>
    <w:p w14:paraId="2CE6EA39" w14:textId="1422F6C7" w:rsidR="00995201" w:rsidRDefault="00D81141" w:rsidP="00E31EF0">
      <w:pPr>
        <w:pStyle w:val="Heading1"/>
      </w:pPr>
      <w:r>
        <w:rPr>
          <w:caps w:val="0"/>
        </w:rPr>
        <w:t>S336 POLYMER MODIFIED EMULSION MICRO-SURFACING TREATMENT</w:t>
      </w:r>
    </w:p>
    <w:p w14:paraId="3E88F532" w14:textId="5F146801" w:rsidR="00E31EF0" w:rsidRDefault="00E31EF0" w:rsidP="00E31EF0">
      <w:pPr>
        <w:pStyle w:val="CoverHeading"/>
        <w:sectPr w:rsidR="00E31EF0" w:rsidSect="002E7498">
          <w:headerReference w:type="default" r:id="rId10"/>
          <w:footerReference w:type="default" r:id="rId11"/>
          <w:pgSz w:w="11906" w:h="16838" w:code="9"/>
          <w:pgMar w:top="1134" w:right="1134" w:bottom="992" w:left="1418" w:header="1134" w:footer="851" w:gutter="0"/>
          <w:pgNumType w:start="1"/>
          <w:cols w:space="720"/>
        </w:sectPr>
      </w:pPr>
    </w:p>
    <w:p w14:paraId="1DFAC394" w14:textId="3BF84557" w:rsidR="00A42E16" w:rsidRDefault="00A42E16" w:rsidP="00025AFC">
      <w:pPr>
        <w:pStyle w:val="Heading2"/>
        <w:numPr>
          <w:ilvl w:val="0"/>
          <w:numId w:val="0"/>
        </w:numPr>
        <w:ind w:left="709" w:hanging="709"/>
      </w:pPr>
      <w:r>
        <w:lastRenderedPageBreak/>
        <w:t>Amendment Register</w:t>
      </w:r>
      <w:bookmarkEnd w:id="0"/>
      <w:bookmarkEnd w:id="1"/>
      <w:bookmarkEnd w:id="2"/>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670"/>
        <w:gridCol w:w="1275"/>
      </w:tblGrid>
      <w:tr w:rsidR="00A42E16" w14:paraId="1DFAC399" w14:textId="77777777" w:rsidTr="00025AFC">
        <w:tc>
          <w:tcPr>
            <w:tcW w:w="1242" w:type="dxa"/>
            <w:tcBorders>
              <w:top w:val="single" w:sz="12" w:space="0" w:color="auto"/>
              <w:left w:val="nil"/>
              <w:bottom w:val="single" w:sz="12" w:space="0" w:color="auto"/>
              <w:right w:val="single" w:sz="2" w:space="0" w:color="auto"/>
            </w:tcBorders>
            <w:vAlign w:val="center"/>
          </w:tcPr>
          <w:p w14:paraId="1DFAC395" w14:textId="77777777" w:rsidR="00A42E16" w:rsidRDefault="00A42E16" w:rsidP="00A216FB">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vAlign w:val="center"/>
          </w:tcPr>
          <w:p w14:paraId="1DFAC396" w14:textId="77777777" w:rsidR="00A42E16" w:rsidRDefault="00A42E16" w:rsidP="00A216FB">
            <w:pPr>
              <w:pStyle w:val="TableHeadCen"/>
            </w:pPr>
            <w:r>
              <w:t>Section Number</w:t>
            </w:r>
          </w:p>
        </w:tc>
        <w:tc>
          <w:tcPr>
            <w:tcW w:w="5670" w:type="dxa"/>
            <w:tcBorders>
              <w:top w:val="single" w:sz="12" w:space="0" w:color="auto"/>
              <w:left w:val="single" w:sz="2" w:space="0" w:color="auto"/>
              <w:bottom w:val="single" w:sz="12" w:space="0" w:color="auto"/>
              <w:right w:val="single" w:sz="2" w:space="0" w:color="auto"/>
            </w:tcBorders>
            <w:vAlign w:val="center"/>
          </w:tcPr>
          <w:p w14:paraId="1DFAC397" w14:textId="77777777" w:rsidR="00A42E16" w:rsidRDefault="00A42E16" w:rsidP="00A216FB">
            <w:pPr>
              <w:pStyle w:val="TableHeadCen"/>
            </w:pPr>
            <w:r>
              <w:t>Description</w:t>
            </w:r>
          </w:p>
        </w:tc>
        <w:tc>
          <w:tcPr>
            <w:tcW w:w="1275" w:type="dxa"/>
            <w:tcBorders>
              <w:top w:val="single" w:sz="12" w:space="0" w:color="auto"/>
              <w:left w:val="single" w:sz="2" w:space="0" w:color="auto"/>
              <w:bottom w:val="single" w:sz="12" w:space="0" w:color="auto"/>
              <w:right w:val="nil"/>
            </w:tcBorders>
            <w:vAlign w:val="center"/>
          </w:tcPr>
          <w:p w14:paraId="1DFAC398" w14:textId="77777777" w:rsidR="00A42E16" w:rsidRDefault="00A42E16" w:rsidP="00A216FB">
            <w:pPr>
              <w:pStyle w:val="TableHeadCen"/>
            </w:pPr>
            <w:r>
              <w:t>Date</w:t>
            </w:r>
          </w:p>
        </w:tc>
      </w:tr>
      <w:tr w:rsidR="00A42E16" w14:paraId="1DFAC39E" w14:textId="77777777" w:rsidTr="00025AFC">
        <w:trPr>
          <w:trHeight w:val="340"/>
        </w:trPr>
        <w:tc>
          <w:tcPr>
            <w:tcW w:w="1242" w:type="dxa"/>
            <w:tcBorders>
              <w:top w:val="single" w:sz="12" w:space="0" w:color="auto"/>
              <w:left w:val="nil"/>
              <w:bottom w:val="single" w:sz="8" w:space="0" w:color="auto"/>
              <w:right w:val="single" w:sz="2" w:space="0" w:color="auto"/>
            </w:tcBorders>
            <w:vAlign w:val="center"/>
          </w:tcPr>
          <w:p w14:paraId="1DFAC39A" w14:textId="77777777" w:rsidR="00A42E16" w:rsidRDefault="00A42E16" w:rsidP="00AF60A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1DFAC39B" w14:textId="77777777" w:rsidR="00A42E16" w:rsidRDefault="00A42E16" w:rsidP="00AF60AB">
            <w:pPr>
              <w:pStyle w:val="TableCen"/>
            </w:pPr>
          </w:p>
        </w:tc>
        <w:tc>
          <w:tcPr>
            <w:tcW w:w="5670" w:type="dxa"/>
            <w:tcBorders>
              <w:top w:val="single" w:sz="12" w:space="0" w:color="auto"/>
              <w:left w:val="single" w:sz="2" w:space="0" w:color="auto"/>
              <w:bottom w:val="single" w:sz="8" w:space="0" w:color="auto"/>
              <w:right w:val="single" w:sz="2" w:space="0" w:color="auto"/>
            </w:tcBorders>
            <w:vAlign w:val="center"/>
          </w:tcPr>
          <w:p w14:paraId="1DFAC39C" w14:textId="77777777" w:rsidR="00A42E16" w:rsidRDefault="00A42E16" w:rsidP="00AF60AB">
            <w:pPr>
              <w:pStyle w:val="Table"/>
            </w:pPr>
            <w:r>
              <w:t>Original issue.</w:t>
            </w:r>
          </w:p>
        </w:tc>
        <w:tc>
          <w:tcPr>
            <w:tcW w:w="1275" w:type="dxa"/>
            <w:tcBorders>
              <w:top w:val="single" w:sz="12" w:space="0" w:color="auto"/>
              <w:left w:val="single" w:sz="2" w:space="0" w:color="auto"/>
              <w:bottom w:val="single" w:sz="8" w:space="0" w:color="auto"/>
              <w:right w:val="nil"/>
            </w:tcBorders>
            <w:vAlign w:val="center"/>
          </w:tcPr>
          <w:p w14:paraId="1DFAC39D" w14:textId="77777777" w:rsidR="00A42E16" w:rsidRPr="00AF60AB" w:rsidRDefault="00D01EF5" w:rsidP="00AF60AB">
            <w:pPr>
              <w:pStyle w:val="TableCen"/>
            </w:pPr>
            <w:r w:rsidRPr="00AF60AB">
              <w:t>Apr ‘2014</w:t>
            </w:r>
          </w:p>
        </w:tc>
      </w:tr>
      <w:tr w:rsidR="009E7F74" w14:paraId="1DFAC3A3" w14:textId="77777777" w:rsidTr="00025AFC">
        <w:trPr>
          <w:trHeight w:val="340"/>
        </w:trPr>
        <w:tc>
          <w:tcPr>
            <w:tcW w:w="1242" w:type="dxa"/>
            <w:tcBorders>
              <w:top w:val="single" w:sz="8" w:space="0" w:color="auto"/>
              <w:left w:val="nil"/>
              <w:bottom w:val="single" w:sz="8" w:space="0" w:color="auto"/>
              <w:right w:val="single" w:sz="2" w:space="0" w:color="auto"/>
            </w:tcBorders>
            <w:vAlign w:val="center"/>
          </w:tcPr>
          <w:p w14:paraId="1DFAC39F" w14:textId="77777777" w:rsidR="009E7F74" w:rsidRDefault="009E7F74" w:rsidP="00AF60A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1DFAC3A0" w14:textId="77777777" w:rsidR="009E7F74" w:rsidRDefault="009E7F74" w:rsidP="00AF60AB">
            <w:pPr>
              <w:pStyle w:val="TableCen"/>
            </w:pPr>
            <w:r>
              <w:t>1.2 and 1.3</w:t>
            </w:r>
          </w:p>
        </w:tc>
        <w:tc>
          <w:tcPr>
            <w:tcW w:w="5670" w:type="dxa"/>
            <w:tcBorders>
              <w:top w:val="single" w:sz="8" w:space="0" w:color="auto"/>
              <w:left w:val="single" w:sz="2" w:space="0" w:color="auto"/>
              <w:bottom w:val="single" w:sz="8" w:space="0" w:color="auto"/>
              <w:right w:val="single" w:sz="2" w:space="0" w:color="auto"/>
            </w:tcBorders>
            <w:vAlign w:val="center"/>
          </w:tcPr>
          <w:p w14:paraId="1DFAC3A1" w14:textId="77777777" w:rsidR="009E7F74" w:rsidRDefault="009E7F74" w:rsidP="00AF60AB">
            <w:pPr>
              <w:pStyle w:val="Table"/>
            </w:pPr>
            <w:r w:rsidRPr="000E2802">
              <w:t>References list revised and updated</w:t>
            </w:r>
          </w:p>
        </w:tc>
        <w:tc>
          <w:tcPr>
            <w:tcW w:w="1275" w:type="dxa"/>
            <w:tcBorders>
              <w:top w:val="single" w:sz="8" w:space="0" w:color="auto"/>
              <w:left w:val="single" w:sz="2" w:space="0" w:color="auto"/>
              <w:bottom w:val="single" w:sz="8" w:space="0" w:color="auto"/>
              <w:right w:val="nil"/>
            </w:tcBorders>
            <w:vAlign w:val="center"/>
          </w:tcPr>
          <w:p w14:paraId="1DFAC3A2" w14:textId="77777777" w:rsidR="009E7F74" w:rsidRPr="00AF60AB" w:rsidRDefault="009E7F74" w:rsidP="00AF60AB">
            <w:pPr>
              <w:pStyle w:val="TableCen"/>
            </w:pPr>
            <w:r w:rsidRPr="00AF60AB">
              <w:t>May 2016</w:t>
            </w:r>
          </w:p>
        </w:tc>
      </w:tr>
      <w:tr w:rsidR="00883527" w14:paraId="48DEA358" w14:textId="77777777" w:rsidTr="00025AFC">
        <w:trPr>
          <w:trHeight w:val="340"/>
        </w:trPr>
        <w:tc>
          <w:tcPr>
            <w:tcW w:w="1242" w:type="dxa"/>
            <w:vMerge w:val="restart"/>
            <w:tcBorders>
              <w:top w:val="single" w:sz="8" w:space="0" w:color="auto"/>
              <w:left w:val="nil"/>
              <w:right w:val="single" w:sz="2" w:space="0" w:color="auto"/>
            </w:tcBorders>
            <w:vAlign w:val="center"/>
          </w:tcPr>
          <w:p w14:paraId="64A74EC0" w14:textId="634E3F43" w:rsidR="00883527" w:rsidRDefault="00883527" w:rsidP="00652155">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0184FE96" w14:textId="68D56BCA" w:rsidR="00883527" w:rsidRDefault="00883527" w:rsidP="00E81B82">
            <w:pPr>
              <w:pStyle w:val="TableCen"/>
            </w:pPr>
            <w:r>
              <w:t>General</w:t>
            </w:r>
          </w:p>
        </w:tc>
        <w:tc>
          <w:tcPr>
            <w:tcW w:w="5670" w:type="dxa"/>
            <w:tcBorders>
              <w:top w:val="single" w:sz="8" w:space="0" w:color="auto"/>
              <w:left w:val="single" w:sz="2" w:space="0" w:color="auto"/>
              <w:bottom w:val="single" w:sz="2" w:space="0" w:color="auto"/>
              <w:right w:val="single" w:sz="2" w:space="0" w:color="auto"/>
            </w:tcBorders>
            <w:vAlign w:val="center"/>
          </w:tcPr>
          <w:p w14:paraId="66276402" w14:textId="5E951F0A" w:rsidR="00883527" w:rsidRPr="000E2802" w:rsidRDefault="00883527" w:rsidP="00E81B82">
            <w:pPr>
              <w:pStyle w:val="Table"/>
            </w:pPr>
            <w:r w:rsidRPr="00AB07DE">
              <w:t>Document name changed from ‘Reference Specifications for Civil Engineering Work’ to ‘Reference Specifications for Engineering Work’</w:t>
            </w:r>
          </w:p>
        </w:tc>
        <w:tc>
          <w:tcPr>
            <w:tcW w:w="1275" w:type="dxa"/>
            <w:vMerge w:val="restart"/>
            <w:tcBorders>
              <w:top w:val="single" w:sz="8" w:space="0" w:color="auto"/>
              <w:left w:val="single" w:sz="2" w:space="0" w:color="auto"/>
              <w:right w:val="nil"/>
            </w:tcBorders>
            <w:vAlign w:val="center"/>
          </w:tcPr>
          <w:p w14:paraId="10347E51" w14:textId="0E4D3B2E" w:rsidR="00883527" w:rsidRPr="00AF60AB" w:rsidRDefault="00737322" w:rsidP="00E81B82">
            <w:pPr>
              <w:pStyle w:val="TableCen"/>
            </w:pPr>
            <w:r>
              <w:t>Mar 2021</w:t>
            </w:r>
            <w:permStart w:id="479544291" w:edGrp="everyone"/>
            <w:permEnd w:id="479544291"/>
          </w:p>
        </w:tc>
      </w:tr>
      <w:tr w:rsidR="00883527" w14:paraId="34269D1F" w14:textId="77777777" w:rsidTr="00025AFC">
        <w:trPr>
          <w:trHeight w:val="340"/>
        </w:trPr>
        <w:tc>
          <w:tcPr>
            <w:tcW w:w="1242" w:type="dxa"/>
            <w:vMerge/>
            <w:tcBorders>
              <w:left w:val="nil"/>
              <w:bottom w:val="single" w:sz="12" w:space="0" w:color="auto"/>
              <w:right w:val="single" w:sz="2" w:space="0" w:color="auto"/>
            </w:tcBorders>
            <w:vAlign w:val="center"/>
          </w:tcPr>
          <w:p w14:paraId="203F8C6C" w14:textId="77777777" w:rsidR="00883527" w:rsidRDefault="00883527" w:rsidP="00883527">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40FABBB7" w14:textId="25BBA739" w:rsidR="00883527" w:rsidRDefault="00883527" w:rsidP="00883527">
            <w:pPr>
              <w:pStyle w:val="TableCen"/>
            </w:pPr>
            <w:r>
              <w:t>1.3</w:t>
            </w:r>
          </w:p>
        </w:tc>
        <w:tc>
          <w:tcPr>
            <w:tcW w:w="5670" w:type="dxa"/>
            <w:tcBorders>
              <w:top w:val="single" w:sz="2" w:space="0" w:color="auto"/>
              <w:left w:val="single" w:sz="2" w:space="0" w:color="auto"/>
              <w:bottom w:val="single" w:sz="12" w:space="0" w:color="auto"/>
              <w:right w:val="single" w:sz="2" w:space="0" w:color="auto"/>
            </w:tcBorders>
            <w:vAlign w:val="center"/>
          </w:tcPr>
          <w:p w14:paraId="6E0022F6" w14:textId="2B0AEE94" w:rsidR="00883527" w:rsidRPr="00AB07DE" w:rsidRDefault="00883527" w:rsidP="00883527">
            <w:pPr>
              <w:pStyle w:val="Table"/>
            </w:pPr>
            <w:r>
              <w:t>References updated</w:t>
            </w:r>
          </w:p>
        </w:tc>
        <w:tc>
          <w:tcPr>
            <w:tcW w:w="1275" w:type="dxa"/>
            <w:vMerge/>
            <w:tcBorders>
              <w:left w:val="single" w:sz="2" w:space="0" w:color="auto"/>
              <w:bottom w:val="single" w:sz="12" w:space="0" w:color="auto"/>
              <w:right w:val="nil"/>
            </w:tcBorders>
            <w:vAlign w:val="center"/>
          </w:tcPr>
          <w:p w14:paraId="164A1C26" w14:textId="77777777" w:rsidR="00883527" w:rsidRDefault="00883527" w:rsidP="00883527">
            <w:pPr>
              <w:pStyle w:val="TableCen"/>
            </w:pPr>
          </w:p>
        </w:tc>
      </w:tr>
    </w:tbl>
    <w:p w14:paraId="1DFAC3A4" w14:textId="77777777" w:rsidR="00A42E16" w:rsidRDefault="00A42E16" w:rsidP="00A42E16"/>
    <w:p w14:paraId="1DFAC3A5" w14:textId="77777777" w:rsidR="00A42E16" w:rsidRDefault="00A42E16" w:rsidP="00A42E16"/>
    <w:p w14:paraId="1DFAC3A6" w14:textId="77777777" w:rsidR="00A42E16" w:rsidRDefault="00A42E16" w:rsidP="00A42E16"/>
    <w:p w14:paraId="1DFAC3A7" w14:textId="77777777" w:rsidR="00A42E16" w:rsidRDefault="00A42E16" w:rsidP="00A42E16">
      <w:pPr>
        <w:pStyle w:val="BodyTextIndent"/>
        <w:sectPr w:rsidR="00A42E16" w:rsidSect="002E7498">
          <w:headerReference w:type="default" r:id="rId12"/>
          <w:footerReference w:type="default" r:id="rId13"/>
          <w:pgSz w:w="11906" w:h="16838" w:code="9"/>
          <w:pgMar w:top="1134" w:right="1134" w:bottom="992" w:left="1418" w:header="1134" w:footer="851" w:gutter="0"/>
          <w:pgNumType w:start="1"/>
          <w:cols w:space="720"/>
        </w:sectPr>
      </w:pPr>
    </w:p>
    <w:p w14:paraId="1DFAC3A8" w14:textId="36340D65" w:rsidR="00A42E16" w:rsidRDefault="00682A12" w:rsidP="00A216FB">
      <w:pPr>
        <w:pStyle w:val="BodyTextIndentBoldItalicCen"/>
      </w:pPr>
      <w:r w:rsidRPr="00C62B5E">
        <w:lastRenderedPageBreak/>
        <w:t>(</w:t>
      </w:r>
      <w:r w:rsidR="00A42E16" w:rsidRPr="00C62B5E">
        <w:t xml:space="preserve">This </w:t>
      </w:r>
      <w:r w:rsidRPr="00C62B5E">
        <w:t>Page Left Intentionally Blank)</w:t>
      </w:r>
    </w:p>
    <w:p w14:paraId="1DFAC3A9" w14:textId="77777777" w:rsidR="00A42E16" w:rsidRDefault="00A42E16" w:rsidP="00A42E16">
      <w:pPr>
        <w:pStyle w:val="TableBold"/>
        <w:sectPr w:rsidR="00A42E16" w:rsidSect="002E7498">
          <w:headerReference w:type="even" r:id="rId14"/>
          <w:pgSz w:w="11906" w:h="16838" w:code="9"/>
          <w:pgMar w:top="1134" w:right="1134" w:bottom="992" w:left="1418" w:header="1134" w:footer="851" w:gutter="0"/>
          <w:pgNumType w:fmt="lowerRoman" w:start="1"/>
          <w:cols w:space="720"/>
          <w:vAlign w:val="center"/>
        </w:sectPr>
      </w:pPr>
    </w:p>
    <w:p w14:paraId="1DFAC3AA" w14:textId="77777777" w:rsidR="0035296C" w:rsidRDefault="00872F4B" w:rsidP="00025AFC">
      <w:pPr>
        <w:pStyle w:val="Heading2"/>
        <w:numPr>
          <w:ilvl w:val="0"/>
          <w:numId w:val="0"/>
        </w:numPr>
        <w:ind w:left="709" w:hanging="709"/>
      </w:pPr>
      <w:bookmarkStart w:id="3" w:name="_Toc197934563"/>
      <w:bookmarkStart w:id="4" w:name="_Toc197935082"/>
      <w:bookmarkStart w:id="5" w:name="_Toc197936724"/>
      <w:r w:rsidRPr="005E132D">
        <w:lastRenderedPageBreak/>
        <w:t>TABLE OF CONTENTS</w:t>
      </w:r>
      <w:bookmarkEnd w:id="3"/>
      <w:bookmarkEnd w:id="4"/>
      <w:bookmarkEnd w:id="5"/>
    </w:p>
    <w:p w14:paraId="623B92A0" w14:textId="0D6AB741" w:rsidR="00D02CF0" w:rsidRDefault="00D02CF0">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\t "Heading 2,1,Heading 3,2" </w:instrText>
      </w:r>
      <w:r>
        <w:rPr>
          <w:b w:val="0"/>
          <w:caps w:val="0"/>
        </w:rPr>
        <w:fldChar w:fldCharType="separate"/>
      </w:r>
      <w:r>
        <w:t>1.0</w:t>
      </w:r>
      <w:r>
        <w:rPr>
          <w:rFonts w:asciiTheme="minorHAnsi" w:eastAsiaTheme="minorEastAsia" w:hAnsiTheme="minorHAnsi" w:cstheme="minorBidi"/>
          <w:b w:val="0"/>
          <w:caps w:val="0"/>
          <w:sz w:val="22"/>
          <w:szCs w:val="22"/>
        </w:rPr>
        <w:tab/>
      </w:r>
      <w:r>
        <w:t>GENERAL</w:t>
      </w:r>
      <w:r>
        <w:tab/>
      </w:r>
      <w:r>
        <w:fldChar w:fldCharType="begin"/>
      </w:r>
      <w:r>
        <w:instrText xml:space="preserve"> PAGEREF _Toc76107327 \h </w:instrText>
      </w:r>
      <w:r>
        <w:fldChar w:fldCharType="separate"/>
      </w:r>
      <w:r>
        <w:t>1</w:t>
      </w:r>
      <w:r>
        <w:fldChar w:fldCharType="end"/>
      </w:r>
    </w:p>
    <w:p w14:paraId="2274ECCD" w14:textId="294EA717" w:rsidR="00D02CF0" w:rsidRDefault="00D02CF0">
      <w:pPr>
        <w:pStyle w:val="TOC2"/>
        <w:rPr>
          <w:rFonts w:asciiTheme="minorHAnsi" w:eastAsiaTheme="minorEastAsia" w:hAnsiTheme="minorHAnsi" w:cstheme="minorBidi"/>
          <w:b w:val="0"/>
          <w:smallCaps w:val="0"/>
        </w:rPr>
      </w:pPr>
      <w:r>
        <w:t>1.1</w:t>
      </w:r>
      <w:r>
        <w:rPr>
          <w:rFonts w:asciiTheme="minorHAnsi" w:eastAsiaTheme="minorEastAsia" w:hAnsiTheme="minorHAnsi" w:cstheme="minorBidi"/>
          <w:b w:val="0"/>
          <w:smallCaps w:val="0"/>
        </w:rPr>
        <w:tab/>
      </w:r>
      <w:r>
        <w:t>Section Content</w:t>
      </w:r>
      <w:r>
        <w:tab/>
      </w:r>
      <w:r>
        <w:fldChar w:fldCharType="begin"/>
      </w:r>
      <w:r>
        <w:instrText xml:space="preserve"> PAGEREF _Toc76107328 \h </w:instrText>
      </w:r>
      <w:r>
        <w:fldChar w:fldCharType="separate"/>
      </w:r>
      <w:r>
        <w:t>1</w:t>
      </w:r>
      <w:r>
        <w:fldChar w:fldCharType="end"/>
      </w:r>
    </w:p>
    <w:p w14:paraId="7AAD44CB" w14:textId="125035DE" w:rsidR="00D02CF0" w:rsidRDefault="00D02CF0">
      <w:pPr>
        <w:pStyle w:val="TOC2"/>
        <w:rPr>
          <w:rFonts w:asciiTheme="minorHAnsi" w:eastAsiaTheme="minorEastAsia" w:hAnsiTheme="minorHAnsi" w:cstheme="minorBidi"/>
          <w:b w:val="0"/>
          <w:smallCaps w:val="0"/>
        </w:rPr>
      </w:pPr>
      <w:r>
        <w:t>1.2</w:t>
      </w:r>
      <w:r>
        <w:rPr>
          <w:rFonts w:asciiTheme="minorHAnsi" w:eastAsiaTheme="minorEastAsia" w:hAnsiTheme="minorHAnsi" w:cstheme="minorBidi"/>
          <w:b w:val="0"/>
          <w:smallCaps w:val="0"/>
        </w:rPr>
        <w:tab/>
      </w:r>
      <w:r>
        <w:t>Standards</w:t>
      </w:r>
      <w:r>
        <w:tab/>
      </w:r>
      <w:r>
        <w:fldChar w:fldCharType="begin"/>
      </w:r>
      <w:r>
        <w:instrText xml:space="preserve"> PAGEREF _Toc76107329 \h </w:instrText>
      </w:r>
      <w:r>
        <w:fldChar w:fldCharType="separate"/>
      </w:r>
      <w:r>
        <w:t>1</w:t>
      </w:r>
      <w:r>
        <w:fldChar w:fldCharType="end"/>
      </w:r>
    </w:p>
    <w:p w14:paraId="64351528" w14:textId="00C4FDA3" w:rsidR="00D02CF0" w:rsidRDefault="00D02CF0">
      <w:pPr>
        <w:pStyle w:val="TOC2"/>
        <w:rPr>
          <w:rFonts w:asciiTheme="minorHAnsi" w:eastAsiaTheme="minorEastAsia" w:hAnsiTheme="minorHAnsi" w:cstheme="minorBidi"/>
          <w:b w:val="0"/>
          <w:smallCaps w:val="0"/>
        </w:rPr>
      </w:pPr>
      <w:r>
        <w:t>1.3</w:t>
      </w:r>
      <w:r>
        <w:rPr>
          <w:rFonts w:asciiTheme="minorHAnsi" w:eastAsiaTheme="minorEastAsia" w:hAnsiTheme="minorHAnsi" w:cstheme="minorBidi"/>
          <w:b w:val="0"/>
          <w:smallCaps w:val="0"/>
        </w:rPr>
        <w:tab/>
      </w:r>
      <w:r>
        <w:t>References</w:t>
      </w:r>
      <w:r>
        <w:tab/>
      </w:r>
      <w:r>
        <w:fldChar w:fldCharType="begin"/>
      </w:r>
      <w:r>
        <w:instrText xml:space="preserve"> PAGEREF _Toc76107330 \h </w:instrText>
      </w:r>
      <w:r>
        <w:fldChar w:fldCharType="separate"/>
      </w:r>
      <w:r>
        <w:t>1</w:t>
      </w:r>
      <w:r>
        <w:fldChar w:fldCharType="end"/>
      </w:r>
    </w:p>
    <w:p w14:paraId="637991A5" w14:textId="17BA6F52" w:rsidR="00D02CF0" w:rsidRDefault="00D02CF0">
      <w:pPr>
        <w:pStyle w:val="TOC2"/>
        <w:rPr>
          <w:rFonts w:asciiTheme="minorHAnsi" w:eastAsiaTheme="minorEastAsia" w:hAnsiTheme="minorHAnsi" w:cstheme="minorBidi"/>
          <w:b w:val="0"/>
          <w:smallCaps w:val="0"/>
        </w:rPr>
      </w:pPr>
      <w:r>
        <w:t>1.4</w:t>
      </w:r>
      <w:r>
        <w:rPr>
          <w:rFonts w:asciiTheme="minorHAnsi" w:eastAsiaTheme="minorEastAsia" w:hAnsiTheme="minorHAnsi" w:cstheme="minorBidi"/>
          <w:b w:val="0"/>
          <w:smallCaps w:val="0"/>
        </w:rPr>
        <w:tab/>
      </w:r>
      <w:r>
        <w:t>DEFINITIONS</w:t>
      </w:r>
      <w:r>
        <w:tab/>
      </w:r>
      <w:r>
        <w:fldChar w:fldCharType="begin"/>
      </w:r>
      <w:r>
        <w:instrText xml:space="preserve"> PAGEREF _Toc76107331 \h </w:instrText>
      </w:r>
      <w:r>
        <w:fldChar w:fldCharType="separate"/>
      </w:r>
      <w:r>
        <w:t>1</w:t>
      </w:r>
      <w:r>
        <w:fldChar w:fldCharType="end"/>
      </w:r>
    </w:p>
    <w:p w14:paraId="49D55948" w14:textId="580C819F" w:rsidR="00D02CF0" w:rsidRDefault="00D02CF0">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QUALITY</w:t>
      </w:r>
      <w:r>
        <w:tab/>
      </w:r>
      <w:r>
        <w:fldChar w:fldCharType="begin"/>
      </w:r>
      <w:r>
        <w:instrText xml:space="preserve"> PAGEREF _Toc76107332 \h </w:instrText>
      </w:r>
      <w:r>
        <w:fldChar w:fldCharType="separate"/>
      </w:r>
      <w:r>
        <w:t>1</w:t>
      </w:r>
      <w:r>
        <w:fldChar w:fldCharType="end"/>
      </w:r>
    </w:p>
    <w:p w14:paraId="18CF000B" w14:textId="508665B1" w:rsidR="00D02CF0" w:rsidRDefault="00D02CF0">
      <w:pPr>
        <w:pStyle w:val="TOC2"/>
        <w:rPr>
          <w:rFonts w:asciiTheme="minorHAnsi" w:eastAsiaTheme="minorEastAsia" w:hAnsiTheme="minorHAnsi" w:cstheme="minorBidi"/>
          <w:b w:val="0"/>
          <w:smallCaps w:val="0"/>
        </w:rPr>
      </w:pPr>
      <w:r>
        <w:t>2.1</w:t>
      </w:r>
      <w:r>
        <w:rPr>
          <w:rFonts w:asciiTheme="minorHAnsi" w:eastAsiaTheme="minorEastAsia" w:hAnsiTheme="minorHAnsi" w:cstheme="minorBidi"/>
          <w:b w:val="0"/>
          <w:smallCaps w:val="0"/>
        </w:rPr>
        <w:tab/>
      </w:r>
      <w:r>
        <w:t>Quality System</w:t>
      </w:r>
      <w:r>
        <w:tab/>
      </w:r>
      <w:r>
        <w:fldChar w:fldCharType="begin"/>
      </w:r>
      <w:r>
        <w:instrText xml:space="preserve"> PAGEREF _Toc76107333 \h </w:instrText>
      </w:r>
      <w:r>
        <w:fldChar w:fldCharType="separate"/>
      </w:r>
      <w:r>
        <w:t>1</w:t>
      </w:r>
      <w:r>
        <w:fldChar w:fldCharType="end"/>
      </w:r>
    </w:p>
    <w:p w14:paraId="58415427" w14:textId="00D84382" w:rsidR="00D02CF0" w:rsidRDefault="00D02CF0">
      <w:pPr>
        <w:pStyle w:val="TOC2"/>
        <w:rPr>
          <w:rFonts w:asciiTheme="minorHAnsi" w:eastAsiaTheme="minorEastAsia" w:hAnsiTheme="minorHAnsi" w:cstheme="minorBidi"/>
          <w:b w:val="0"/>
          <w:smallCaps w:val="0"/>
        </w:rPr>
      </w:pPr>
      <w:r>
        <w:t>2.2</w:t>
      </w:r>
      <w:r>
        <w:rPr>
          <w:rFonts w:asciiTheme="minorHAnsi" w:eastAsiaTheme="minorEastAsia" w:hAnsiTheme="minorHAnsi" w:cstheme="minorBidi"/>
          <w:b w:val="0"/>
          <w:smallCaps w:val="0"/>
        </w:rPr>
        <w:tab/>
      </w:r>
      <w:r>
        <w:t>Inspection</w:t>
      </w:r>
      <w:r>
        <w:tab/>
      </w:r>
      <w:r>
        <w:fldChar w:fldCharType="begin"/>
      </w:r>
      <w:r>
        <w:instrText xml:space="preserve"> PAGEREF _Toc76107334 \h </w:instrText>
      </w:r>
      <w:r>
        <w:fldChar w:fldCharType="separate"/>
      </w:r>
      <w:r>
        <w:t>1</w:t>
      </w:r>
      <w:r>
        <w:fldChar w:fldCharType="end"/>
      </w:r>
    </w:p>
    <w:p w14:paraId="5D4631CF" w14:textId="47A0F470" w:rsidR="00D02CF0" w:rsidRDefault="00D02CF0">
      <w:pPr>
        <w:pStyle w:val="TOC2"/>
        <w:rPr>
          <w:rFonts w:asciiTheme="minorHAnsi" w:eastAsiaTheme="minorEastAsia" w:hAnsiTheme="minorHAnsi" w:cstheme="minorBidi"/>
          <w:b w:val="0"/>
          <w:smallCaps w:val="0"/>
        </w:rPr>
      </w:pPr>
      <w:r>
        <w:t>2.3</w:t>
      </w:r>
      <w:r>
        <w:rPr>
          <w:rFonts w:asciiTheme="minorHAnsi" w:eastAsiaTheme="minorEastAsia" w:hAnsiTheme="minorHAnsi" w:cstheme="minorBidi"/>
          <w:b w:val="0"/>
          <w:smallCaps w:val="0"/>
        </w:rPr>
        <w:tab/>
      </w:r>
      <w:r>
        <w:t>Tests</w:t>
      </w:r>
      <w:r>
        <w:tab/>
      </w:r>
      <w:r>
        <w:fldChar w:fldCharType="begin"/>
      </w:r>
      <w:r>
        <w:instrText xml:space="preserve"> PAGEREF _Toc76107335 \h </w:instrText>
      </w:r>
      <w:r>
        <w:fldChar w:fldCharType="separate"/>
      </w:r>
      <w:r>
        <w:t>2</w:t>
      </w:r>
      <w:r>
        <w:fldChar w:fldCharType="end"/>
      </w:r>
    </w:p>
    <w:p w14:paraId="68F1C3A3" w14:textId="15A546CB" w:rsidR="00D02CF0" w:rsidRDefault="00D02CF0">
      <w:pPr>
        <w:pStyle w:val="TOC2"/>
        <w:rPr>
          <w:rFonts w:asciiTheme="minorHAnsi" w:eastAsiaTheme="minorEastAsia" w:hAnsiTheme="minorHAnsi" w:cstheme="minorBidi"/>
          <w:b w:val="0"/>
          <w:smallCaps w:val="0"/>
        </w:rPr>
      </w:pPr>
      <w:r>
        <w:t>2.4</w:t>
      </w:r>
      <w:r>
        <w:rPr>
          <w:rFonts w:asciiTheme="minorHAnsi" w:eastAsiaTheme="minorEastAsia" w:hAnsiTheme="minorHAnsi" w:cstheme="minorBidi"/>
          <w:b w:val="0"/>
          <w:smallCaps w:val="0"/>
        </w:rPr>
        <w:tab/>
      </w:r>
      <w:r>
        <w:t>Submissions</w:t>
      </w:r>
      <w:r>
        <w:tab/>
      </w:r>
      <w:r>
        <w:fldChar w:fldCharType="begin"/>
      </w:r>
      <w:r>
        <w:instrText xml:space="preserve"> PAGEREF _Toc76107336 \h </w:instrText>
      </w:r>
      <w:r>
        <w:fldChar w:fldCharType="separate"/>
      </w:r>
      <w:r>
        <w:t>2</w:t>
      </w:r>
      <w:r>
        <w:fldChar w:fldCharType="end"/>
      </w:r>
    </w:p>
    <w:p w14:paraId="1DEB4492" w14:textId="66A5813B" w:rsidR="00D02CF0" w:rsidRDefault="00D02CF0">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MATERIALS</w:t>
      </w:r>
      <w:r>
        <w:tab/>
      </w:r>
      <w:r>
        <w:fldChar w:fldCharType="begin"/>
      </w:r>
      <w:r>
        <w:instrText xml:space="preserve"> PAGEREF _Toc76107337 \h </w:instrText>
      </w:r>
      <w:r>
        <w:fldChar w:fldCharType="separate"/>
      </w:r>
      <w:r>
        <w:t>3</w:t>
      </w:r>
      <w:r>
        <w:fldChar w:fldCharType="end"/>
      </w:r>
    </w:p>
    <w:p w14:paraId="65B24E48" w14:textId="633B450B" w:rsidR="00D02CF0" w:rsidRDefault="00D02CF0">
      <w:pPr>
        <w:pStyle w:val="TOC2"/>
        <w:rPr>
          <w:rFonts w:asciiTheme="minorHAnsi" w:eastAsiaTheme="minorEastAsia" w:hAnsiTheme="minorHAnsi" w:cstheme="minorBidi"/>
          <w:b w:val="0"/>
          <w:smallCaps w:val="0"/>
        </w:rPr>
      </w:pPr>
      <w:r>
        <w:t>3.1</w:t>
      </w:r>
      <w:r>
        <w:rPr>
          <w:rFonts w:asciiTheme="minorHAnsi" w:eastAsiaTheme="minorEastAsia" w:hAnsiTheme="minorHAnsi" w:cstheme="minorBidi"/>
          <w:b w:val="0"/>
          <w:smallCaps w:val="0"/>
        </w:rPr>
        <w:tab/>
      </w:r>
      <w:r>
        <w:t>General</w:t>
      </w:r>
      <w:r>
        <w:tab/>
      </w:r>
      <w:r>
        <w:fldChar w:fldCharType="begin"/>
      </w:r>
      <w:r>
        <w:instrText xml:space="preserve"> PAGEREF _Toc76107338 \h </w:instrText>
      </w:r>
      <w:r>
        <w:fldChar w:fldCharType="separate"/>
      </w:r>
      <w:r>
        <w:t>3</w:t>
      </w:r>
      <w:r>
        <w:fldChar w:fldCharType="end"/>
      </w:r>
    </w:p>
    <w:p w14:paraId="047217AC" w14:textId="3877EB99" w:rsidR="00D02CF0" w:rsidRDefault="00D02CF0">
      <w:pPr>
        <w:pStyle w:val="TOC2"/>
        <w:rPr>
          <w:rFonts w:asciiTheme="minorHAnsi" w:eastAsiaTheme="minorEastAsia" w:hAnsiTheme="minorHAnsi" w:cstheme="minorBidi"/>
          <w:b w:val="0"/>
          <w:smallCaps w:val="0"/>
        </w:rPr>
      </w:pPr>
      <w:r>
        <w:t>3.2</w:t>
      </w:r>
      <w:r>
        <w:rPr>
          <w:rFonts w:asciiTheme="minorHAnsi" w:eastAsiaTheme="minorEastAsia" w:hAnsiTheme="minorHAnsi" w:cstheme="minorBidi"/>
          <w:b w:val="0"/>
          <w:smallCaps w:val="0"/>
        </w:rPr>
        <w:tab/>
      </w:r>
      <w:r>
        <w:t>Aggregate</w:t>
      </w:r>
      <w:r>
        <w:tab/>
      </w:r>
      <w:r>
        <w:fldChar w:fldCharType="begin"/>
      </w:r>
      <w:r>
        <w:instrText xml:space="preserve"> PAGEREF _Toc76107339 \h </w:instrText>
      </w:r>
      <w:r>
        <w:fldChar w:fldCharType="separate"/>
      </w:r>
      <w:r>
        <w:t>3</w:t>
      </w:r>
      <w:r>
        <w:fldChar w:fldCharType="end"/>
      </w:r>
    </w:p>
    <w:p w14:paraId="2802CA19" w14:textId="5C09F992" w:rsidR="00D02CF0" w:rsidRDefault="00D02CF0">
      <w:pPr>
        <w:pStyle w:val="TOC2"/>
        <w:rPr>
          <w:rFonts w:asciiTheme="minorHAnsi" w:eastAsiaTheme="minorEastAsia" w:hAnsiTheme="minorHAnsi" w:cstheme="minorBidi"/>
          <w:b w:val="0"/>
          <w:smallCaps w:val="0"/>
        </w:rPr>
      </w:pPr>
      <w:r>
        <w:t>3.3</w:t>
      </w:r>
      <w:r>
        <w:rPr>
          <w:rFonts w:asciiTheme="minorHAnsi" w:eastAsiaTheme="minorEastAsia" w:hAnsiTheme="minorHAnsi" w:cstheme="minorBidi"/>
          <w:b w:val="0"/>
          <w:smallCaps w:val="0"/>
        </w:rPr>
        <w:tab/>
      </w:r>
      <w:r>
        <w:t>Filler</w:t>
      </w:r>
      <w:r>
        <w:tab/>
      </w:r>
      <w:r>
        <w:fldChar w:fldCharType="begin"/>
      </w:r>
      <w:r>
        <w:instrText xml:space="preserve"> PAGEREF _Toc76107340 \h </w:instrText>
      </w:r>
      <w:r>
        <w:fldChar w:fldCharType="separate"/>
      </w:r>
      <w:r>
        <w:t>3</w:t>
      </w:r>
      <w:r>
        <w:fldChar w:fldCharType="end"/>
      </w:r>
    </w:p>
    <w:p w14:paraId="0E0FE5CB" w14:textId="50946B5B" w:rsidR="00D02CF0" w:rsidRDefault="00D02CF0">
      <w:pPr>
        <w:pStyle w:val="TOC2"/>
        <w:rPr>
          <w:rFonts w:asciiTheme="minorHAnsi" w:eastAsiaTheme="minorEastAsia" w:hAnsiTheme="minorHAnsi" w:cstheme="minorBidi"/>
          <w:b w:val="0"/>
          <w:smallCaps w:val="0"/>
        </w:rPr>
      </w:pPr>
      <w:r>
        <w:t>3.4</w:t>
      </w:r>
      <w:r>
        <w:rPr>
          <w:rFonts w:asciiTheme="minorHAnsi" w:eastAsiaTheme="minorEastAsia" w:hAnsiTheme="minorHAnsi" w:cstheme="minorBidi"/>
          <w:b w:val="0"/>
          <w:smallCaps w:val="0"/>
        </w:rPr>
        <w:tab/>
      </w:r>
      <w:r>
        <w:t>Bitumen</w:t>
      </w:r>
      <w:r>
        <w:tab/>
      </w:r>
      <w:r>
        <w:fldChar w:fldCharType="begin"/>
      </w:r>
      <w:r>
        <w:instrText xml:space="preserve"> PAGEREF _Toc76107341 \h </w:instrText>
      </w:r>
      <w:r>
        <w:fldChar w:fldCharType="separate"/>
      </w:r>
      <w:r>
        <w:t>3</w:t>
      </w:r>
      <w:r>
        <w:fldChar w:fldCharType="end"/>
      </w:r>
    </w:p>
    <w:p w14:paraId="12EF65E1" w14:textId="2637A67C" w:rsidR="00D02CF0" w:rsidRDefault="00D02CF0">
      <w:pPr>
        <w:pStyle w:val="TOC2"/>
        <w:rPr>
          <w:rFonts w:asciiTheme="minorHAnsi" w:eastAsiaTheme="minorEastAsia" w:hAnsiTheme="minorHAnsi" w:cstheme="minorBidi"/>
          <w:b w:val="0"/>
          <w:smallCaps w:val="0"/>
        </w:rPr>
      </w:pPr>
      <w:r>
        <w:t>3.5</w:t>
      </w:r>
      <w:r>
        <w:rPr>
          <w:rFonts w:asciiTheme="minorHAnsi" w:eastAsiaTheme="minorEastAsia" w:hAnsiTheme="minorHAnsi" w:cstheme="minorBidi"/>
          <w:b w:val="0"/>
          <w:smallCaps w:val="0"/>
        </w:rPr>
        <w:tab/>
      </w:r>
      <w:r>
        <w:t>Additives</w:t>
      </w:r>
      <w:r>
        <w:tab/>
      </w:r>
      <w:r>
        <w:fldChar w:fldCharType="begin"/>
      </w:r>
      <w:r>
        <w:instrText xml:space="preserve"> PAGEREF _Toc76107342 \h </w:instrText>
      </w:r>
      <w:r>
        <w:fldChar w:fldCharType="separate"/>
      </w:r>
      <w:r>
        <w:t>3</w:t>
      </w:r>
      <w:r>
        <w:fldChar w:fldCharType="end"/>
      </w:r>
    </w:p>
    <w:p w14:paraId="05242702" w14:textId="17A77922" w:rsidR="00D02CF0" w:rsidRDefault="00D02CF0">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t>MIX DESIGN</w:t>
      </w:r>
      <w:r>
        <w:tab/>
      </w:r>
      <w:r>
        <w:fldChar w:fldCharType="begin"/>
      </w:r>
      <w:r>
        <w:instrText xml:space="preserve"> PAGEREF _Toc76107343 \h </w:instrText>
      </w:r>
      <w:r>
        <w:fldChar w:fldCharType="separate"/>
      </w:r>
      <w:r>
        <w:t>3</w:t>
      </w:r>
      <w:r>
        <w:fldChar w:fldCharType="end"/>
      </w:r>
    </w:p>
    <w:p w14:paraId="56F92907" w14:textId="0AFC0D71" w:rsidR="00D02CF0" w:rsidRDefault="00D02CF0">
      <w:pPr>
        <w:pStyle w:val="TOC2"/>
        <w:rPr>
          <w:rFonts w:asciiTheme="minorHAnsi" w:eastAsiaTheme="minorEastAsia" w:hAnsiTheme="minorHAnsi" w:cstheme="minorBidi"/>
          <w:b w:val="0"/>
          <w:smallCaps w:val="0"/>
        </w:rPr>
      </w:pPr>
      <w:r>
        <w:t>4.1</w:t>
      </w:r>
      <w:r>
        <w:rPr>
          <w:rFonts w:asciiTheme="minorHAnsi" w:eastAsiaTheme="minorEastAsia" w:hAnsiTheme="minorHAnsi" w:cstheme="minorBidi"/>
          <w:b w:val="0"/>
          <w:smallCaps w:val="0"/>
        </w:rPr>
        <w:tab/>
      </w:r>
      <w:r>
        <w:t>General</w:t>
      </w:r>
      <w:r>
        <w:tab/>
      </w:r>
      <w:r>
        <w:fldChar w:fldCharType="begin"/>
      </w:r>
      <w:r>
        <w:instrText xml:space="preserve"> PAGEREF _Toc76107344 \h </w:instrText>
      </w:r>
      <w:r>
        <w:fldChar w:fldCharType="separate"/>
      </w:r>
      <w:r>
        <w:t>3</w:t>
      </w:r>
      <w:r>
        <w:fldChar w:fldCharType="end"/>
      </w:r>
    </w:p>
    <w:p w14:paraId="2FA7DF50" w14:textId="52E1E65E" w:rsidR="00D02CF0" w:rsidRDefault="00D02CF0">
      <w:pPr>
        <w:pStyle w:val="TOC2"/>
        <w:rPr>
          <w:rFonts w:asciiTheme="minorHAnsi" w:eastAsiaTheme="minorEastAsia" w:hAnsiTheme="minorHAnsi" w:cstheme="minorBidi"/>
          <w:b w:val="0"/>
          <w:smallCaps w:val="0"/>
        </w:rPr>
      </w:pPr>
      <w:r>
        <w:t>4.2</w:t>
      </w:r>
      <w:r>
        <w:rPr>
          <w:rFonts w:asciiTheme="minorHAnsi" w:eastAsiaTheme="minorEastAsia" w:hAnsiTheme="minorHAnsi" w:cstheme="minorBidi"/>
          <w:b w:val="0"/>
          <w:smallCaps w:val="0"/>
        </w:rPr>
        <w:tab/>
      </w:r>
      <w:r>
        <w:t>Grading</w:t>
      </w:r>
      <w:r>
        <w:tab/>
      </w:r>
      <w:r>
        <w:fldChar w:fldCharType="begin"/>
      </w:r>
      <w:r>
        <w:instrText xml:space="preserve"> PAGEREF _Toc76107345 \h </w:instrText>
      </w:r>
      <w:r>
        <w:fldChar w:fldCharType="separate"/>
      </w:r>
      <w:r>
        <w:t>3</w:t>
      </w:r>
      <w:r>
        <w:fldChar w:fldCharType="end"/>
      </w:r>
    </w:p>
    <w:p w14:paraId="562EDDDF" w14:textId="169D0064" w:rsidR="00D02CF0" w:rsidRDefault="00D02CF0">
      <w:pPr>
        <w:pStyle w:val="TOC2"/>
        <w:rPr>
          <w:rFonts w:asciiTheme="minorHAnsi" w:eastAsiaTheme="minorEastAsia" w:hAnsiTheme="minorHAnsi" w:cstheme="minorBidi"/>
          <w:b w:val="0"/>
          <w:smallCaps w:val="0"/>
        </w:rPr>
      </w:pPr>
      <w:r>
        <w:t>4.3</w:t>
      </w:r>
      <w:r>
        <w:rPr>
          <w:rFonts w:asciiTheme="minorHAnsi" w:eastAsiaTheme="minorEastAsia" w:hAnsiTheme="minorHAnsi" w:cstheme="minorBidi"/>
          <w:b w:val="0"/>
          <w:smallCaps w:val="0"/>
        </w:rPr>
        <w:tab/>
      </w:r>
      <w:r>
        <w:t>Mix Properties</w:t>
      </w:r>
      <w:r>
        <w:tab/>
      </w:r>
      <w:r>
        <w:fldChar w:fldCharType="begin"/>
      </w:r>
      <w:r>
        <w:instrText xml:space="preserve"> PAGEREF _Toc76107346 \h </w:instrText>
      </w:r>
      <w:r>
        <w:fldChar w:fldCharType="separate"/>
      </w:r>
      <w:r>
        <w:t>4</w:t>
      </w:r>
      <w:r>
        <w:fldChar w:fldCharType="end"/>
      </w:r>
    </w:p>
    <w:p w14:paraId="5F029DBC" w14:textId="431BD8F4" w:rsidR="00D02CF0" w:rsidRDefault="00D02CF0">
      <w:pPr>
        <w:pStyle w:val="TOC2"/>
        <w:rPr>
          <w:rFonts w:asciiTheme="minorHAnsi" w:eastAsiaTheme="minorEastAsia" w:hAnsiTheme="minorHAnsi" w:cstheme="minorBidi"/>
          <w:b w:val="0"/>
          <w:smallCaps w:val="0"/>
        </w:rPr>
      </w:pPr>
      <w:r>
        <w:t>4.4</w:t>
      </w:r>
      <w:r>
        <w:rPr>
          <w:rFonts w:asciiTheme="minorHAnsi" w:eastAsiaTheme="minorEastAsia" w:hAnsiTheme="minorHAnsi" w:cstheme="minorBidi"/>
          <w:b w:val="0"/>
          <w:smallCaps w:val="0"/>
        </w:rPr>
        <w:tab/>
      </w:r>
      <w:r>
        <w:t>Surface Texture</w:t>
      </w:r>
      <w:r>
        <w:tab/>
      </w:r>
      <w:r>
        <w:fldChar w:fldCharType="begin"/>
      </w:r>
      <w:r>
        <w:instrText xml:space="preserve"> PAGEREF _Toc76107347 \h </w:instrText>
      </w:r>
      <w:r>
        <w:fldChar w:fldCharType="separate"/>
      </w:r>
      <w:r>
        <w:t>5</w:t>
      </w:r>
      <w:r>
        <w:fldChar w:fldCharType="end"/>
      </w:r>
    </w:p>
    <w:p w14:paraId="026A1A74" w14:textId="4FF16408" w:rsidR="00D02CF0" w:rsidRDefault="00D02CF0">
      <w:pPr>
        <w:pStyle w:val="TOC1"/>
        <w:rPr>
          <w:rFonts w:asciiTheme="minorHAnsi" w:eastAsiaTheme="minorEastAsia" w:hAnsiTheme="minorHAnsi" w:cstheme="minorBidi"/>
          <w:b w:val="0"/>
          <w:caps w:val="0"/>
          <w:sz w:val="22"/>
          <w:szCs w:val="22"/>
        </w:rPr>
      </w:pPr>
      <w:r>
        <w:t>5.0</w:t>
      </w:r>
      <w:r>
        <w:rPr>
          <w:rFonts w:asciiTheme="minorHAnsi" w:eastAsiaTheme="minorEastAsia" w:hAnsiTheme="minorHAnsi" w:cstheme="minorBidi"/>
          <w:b w:val="0"/>
          <w:caps w:val="0"/>
          <w:sz w:val="22"/>
          <w:szCs w:val="22"/>
        </w:rPr>
        <w:tab/>
      </w:r>
      <w:r>
        <w:t>PLANT</w:t>
      </w:r>
      <w:r>
        <w:tab/>
      </w:r>
      <w:r>
        <w:fldChar w:fldCharType="begin"/>
      </w:r>
      <w:r>
        <w:instrText xml:space="preserve"> PAGEREF _Toc76107348 \h </w:instrText>
      </w:r>
      <w:r>
        <w:fldChar w:fldCharType="separate"/>
      </w:r>
      <w:r>
        <w:t>5</w:t>
      </w:r>
      <w:r>
        <w:fldChar w:fldCharType="end"/>
      </w:r>
    </w:p>
    <w:p w14:paraId="3B858FDC" w14:textId="26A6CCD8" w:rsidR="00D02CF0" w:rsidRDefault="00D02CF0">
      <w:pPr>
        <w:pStyle w:val="TOC1"/>
        <w:rPr>
          <w:rFonts w:asciiTheme="minorHAnsi" w:eastAsiaTheme="minorEastAsia" w:hAnsiTheme="minorHAnsi" w:cstheme="minorBidi"/>
          <w:b w:val="0"/>
          <w:caps w:val="0"/>
          <w:sz w:val="22"/>
          <w:szCs w:val="22"/>
        </w:rPr>
      </w:pPr>
      <w:r>
        <w:t>6.0</w:t>
      </w:r>
      <w:r>
        <w:rPr>
          <w:rFonts w:asciiTheme="minorHAnsi" w:eastAsiaTheme="minorEastAsia" w:hAnsiTheme="minorHAnsi" w:cstheme="minorBidi"/>
          <w:b w:val="0"/>
          <w:caps w:val="0"/>
          <w:sz w:val="22"/>
          <w:szCs w:val="22"/>
        </w:rPr>
        <w:tab/>
      </w:r>
      <w:r>
        <w:t>PLACING</w:t>
      </w:r>
      <w:r>
        <w:tab/>
      </w:r>
      <w:r>
        <w:fldChar w:fldCharType="begin"/>
      </w:r>
      <w:r>
        <w:instrText xml:space="preserve"> PAGEREF _Toc76107349 \h </w:instrText>
      </w:r>
      <w:r>
        <w:fldChar w:fldCharType="separate"/>
      </w:r>
      <w:r>
        <w:t>5</w:t>
      </w:r>
      <w:r>
        <w:fldChar w:fldCharType="end"/>
      </w:r>
    </w:p>
    <w:p w14:paraId="0DECBBDA" w14:textId="76F43F4A" w:rsidR="00D02CF0" w:rsidRDefault="00D02CF0">
      <w:pPr>
        <w:pStyle w:val="TOC2"/>
        <w:rPr>
          <w:rFonts w:asciiTheme="minorHAnsi" w:eastAsiaTheme="minorEastAsia" w:hAnsiTheme="minorHAnsi" w:cstheme="minorBidi"/>
          <w:b w:val="0"/>
          <w:smallCaps w:val="0"/>
        </w:rPr>
      </w:pPr>
      <w:r>
        <w:t>6.1</w:t>
      </w:r>
      <w:r>
        <w:rPr>
          <w:rFonts w:asciiTheme="minorHAnsi" w:eastAsiaTheme="minorEastAsia" w:hAnsiTheme="minorHAnsi" w:cstheme="minorBidi"/>
          <w:b w:val="0"/>
          <w:smallCaps w:val="0"/>
        </w:rPr>
        <w:tab/>
      </w:r>
      <w:r>
        <w:t>Traffic Control</w:t>
      </w:r>
      <w:r>
        <w:tab/>
      </w:r>
      <w:r>
        <w:fldChar w:fldCharType="begin"/>
      </w:r>
      <w:r>
        <w:instrText xml:space="preserve"> PAGEREF _Toc76107350 \h </w:instrText>
      </w:r>
      <w:r>
        <w:fldChar w:fldCharType="separate"/>
      </w:r>
      <w:r>
        <w:t>5</w:t>
      </w:r>
      <w:r>
        <w:fldChar w:fldCharType="end"/>
      </w:r>
    </w:p>
    <w:p w14:paraId="4DEF44E7" w14:textId="13EFCBEA" w:rsidR="00D02CF0" w:rsidRDefault="00D02CF0">
      <w:pPr>
        <w:pStyle w:val="TOC2"/>
        <w:rPr>
          <w:rFonts w:asciiTheme="minorHAnsi" w:eastAsiaTheme="minorEastAsia" w:hAnsiTheme="minorHAnsi" w:cstheme="minorBidi"/>
          <w:b w:val="0"/>
          <w:smallCaps w:val="0"/>
        </w:rPr>
      </w:pPr>
      <w:r>
        <w:t>6.2</w:t>
      </w:r>
      <w:r>
        <w:rPr>
          <w:rFonts w:asciiTheme="minorHAnsi" w:eastAsiaTheme="minorEastAsia" w:hAnsiTheme="minorHAnsi" w:cstheme="minorBidi"/>
          <w:b w:val="0"/>
          <w:smallCaps w:val="0"/>
        </w:rPr>
        <w:tab/>
      </w:r>
      <w:r>
        <w:t>Preparation for Micro-Surfacing</w:t>
      </w:r>
      <w:r>
        <w:tab/>
      </w:r>
      <w:r>
        <w:fldChar w:fldCharType="begin"/>
      </w:r>
      <w:r>
        <w:instrText xml:space="preserve"> PAGEREF _Toc76107351 \h </w:instrText>
      </w:r>
      <w:r>
        <w:fldChar w:fldCharType="separate"/>
      </w:r>
      <w:r>
        <w:t>6</w:t>
      </w:r>
      <w:r>
        <w:fldChar w:fldCharType="end"/>
      </w:r>
    </w:p>
    <w:p w14:paraId="6F334049" w14:textId="116775E6" w:rsidR="00D02CF0" w:rsidRDefault="00D02CF0">
      <w:pPr>
        <w:pStyle w:val="TOC2"/>
        <w:rPr>
          <w:rFonts w:asciiTheme="minorHAnsi" w:eastAsiaTheme="minorEastAsia" w:hAnsiTheme="minorHAnsi" w:cstheme="minorBidi"/>
          <w:b w:val="0"/>
          <w:smallCaps w:val="0"/>
        </w:rPr>
      </w:pPr>
      <w:r>
        <w:t>6.3</w:t>
      </w:r>
      <w:r>
        <w:rPr>
          <w:rFonts w:asciiTheme="minorHAnsi" w:eastAsiaTheme="minorEastAsia" w:hAnsiTheme="minorHAnsi" w:cstheme="minorBidi"/>
          <w:b w:val="0"/>
          <w:smallCaps w:val="0"/>
        </w:rPr>
        <w:tab/>
      </w:r>
      <w:r>
        <w:t>Placing Operations</w:t>
      </w:r>
      <w:r>
        <w:tab/>
      </w:r>
      <w:r>
        <w:fldChar w:fldCharType="begin"/>
      </w:r>
      <w:r>
        <w:instrText xml:space="preserve"> PAGEREF _Toc76107352 \h </w:instrText>
      </w:r>
      <w:r>
        <w:fldChar w:fldCharType="separate"/>
      </w:r>
      <w:r>
        <w:t>6</w:t>
      </w:r>
      <w:r>
        <w:fldChar w:fldCharType="end"/>
      </w:r>
    </w:p>
    <w:p w14:paraId="1C361FB7" w14:textId="5D26A443" w:rsidR="00D02CF0" w:rsidRDefault="00D02CF0">
      <w:pPr>
        <w:pStyle w:val="TOC2"/>
        <w:rPr>
          <w:rFonts w:asciiTheme="minorHAnsi" w:eastAsiaTheme="minorEastAsia" w:hAnsiTheme="minorHAnsi" w:cstheme="minorBidi"/>
          <w:b w:val="0"/>
          <w:smallCaps w:val="0"/>
        </w:rPr>
      </w:pPr>
      <w:r>
        <w:t>6.4</w:t>
      </w:r>
      <w:r>
        <w:rPr>
          <w:rFonts w:asciiTheme="minorHAnsi" w:eastAsiaTheme="minorEastAsia" w:hAnsiTheme="minorHAnsi" w:cstheme="minorBidi"/>
          <w:b w:val="0"/>
          <w:smallCaps w:val="0"/>
        </w:rPr>
        <w:tab/>
      </w:r>
      <w:r>
        <w:t>Application Rate</w:t>
      </w:r>
      <w:r>
        <w:tab/>
      </w:r>
      <w:r>
        <w:fldChar w:fldCharType="begin"/>
      </w:r>
      <w:r>
        <w:instrText xml:space="preserve"> PAGEREF _Toc76107353 \h </w:instrText>
      </w:r>
      <w:r>
        <w:fldChar w:fldCharType="separate"/>
      </w:r>
      <w:r>
        <w:t>7</w:t>
      </w:r>
      <w:r>
        <w:fldChar w:fldCharType="end"/>
      </w:r>
    </w:p>
    <w:p w14:paraId="636B783C" w14:textId="1C441B7F" w:rsidR="00D02CF0" w:rsidRDefault="00D02CF0">
      <w:pPr>
        <w:pStyle w:val="TOC2"/>
        <w:rPr>
          <w:rFonts w:asciiTheme="minorHAnsi" w:eastAsiaTheme="minorEastAsia" w:hAnsiTheme="minorHAnsi" w:cstheme="minorBidi"/>
          <w:b w:val="0"/>
          <w:smallCaps w:val="0"/>
        </w:rPr>
      </w:pPr>
      <w:r>
        <w:t>6.5</w:t>
      </w:r>
      <w:r>
        <w:rPr>
          <w:rFonts w:asciiTheme="minorHAnsi" w:eastAsiaTheme="minorEastAsia" w:hAnsiTheme="minorHAnsi" w:cstheme="minorBidi"/>
          <w:b w:val="0"/>
          <w:smallCaps w:val="0"/>
        </w:rPr>
        <w:tab/>
      </w:r>
      <w:r>
        <w:t>Defective Surfacing</w:t>
      </w:r>
      <w:r>
        <w:tab/>
      </w:r>
      <w:r>
        <w:fldChar w:fldCharType="begin"/>
      </w:r>
      <w:r>
        <w:instrText xml:space="preserve"> PAGEREF _Toc76107354 \h </w:instrText>
      </w:r>
      <w:r>
        <w:fldChar w:fldCharType="separate"/>
      </w:r>
      <w:r>
        <w:t>8</w:t>
      </w:r>
      <w:r>
        <w:fldChar w:fldCharType="end"/>
      </w:r>
    </w:p>
    <w:p w14:paraId="2CF07DF3" w14:textId="45315CAC" w:rsidR="00D02CF0" w:rsidRDefault="00D02CF0">
      <w:pPr>
        <w:pStyle w:val="TOC1"/>
        <w:rPr>
          <w:rFonts w:asciiTheme="minorHAnsi" w:eastAsiaTheme="minorEastAsia" w:hAnsiTheme="minorHAnsi" w:cstheme="minorBidi"/>
          <w:b w:val="0"/>
          <w:caps w:val="0"/>
          <w:sz w:val="22"/>
          <w:szCs w:val="22"/>
        </w:rPr>
      </w:pPr>
      <w:r>
        <w:t>7.0</w:t>
      </w:r>
      <w:r>
        <w:rPr>
          <w:rFonts w:asciiTheme="minorHAnsi" w:eastAsiaTheme="minorEastAsia" w:hAnsiTheme="minorHAnsi" w:cstheme="minorBidi"/>
          <w:b w:val="0"/>
          <w:caps w:val="0"/>
          <w:sz w:val="22"/>
          <w:szCs w:val="22"/>
        </w:rPr>
        <w:tab/>
      </w:r>
      <w:r>
        <w:t>CURING</w:t>
      </w:r>
      <w:r>
        <w:tab/>
      </w:r>
      <w:r>
        <w:fldChar w:fldCharType="begin"/>
      </w:r>
      <w:r>
        <w:instrText xml:space="preserve"> PAGEREF _Toc76107355 \h </w:instrText>
      </w:r>
      <w:r>
        <w:fldChar w:fldCharType="separate"/>
      </w:r>
      <w:r>
        <w:t>8</w:t>
      </w:r>
      <w:r>
        <w:fldChar w:fldCharType="end"/>
      </w:r>
    </w:p>
    <w:p w14:paraId="1DFAC3C8" w14:textId="211C9930" w:rsidR="0035296C" w:rsidRDefault="00D02CF0" w:rsidP="001D39C4">
      <w:r>
        <w:rPr>
          <w:b/>
          <w:caps/>
          <w:noProof/>
          <w:sz w:val="24"/>
          <w:szCs w:val="24"/>
        </w:rPr>
        <w:fldChar w:fldCharType="end"/>
      </w:r>
    </w:p>
    <w:p w14:paraId="1DFAC3C9" w14:textId="77777777" w:rsidR="0035296C" w:rsidRDefault="0035296C" w:rsidP="001D39C4"/>
    <w:p w14:paraId="1DFAC3CA" w14:textId="77777777" w:rsidR="0035296C" w:rsidRDefault="0035296C" w:rsidP="001D39C4"/>
    <w:p w14:paraId="1DFAC3CB" w14:textId="77777777" w:rsidR="0035296C" w:rsidRDefault="0035296C" w:rsidP="001D39C4"/>
    <w:p w14:paraId="1DFAC3CC" w14:textId="77777777" w:rsidR="0035296C" w:rsidRDefault="0035296C">
      <w:pPr>
        <w:sectPr w:rsidR="0035296C" w:rsidSect="002E7498">
          <w:footerReference w:type="default" r:id="rId15"/>
          <w:pgSz w:w="11906" w:h="16838" w:code="9"/>
          <w:pgMar w:top="1134" w:right="1134" w:bottom="992" w:left="1418" w:header="1134" w:footer="851" w:gutter="0"/>
          <w:pgNumType w:fmt="lowerRoman" w:start="1"/>
          <w:cols w:space="720"/>
        </w:sectPr>
      </w:pPr>
    </w:p>
    <w:p w14:paraId="1DFAC3CD" w14:textId="6CB771C6" w:rsidR="0035296C" w:rsidRDefault="00682A12" w:rsidP="00AF60AB">
      <w:pPr>
        <w:pStyle w:val="BodyTextIndentBoldItalicCen"/>
      </w:pPr>
      <w:bookmarkStart w:id="6" w:name="_Toc493942064"/>
      <w:bookmarkStart w:id="7" w:name="_Toc493986903"/>
      <w:r w:rsidRPr="00C62B5E">
        <w:lastRenderedPageBreak/>
        <w:t>(</w:t>
      </w:r>
      <w:r w:rsidR="006C06E4" w:rsidRPr="00C62B5E">
        <w:t xml:space="preserve">This </w:t>
      </w:r>
      <w:r w:rsidRPr="00C62B5E">
        <w:t>Page Left Intentionally Blank)</w:t>
      </w:r>
    </w:p>
    <w:p w14:paraId="1DFAC3CE" w14:textId="77777777" w:rsidR="0035296C" w:rsidRDefault="0035296C">
      <w:pPr>
        <w:sectPr w:rsidR="0035296C" w:rsidSect="002E7498">
          <w:footerReference w:type="default" r:id="rId16"/>
          <w:pgSz w:w="11906" w:h="16838" w:code="9"/>
          <w:pgMar w:top="1134" w:right="1134" w:bottom="992" w:left="1418" w:header="1134" w:footer="851" w:gutter="0"/>
          <w:pgNumType w:fmt="lowerRoman" w:start="1"/>
          <w:cols w:space="720"/>
          <w:vAlign w:val="center"/>
        </w:sectPr>
      </w:pPr>
    </w:p>
    <w:p w14:paraId="1DFAC3CF" w14:textId="77777777" w:rsidR="0035296C" w:rsidRPr="00925E66" w:rsidRDefault="006311A5" w:rsidP="00925E66">
      <w:pPr>
        <w:pStyle w:val="Heading2"/>
      </w:pPr>
      <w:bookmarkStart w:id="8" w:name="_Toc76107327"/>
      <w:bookmarkEnd w:id="6"/>
      <w:bookmarkEnd w:id="7"/>
      <w:r w:rsidRPr="00925E66">
        <w:lastRenderedPageBreak/>
        <w:t>GENERAL</w:t>
      </w:r>
      <w:bookmarkEnd w:id="8"/>
    </w:p>
    <w:p w14:paraId="1DFAC3D0" w14:textId="77777777" w:rsidR="0035296C" w:rsidRPr="00925E66" w:rsidRDefault="006C06E4" w:rsidP="00925E66">
      <w:pPr>
        <w:pStyle w:val="Heading3"/>
      </w:pPr>
      <w:bookmarkStart w:id="9" w:name="_Toc76107328"/>
      <w:r w:rsidRPr="00925E66">
        <w:t>Section Content</w:t>
      </w:r>
      <w:bookmarkEnd w:id="9"/>
    </w:p>
    <w:p w14:paraId="1DFAC3D1" w14:textId="77777777" w:rsidR="005E3706" w:rsidRDefault="00205196" w:rsidP="00556759">
      <w:pPr>
        <w:pStyle w:val="BodyTextIndent"/>
      </w:pPr>
      <w:r>
        <w:t xml:space="preserve">The design, supply, mixing and application of bituminous </w:t>
      </w:r>
      <w:r w:rsidR="008050AD">
        <w:t xml:space="preserve">treatment </w:t>
      </w:r>
      <w:r>
        <w:t>for surface correction and wearing surface applications on the existing bituminous surfac</w:t>
      </w:r>
      <w:r w:rsidR="00856CCC">
        <w:t>ed</w:t>
      </w:r>
      <w:r>
        <w:t xml:space="preserve"> road pavements, </w:t>
      </w:r>
      <w:r w:rsidR="003B0B29">
        <w:t>car parks</w:t>
      </w:r>
      <w:r>
        <w:t>, cycle</w:t>
      </w:r>
      <w:r w:rsidR="003B0B29">
        <w:t xml:space="preserve"> </w:t>
      </w:r>
      <w:r>
        <w:t>ways and footpaths</w:t>
      </w:r>
      <w:r w:rsidR="00856CCC">
        <w:t>.</w:t>
      </w:r>
    </w:p>
    <w:p w14:paraId="1DFAC3D2" w14:textId="77777777" w:rsidR="005B7388" w:rsidRDefault="002E7498" w:rsidP="00925E66">
      <w:pPr>
        <w:pStyle w:val="Heading3"/>
      </w:pPr>
      <w:bookmarkStart w:id="10" w:name="_Toc76107329"/>
      <w:r>
        <w:t>Standards</w:t>
      </w:r>
      <w:bookmarkEnd w:id="10"/>
    </w:p>
    <w:tbl>
      <w:tblPr>
        <w:tblW w:w="8789" w:type="dxa"/>
        <w:tblInd w:w="817" w:type="dxa"/>
        <w:tblLook w:val="0400" w:firstRow="0" w:lastRow="0" w:firstColumn="0" w:lastColumn="0" w:noHBand="0" w:noVBand="1"/>
      </w:tblPr>
      <w:tblGrid>
        <w:gridCol w:w="2308"/>
        <w:gridCol w:w="1677"/>
        <w:gridCol w:w="4804"/>
      </w:tblGrid>
      <w:tr w:rsidR="005B7388" w:rsidRPr="005B7388" w14:paraId="1DFAC3D6" w14:textId="77777777" w:rsidTr="00925E66">
        <w:trPr>
          <w:trHeight w:val="340"/>
        </w:trPr>
        <w:tc>
          <w:tcPr>
            <w:tcW w:w="2308" w:type="dxa"/>
            <w:vAlign w:val="center"/>
          </w:tcPr>
          <w:p w14:paraId="1DFAC3D3" w14:textId="77777777" w:rsidR="005B7388" w:rsidRPr="005B7388" w:rsidRDefault="005B7388" w:rsidP="005B7388">
            <w:pPr>
              <w:pStyle w:val="Table"/>
            </w:pPr>
            <w:r w:rsidRPr="005B7388">
              <w:t>Australian/New Zealand Standard, International Standards Organization</w:t>
            </w:r>
          </w:p>
        </w:tc>
        <w:tc>
          <w:tcPr>
            <w:tcW w:w="1677" w:type="dxa"/>
            <w:vAlign w:val="center"/>
          </w:tcPr>
          <w:p w14:paraId="1DFAC3D4" w14:textId="77777777" w:rsidR="005B7388" w:rsidRPr="005B7388" w:rsidRDefault="005B7388" w:rsidP="005B7388">
            <w:pPr>
              <w:pStyle w:val="TableCen"/>
            </w:pPr>
            <w:r w:rsidRPr="005B7388">
              <w:t>AS/NZS ISO 9001</w:t>
            </w:r>
          </w:p>
        </w:tc>
        <w:tc>
          <w:tcPr>
            <w:tcW w:w="4804" w:type="dxa"/>
            <w:vAlign w:val="center"/>
          </w:tcPr>
          <w:p w14:paraId="1DFAC3D5" w14:textId="77777777" w:rsidR="005B7388" w:rsidRPr="005B7388" w:rsidRDefault="005B7388" w:rsidP="005B7388">
            <w:pPr>
              <w:pStyle w:val="Table"/>
            </w:pPr>
            <w:r w:rsidRPr="005B7388">
              <w:t>Quality management systems – Requirements</w:t>
            </w:r>
          </w:p>
        </w:tc>
      </w:tr>
    </w:tbl>
    <w:p w14:paraId="1DFAC3D7" w14:textId="77777777" w:rsidR="0035296C" w:rsidRDefault="00405734" w:rsidP="00925E66">
      <w:pPr>
        <w:pStyle w:val="Heading3"/>
      </w:pPr>
      <w:bookmarkStart w:id="11" w:name="_Toc76107330"/>
      <w:r>
        <w:t>References</w:t>
      </w:r>
      <w:bookmarkEnd w:id="11"/>
    </w:p>
    <w:tbl>
      <w:tblPr>
        <w:tblW w:w="8789" w:type="dxa"/>
        <w:tblInd w:w="817" w:type="dxa"/>
        <w:tblLayout w:type="fixed"/>
        <w:tblLook w:val="0400" w:firstRow="0" w:lastRow="0" w:firstColumn="0" w:lastColumn="0" w:noHBand="0" w:noVBand="1"/>
      </w:tblPr>
      <w:tblGrid>
        <w:gridCol w:w="2410"/>
        <w:gridCol w:w="1417"/>
        <w:gridCol w:w="1276"/>
        <w:gridCol w:w="3686"/>
      </w:tblGrid>
      <w:tr w:rsidR="005B7388" w:rsidRPr="00A00F35" w14:paraId="1DFAC3DC" w14:textId="77777777" w:rsidTr="00925E66">
        <w:trPr>
          <w:trHeight w:val="340"/>
        </w:trPr>
        <w:tc>
          <w:tcPr>
            <w:tcW w:w="2410" w:type="dxa"/>
            <w:vAlign w:val="center"/>
          </w:tcPr>
          <w:p w14:paraId="1DFAC3D8" w14:textId="77777777" w:rsidR="005B7388" w:rsidRPr="00A00F35" w:rsidRDefault="005B7388" w:rsidP="00F54896">
            <w:pPr>
              <w:pStyle w:val="Table"/>
            </w:pPr>
            <w:r w:rsidRPr="00A00F35">
              <w:t>Queensland Department of Transport and Main Roads</w:t>
            </w:r>
          </w:p>
        </w:tc>
        <w:tc>
          <w:tcPr>
            <w:tcW w:w="1417" w:type="dxa"/>
            <w:vAlign w:val="center"/>
          </w:tcPr>
          <w:p w14:paraId="1DFAC3D9" w14:textId="77777777" w:rsidR="005B7388" w:rsidRPr="00A00F35" w:rsidRDefault="005B7388" w:rsidP="00F54896">
            <w:pPr>
              <w:pStyle w:val="TableCen"/>
            </w:pPr>
          </w:p>
        </w:tc>
        <w:tc>
          <w:tcPr>
            <w:tcW w:w="1276" w:type="dxa"/>
            <w:vAlign w:val="center"/>
          </w:tcPr>
          <w:p w14:paraId="1DFAC3DA" w14:textId="77777777" w:rsidR="005B7388" w:rsidRPr="00A00F35" w:rsidRDefault="005B7388" w:rsidP="00F54896">
            <w:pPr>
              <w:pStyle w:val="TableCen"/>
            </w:pPr>
            <w:r w:rsidRPr="00A00F35">
              <w:t>MUTCD</w:t>
            </w:r>
          </w:p>
        </w:tc>
        <w:tc>
          <w:tcPr>
            <w:tcW w:w="3686" w:type="dxa"/>
            <w:vAlign w:val="center"/>
          </w:tcPr>
          <w:p w14:paraId="1DFAC3DB" w14:textId="77777777" w:rsidR="005B7388" w:rsidRPr="00A00F35" w:rsidRDefault="005B7388" w:rsidP="00F54896">
            <w:pPr>
              <w:pStyle w:val="Table"/>
            </w:pPr>
            <w:r w:rsidRPr="00A00F35">
              <w:t>Queensland Manual or Uniform Traffic Control Devices</w:t>
            </w:r>
          </w:p>
        </w:tc>
      </w:tr>
    </w:tbl>
    <w:p w14:paraId="1DFAC3DD" w14:textId="1F94E2E4" w:rsidR="0035296C" w:rsidRPr="00AA4271" w:rsidRDefault="0035296C">
      <w:pPr>
        <w:ind w:left="709"/>
        <w:jc w:val="both"/>
      </w:pPr>
      <w:r w:rsidRPr="001E21D4">
        <w:t>Refer to the following other Reference Specifications</w:t>
      </w:r>
      <w:r w:rsidR="000F0DE2" w:rsidRPr="001E21D4">
        <w:t xml:space="preserve"> for Engineering Work</w:t>
      </w:r>
      <w:r w:rsidRPr="001E21D4">
        <w:t>:</w:t>
      </w:r>
    </w:p>
    <w:tbl>
      <w:tblPr>
        <w:tblW w:w="8789" w:type="dxa"/>
        <w:tblInd w:w="817" w:type="dxa"/>
        <w:tblLook w:val="0400" w:firstRow="0" w:lastRow="0" w:firstColumn="0" w:lastColumn="0" w:noHBand="0" w:noVBand="1"/>
      </w:tblPr>
      <w:tblGrid>
        <w:gridCol w:w="973"/>
        <w:gridCol w:w="7816"/>
      </w:tblGrid>
      <w:tr w:rsidR="005B7388" w:rsidRPr="001E21D4" w14:paraId="1DFAC3E0" w14:textId="77777777" w:rsidTr="00925E66">
        <w:trPr>
          <w:trHeight w:val="340"/>
        </w:trPr>
        <w:tc>
          <w:tcPr>
            <w:tcW w:w="973" w:type="dxa"/>
            <w:vAlign w:val="center"/>
          </w:tcPr>
          <w:p w14:paraId="1DFAC3DE" w14:textId="77777777" w:rsidR="005B7388" w:rsidRPr="001E21D4" w:rsidRDefault="005B7388" w:rsidP="00F54896">
            <w:pPr>
              <w:pStyle w:val="TableCen"/>
            </w:pPr>
            <w:r w:rsidRPr="001E21D4">
              <w:t>S110</w:t>
            </w:r>
          </w:p>
        </w:tc>
        <w:tc>
          <w:tcPr>
            <w:tcW w:w="7816" w:type="dxa"/>
            <w:vAlign w:val="center"/>
          </w:tcPr>
          <w:p w14:paraId="1DFAC3DF" w14:textId="77777777" w:rsidR="005B7388" w:rsidRPr="001E21D4" w:rsidRDefault="005B7388" w:rsidP="00F54896">
            <w:pPr>
              <w:pStyle w:val="Table"/>
            </w:pPr>
            <w:r w:rsidRPr="001E21D4">
              <w:t>General Requirements</w:t>
            </w:r>
          </w:p>
        </w:tc>
      </w:tr>
      <w:tr w:rsidR="005B7388" w:rsidRPr="001E21D4" w14:paraId="1DFAC3E3" w14:textId="77777777" w:rsidTr="00925E66">
        <w:trPr>
          <w:trHeight w:val="340"/>
        </w:trPr>
        <w:tc>
          <w:tcPr>
            <w:tcW w:w="973" w:type="dxa"/>
            <w:vAlign w:val="center"/>
          </w:tcPr>
          <w:p w14:paraId="1DFAC3E1" w14:textId="77777777" w:rsidR="005B7388" w:rsidRPr="001E21D4" w:rsidRDefault="005B7388" w:rsidP="00F54896">
            <w:pPr>
              <w:pStyle w:val="TableCen"/>
            </w:pPr>
            <w:r w:rsidRPr="001E21D4">
              <w:t>S120</w:t>
            </w:r>
          </w:p>
        </w:tc>
        <w:tc>
          <w:tcPr>
            <w:tcW w:w="7816" w:type="dxa"/>
            <w:vAlign w:val="center"/>
          </w:tcPr>
          <w:p w14:paraId="1DFAC3E2" w14:textId="77777777" w:rsidR="005B7388" w:rsidRPr="001E21D4" w:rsidRDefault="005B7388" w:rsidP="00F54896">
            <w:pPr>
              <w:pStyle w:val="Table"/>
            </w:pPr>
            <w:r w:rsidRPr="001E21D4">
              <w:t>Quality</w:t>
            </w:r>
          </w:p>
        </w:tc>
      </w:tr>
      <w:tr w:rsidR="005B7388" w:rsidRPr="001E21D4" w14:paraId="1DFAC3E6" w14:textId="77777777" w:rsidTr="00925E66">
        <w:trPr>
          <w:trHeight w:val="340"/>
        </w:trPr>
        <w:tc>
          <w:tcPr>
            <w:tcW w:w="973" w:type="dxa"/>
            <w:vAlign w:val="center"/>
          </w:tcPr>
          <w:p w14:paraId="1DFAC3E4" w14:textId="77777777" w:rsidR="005B7388" w:rsidRPr="001E21D4" w:rsidRDefault="005B7388" w:rsidP="00F54896">
            <w:pPr>
              <w:pStyle w:val="TableCen"/>
            </w:pPr>
            <w:r w:rsidRPr="001E21D4">
              <w:t>S310</w:t>
            </w:r>
          </w:p>
        </w:tc>
        <w:tc>
          <w:tcPr>
            <w:tcW w:w="7816" w:type="dxa"/>
            <w:vAlign w:val="center"/>
          </w:tcPr>
          <w:p w14:paraId="1DFAC3E5" w14:textId="77777777" w:rsidR="005B7388" w:rsidRPr="001E21D4" w:rsidRDefault="005B7388" w:rsidP="00F54896">
            <w:pPr>
              <w:pStyle w:val="Table"/>
            </w:pPr>
            <w:r w:rsidRPr="001E21D4">
              <w:t>Supply of Dense Graded Asphalt</w:t>
            </w:r>
          </w:p>
        </w:tc>
      </w:tr>
      <w:tr w:rsidR="00AC1AED" w:rsidRPr="001E21D4" w14:paraId="07F84E32" w14:textId="77777777" w:rsidTr="00925E66">
        <w:trPr>
          <w:trHeight w:val="340"/>
        </w:trPr>
        <w:tc>
          <w:tcPr>
            <w:tcW w:w="973" w:type="dxa"/>
            <w:vAlign w:val="center"/>
          </w:tcPr>
          <w:p w14:paraId="5700D1D7" w14:textId="53A56E00" w:rsidR="00AC1AED" w:rsidRPr="001E21D4" w:rsidRDefault="00AC1AED" w:rsidP="00AC1AED">
            <w:pPr>
              <w:pStyle w:val="TableCen"/>
            </w:pPr>
            <w:r w:rsidRPr="001E21D4">
              <w:t>S330</w:t>
            </w:r>
          </w:p>
        </w:tc>
        <w:tc>
          <w:tcPr>
            <w:tcW w:w="7816" w:type="dxa"/>
            <w:vAlign w:val="center"/>
          </w:tcPr>
          <w:p w14:paraId="557F193E" w14:textId="0C79C966" w:rsidR="00AC1AED" w:rsidRPr="001E21D4" w:rsidRDefault="00AC1AED" w:rsidP="00AC1AED">
            <w:pPr>
              <w:pStyle w:val="Table"/>
            </w:pPr>
            <w:r w:rsidRPr="001E21D4">
              <w:t>Sprayed Bituminous Surfacing: Materials</w:t>
            </w:r>
          </w:p>
        </w:tc>
      </w:tr>
      <w:tr w:rsidR="00AC1AED" w:rsidRPr="00A537A1" w14:paraId="418C0418" w14:textId="77777777" w:rsidTr="00925E66">
        <w:trPr>
          <w:trHeight w:val="340"/>
        </w:trPr>
        <w:tc>
          <w:tcPr>
            <w:tcW w:w="973" w:type="dxa"/>
            <w:vAlign w:val="center"/>
          </w:tcPr>
          <w:p w14:paraId="235D1ACA" w14:textId="132A378E" w:rsidR="00AC1AED" w:rsidRPr="001E21D4" w:rsidRDefault="009769A4" w:rsidP="00AC1AED">
            <w:pPr>
              <w:pStyle w:val="TableCen"/>
            </w:pPr>
            <w:r w:rsidRPr="001E21D4">
              <w:t>S335</w:t>
            </w:r>
          </w:p>
        </w:tc>
        <w:tc>
          <w:tcPr>
            <w:tcW w:w="7816" w:type="dxa"/>
            <w:vAlign w:val="center"/>
          </w:tcPr>
          <w:p w14:paraId="45D96F34" w14:textId="3737BB13" w:rsidR="00AC1AED" w:rsidRPr="001E21D4" w:rsidRDefault="009769A4" w:rsidP="00AC1AED">
            <w:pPr>
              <w:pStyle w:val="Table"/>
            </w:pPr>
            <w:r w:rsidRPr="001E21D4">
              <w:t>Polymer Modified Emulsion Surface Treatment</w:t>
            </w:r>
          </w:p>
        </w:tc>
      </w:tr>
    </w:tbl>
    <w:p w14:paraId="1DFAC3E7" w14:textId="77777777" w:rsidR="006311A5" w:rsidRDefault="006311A5" w:rsidP="00925E66">
      <w:pPr>
        <w:pStyle w:val="Heading3"/>
      </w:pPr>
      <w:bookmarkStart w:id="12" w:name="_Toc76107331"/>
      <w:r>
        <w:t>DEFINITIONS</w:t>
      </w:r>
      <w:bookmarkEnd w:id="12"/>
    </w:p>
    <w:p w14:paraId="1DFAC3E8" w14:textId="15CC8F31" w:rsidR="006311A5" w:rsidRDefault="006311A5" w:rsidP="006311A5">
      <w:pPr>
        <w:pStyle w:val="BodyTextIndent"/>
      </w:pPr>
      <w:r w:rsidRPr="00EC6028">
        <w:rPr>
          <w:rStyle w:val="BodyTextIndentBoldUnderlineChar"/>
          <w:b w:val="0"/>
        </w:rPr>
        <w:t>Micro-surfacing</w:t>
      </w:r>
      <w:r w:rsidRPr="009B0044">
        <w:rPr>
          <w:rStyle w:val="BodyTextIndentBoldUnderlineChar"/>
          <w:b w:val="0"/>
          <w:u w:val="none"/>
        </w:rPr>
        <w:t>:</w:t>
      </w:r>
      <w:r>
        <w:t xml:space="preserve"> One of two types of bituminous slurry surfacing.  It is distinguished from the other type, slurry seals, by the incorporation of polymer and other additives to the bitumen to improve the performance of the slurry surfacing.  It may be known under various proprietary names such as </w:t>
      </w:r>
      <w:r w:rsidR="00651C85">
        <w:t>‘</w:t>
      </w:r>
      <w:r>
        <w:t>cold overlay</w:t>
      </w:r>
      <w:r w:rsidR="00651C85">
        <w:t>’</w:t>
      </w:r>
      <w:r>
        <w:t xml:space="preserve">, </w:t>
      </w:r>
      <w:r w:rsidR="00651C85">
        <w:t>‘</w:t>
      </w:r>
      <w:r>
        <w:t>microsealing</w:t>
      </w:r>
      <w:r w:rsidR="00651C85">
        <w:t>’</w:t>
      </w:r>
      <w:r>
        <w:t xml:space="preserve">, </w:t>
      </w:r>
      <w:r w:rsidR="00FA32C4">
        <w:t>‘</w:t>
      </w:r>
      <w:r>
        <w:t>paveseal</w:t>
      </w:r>
      <w:r w:rsidR="00FA32C4">
        <w:t>’</w:t>
      </w:r>
      <w:r>
        <w:t xml:space="preserve">, </w:t>
      </w:r>
      <w:r w:rsidR="00FA32C4">
        <w:t>‘</w:t>
      </w:r>
      <w:r>
        <w:t>microasphalt</w:t>
      </w:r>
      <w:r w:rsidR="00FA32C4">
        <w:t>’</w:t>
      </w:r>
      <w:r>
        <w:t>, etc.</w:t>
      </w:r>
    </w:p>
    <w:p w14:paraId="1DFAC3E9" w14:textId="77777777" w:rsidR="006311A5" w:rsidRDefault="006311A5" w:rsidP="006311A5">
      <w:pPr>
        <w:pStyle w:val="BodyTextIndent"/>
      </w:pPr>
      <w:r>
        <w:t>Micro-surfacing consists of a mixture of emulsified polymer modified bitumen, mineral aggregate, mineral filler, additives and water proportioned and mixed to form a slurry which is placed and spread evenly on the road surface.  It is capable of being spread in variably thickness layers for surface correction and for wearing surface applications.</w:t>
      </w:r>
    </w:p>
    <w:p w14:paraId="1DFAC3EA" w14:textId="5EF6DD94" w:rsidR="006311A5" w:rsidRDefault="006311A5" w:rsidP="006311A5">
      <w:pPr>
        <w:pStyle w:val="BodyTextIndent"/>
      </w:pPr>
      <w:r w:rsidRPr="00EC6028">
        <w:rPr>
          <w:rStyle w:val="BodyTextIndentBoldUnderlineChar"/>
          <w:b w:val="0"/>
        </w:rPr>
        <w:t>Nominal size</w:t>
      </w:r>
      <w:r w:rsidRPr="009B0044">
        <w:rPr>
          <w:rStyle w:val="BodyTextIndentBoldUnderlineChar"/>
          <w:b w:val="0"/>
          <w:u w:val="none"/>
        </w:rPr>
        <w:t>:</w:t>
      </w:r>
      <w:r>
        <w:rPr>
          <w:rFonts w:cs="Arial"/>
          <w:lang w:val="en-US"/>
        </w:rPr>
        <w:t xml:space="preserve"> </w:t>
      </w:r>
      <w:r>
        <w:t>The size of the bituminous micro-surfacing is based on the nominal largest stone size in the mix.  For the purpose of this Specification, the size is either Size</w:t>
      </w:r>
      <w:r w:rsidR="00FA32C4" w:rsidRPr="005B7388">
        <w:t> </w:t>
      </w:r>
      <w:r>
        <w:t>5, Size</w:t>
      </w:r>
      <w:r w:rsidR="003B24F9" w:rsidRPr="005B7388">
        <w:t> </w:t>
      </w:r>
      <w:r>
        <w:t>7 or Size</w:t>
      </w:r>
      <w:r w:rsidR="003B24F9" w:rsidRPr="005B7388">
        <w:t> </w:t>
      </w:r>
      <w:r>
        <w:t>10.</w:t>
      </w:r>
    </w:p>
    <w:p w14:paraId="1DFAC3EB" w14:textId="77777777" w:rsidR="006311A5" w:rsidRDefault="006311A5" w:rsidP="006311A5">
      <w:pPr>
        <w:pStyle w:val="BodyTextIndent"/>
        <w:rPr>
          <w:lang w:val="en-US"/>
        </w:rPr>
      </w:pPr>
      <w:r w:rsidRPr="00EC6028">
        <w:rPr>
          <w:rStyle w:val="BodyTextIndentBoldUnderlineChar"/>
          <w:b w:val="0"/>
        </w:rPr>
        <w:t>Polymer</w:t>
      </w:r>
      <w:r w:rsidRPr="009B0044">
        <w:rPr>
          <w:rStyle w:val="BodyTextIndentBoldUnderlineChar"/>
          <w:b w:val="0"/>
          <w:u w:val="none"/>
        </w:rPr>
        <w:t>:</w:t>
      </w:r>
      <w:r>
        <w:rPr>
          <w:lang w:val="en-US"/>
        </w:rPr>
        <w:t xml:space="preserve"> A predominantly organic substance comprising a very large number of chemical entities. These chemical entities may comprise identical segments (producing a homopolymer) or a combination of two or more different segments (producing a copolymer).</w:t>
      </w:r>
    </w:p>
    <w:p w14:paraId="1DFAC3EC" w14:textId="77777777" w:rsidR="006311A5" w:rsidRDefault="006311A5" w:rsidP="006311A5">
      <w:pPr>
        <w:pStyle w:val="BodyTextIndent"/>
      </w:pPr>
      <w:r w:rsidRPr="00EC6028">
        <w:rPr>
          <w:rStyle w:val="BodyTextIndentBoldUnderlineChar"/>
          <w:b w:val="0"/>
        </w:rPr>
        <w:t>Polymer modified bitumen</w:t>
      </w:r>
      <w:r w:rsidRPr="009B0044">
        <w:rPr>
          <w:rStyle w:val="BodyTextIndentBoldUnderlineChar"/>
          <w:b w:val="0"/>
          <w:u w:val="none"/>
        </w:rPr>
        <w:t>:</w:t>
      </w:r>
      <w:r>
        <w:t xml:space="preserve"> Bitumen</w:t>
      </w:r>
      <w:r>
        <w:rPr>
          <w:lang w:val="en-US"/>
        </w:rPr>
        <w:t xml:space="preserve"> containing dispersed polymeric material to give enhanced bitumen performance for particular applications.</w:t>
      </w:r>
    </w:p>
    <w:p w14:paraId="1DFAC3ED" w14:textId="77777777" w:rsidR="0035296C" w:rsidRDefault="0035296C" w:rsidP="00925E66">
      <w:pPr>
        <w:pStyle w:val="Heading2"/>
      </w:pPr>
      <w:bookmarkStart w:id="13" w:name="_Toc76107332"/>
      <w:r>
        <w:t>QUALITY</w:t>
      </w:r>
      <w:bookmarkEnd w:id="13"/>
    </w:p>
    <w:p w14:paraId="1DFAC3EE" w14:textId="77777777" w:rsidR="0035296C" w:rsidRPr="00405734" w:rsidRDefault="0035296C" w:rsidP="00925E66">
      <w:pPr>
        <w:pStyle w:val="Heading3"/>
      </w:pPr>
      <w:bookmarkStart w:id="14" w:name="_Toc76107333"/>
      <w:r w:rsidRPr="00405734">
        <w:t xml:space="preserve">Quality </w:t>
      </w:r>
      <w:r w:rsidR="00405734" w:rsidRPr="00405734">
        <w:t>System</w:t>
      </w:r>
      <w:bookmarkEnd w:id="14"/>
    </w:p>
    <w:p w14:paraId="1DFAC3EF" w14:textId="77777777" w:rsidR="0035296C" w:rsidRDefault="0035296C" w:rsidP="00405734">
      <w:pPr>
        <w:pStyle w:val="BodyTextIndent"/>
      </w:pPr>
      <w:r>
        <w:t xml:space="preserve">The supplier must maintain a Quality Assurance System with third party accreditation to </w:t>
      </w:r>
      <w:r w:rsidR="002E7498" w:rsidRPr="002E7498">
        <w:rPr>
          <w:i/>
        </w:rPr>
        <w:t>AS/NZS ISO 9001</w:t>
      </w:r>
      <w:r>
        <w:t>.  The supplier must notify the Contractor or Superintendent within two days of becoming aware that process control tests relevant to the work have fallen outside the specified limits.</w:t>
      </w:r>
    </w:p>
    <w:p w14:paraId="1DFAC3F0" w14:textId="62E14E10" w:rsidR="0035296C" w:rsidRPr="00405734" w:rsidRDefault="00405734" w:rsidP="00925E66">
      <w:pPr>
        <w:pStyle w:val="Heading3"/>
      </w:pPr>
      <w:bookmarkStart w:id="15" w:name="_Toc76107334"/>
      <w:r w:rsidRPr="00405734">
        <w:t>Inspection</w:t>
      </w:r>
      <w:bookmarkEnd w:id="15"/>
    </w:p>
    <w:p w14:paraId="1DFAC3F1" w14:textId="77777777" w:rsidR="0035296C" w:rsidRPr="00A02F36" w:rsidRDefault="0035296C" w:rsidP="00EC6028">
      <w:pPr>
        <w:pStyle w:val="BodyTextIndentBoldUnderline"/>
      </w:pPr>
      <w:r w:rsidRPr="00A02F36">
        <w:t>Witness points</w:t>
      </w:r>
    </w:p>
    <w:p w14:paraId="1DFAC3F2" w14:textId="77777777" w:rsidR="0035296C" w:rsidRDefault="0035296C" w:rsidP="00405734">
      <w:pPr>
        <w:pStyle w:val="BodyTextIndent"/>
      </w:pPr>
      <w:r>
        <w:t xml:space="preserve">Give sufficient notice so that inspection </w:t>
      </w:r>
      <w:r w:rsidR="009647C1">
        <w:t>can</w:t>
      </w:r>
      <w:r>
        <w:t xml:space="preserve"> be made of the following stages:</w:t>
      </w:r>
    </w:p>
    <w:p w14:paraId="1DFAC3F3" w14:textId="77777777" w:rsidR="001B194F" w:rsidRDefault="001B194F" w:rsidP="007E08C0">
      <w:pPr>
        <w:pStyle w:val="BodyTextIndentDot"/>
      </w:pPr>
      <w:r>
        <w:t>Line marking removed.</w:t>
      </w:r>
    </w:p>
    <w:p w14:paraId="1DFAC3F4" w14:textId="77777777" w:rsidR="0035296C" w:rsidRDefault="0035296C" w:rsidP="007E08C0">
      <w:pPr>
        <w:pStyle w:val="BodyTextIndentDot"/>
      </w:pPr>
      <w:r>
        <w:lastRenderedPageBreak/>
        <w:t xml:space="preserve">Surfaces </w:t>
      </w:r>
      <w:r w:rsidR="00196E18">
        <w:t xml:space="preserve">cleaned and </w:t>
      </w:r>
      <w:r>
        <w:t>prepared for surfacing.</w:t>
      </w:r>
    </w:p>
    <w:p w14:paraId="1DFAC3F5" w14:textId="77777777" w:rsidR="00196E18" w:rsidRDefault="00872B66" w:rsidP="007E08C0">
      <w:pPr>
        <w:pStyle w:val="BodyTextIndentDot"/>
      </w:pPr>
      <w:r>
        <w:t>Protection</w:t>
      </w:r>
      <w:r w:rsidR="00196E18">
        <w:t xml:space="preserve"> of </w:t>
      </w:r>
      <w:r>
        <w:t>road</w:t>
      </w:r>
      <w:r w:rsidR="00196E18">
        <w:t xml:space="preserve"> fixtures and features.</w:t>
      </w:r>
    </w:p>
    <w:p w14:paraId="1DFAC3F6" w14:textId="77777777" w:rsidR="0035296C" w:rsidRDefault="0035296C" w:rsidP="007E08C0">
      <w:pPr>
        <w:pStyle w:val="BodyTextIndentDot"/>
      </w:pPr>
      <w:r>
        <w:t xml:space="preserve">Commencement of </w:t>
      </w:r>
      <w:r w:rsidR="00FA006C">
        <w:t>application</w:t>
      </w:r>
      <w:r>
        <w:t xml:space="preserve"> of </w:t>
      </w:r>
      <w:r w:rsidR="00FA006C">
        <w:t>surfacing</w:t>
      </w:r>
      <w:r>
        <w:t>.</w:t>
      </w:r>
    </w:p>
    <w:p w14:paraId="1DFAC3F7" w14:textId="77777777" w:rsidR="00872B66" w:rsidRDefault="00872B66" w:rsidP="007E08C0">
      <w:pPr>
        <w:pStyle w:val="BodyTextIndentDot"/>
      </w:pPr>
      <w:r>
        <w:t>Verification of surface finish and shape.</w:t>
      </w:r>
    </w:p>
    <w:p w14:paraId="1DFAC3F8" w14:textId="77777777" w:rsidR="00E80AE1" w:rsidRPr="00405734" w:rsidRDefault="00E80AE1" w:rsidP="00EC6028">
      <w:pPr>
        <w:pStyle w:val="BodyTextIndentBoldUnderline"/>
      </w:pPr>
      <w:r w:rsidRPr="00405734">
        <w:t>Hold points</w:t>
      </w:r>
    </w:p>
    <w:p w14:paraId="1DFAC3F9" w14:textId="77777777" w:rsidR="00E80AE1" w:rsidRDefault="00E80AE1" w:rsidP="00405734">
      <w:pPr>
        <w:pStyle w:val="BodyTextIndent"/>
      </w:pPr>
      <w:r>
        <w:t>Do not proceed without approval of the following stages:</w:t>
      </w:r>
    </w:p>
    <w:p w14:paraId="1DFAC3FA" w14:textId="77777777" w:rsidR="00E80AE1" w:rsidRPr="00097C6E" w:rsidRDefault="00097C6E" w:rsidP="007E08C0">
      <w:pPr>
        <w:pStyle w:val="BodyTextIndentDot"/>
      </w:pPr>
      <w:r>
        <w:t>Approval of mix design</w:t>
      </w:r>
      <w:r w:rsidR="00E80AE1">
        <w:t>.</w:t>
      </w:r>
    </w:p>
    <w:p w14:paraId="1DFAC3FB" w14:textId="77777777" w:rsidR="00097C6E" w:rsidRPr="00097C6E" w:rsidRDefault="00097C6E" w:rsidP="007E08C0">
      <w:pPr>
        <w:pStyle w:val="BodyTextIndentDot"/>
      </w:pPr>
      <w:r>
        <w:t xml:space="preserve">Format and wording of the notice to be given to </w:t>
      </w:r>
      <w:r w:rsidR="00453F5A">
        <w:t>r</w:t>
      </w:r>
      <w:r>
        <w:t>esidents and business owners whose access will be temporally restricted</w:t>
      </w:r>
      <w:r w:rsidR="00302849">
        <w:t>.</w:t>
      </w:r>
    </w:p>
    <w:p w14:paraId="1DFAC3FC" w14:textId="77777777" w:rsidR="00097C6E" w:rsidRPr="009647C1" w:rsidRDefault="00097C6E" w:rsidP="007E08C0">
      <w:pPr>
        <w:pStyle w:val="BodyTextIndentDot"/>
      </w:pPr>
      <w:r>
        <w:t>Submission of calibration and approval to commence spreading.</w:t>
      </w:r>
    </w:p>
    <w:p w14:paraId="1DFAC3FD" w14:textId="77777777" w:rsidR="0035296C" w:rsidRDefault="001E53FC" w:rsidP="00925E66">
      <w:pPr>
        <w:pStyle w:val="Heading3"/>
      </w:pPr>
      <w:bookmarkStart w:id="16" w:name="_Toc76107335"/>
      <w:r>
        <w:t>Tests</w:t>
      </w:r>
      <w:bookmarkEnd w:id="16"/>
    </w:p>
    <w:p w14:paraId="1DFAC3FE" w14:textId="77777777" w:rsidR="009647C1" w:rsidRDefault="009647C1" w:rsidP="00EC6028">
      <w:pPr>
        <w:pStyle w:val="BodyTextIndentBoldUnderline"/>
      </w:pPr>
      <w:r>
        <w:t>General</w:t>
      </w:r>
    </w:p>
    <w:p w14:paraId="1DFAC3FF" w14:textId="77777777" w:rsidR="009647C1" w:rsidRDefault="009647C1" w:rsidP="00405734">
      <w:pPr>
        <w:pStyle w:val="BodyTextIndent"/>
      </w:pPr>
      <w:r w:rsidRPr="00EC6028">
        <w:rPr>
          <w:rStyle w:val="BodyTextIndentBoldUnderlineChar"/>
          <w:b w:val="0"/>
        </w:rPr>
        <w:t>Methods</w:t>
      </w:r>
      <w:r w:rsidRPr="009B0044">
        <w:rPr>
          <w:rStyle w:val="BodyTextIndentBoldUnderlineChar"/>
          <w:b w:val="0"/>
          <w:u w:val="none"/>
        </w:rPr>
        <w:t>:</w:t>
      </w:r>
      <w:r>
        <w:t xml:space="preserve"> Use Australian Standard, Queensland Department of </w:t>
      </w:r>
      <w:r w:rsidR="003C360F">
        <w:t xml:space="preserve">Transport and </w:t>
      </w:r>
      <w:r>
        <w:t xml:space="preserve">Main Roads, Austroads or </w:t>
      </w:r>
      <w:r w:rsidRPr="00103667">
        <w:t xml:space="preserve">International Slurry Surfacing Association </w:t>
      </w:r>
      <w:r>
        <w:t>test methods.</w:t>
      </w:r>
    </w:p>
    <w:p w14:paraId="1DFAC400" w14:textId="77777777" w:rsidR="00DC1AF1" w:rsidRDefault="009647C1" w:rsidP="00DC1AF1">
      <w:pPr>
        <w:pStyle w:val="BodyTextIndent"/>
      </w:pPr>
      <w:r w:rsidRPr="00EC6028">
        <w:rPr>
          <w:rStyle w:val="BodyTextIndentBoldUnderlineChar"/>
          <w:b w:val="0"/>
        </w:rPr>
        <w:t>Testing authority</w:t>
      </w:r>
      <w:r w:rsidRPr="009B0044">
        <w:rPr>
          <w:rStyle w:val="BodyTextIndentBoldUnderlineChar"/>
          <w:b w:val="0"/>
          <w:u w:val="none"/>
        </w:rPr>
        <w:t>:</w:t>
      </w:r>
      <w:r>
        <w:t xml:space="preserve"> Use a testing facility registered by NATA for the test required.</w:t>
      </w:r>
    </w:p>
    <w:p w14:paraId="1DFAC401" w14:textId="77777777" w:rsidR="00DC1AF1" w:rsidRDefault="00DC1AF1" w:rsidP="00EC6028">
      <w:pPr>
        <w:pStyle w:val="BodyTextIndentBoldUnderline"/>
      </w:pPr>
      <w:r w:rsidRPr="00DC1AF1">
        <w:t>Process control testing</w:t>
      </w:r>
    </w:p>
    <w:p w14:paraId="1DFAC402" w14:textId="72FC1D6F" w:rsidR="00DC1AF1" w:rsidRDefault="009647C1" w:rsidP="00DC1AF1">
      <w:pPr>
        <w:pStyle w:val="BodyTextIndent"/>
      </w:pPr>
      <w:r>
        <w:t>Perform sampling and testing of the type and frequency necessary to adequately control the work.  Comply with the minimum requirements specified in</w:t>
      </w:r>
      <w:r w:rsidR="00556759" w:rsidRPr="00556759">
        <w:t xml:space="preserve"> </w:t>
      </w:r>
      <w:r w:rsidR="000F0DE2" w:rsidRPr="00EC6028">
        <w:rPr>
          <w:rStyle w:val="BodyTextIndentBoldChar"/>
          <w:b w:val="0"/>
          <w:i/>
        </w:rPr>
        <w:t xml:space="preserve">Reference Specification </w:t>
      </w:r>
      <w:r w:rsidRPr="00EC6028">
        <w:rPr>
          <w:rStyle w:val="BodyTextIndentBoldChar"/>
          <w:b w:val="0"/>
          <w:i/>
        </w:rPr>
        <w:t>S120</w:t>
      </w:r>
      <w:r w:rsidR="008B41C5">
        <w:rPr>
          <w:rStyle w:val="BodyTextIndentBoldChar"/>
          <w:b w:val="0"/>
          <w:i/>
        </w:rPr>
        <w:t>,</w:t>
      </w:r>
      <w:r w:rsidR="00156623" w:rsidRPr="00156623">
        <w:rPr>
          <w:rStyle w:val="BodyTextIndentBoldChar"/>
          <w:b w:val="0"/>
          <w:i/>
        </w:rPr>
        <w:t xml:space="preserve"> </w:t>
      </w:r>
      <w:r w:rsidR="00156623" w:rsidRPr="00EC6028">
        <w:rPr>
          <w:rStyle w:val="BodyTextIndentBoldChar"/>
          <w:b w:val="0"/>
          <w:i/>
        </w:rPr>
        <w:t>Clause</w:t>
      </w:r>
      <w:r w:rsidR="00D15985">
        <w:t> </w:t>
      </w:r>
      <w:r w:rsidR="00156623" w:rsidRPr="00EC6028">
        <w:rPr>
          <w:rStyle w:val="BodyTextIndentBoldChar"/>
          <w:b w:val="0"/>
          <w:i/>
        </w:rPr>
        <w:t>7.1</w:t>
      </w:r>
    </w:p>
    <w:p w14:paraId="1DFAC403" w14:textId="77777777" w:rsidR="00DC1AF1" w:rsidRDefault="00DC1AF1" w:rsidP="00EC6028">
      <w:pPr>
        <w:pStyle w:val="BodyTextIndentBoldUnderline"/>
      </w:pPr>
      <w:r w:rsidRPr="00DC1AF1">
        <w:t>Compliance assessment tests</w:t>
      </w:r>
    </w:p>
    <w:p w14:paraId="1DFAC404" w14:textId="77777777" w:rsidR="009647C1" w:rsidRDefault="009647C1" w:rsidP="00A02F36">
      <w:pPr>
        <w:pStyle w:val="BodyTextIndent"/>
      </w:pPr>
      <w:r w:rsidRPr="00EC6028">
        <w:rPr>
          <w:rStyle w:val="BodyTextIndentBoldUnderlineChar"/>
          <w:b w:val="0"/>
        </w:rPr>
        <w:t>General</w:t>
      </w:r>
      <w:r w:rsidRPr="00D15985">
        <w:rPr>
          <w:rStyle w:val="BodyTextIndentBoldUnderlineChar"/>
          <w:b w:val="0"/>
          <w:u w:val="none"/>
        </w:rPr>
        <w:t>:</w:t>
      </w:r>
      <w:r>
        <w:t xml:space="preserve"> The Contractor or Superintendent may carry out compliance assessment testing using a testing laboratory registered with NATA for the particular test.</w:t>
      </w:r>
    </w:p>
    <w:p w14:paraId="1DFAC405" w14:textId="77777777" w:rsidR="00DC1AF1" w:rsidRDefault="009647C1" w:rsidP="00DC1AF1">
      <w:pPr>
        <w:pStyle w:val="BodyTextIndent"/>
      </w:pPr>
      <w:r w:rsidRPr="00D15985">
        <w:rPr>
          <w:u w:val="single"/>
        </w:rPr>
        <w:t>Frequency</w:t>
      </w:r>
      <w:r>
        <w:t xml:space="preserve">: Perform compliance testing </w:t>
      </w:r>
      <w:r w:rsidRPr="009647C1">
        <w:t xml:space="preserve">for binder content and aggregate gradation as per approved mix design </w:t>
      </w:r>
      <w:r>
        <w:t>for each lot.</w:t>
      </w:r>
    </w:p>
    <w:p w14:paraId="1DFAC406" w14:textId="77777777" w:rsidR="00DC1AF1" w:rsidRDefault="00DC1AF1" w:rsidP="00EC6028">
      <w:pPr>
        <w:pStyle w:val="BodyTextIndentBoldUnderline"/>
      </w:pPr>
      <w:r w:rsidRPr="00DC1AF1">
        <w:t>Test lot</w:t>
      </w:r>
    </w:p>
    <w:p w14:paraId="1DFAC407" w14:textId="6E2DE282" w:rsidR="009647C1" w:rsidRDefault="009647C1" w:rsidP="00A02F36">
      <w:pPr>
        <w:pStyle w:val="BodyTextIndent"/>
      </w:pPr>
      <w:r>
        <w:t>A homogeneous section of the completed micro-surfacing applied on any calendar day on the same street, not greater than 50</w:t>
      </w:r>
      <w:r w:rsidR="000F0DE2">
        <w:t> </w:t>
      </w:r>
      <w:r>
        <w:t>m</w:t>
      </w:r>
      <w:r w:rsidR="003B24F9" w:rsidRPr="00C144CB">
        <w:rPr>
          <w:vertAlign w:val="superscript"/>
        </w:rPr>
        <w:t>3</w:t>
      </w:r>
      <w:r w:rsidR="000F0DE2">
        <w:t xml:space="preserve">, </w:t>
      </w:r>
      <w:r>
        <w:t>nor greater than half of one days production.</w:t>
      </w:r>
    </w:p>
    <w:p w14:paraId="1DFAC408" w14:textId="77777777" w:rsidR="009647C1" w:rsidRDefault="009647C1" w:rsidP="00A02F36">
      <w:pPr>
        <w:pStyle w:val="BodyTextIndent"/>
      </w:pPr>
      <w:r w:rsidRPr="00EC6028">
        <w:rPr>
          <w:rStyle w:val="BodyTextIndentBoldUnderlineChar"/>
          <w:b w:val="0"/>
        </w:rPr>
        <w:t>Sampling location</w:t>
      </w:r>
      <w:r w:rsidRPr="00D15985">
        <w:rPr>
          <w:rStyle w:val="BodyTextIndentBoldUnderlineChar"/>
          <w:b w:val="0"/>
          <w:u w:val="none"/>
        </w:rPr>
        <w:t>:</w:t>
      </w:r>
      <w:r>
        <w:t xml:space="preserve"> Sample from agreed sample sites within designated uniform test lots.</w:t>
      </w:r>
    </w:p>
    <w:p w14:paraId="1DFAC409" w14:textId="77777777" w:rsidR="0035296C" w:rsidRDefault="001E53FC" w:rsidP="00925E66">
      <w:pPr>
        <w:pStyle w:val="Heading3"/>
      </w:pPr>
      <w:bookmarkStart w:id="17" w:name="_Toc76107336"/>
      <w:r>
        <w:t>Submissions</w:t>
      </w:r>
      <w:bookmarkEnd w:id="17"/>
    </w:p>
    <w:p w14:paraId="1DFAC40A" w14:textId="77777777" w:rsidR="00C64932" w:rsidRDefault="00C64932" w:rsidP="00EC6028">
      <w:pPr>
        <w:pStyle w:val="BodyTextIndentBoldUnderline"/>
      </w:pPr>
      <w:r>
        <w:t>Mix Design</w:t>
      </w:r>
    </w:p>
    <w:p w14:paraId="1DFAC40B" w14:textId="77777777" w:rsidR="00C64932" w:rsidRPr="00DF615E" w:rsidRDefault="00C64932" w:rsidP="00DC1AF1">
      <w:pPr>
        <w:pStyle w:val="BodyTextIndent"/>
      </w:pPr>
      <w:r w:rsidRPr="00EC6028">
        <w:rPr>
          <w:rStyle w:val="BodyTextIndentBoldUnderlineChar"/>
          <w:b w:val="0"/>
        </w:rPr>
        <w:t>Requirement</w:t>
      </w:r>
      <w:r w:rsidRPr="00037F9B">
        <w:rPr>
          <w:rStyle w:val="BodyTextIndentBoldUnderlineChar"/>
          <w:b w:val="0"/>
          <w:u w:val="none"/>
        </w:rPr>
        <w:t>:</w:t>
      </w:r>
      <w:r>
        <w:t xml:space="preserve"> Submit</w:t>
      </w:r>
      <w:r w:rsidR="00965512">
        <w:t xml:space="preserve"> for approval</w:t>
      </w:r>
      <w:r>
        <w:t>, at least seven days before commencing micro-surfacing work, the nominated micro</w:t>
      </w:r>
      <w:r w:rsidR="00965512">
        <w:t>-</w:t>
      </w:r>
      <w:r>
        <w:t>surfacing mix design</w:t>
      </w:r>
      <w:r w:rsidR="00C22B74">
        <w:t xml:space="preserve"> </w:t>
      </w:r>
      <w:r w:rsidR="00C22B74" w:rsidRPr="00752877">
        <w:t>along with supporting evidence of previous satisfactory performance on pavements under Australian conditions.</w:t>
      </w:r>
      <w:r>
        <w:t xml:space="preserve">  </w:t>
      </w:r>
      <w:r w:rsidR="00965512">
        <w:t>I</w:t>
      </w:r>
      <w:r>
        <w:t xml:space="preserve">nclude NATA certification and test results demonstrating that the nominated mix and its </w:t>
      </w:r>
      <w:r w:rsidR="00965512">
        <w:t>components satisfy</w:t>
      </w:r>
      <w:r>
        <w:t xml:space="preserve"> th</w:t>
      </w:r>
      <w:r w:rsidR="00965512">
        <w:t>is</w:t>
      </w:r>
      <w:r>
        <w:t xml:space="preserve"> Specification.</w:t>
      </w:r>
    </w:p>
    <w:p w14:paraId="1DFAC40C" w14:textId="77777777" w:rsidR="00C22B74" w:rsidRDefault="00C22B74" w:rsidP="00EC6028">
      <w:pPr>
        <w:pStyle w:val="BodyTextIndentBoldUnderline"/>
      </w:pPr>
      <w:r>
        <w:t>Samples</w:t>
      </w:r>
    </w:p>
    <w:p w14:paraId="1DFAC40D" w14:textId="77777777" w:rsidR="00C22B74" w:rsidRDefault="00C22B74" w:rsidP="00DC1AF1">
      <w:pPr>
        <w:pStyle w:val="BodyTextIndent"/>
      </w:pPr>
      <w:r>
        <w:t>On request, submit samples of all materials to be supplied under the Contract.</w:t>
      </w:r>
    </w:p>
    <w:p w14:paraId="1DFAC40E" w14:textId="787CB964" w:rsidR="00C22B74" w:rsidRDefault="00C22B74" w:rsidP="00EC6028">
      <w:pPr>
        <w:pStyle w:val="BodyTextIndentBoldUnderline"/>
      </w:pPr>
      <w:r>
        <w:t>Work Method Statement</w:t>
      </w:r>
    </w:p>
    <w:p w14:paraId="1DFAC40F" w14:textId="7157864A" w:rsidR="00C22B74" w:rsidRDefault="00C22B74" w:rsidP="00DC1AF1">
      <w:pPr>
        <w:pStyle w:val="BodyTextIndent"/>
      </w:pPr>
      <w:r>
        <w:t>Submit the proposed Work Method Statement and testing program at least 14</w:t>
      </w:r>
      <w:r w:rsidR="0007360D" w:rsidRPr="005B7388">
        <w:t> </w:t>
      </w:r>
      <w:r>
        <w:t>days prior to the commencement of the works.</w:t>
      </w:r>
    </w:p>
    <w:p w14:paraId="1DFAC410" w14:textId="77777777" w:rsidR="00C22B74" w:rsidRDefault="00C22B74" w:rsidP="00DC1AF1">
      <w:pPr>
        <w:pStyle w:val="BodyTextIndent"/>
      </w:pPr>
      <w:r>
        <w:t>Work Method Statement shall detail all methods and equipment to be used for the works, including the following:</w:t>
      </w:r>
    </w:p>
    <w:p w14:paraId="1DFAC411" w14:textId="77777777" w:rsidR="00C22B74" w:rsidRDefault="00C22B74" w:rsidP="007E08C0">
      <w:pPr>
        <w:pStyle w:val="BodyTextIndentDot"/>
      </w:pPr>
      <w:r>
        <w:t>Staging of the work, access and traffic control methods.</w:t>
      </w:r>
    </w:p>
    <w:p w14:paraId="1DFAC412" w14:textId="77777777" w:rsidR="00C22B74" w:rsidRDefault="00C22B74" w:rsidP="007E08C0">
      <w:pPr>
        <w:pStyle w:val="BodyTextIndentDot"/>
      </w:pPr>
      <w:r>
        <w:t>Methods and equipment for each operation.</w:t>
      </w:r>
    </w:p>
    <w:p w14:paraId="1DFAC413" w14:textId="77777777" w:rsidR="00C22B74" w:rsidRDefault="00C22B74" w:rsidP="007E08C0">
      <w:pPr>
        <w:pStyle w:val="BodyTextIndentDot"/>
      </w:pPr>
      <w:r>
        <w:t>Sources of materials.</w:t>
      </w:r>
    </w:p>
    <w:p w14:paraId="1DFAC414" w14:textId="63E11BA6" w:rsidR="00DC1AF1" w:rsidRPr="00DC1AF1" w:rsidRDefault="00925E66" w:rsidP="00EC6028">
      <w:pPr>
        <w:pStyle w:val="BodyTextIndentBoldUnderline"/>
      </w:pPr>
      <w:r>
        <w:br w:type="page"/>
      </w:r>
      <w:r w:rsidR="00DC1AF1" w:rsidRPr="00DC1AF1">
        <w:lastRenderedPageBreak/>
        <w:t>Test program</w:t>
      </w:r>
    </w:p>
    <w:p w14:paraId="1DFAC415" w14:textId="77777777" w:rsidR="00C22B74" w:rsidRDefault="00C22B74" w:rsidP="00DC1AF1">
      <w:pPr>
        <w:pStyle w:val="BodyTextIndent"/>
      </w:pPr>
      <w:r>
        <w:t>Submit details of the inspection and test program covering all specified properties of the materials and details of recent test results demonstrating sustained compliance of similar work with the same properties.</w:t>
      </w:r>
    </w:p>
    <w:p w14:paraId="1DFAC416" w14:textId="77777777" w:rsidR="00DC1AF1" w:rsidRDefault="00DC1AF1" w:rsidP="00EC6028">
      <w:pPr>
        <w:pStyle w:val="BodyTextIndentBoldUnderline"/>
      </w:pPr>
      <w:r w:rsidRPr="00DC1AF1">
        <w:t>Records of measurement</w:t>
      </w:r>
    </w:p>
    <w:p w14:paraId="1DFAC417" w14:textId="77777777" w:rsidR="00C22B74" w:rsidRDefault="001B194F">
      <w:pPr>
        <w:spacing w:before="20"/>
        <w:ind w:left="709"/>
        <w:jc w:val="both"/>
      </w:pPr>
      <w:r>
        <w:t>Record d</w:t>
      </w:r>
      <w:r w:rsidRPr="00F96DB6">
        <w:t>etails of all materials applied immediately after each application.</w:t>
      </w:r>
    </w:p>
    <w:p w14:paraId="1DFAC418" w14:textId="77777777" w:rsidR="00D544BE" w:rsidRDefault="00C22B74">
      <w:pPr>
        <w:spacing w:before="20"/>
        <w:ind w:left="709"/>
        <w:jc w:val="both"/>
      </w:pPr>
      <w:r>
        <w:t>Submit</w:t>
      </w:r>
      <w:r w:rsidR="001B194F" w:rsidRPr="00F96DB6">
        <w:t xml:space="preserve"> </w:t>
      </w:r>
      <w:r w:rsidR="00F96DB6" w:rsidRPr="00F96DB6">
        <w:t>Daily Record Sheets</w:t>
      </w:r>
      <w:r w:rsidR="00872B66">
        <w:t xml:space="preserve"> </w:t>
      </w:r>
      <w:r w:rsidR="00872B66" w:rsidRPr="00196E18">
        <w:rPr>
          <w:snapToGrid w:val="0"/>
        </w:rPr>
        <w:t>recording plant, equipment, labour, traffic control</w:t>
      </w:r>
      <w:r w:rsidR="009647C1">
        <w:rPr>
          <w:snapToGrid w:val="0"/>
        </w:rPr>
        <w:t>, times of closure of road</w:t>
      </w:r>
      <w:r w:rsidR="00872B66" w:rsidRPr="00196E18">
        <w:rPr>
          <w:snapToGrid w:val="0"/>
        </w:rPr>
        <w:t xml:space="preserve"> and areas of work completed</w:t>
      </w:r>
      <w:r w:rsidR="00872B66">
        <w:rPr>
          <w:snapToGrid w:val="0"/>
        </w:rPr>
        <w:t xml:space="preserve"> including placing records</w:t>
      </w:r>
      <w:r w:rsidR="001B194F">
        <w:t>.</w:t>
      </w:r>
    </w:p>
    <w:p w14:paraId="1DFAC419" w14:textId="77777777" w:rsidR="0035296C" w:rsidRDefault="0035296C" w:rsidP="00925E66">
      <w:pPr>
        <w:pStyle w:val="Heading2"/>
      </w:pPr>
      <w:bookmarkStart w:id="18" w:name="_Toc76107337"/>
      <w:r>
        <w:t>MATERIALS</w:t>
      </w:r>
      <w:bookmarkEnd w:id="18"/>
    </w:p>
    <w:p w14:paraId="1DFAC41A" w14:textId="77777777" w:rsidR="006D7490" w:rsidRDefault="006D7490" w:rsidP="00925E66">
      <w:pPr>
        <w:pStyle w:val="Heading3"/>
      </w:pPr>
      <w:bookmarkStart w:id="19" w:name="_Toc76107338"/>
      <w:r>
        <w:t>General</w:t>
      </w:r>
      <w:bookmarkEnd w:id="19"/>
    </w:p>
    <w:p w14:paraId="1DFAC41B" w14:textId="77777777" w:rsidR="00C636F9" w:rsidRDefault="00CB138C" w:rsidP="00DC1AF1">
      <w:pPr>
        <w:pStyle w:val="BodyTextIndent"/>
      </w:pPr>
      <w:r>
        <w:t xml:space="preserve">The </w:t>
      </w:r>
      <w:r w:rsidR="008B231E">
        <w:t xml:space="preserve">Polymer Modified Bitumen Emulsion Micro-surfacing </w:t>
      </w:r>
      <w:r>
        <w:t>mix shall incorporate mineral aggregate, mineral filler and</w:t>
      </w:r>
      <w:r w:rsidR="00EE0F49">
        <w:t xml:space="preserve"> polymer modified</w:t>
      </w:r>
      <w:r>
        <w:t xml:space="preserve"> bi</w:t>
      </w:r>
      <w:r w:rsidR="00EE0F49">
        <w:t>tumen emulsion.  Additives may be used to control the break and setting times of the bituminous slurry mix, depending on ambient conditions and traffic requirements.</w:t>
      </w:r>
    </w:p>
    <w:p w14:paraId="1DFAC41C" w14:textId="77777777" w:rsidR="006D7490" w:rsidRDefault="001E53FC" w:rsidP="00925E66">
      <w:pPr>
        <w:pStyle w:val="Heading3"/>
      </w:pPr>
      <w:bookmarkStart w:id="20" w:name="_Toc76107339"/>
      <w:r>
        <w:t>Aggregate</w:t>
      </w:r>
      <w:bookmarkEnd w:id="20"/>
    </w:p>
    <w:p w14:paraId="1DFAC41D" w14:textId="33E1B92A" w:rsidR="00E542BB" w:rsidRPr="00E542BB" w:rsidRDefault="00E542BB" w:rsidP="00DC1AF1">
      <w:pPr>
        <w:pStyle w:val="BodyTextIndent"/>
      </w:pPr>
      <w:r>
        <w:t>Mineral aggregate shall consist of natural sand particles and/or crushed rock or stone and shall be clean, hard, angular, durable, and free from laminated particles, clay and other aggregations of fine material, soil, organic material and any other deleterious material.  The combined coarse aggregate shall have the properties for Type</w:t>
      </w:r>
      <w:r w:rsidR="00383627">
        <w:t> </w:t>
      </w:r>
      <w:r>
        <w:t>1 asphalt given in</w:t>
      </w:r>
      <w:r w:rsidR="00A216FB">
        <w:t xml:space="preserve"> </w:t>
      </w:r>
      <w:r w:rsidR="00A216FB" w:rsidRPr="00A216FB">
        <w:rPr>
          <w:i/>
        </w:rPr>
        <w:t>Table</w:t>
      </w:r>
      <w:r w:rsidR="00704086">
        <w:t> </w:t>
      </w:r>
      <w:r w:rsidR="00A216FB" w:rsidRPr="00A216FB">
        <w:rPr>
          <w:i/>
        </w:rPr>
        <w:t>3.1 of Reference Specification S310</w:t>
      </w:r>
      <w:r>
        <w:t>.</w:t>
      </w:r>
    </w:p>
    <w:p w14:paraId="1DFAC41E" w14:textId="77777777" w:rsidR="006D7490" w:rsidRDefault="001E53FC" w:rsidP="00925E66">
      <w:pPr>
        <w:pStyle w:val="Heading3"/>
      </w:pPr>
      <w:bookmarkStart w:id="21" w:name="_Toc76107340"/>
      <w:r>
        <w:t>Filler</w:t>
      </w:r>
      <w:bookmarkEnd w:id="21"/>
    </w:p>
    <w:p w14:paraId="1DFAC41F" w14:textId="052E7051" w:rsidR="006B7732" w:rsidRPr="00E542BB" w:rsidRDefault="006B7732" w:rsidP="00EC6028">
      <w:pPr>
        <w:pStyle w:val="BodyTextIndent"/>
      </w:pPr>
      <w:r>
        <w:t xml:space="preserve">Filler shall comply with </w:t>
      </w:r>
      <w:r w:rsidR="004D6453" w:rsidRPr="00EC6028">
        <w:rPr>
          <w:rStyle w:val="BodyTextIndentBoldChar"/>
          <w:b w:val="0"/>
          <w:i/>
        </w:rPr>
        <w:t xml:space="preserve">Reference </w:t>
      </w:r>
      <w:r w:rsidR="00316562" w:rsidRPr="00EC6028">
        <w:rPr>
          <w:rStyle w:val="BodyTextIndentBoldChar"/>
          <w:b w:val="0"/>
          <w:i/>
        </w:rPr>
        <w:t>Specification</w:t>
      </w:r>
      <w:r w:rsidRPr="00EC6028">
        <w:rPr>
          <w:rStyle w:val="BodyTextIndentBoldChar"/>
          <w:b w:val="0"/>
          <w:i/>
        </w:rPr>
        <w:t xml:space="preserve"> S310</w:t>
      </w:r>
      <w:r w:rsidR="00F81440">
        <w:rPr>
          <w:rStyle w:val="BodyTextIndentBoldChar"/>
          <w:b w:val="0"/>
          <w:i/>
        </w:rPr>
        <w:t>,</w:t>
      </w:r>
      <w:r w:rsidR="0007360D" w:rsidRPr="0007360D">
        <w:rPr>
          <w:rStyle w:val="BodyTextIndentBoldChar"/>
          <w:b w:val="0"/>
          <w:i/>
        </w:rPr>
        <w:t xml:space="preserve"> </w:t>
      </w:r>
      <w:r w:rsidR="0007360D" w:rsidRPr="00EC6028">
        <w:rPr>
          <w:rStyle w:val="BodyTextIndentBoldChar"/>
          <w:b w:val="0"/>
          <w:i/>
        </w:rPr>
        <w:t>Clause</w:t>
      </w:r>
      <w:r w:rsidR="0007360D">
        <w:t> </w:t>
      </w:r>
      <w:r w:rsidR="0007360D" w:rsidRPr="00EC6028">
        <w:rPr>
          <w:rStyle w:val="BodyTextIndentBoldChar"/>
          <w:b w:val="0"/>
          <w:i/>
        </w:rPr>
        <w:t>3.3</w:t>
      </w:r>
      <w:r>
        <w:t>.</w:t>
      </w:r>
    </w:p>
    <w:p w14:paraId="1DFAC420" w14:textId="77777777" w:rsidR="006D7490" w:rsidRDefault="001E53FC" w:rsidP="00925E66">
      <w:pPr>
        <w:pStyle w:val="Heading3"/>
      </w:pPr>
      <w:bookmarkStart w:id="22" w:name="_Toc76107341"/>
      <w:r>
        <w:t>Bitumen</w:t>
      </w:r>
      <w:bookmarkEnd w:id="22"/>
    </w:p>
    <w:p w14:paraId="1DFAC421" w14:textId="77777777" w:rsidR="00C636F9" w:rsidRDefault="00C636F9" w:rsidP="00EC6028">
      <w:pPr>
        <w:pStyle w:val="BodyTextIndent"/>
      </w:pPr>
      <w:r>
        <w:t xml:space="preserve">Bitumen used for emulsion manufacture shall comply with the requirements of </w:t>
      </w:r>
      <w:r w:rsidRPr="00EC6028">
        <w:rPr>
          <w:rStyle w:val="BodyTextIndentBoldChar"/>
          <w:b w:val="0"/>
          <w:i/>
        </w:rPr>
        <w:t>AS</w:t>
      </w:r>
      <w:r w:rsidR="00EC6028" w:rsidRPr="002E7498">
        <w:rPr>
          <w:i/>
        </w:rPr>
        <w:t> </w:t>
      </w:r>
      <w:r w:rsidRPr="00EC6028">
        <w:rPr>
          <w:rStyle w:val="BodyTextIndentBoldChar"/>
          <w:b w:val="0"/>
          <w:i/>
        </w:rPr>
        <w:t>200</w:t>
      </w:r>
      <w:r w:rsidR="00EC6028" w:rsidRPr="00EC6028">
        <w:rPr>
          <w:rStyle w:val="BodyTextIndentBoldChar"/>
          <w:i/>
        </w:rPr>
        <w:t>8</w:t>
      </w:r>
      <w:r>
        <w:t>.</w:t>
      </w:r>
    </w:p>
    <w:p w14:paraId="1DFAC422" w14:textId="61977B10" w:rsidR="00C636F9" w:rsidRDefault="00C636F9" w:rsidP="00DC1AF1">
      <w:pPr>
        <w:pStyle w:val="BodyTextIndent"/>
      </w:pPr>
      <w:r>
        <w:t>Polymer shall be added to the formulation of the emulsion to enhance its behaviour and field performance and meet the mix design performance requirements specified in</w:t>
      </w:r>
      <w:r w:rsidR="00A216FB" w:rsidRPr="00A216FB">
        <w:t xml:space="preserve"> </w:t>
      </w:r>
      <w:r w:rsidR="00A216FB" w:rsidRPr="00A216FB">
        <w:rPr>
          <w:i/>
        </w:rPr>
        <w:t xml:space="preserve">Clause 5.3 </w:t>
      </w:r>
      <w:r w:rsidR="00A216FB" w:rsidRPr="00F81440">
        <w:rPr>
          <w:iCs/>
        </w:rPr>
        <w:t>of this Specification</w:t>
      </w:r>
      <w:r w:rsidR="00524FE4">
        <w:t>.  T</w:t>
      </w:r>
      <w:r>
        <w:t xml:space="preserve">he minimum softening point of the </w:t>
      </w:r>
      <w:r w:rsidR="00DD740F">
        <w:t>polymer modified bitumen</w:t>
      </w:r>
      <w:r>
        <w:t xml:space="preserve"> shall be 57</w:t>
      </w:r>
      <w:r w:rsidR="00F81440">
        <w:rPr>
          <w:rFonts w:cs="Arial"/>
        </w:rPr>
        <w:t>°</w:t>
      </w:r>
      <w:r w:rsidR="00EC6028">
        <w:rPr>
          <w:rFonts w:cs="Arial"/>
        </w:rPr>
        <w:t>C</w:t>
      </w:r>
      <w:r w:rsidR="000932DD">
        <w:rPr>
          <w:rFonts w:cs="Arial"/>
        </w:rPr>
        <w:t>.</w:t>
      </w:r>
    </w:p>
    <w:p w14:paraId="1DFAC423" w14:textId="77777777" w:rsidR="00C636F9" w:rsidRDefault="005120FE" w:rsidP="00DC1AF1">
      <w:pPr>
        <w:pStyle w:val="BodyTextIndent"/>
      </w:pPr>
      <w:r>
        <w:t>Provide evidence to verify that the polymer modified binder supplied is the same as that nominated in the approved mix design.</w:t>
      </w:r>
    </w:p>
    <w:p w14:paraId="1DFAC424" w14:textId="77777777" w:rsidR="006D7490" w:rsidRDefault="001E53FC" w:rsidP="00925E66">
      <w:pPr>
        <w:pStyle w:val="Heading3"/>
      </w:pPr>
      <w:bookmarkStart w:id="23" w:name="_Toc76107342"/>
      <w:r>
        <w:t>Additives</w:t>
      </w:r>
      <w:bookmarkEnd w:id="23"/>
    </w:p>
    <w:p w14:paraId="1DFAC425" w14:textId="77777777" w:rsidR="006B7732" w:rsidRDefault="006B7732" w:rsidP="00DC1AF1">
      <w:pPr>
        <w:pStyle w:val="BodyTextIndent"/>
      </w:pPr>
      <w:r>
        <w:t>Additives may be used to control the setting speed of the mix depending on ambient condit</w:t>
      </w:r>
      <w:r w:rsidR="00FB2EEC">
        <w:t>ions and traffic requirements.</w:t>
      </w:r>
    </w:p>
    <w:p w14:paraId="1DFAC426" w14:textId="77777777" w:rsidR="006B7732" w:rsidRPr="00E542BB" w:rsidRDefault="00FB2EEC" w:rsidP="00DC1AF1">
      <w:pPr>
        <w:pStyle w:val="BodyTextIndent"/>
      </w:pPr>
      <w:r>
        <w:t>Provide evidence to verify that the any additive supplied is the same as that nominated in the approved mix design.</w:t>
      </w:r>
    </w:p>
    <w:p w14:paraId="1DFAC427" w14:textId="77777777" w:rsidR="00504969" w:rsidRDefault="00504969" w:rsidP="00925E66">
      <w:pPr>
        <w:pStyle w:val="Heading2"/>
      </w:pPr>
      <w:bookmarkStart w:id="24" w:name="_Toc76107343"/>
      <w:r>
        <w:t>MIX DESIGN</w:t>
      </w:r>
      <w:bookmarkEnd w:id="24"/>
    </w:p>
    <w:p w14:paraId="1DFAC428" w14:textId="77777777" w:rsidR="00504969" w:rsidRDefault="00504969" w:rsidP="00925E66">
      <w:pPr>
        <w:pStyle w:val="Heading3"/>
      </w:pPr>
      <w:bookmarkStart w:id="25" w:name="_Toc76107344"/>
      <w:r>
        <w:t>General</w:t>
      </w:r>
      <w:bookmarkEnd w:id="25"/>
    </w:p>
    <w:p w14:paraId="1DFAC429" w14:textId="77777777" w:rsidR="005251F0" w:rsidRPr="00A84FEE" w:rsidRDefault="00504969" w:rsidP="00DC1AF1">
      <w:pPr>
        <w:pStyle w:val="BodyTextIndent"/>
      </w:pPr>
      <w:r w:rsidRPr="00493B36">
        <w:rPr>
          <w:rStyle w:val="BodyTextIndentBoldUnderlineChar"/>
          <w:b w:val="0"/>
        </w:rPr>
        <w:t>Requirement</w:t>
      </w:r>
      <w:r w:rsidRPr="00037F9B">
        <w:rPr>
          <w:rStyle w:val="BodyTextIndentBoldUnderlineChar"/>
          <w:b w:val="0"/>
          <w:u w:val="none"/>
        </w:rPr>
        <w:t>:</w:t>
      </w:r>
      <w:r>
        <w:t xml:space="preserve"> </w:t>
      </w:r>
      <w:r w:rsidR="005251F0">
        <w:t>M</w:t>
      </w:r>
      <w:r w:rsidR="00097C6E">
        <w:t>anufacture m</w:t>
      </w:r>
      <w:r w:rsidR="005251F0">
        <w:t>icro-surfacing</w:t>
      </w:r>
      <w:r w:rsidR="005251F0" w:rsidRPr="00A84FEE">
        <w:t xml:space="preserve"> to </w:t>
      </w:r>
      <w:r w:rsidR="005251F0">
        <w:t>the</w:t>
      </w:r>
      <w:r w:rsidR="005251F0" w:rsidRPr="00A84FEE">
        <w:t xml:space="preserve"> mix design</w:t>
      </w:r>
      <w:r w:rsidR="005251F0">
        <w:t xml:space="preserve"> approved by the Superintendent.</w:t>
      </w:r>
    </w:p>
    <w:p w14:paraId="1DFAC42A" w14:textId="77777777" w:rsidR="005251F0" w:rsidRDefault="005251F0" w:rsidP="00DC1AF1">
      <w:pPr>
        <w:pStyle w:val="BodyTextIndent"/>
      </w:pPr>
      <w:r>
        <w:t>Notwithstanding these requirements, the Contractor shall take full responsibility for the mix design, manufacture, supply and laying of micro-surfacing.</w:t>
      </w:r>
    </w:p>
    <w:p w14:paraId="1DFAC42B" w14:textId="77777777" w:rsidR="005251F0" w:rsidRDefault="001E53FC" w:rsidP="00925E66">
      <w:pPr>
        <w:pStyle w:val="Heading3"/>
      </w:pPr>
      <w:bookmarkStart w:id="26" w:name="_Toc76107345"/>
      <w:r>
        <w:t>Grading</w:t>
      </w:r>
      <w:bookmarkEnd w:id="26"/>
    </w:p>
    <w:p w14:paraId="1DFAC42C" w14:textId="77777777" w:rsidR="00DC49AA" w:rsidRDefault="005251F0" w:rsidP="00C873C6">
      <w:pPr>
        <w:pStyle w:val="BodyTextIndent"/>
      </w:pPr>
      <w:r w:rsidRPr="00493B36">
        <w:rPr>
          <w:rStyle w:val="BodyTextIndentBoldUnderlineChar"/>
          <w:b w:val="0"/>
        </w:rPr>
        <w:t>Requirement</w:t>
      </w:r>
      <w:r w:rsidRPr="00037F9B">
        <w:rPr>
          <w:rStyle w:val="BodyTextIndentBoldUnderlineChar"/>
          <w:b w:val="0"/>
          <w:u w:val="none"/>
        </w:rPr>
        <w:t>:</w:t>
      </w:r>
      <w:r>
        <w:t xml:space="preserve"> Grading of the combined mineral aggregates and added filler must comply with </w:t>
      </w:r>
      <w:r w:rsidR="001B50FB">
        <w:t xml:space="preserve">the following limits. </w:t>
      </w:r>
      <w:r>
        <w:t xml:space="preserve"> The grading curve must be smooth and must not vary from the outer one-third of </w:t>
      </w:r>
      <w:r>
        <w:lastRenderedPageBreak/>
        <w:t>the range between the specified limits to the opposite one-third of the range between the specified limits for an adjacent sieve size.</w:t>
      </w:r>
    </w:p>
    <w:p w14:paraId="1DFAC42D" w14:textId="322CB8ED" w:rsidR="002E7498" w:rsidRDefault="002E7498" w:rsidP="007E08C0">
      <w:pPr>
        <w:pStyle w:val="TableLegend"/>
      </w:pPr>
      <w:r>
        <w:t>Table</w:t>
      </w:r>
      <w:r w:rsidR="00704086">
        <w:t> </w:t>
      </w:r>
      <w:r>
        <w:t>4.1 – Aggregate gradings</w:t>
      </w:r>
    </w:p>
    <w:tbl>
      <w:tblPr>
        <w:tblW w:w="8789" w:type="dxa"/>
        <w:tblInd w:w="817" w:type="dxa"/>
        <w:tblLook w:val="01E0" w:firstRow="1" w:lastRow="1" w:firstColumn="1" w:lastColumn="1" w:noHBand="0" w:noVBand="0"/>
      </w:tblPr>
      <w:tblGrid>
        <w:gridCol w:w="1363"/>
        <w:gridCol w:w="2475"/>
        <w:gridCol w:w="2475"/>
        <w:gridCol w:w="2476"/>
      </w:tblGrid>
      <w:tr w:rsidR="000E2F6D" w14:paraId="1DFAC431" w14:textId="77777777" w:rsidTr="002E7498">
        <w:trPr>
          <w:trHeight w:val="397"/>
        </w:trPr>
        <w:tc>
          <w:tcPr>
            <w:tcW w:w="1363" w:type="dxa"/>
            <w:vMerge w:val="restart"/>
            <w:tcBorders>
              <w:top w:val="single" w:sz="12" w:space="0" w:color="auto"/>
              <w:bottom w:val="single" w:sz="2" w:space="0" w:color="auto"/>
            </w:tcBorders>
            <w:shd w:val="pct10" w:color="auto" w:fill="auto"/>
            <w:vAlign w:val="center"/>
          </w:tcPr>
          <w:p w14:paraId="1DFAC42E" w14:textId="77777777" w:rsidR="000E2F6D" w:rsidRPr="0049663D" w:rsidRDefault="005A206B" w:rsidP="007E08C0">
            <w:pPr>
              <w:pStyle w:val="TableHeadCen"/>
            </w:pPr>
            <w:r w:rsidRPr="0049663D">
              <w:t xml:space="preserve">AS </w:t>
            </w:r>
            <w:r w:rsidR="000E2F6D" w:rsidRPr="0049663D">
              <w:t>Sieve Size (mm)</w:t>
            </w:r>
          </w:p>
        </w:tc>
        <w:tc>
          <w:tcPr>
            <w:tcW w:w="7426" w:type="dxa"/>
            <w:gridSpan w:val="3"/>
            <w:tcBorders>
              <w:top w:val="single" w:sz="12" w:space="0" w:color="auto"/>
              <w:bottom w:val="single" w:sz="2" w:space="0" w:color="auto"/>
            </w:tcBorders>
            <w:shd w:val="pct10" w:color="auto" w:fill="auto"/>
            <w:vAlign w:val="center"/>
          </w:tcPr>
          <w:p w14:paraId="1DFAC42F" w14:textId="77777777" w:rsidR="0049663D" w:rsidRDefault="000E2F6D" w:rsidP="007E08C0">
            <w:pPr>
              <w:pStyle w:val="TableHeadCen"/>
            </w:pPr>
            <w:r w:rsidRPr="0049663D">
              <w:t>Percentage Passing by Mass</w:t>
            </w:r>
          </w:p>
          <w:p w14:paraId="1DFAC430" w14:textId="77777777" w:rsidR="000E2F6D" w:rsidRPr="0049663D" w:rsidRDefault="000E2F6D" w:rsidP="007E08C0">
            <w:pPr>
              <w:pStyle w:val="TableHeadCen"/>
            </w:pPr>
            <w:r w:rsidRPr="0049663D">
              <w:t>Micro-Surfacing Nominal Size (mm)</w:t>
            </w:r>
          </w:p>
        </w:tc>
      </w:tr>
      <w:tr w:rsidR="000E2F6D" w14:paraId="1DFAC436" w14:textId="77777777" w:rsidTr="002E7498">
        <w:trPr>
          <w:trHeight w:val="397"/>
        </w:trPr>
        <w:tc>
          <w:tcPr>
            <w:tcW w:w="1363" w:type="dxa"/>
            <w:vMerge/>
            <w:tcBorders>
              <w:top w:val="single" w:sz="2" w:space="0" w:color="auto"/>
              <w:bottom w:val="single" w:sz="12" w:space="0" w:color="auto"/>
            </w:tcBorders>
            <w:shd w:val="pct10" w:color="auto" w:fill="auto"/>
            <w:vAlign w:val="center"/>
          </w:tcPr>
          <w:p w14:paraId="1DFAC432" w14:textId="77777777" w:rsidR="000E2F6D" w:rsidRPr="0049663D" w:rsidRDefault="000E2F6D" w:rsidP="00894E7C">
            <w:pPr>
              <w:pStyle w:val="TableHeadCen"/>
            </w:pPr>
          </w:p>
        </w:tc>
        <w:tc>
          <w:tcPr>
            <w:tcW w:w="2475" w:type="dxa"/>
            <w:tcBorders>
              <w:top w:val="single" w:sz="2" w:space="0" w:color="auto"/>
              <w:bottom w:val="single" w:sz="12" w:space="0" w:color="auto"/>
            </w:tcBorders>
            <w:shd w:val="pct10" w:color="auto" w:fill="auto"/>
            <w:vAlign w:val="center"/>
          </w:tcPr>
          <w:p w14:paraId="1DFAC433" w14:textId="6E49A885" w:rsidR="000E2F6D" w:rsidRPr="0049663D" w:rsidRDefault="000E2F6D" w:rsidP="00894E7C">
            <w:pPr>
              <w:pStyle w:val="TableHeadCen"/>
            </w:pPr>
            <w:r w:rsidRPr="0049663D">
              <w:t>Size</w:t>
            </w:r>
            <w:r w:rsidR="00F81440" w:rsidRPr="005B7388">
              <w:t> </w:t>
            </w:r>
            <w:r w:rsidRPr="0049663D">
              <w:t>5</w:t>
            </w:r>
          </w:p>
        </w:tc>
        <w:tc>
          <w:tcPr>
            <w:tcW w:w="2475" w:type="dxa"/>
            <w:tcBorders>
              <w:top w:val="single" w:sz="2" w:space="0" w:color="auto"/>
              <w:bottom w:val="single" w:sz="12" w:space="0" w:color="auto"/>
            </w:tcBorders>
            <w:shd w:val="pct10" w:color="auto" w:fill="auto"/>
            <w:vAlign w:val="center"/>
          </w:tcPr>
          <w:p w14:paraId="1DFAC434" w14:textId="1AD2D614" w:rsidR="000E2F6D" w:rsidRPr="0049663D" w:rsidRDefault="000E2F6D" w:rsidP="00894E7C">
            <w:pPr>
              <w:pStyle w:val="TableHeadCen"/>
            </w:pPr>
            <w:r w:rsidRPr="0049663D">
              <w:t>Size</w:t>
            </w:r>
            <w:r w:rsidR="00F81440" w:rsidRPr="005B7388">
              <w:t> </w:t>
            </w:r>
            <w:r w:rsidRPr="0049663D">
              <w:t>7</w:t>
            </w:r>
          </w:p>
        </w:tc>
        <w:tc>
          <w:tcPr>
            <w:tcW w:w="2476" w:type="dxa"/>
            <w:tcBorders>
              <w:top w:val="single" w:sz="2" w:space="0" w:color="auto"/>
              <w:bottom w:val="single" w:sz="12" w:space="0" w:color="auto"/>
            </w:tcBorders>
            <w:shd w:val="pct10" w:color="auto" w:fill="auto"/>
            <w:vAlign w:val="center"/>
          </w:tcPr>
          <w:p w14:paraId="1DFAC435" w14:textId="256B7623" w:rsidR="000E2F6D" w:rsidRPr="0049663D" w:rsidRDefault="000E2F6D" w:rsidP="00894E7C">
            <w:pPr>
              <w:pStyle w:val="TableHeadCen"/>
            </w:pPr>
            <w:r w:rsidRPr="0049663D">
              <w:t>Size</w:t>
            </w:r>
            <w:r w:rsidR="00F81440" w:rsidRPr="005B7388">
              <w:t> </w:t>
            </w:r>
            <w:r w:rsidRPr="0049663D">
              <w:t>10</w:t>
            </w:r>
          </w:p>
        </w:tc>
      </w:tr>
      <w:tr w:rsidR="00AD7F2A" w14:paraId="1DFAC43B" w14:textId="77777777" w:rsidTr="002E7498">
        <w:trPr>
          <w:trHeight w:val="340"/>
        </w:trPr>
        <w:tc>
          <w:tcPr>
            <w:tcW w:w="1363" w:type="dxa"/>
            <w:tcBorders>
              <w:top w:val="single" w:sz="12" w:space="0" w:color="auto"/>
              <w:bottom w:val="single" w:sz="6" w:space="0" w:color="auto"/>
            </w:tcBorders>
            <w:vAlign w:val="center"/>
          </w:tcPr>
          <w:p w14:paraId="1DFAC437" w14:textId="77777777" w:rsidR="00AD7F2A" w:rsidRDefault="000E2F6D" w:rsidP="007E08C0">
            <w:pPr>
              <w:pStyle w:val="TableCen"/>
            </w:pPr>
            <w:r>
              <w:t>13.2</w:t>
            </w:r>
          </w:p>
        </w:tc>
        <w:tc>
          <w:tcPr>
            <w:tcW w:w="2475" w:type="dxa"/>
            <w:tcBorders>
              <w:top w:val="single" w:sz="12" w:space="0" w:color="auto"/>
              <w:bottom w:val="single" w:sz="6" w:space="0" w:color="auto"/>
            </w:tcBorders>
            <w:vAlign w:val="center"/>
          </w:tcPr>
          <w:p w14:paraId="1DFAC438" w14:textId="77777777" w:rsidR="00AD7F2A" w:rsidRDefault="00AD7F2A" w:rsidP="007E08C0">
            <w:pPr>
              <w:pStyle w:val="TableCen"/>
            </w:pPr>
          </w:p>
        </w:tc>
        <w:tc>
          <w:tcPr>
            <w:tcW w:w="2475" w:type="dxa"/>
            <w:tcBorders>
              <w:top w:val="single" w:sz="12" w:space="0" w:color="auto"/>
              <w:bottom w:val="single" w:sz="6" w:space="0" w:color="auto"/>
            </w:tcBorders>
            <w:vAlign w:val="center"/>
          </w:tcPr>
          <w:p w14:paraId="1DFAC439" w14:textId="77777777" w:rsidR="00AD7F2A" w:rsidRDefault="00AD7F2A" w:rsidP="007E08C0">
            <w:pPr>
              <w:pStyle w:val="TableCen"/>
            </w:pPr>
          </w:p>
        </w:tc>
        <w:tc>
          <w:tcPr>
            <w:tcW w:w="2476" w:type="dxa"/>
            <w:tcBorders>
              <w:top w:val="single" w:sz="12" w:space="0" w:color="auto"/>
              <w:bottom w:val="single" w:sz="6" w:space="0" w:color="auto"/>
            </w:tcBorders>
            <w:vAlign w:val="center"/>
          </w:tcPr>
          <w:p w14:paraId="1DFAC43A" w14:textId="77777777" w:rsidR="00AD7F2A" w:rsidRDefault="005A206B" w:rsidP="007E08C0">
            <w:pPr>
              <w:pStyle w:val="TableCen"/>
            </w:pPr>
            <w:r>
              <w:t>100</w:t>
            </w:r>
          </w:p>
        </w:tc>
      </w:tr>
      <w:tr w:rsidR="00AD7F2A" w14:paraId="1DFAC440" w14:textId="77777777" w:rsidTr="002E7498">
        <w:trPr>
          <w:trHeight w:val="340"/>
        </w:trPr>
        <w:tc>
          <w:tcPr>
            <w:tcW w:w="1363" w:type="dxa"/>
            <w:tcBorders>
              <w:top w:val="single" w:sz="6" w:space="0" w:color="auto"/>
              <w:bottom w:val="single" w:sz="6" w:space="0" w:color="auto"/>
            </w:tcBorders>
            <w:vAlign w:val="center"/>
          </w:tcPr>
          <w:p w14:paraId="1DFAC43C" w14:textId="77777777" w:rsidR="00AD7F2A" w:rsidRDefault="000E2F6D" w:rsidP="007E08C0">
            <w:pPr>
              <w:pStyle w:val="TableCen"/>
            </w:pPr>
            <w:r>
              <w:t>9.5</w:t>
            </w:r>
          </w:p>
        </w:tc>
        <w:tc>
          <w:tcPr>
            <w:tcW w:w="2475" w:type="dxa"/>
            <w:tcBorders>
              <w:top w:val="single" w:sz="6" w:space="0" w:color="auto"/>
              <w:bottom w:val="single" w:sz="6" w:space="0" w:color="auto"/>
            </w:tcBorders>
            <w:vAlign w:val="center"/>
          </w:tcPr>
          <w:p w14:paraId="1DFAC43D" w14:textId="77777777" w:rsidR="00AD7F2A" w:rsidRDefault="00AD7F2A" w:rsidP="007E08C0">
            <w:pPr>
              <w:pStyle w:val="TableCen"/>
            </w:pPr>
          </w:p>
        </w:tc>
        <w:tc>
          <w:tcPr>
            <w:tcW w:w="2475" w:type="dxa"/>
            <w:tcBorders>
              <w:top w:val="single" w:sz="6" w:space="0" w:color="auto"/>
              <w:bottom w:val="single" w:sz="6" w:space="0" w:color="auto"/>
            </w:tcBorders>
            <w:vAlign w:val="center"/>
          </w:tcPr>
          <w:p w14:paraId="1DFAC43E" w14:textId="77777777" w:rsidR="00AD7F2A" w:rsidRDefault="000E2F6D" w:rsidP="007E08C0">
            <w:pPr>
              <w:pStyle w:val="TableCen"/>
            </w:pPr>
            <w:r>
              <w:t>100</w:t>
            </w:r>
          </w:p>
        </w:tc>
        <w:tc>
          <w:tcPr>
            <w:tcW w:w="2476" w:type="dxa"/>
            <w:tcBorders>
              <w:top w:val="single" w:sz="6" w:space="0" w:color="auto"/>
              <w:bottom w:val="single" w:sz="6" w:space="0" w:color="auto"/>
            </w:tcBorders>
            <w:vAlign w:val="center"/>
          </w:tcPr>
          <w:p w14:paraId="1DFAC43F" w14:textId="78BF2F57" w:rsidR="00AD7F2A" w:rsidRDefault="005A206B" w:rsidP="007E08C0">
            <w:pPr>
              <w:pStyle w:val="TableCen"/>
            </w:pPr>
            <w:r>
              <w:t>85</w:t>
            </w:r>
            <w:r w:rsidR="00A542E6">
              <w:t> - </w:t>
            </w:r>
            <w:r>
              <w:t>100</w:t>
            </w:r>
          </w:p>
        </w:tc>
      </w:tr>
      <w:tr w:rsidR="00AD7F2A" w14:paraId="1DFAC445" w14:textId="77777777" w:rsidTr="002E7498">
        <w:trPr>
          <w:trHeight w:val="340"/>
        </w:trPr>
        <w:tc>
          <w:tcPr>
            <w:tcW w:w="1363" w:type="dxa"/>
            <w:tcBorders>
              <w:top w:val="single" w:sz="6" w:space="0" w:color="auto"/>
              <w:bottom w:val="single" w:sz="6" w:space="0" w:color="auto"/>
            </w:tcBorders>
            <w:vAlign w:val="center"/>
          </w:tcPr>
          <w:p w14:paraId="1DFAC441" w14:textId="77777777" w:rsidR="00AD7F2A" w:rsidRDefault="000E2F6D" w:rsidP="007E08C0">
            <w:pPr>
              <w:pStyle w:val="TableCen"/>
            </w:pPr>
            <w:r>
              <w:t>6.7</w:t>
            </w:r>
          </w:p>
        </w:tc>
        <w:tc>
          <w:tcPr>
            <w:tcW w:w="2475" w:type="dxa"/>
            <w:tcBorders>
              <w:top w:val="single" w:sz="6" w:space="0" w:color="auto"/>
              <w:bottom w:val="single" w:sz="6" w:space="0" w:color="auto"/>
            </w:tcBorders>
            <w:vAlign w:val="center"/>
          </w:tcPr>
          <w:p w14:paraId="1DFAC442" w14:textId="77777777" w:rsidR="00AD7F2A" w:rsidRDefault="000E2F6D" w:rsidP="007E08C0">
            <w:pPr>
              <w:pStyle w:val="TableCen"/>
            </w:pPr>
            <w:r>
              <w:t>100</w:t>
            </w:r>
          </w:p>
        </w:tc>
        <w:tc>
          <w:tcPr>
            <w:tcW w:w="2475" w:type="dxa"/>
            <w:tcBorders>
              <w:top w:val="single" w:sz="6" w:space="0" w:color="auto"/>
              <w:bottom w:val="single" w:sz="6" w:space="0" w:color="auto"/>
            </w:tcBorders>
            <w:vAlign w:val="center"/>
          </w:tcPr>
          <w:p w14:paraId="1DFAC443" w14:textId="5988153D" w:rsidR="00AD7F2A" w:rsidRDefault="005A206B" w:rsidP="007E08C0">
            <w:pPr>
              <w:pStyle w:val="TableCen"/>
            </w:pPr>
            <w:r>
              <w:t>85</w:t>
            </w:r>
            <w:r w:rsidR="00A542E6">
              <w:t> - </w:t>
            </w:r>
            <w:r>
              <w:t>100</w:t>
            </w:r>
          </w:p>
        </w:tc>
        <w:tc>
          <w:tcPr>
            <w:tcW w:w="2476" w:type="dxa"/>
            <w:tcBorders>
              <w:top w:val="single" w:sz="6" w:space="0" w:color="auto"/>
              <w:bottom w:val="single" w:sz="6" w:space="0" w:color="auto"/>
            </w:tcBorders>
            <w:vAlign w:val="center"/>
          </w:tcPr>
          <w:p w14:paraId="1DFAC444" w14:textId="26A6F730" w:rsidR="00AD7F2A" w:rsidRDefault="005A206B" w:rsidP="007E08C0">
            <w:pPr>
              <w:pStyle w:val="TableCen"/>
            </w:pPr>
            <w:r>
              <w:t>70</w:t>
            </w:r>
            <w:r w:rsidR="00A542E6">
              <w:t> - </w:t>
            </w:r>
            <w:r>
              <w:t>90</w:t>
            </w:r>
          </w:p>
        </w:tc>
      </w:tr>
      <w:tr w:rsidR="00AD7F2A" w14:paraId="1DFAC44A" w14:textId="77777777" w:rsidTr="002E7498">
        <w:trPr>
          <w:trHeight w:val="340"/>
        </w:trPr>
        <w:tc>
          <w:tcPr>
            <w:tcW w:w="1363" w:type="dxa"/>
            <w:tcBorders>
              <w:top w:val="single" w:sz="6" w:space="0" w:color="auto"/>
              <w:bottom w:val="single" w:sz="6" w:space="0" w:color="auto"/>
            </w:tcBorders>
            <w:vAlign w:val="center"/>
          </w:tcPr>
          <w:p w14:paraId="1DFAC446" w14:textId="77777777" w:rsidR="00AD7F2A" w:rsidRDefault="000E2F6D" w:rsidP="007E08C0">
            <w:pPr>
              <w:pStyle w:val="TableCen"/>
            </w:pPr>
            <w:r>
              <w:t>4.75</w:t>
            </w:r>
          </w:p>
        </w:tc>
        <w:tc>
          <w:tcPr>
            <w:tcW w:w="2475" w:type="dxa"/>
            <w:tcBorders>
              <w:top w:val="single" w:sz="6" w:space="0" w:color="auto"/>
              <w:bottom w:val="single" w:sz="6" w:space="0" w:color="auto"/>
            </w:tcBorders>
            <w:vAlign w:val="center"/>
          </w:tcPr>
          <w:p w14:paraId="1DFAC447" w14:textId="5621EDD4" w:rsidR="00AD7F2A" w:rsidRDefault="000E2F6D" w:rsidP="007E08C0">
            <w:pPr>
              <w:pStyle w:val="TableCen"/>
            </w:pPr>
            <w:r>
              <w:t>85</w:t>
            </w:r>
            <w:r w:rsidR="00704086">
              <w:t> </w:t>
            </w:r>
            <w:r w:rsidR="00A542E6">
              <w:t>-</w:t>
            </w:r>
            <w:r w:rsidR="002908CC">
              <w:t> </w:t>
            </w:r>
            <w:r>
              <w:t>100</w:t>
            </w:r>
          </w:p>
        </w:tc>
        <w:tc>
          <w:tcPr>
            <w:tcW w:w="2475" w:type="dxa"/>
            <w:tcBorders>
              <w:top w:val="single" w:sz="6" w:space="0" w:color="auto"/>
              <w:bottom w:val="single" w:sz="6" w:space="0" w:color="auto"/>
            </w:tcBorders>
            <w:vAlign w:val="center"/>
          </w:tcPr>
          <w:p w14:paraId="1DFAC448" w14:textId="23633AF3" w:rsidR="00AD7F2A" w:rsidRDefault="005A206B" w:rsidP="007E08C0">
            <w:pPr>
              <w:pStyle w:val="TableCen"/>
            </w:pPr>
            <w:r>
              <w:t>72</w:t>
            </w:r>
            <w:r w:rsidR="00A542E6">
              <w:t> - </w:t>
            </w:r>
            <w:r>
              <w:t>87</w:t>
            </w:r>
          </w:p>
        </w:tc>
        <w:tc>
          <w:tcPr>
            <w:tcW w:w="2476" w:type="dxa"/>
            <w:tcBorders>
              <w:top w:val="single" w:sz="6" w:space="0" w:color="auto"/>
              <w:bottom w:val="single" w:sz="6" w:space="0" w:color="auto"/>
            </w:tcBorders>
            <w:vAlign w:val="center"/>
          </w:tcPr>
          <w:p w14:paraId="1DFAC449" w14:textId="38B41771" w:rsidR="00AD7F2A" w:rsidRDefault="005A206B" w:rsidP="007E08C0">
            <w:pPr>
              <w:pStyle w:val="TableCen"/>
            </w:pPr>
            <w:r>
              <w:t>60</w:t>
            </w:r>
            <w:r w:rsidR="00A542E6">
              <w:t> - </w:t>
            </w:r>
            <w:r>
              <w:t>80</w:t>
            </w:r>
          </w:p>
        </w:tc>
      </w:tr>
      <w:tr w:rsidR="00AD7F2A" w14:paraId="1DFAC44F" w14:textId="77777777" w:rsidTr="002E7498">
        <w:trPr>
          <w:trHeight w:val="340"/>
        </w:trPr>
        <w:tc>
          <w:tcPr>
            <w:tcW w:w="1363" w:type="dxa"/>
            <w:tcBorders>
              <w:top w:val="single" w:sz="6" w:space="0" w:color="auto"/>
              <w:bottom w:val="single" w:sz="6" w:space="0" w:color="auto"/>
            </w:tcBorders>
            <w:vAlign w:val="center"/>
          </w:tcPr>
          <w:p w14:paraId="1DFAC44B" w14:textId="77777777" w:rsidR="00AD7F2A" w:rsidRDefault="000E2F6D" w:rsidP="007E08C0">
            <w:pPr>
              <w:pStyle w:val="TableCen"/>
            </w:pPr>
            <w:r>
              <w:t>2.36</w:t>
            </w:r>
          </w:p>
        </w:tc>
        <w:tc>
          <w:tcPr>
            <w:tcW w:w="2475" w:type="dxa"/>
            <w:tcBorders>
              <w:top w:val="single" w:sz="6" w:space="0" w:color="auto"/>
              <w:bottom w:val="single" w:sz="6" w:space="0" w:color="auto"/>
            </w:tcBorders>
            <w:vAlign w:val="center"/>
          </w:tcPr>
          <w:p w14:paraId="1DFAC44C" w14:textId="30A99CEA" w:rsidR="00AD7F2A" w:rsidRDefault="000E2F6D" w:rsidP="007E08C0">
            <w:pPr>
              <w:pStyle w:val="TableCen"/>
            </w:pPr>
            <w:r>
              <w:t>60</w:t>
            </w:r>
            <w:r w:rsidR="002908CC">
              <w:t> </w:t>
            </w:r>
            <w:r w:rsidR="00A542E6">
              <w:t>-</w:t>
            </w:r>
            <w:r w:rsidR="002908CC">
              <w:t> </w:t>
            </w:r>
            <w:r>
              <w:t>85</w:t>
            </w:r>
          </w:p>
        </w:tc>
        <w:tc>
          <w:tcPr>
            <w:tcW w:w="2475" w:type="dxa"/>
            <w:tcBorders>
              <w:top w:val="single" w:sz="6" w:space="0" w:color="auto"/>
              <w:bottom w:val="single" w:sz="6" w:space="0" w:color="auto"/>
            </w:tcBorders>
            <w:vAlign w:val="center"/>
          </w:tcPr>
          <w:p w14:paraId="1DFAC44D" w14:textId="75F57ECB" w:rsidR="00AD7F2A" w:rsidRDefault="005A206B" w:rsidP="007E08C0">
            <w:pPr>
              <w:pStyle w:val="TableCen"/>
            </w:pPr>
            <w:r>
              <w:t>50</w:t>
            </w:r>
            <w:r w:rsidR="00A542E6">
              <w:t> - </w:t>
            </w:r>
            <w:r>
              <w:t>70</w:t>
            </w:r>
          </w:p>
        </w:tc>
        <w:tc>
          <w:tcPr>
            <w:tcW w:w="2476" w:type="dxa"/>
            <w:tcBorders>
              <w:top w:val="single" w:sz="6" w:space="0" w:color="auto"/>
              <w:bottom w:val="single" w:sz="6" w:space="0" w:color="auto"/>
            </w:tcBorders>
            <w:vAlign w:val="center"/>
          </w:tcPr>
          <w:p w14:paraId="1DFAC44E" w14:textId="7F39F2C5" w:rsidR="00AD7F2A" w:rsidRDefault="005A206B" w:rsidP="007E08C0">
            <w:pPr>
              <w:pStyle w:val="TableCen"/>
            </w:pPr>
            <w:r>
              <w:t>42</w:t>
            </w:r>
            <w:r w:rsidR="00A542E6">
              <w:t> - </w:t>
            </w:r>
            <w:r>
              <w:t>60</w:t>
            </w:r>
          </w:p>
        </w:tc>
      </w:tr>
      <w:tr w:rsidR="00AD7F2A" w14:paraId="1DFAC454" w14:textId="77777777" w:rsidTr="002E7498">
        <w:trPr>
          <w:trHeight w:val="340"/>
        </w:trPr>
        <w:tc>
          <w:tcPr>
            <w:tcW w:w="1363" w:type="dxa"/>
            <w:tcBorders>
              <w:top w:val="single" w:sz="6" w:space="0" w:color="auto"/>
              <w:bottom w:val="single" w:sz="6" w:space="0" w:color="auto"/>
            </w:tcBorders>
            <w:vAlign w:val="center"/>
          </w:tcPr>
          <w:p w14:paraId="1DFAC450" w14:textId="77777777" w:rsidR="00AD7F2A" w:rsidRDefault="000E2F6D" w:rsidP="007E08C0">
            <w:pPr>
              <w:pStyle w:val="TableCen"/>
            </w:pPr>
            <w:r>
              <w:t>1.18</w:t>
            </w:r>
          </w:p>
        </w:tc>
        <w:tc>
          <w:tcPr>
            <w:tcW w:w="2475" w:type="dxa"/>
            <w:tcBorders>
              <w:top w:val="single" w:sz="6" w:space="0" w:color="auto"/>
              <w:bottom w:val="single" w:sz="6" w:space="0" w:color="auto"/>
            </w:tcBorders>
            <w:vAlign w:val="center"/>
          </w:tcPr>
          <w:p w14:paraId="1DFAC451" w14:textId="6CD2B6D1" w:rsidR="00AD7F2A" w:rsidRDefault="000E2F6D" w:rsidP="007E08C0">
            <w:pPr>
              <w:pStyle w:val="TableCen"/>
            </w:pPr>
            <w:r>
              <w:t>42</w:t>
            </w:r>
            <w:r w:rsidR="002908CC">
              <w:t> </w:t>
            </w:r>
            <w:r w:rsidR="00037F9B">
              <w:t>-</w:t>
            </w:r>
            <w:r w:rsidR="002908CC">
              <w:t> </w:t>
            </w:r>
            <w:r>
              <w:t>65</w:t>
            </w:r>
          </w:p>
        </w:tc>
        <w:tc>
          <w:tcPr>
            <w:tcW w:w="2475" w:type="dxa"/>
            <w:tcBorders>
              <w:top w:val="single" w:sz="6" w:space="0" w:color="auto"/>
              <w:bottom w:val="single" w:sz="6" w:space="0" w:color="auto"/>
            </w:tcBorders>
            <w:vAlign w:val="center"/>
          </w:tcPr>
          <w:p w14:paraId="1DFAC452" w14:textId="6ABC5D3E" w:rsidR="00AD7F2A" w:rsidRDefault="005A206B" w:rsidP="007E08C0">
            <w:pPr>
              <w:pStyle w:val="TableCen"/>
            </w:pPr>
            <w:r>
              <w:t>33</w:t>
            </w:r>
            <w:r w:rsidR="00A542E6">
              <w:t> - </w:t>
            </w:r>
            <w:r>
              <w:t>51</w:t>
            </w:r>
          </w:p>
        </w:tc>
        <w:tc>
          <w:tcPr>
            <w:tcW w:w="2476" w:type="dxa"/>
            <w:tcBorders>
              <w:top w:val="single" w:sz="6" w:space="0" w:color="auto"/>
              <w:bottom w:val="single" w:sz="6" w:space="0" w:color="auto"/>
            </w:tcBorders>
            <w:vAlign w:val="center"/>
          </w:tcPr>
          <w:p w14:paraId="1DFAC453" w14:textId="49CFAB0A" w:rsidR="00AD7F2A" w:rsidRDefault="005A206B" w:rsidP="007E08C0">
            <w:pPr>
              <w:pStyle w:val="TableCen"/>
            </w:pPr>
            <w:r>
              <w:t>28</w:t>
            </w:r>
            <w:r w:rsidR="00A542E6">
              <w:t> - </w:t>
            </w:r>
            <w:r>
              <w:t>46</w:t>
            </w:r>
          </w:p>
        </w:tc>
      </w:tr>
      <w:tr w:rsidR="00AD7F2A" w14:paraId="1DFAC459" w14:textId="77777777" w:rsidTr="002E7498">
        <w:trPr>
          <w:trHeight w:val="340"/>
        </w:trPr>
        <w:tc>
          <w:tcPr>
            <w:tcW w:w="1363" w:type="dxa"/>
            <w:tcBorders>
              <w:top w:val="single" w:sz="6" w:space="0" w:color="auto"/>
              <w:bottom w:val="single" w:sz="6" w:space="0" w:color="auto"/>
            </w:tcBorders>
            <w:vAlign w:val="center"/>
          </w:tcPr>
          <w:p w14:paraId="1DFAC455" w14:textId="77777777" w:rsidR="00AD7F2A" w:rsidRDefault="000E2F6D" w:rsidP="007E08C0">
            <w:pPr>
              <w:pStyle w:val="TableCen"/>
            </w:pPr>
            <w:r>
              <w:t>0.60</w:t>
            </w:r>
          </w:p>
        </w:tc>
        <w:tc>
          <w:tcPr>
            <w:tcW w:w="2475" w:type="dxa"/>
            <w:tcBorders>
              <w:top w:val="single" w:sz="6" w:space="0" w:color="auto"/>
              <w:bottom w:val="single" w:sz="6" w:space="0" w:color="auto"/>
            </w:tcBorders>
            <w:vAlign w:val="center"/>
          </w:tcPr>
          <w:p w14:paraId="1DFAC456" w14:textId="3EE16FDC" w:rsidR="00AD7F2A" w:rsidRDefault="000E2F6D" w:rsidP="007E08C0">
            <w:pPr>
              <w:pStyle w:val="TableCen"/>
            </w:pPr>
            <w:r>
              <w:t>28</w:t>
            </w:r>
            <w:r w:rsidR="00A542E6">
              <w:t> - </w:t>
            </w:r>
            <w:r>
              <w:t>47</w:t>
            </w:r>
          </w:p>
        </w:tc>
        <w:tc>
          <w:tcPr>
            <w:tcW w:w="2475" w:type="dxa"/>
            <w:tcBorders>
              <w:top w:val="single" w:sz="6" w:space="0" w:color="auto"/>
              <w:bottom w:val="single" w:sz="6" w:space="0" w:color="auto"/>
            </w:tcBorders>
            <w:vAlign w:val="center"/>
          </w:tcPr>
          <w:p w14:paraId="1DFAC457" w14:textId="698D1181" w:rsidR="00AD7F2A" w:rsidRDefault="005A206B" w:rsidP="007E08C0">
            <w:pPr>
              <w:pStyle w:val="TableCen"/>
            </w:pPr>
            <w:r>
              <w:t>22</w:t>
            </w:r>
            <w:r w:rsidR="00A542E6">
              <w:t> - </w:t>
            </w:r>
            <w:r>
              <w:t>38</w:t>
            </w:r>
          </w:p>
        </w:tc>
        <w:tc>
          <w:tcPr>
            <w:tcW w:w="2476" w:type="dxa"/>
            <w:tcBorders>
              <w:top w:val="single" w:sz="6" w:space="0" w:color="auto"/>
              <w:bottom w:val="single" w:sz="6" w:space="0" w:color="auto"/>
            </w:tcBorders>
            <w:vAlign w:val="center"/>
          </w:tcPr>
          <w:p w14:paraId="1DFAC458" w14:textId="63E55FBF" w:rsidR="00AD7F2A" w:rsidRDefault="005A206B" w:rsidP="007E08C0">
            <w:pPr>
              <w:pStyle w:val="TableCen"/>
            </w:pPr>
            <w:r>
              <w:t>19</w:t>
            </w:r>
            <w:r w:rsidR="00A542E6">
              <w:t> - </w:t>
            </w:r>
            <w:r>
              <w:t>34</w:t>
            </w:r>
          </w:p>
        </w:tc>
      </w:tr>
      <w:tr w:rsidR="00AD7F2A" w14:paraId="1DFAC45E" w14:textId="77777777" w:rsidTr="002E7498">
        <w:trPr>
          <w:trHeight w:val="340"/>
        </w:trPr>
        <w:tc>
          <w:tcPr>
            <w:tcW w:w="1363" w:type="dxa"/>
            <w:tcBorders>
              <w:top w:val="single" w:sz="6" w:space="0" w:color="auto"/>
              <w:bottom w:val="single" w:sz="6" w:space="0" w:color="auto"/>
            </w:tcBorders>
            <w:vAlign w:val="center"/>
          </w:tcPr>
          <w:p w14:paraId="1DFAC45A" w14:textId="77777777" w:rsidR="00AD7F2A" w:rsidRDefault="000E2F6D" w:rsidP="007E08C0">
            <w:pPr>
              <w:pStyle w:val="TableCen"/>
            </w:pPr>
            <w:r>
              <w:t>0.30</w:t>
            </w:r>
          </w:p>
        </w:tc>
        <w:tc>
          <w:tcPr>
            <w:tcW w:w="2475" w:type="dxa"/>
            <w:tcBorders>
              <w:top w:val="single" w:sz="6" w:space="0" w:color="auto"/>
              <w:bottom w:val="single" w:sz="6" w:space="0" w:color="auto"/>
            </w:tcBorders>
            <w:vAlign w:val="center"/>
          </w:tcPr>
          <w:p w14:paraId="1DFAC45B" w14:textId="71971313" w:rsidR="00AD7F2A" w:rsidRDefault="000E2F6D" w:rsidP="007E08C0">
            <w:pPr>
              <w:pStyle w:val="TableCen"/>
            </w:pPr>
            <w:r>
              <w:t>18</w:t>
            </w:r>
            <w:r w:rsidR="00A542E6">
              <w:t> - </w:t>
            </w:r>
            <w:r>
              <w:t>32</w:t>
            </w:r>
          </w:p>
        </w:tc>
        <w:tc>
          <w:tcPr>
            <w:tcW w:w="2475" w:type="dxa"/>
            <w:tcBorders>
              <w:top w:val="single" w:sz="6" w:space="0" w:color="auto"/>
              <w:bottom w:val="single" w:sz="6" w:space="0" w:color="auto"/>
            </w:tcBorders>
            <w:vAlign w:val="center"/>
          </w:tcPr>
          <w:p w14:paraId="1DFAC45C" w14:textId="4BC3C74C" w:rsidR="00AD7F2A" w:rsidRDefault="005A206B" w:rsidP="007E08C0">
            <w:pPr>
              <w:pStyle w:val="TableCen"/>
            </w:pPr>
            <w:r>
              <w:t>13</w:t>
            </w:r>
            <w:r w:rsidR="00A542E6">
              <w:t> - </w:t>
            </w:r>
            <w:r>
              <w:t>27</w:t>
            </w:r>
          </w:p>
        </w:tc>
        <w:tc>
          <w:tcPr>
            <w:tcW w:w="2476" w:type="dxa"/>
            <w:tcBorders>
              <w:top w:val="single" w:sz="6" w:space="0" w:color="auto"/>
              <w:bottom w:val="single" w:sz="6" w:space="0" w:color="auto"/>
            </w:tcBorders>
            <w:vAlign w:val="center"/>
          </w:tcPr>
          <w:p w14:paraId="1DFAC45D" w14:textId="30C19124" w:rsidR="00AD7F2A" w:rsidRDefault="005A206B" w:rsidP="007E08C0">
            <w:pPr>
              <w:pStyle w:val="TableCen"/>
            </w:pPr>
            <w:r>
              <w:t>12</w:t>
            </w:r>
            <w:r w:rsidR="00A542E6">
              <w:t> - </w:t>
            </w:r>
            <w:r>
              <w:t>25</w:t>
            </w:r>
          </w:p>
        </w:tc>
      </w:tr>
      <w:tr w:rsidR="00AD7F2A" w14:paraId="1DFAC463" w14:textId="77777777" w:rsidTr="002E7498">
        <w:trPr>
          <w:trHeight w:val="340"/>
        </w:trPr>
        <w:tc>
          <w:tcPr>
            <w:tcW w:w="1363" w:type="dxa"/>
            <w:tcBorders>
              <w:top w:val="single" w:sz="6" w:space="0" w:color="auto"/>
              <w:bottom w:val="single" w:sz="6" w:space="0" w:color="auto"/>
            </w:tcBorders>
            <w:vAlign w:val="center"/>
          </w:tcPr>
          <w:p w14:paraId="1DFAC45F" w14:textId="77777777" w:rsidR="00AD7F2A" w:rsidRDefault="000E2F6D" w:rsidP="007E08C0">
            <w:pPr>
              <w:pStyle w:val="TableCen"/>
            </w:pPr>
            <w:r>
              <w:t>0.15</w:t>
            </w:r>
          </w:p>
        </w:tc>
        <w:tc>
          <w:tcPr>
            <w:tcW w:w="2475" w:type="dxa"/>
            <w:tcBorders>
              <w:top w:val="single" w:sz="6" w:space="0" w:color="auto"/>
              <w:bottom w:val="single" w:sz="6" w:space="0" w:color="auto"/>
            </w:tcBorders>
            <w:vAlign w:val="center"/>
          </w:tcPr>
          <w:p w14:paraId="1DFAC460" w14:textId="55EC155E" w:rsidR="00AD7F2A" w:rsidRDefault="000E2F6D" w:rsidP="007E08C0">
            <w:pPr>
              <w:pStyle w:val="TableCen"/>
            </w:pPr>
            <w:r>
              <w:t>11</w:t>
            </w:r>
            <w:r w:rsidR="00A542E6">
              <w:t> - </w:t>
            </w:r>
            <w:r>
              <w:t>22</w:t>
            </w:r>
          </w:p>
        </w:tc>
        <w:tc>
          <w:tcPr>
            <w:tcW w:w="2475" w:type="dxa"/>
            <w:tcBorders>
              <w:top w:val="single" w:sz="6" w:space="0" w:color="auto"/>
              <w:bottom w:val="single" w:sz="6" w:space="0" w:color="auto"/>
            </w:tcBorders>
            <w:vAlign w:val="center"/>
          </w:tcPr>
          <w:p w14:paraId="1DFAC461" w14:textId="603C0C9D" w:rsidR="00AD7F2A" w:rsidRDefault="005A206B" w:rsidP="007E08C0">
            <w:pPr>
              <w:pStyle w:val="TableCen"/>
            </w:pPr>
            <w:r>
              <w:t>8</w:t>
            </w:r>
            <w:r w:rsidR="00A542E6">
              <w:t> - </w:t>
            </w:r>
            <w:r w:rsidR="00102DC0">
              <w:t>1</w:t>
            </w:r>
            <w:r>
              <w:t>9</w:t>
            </w:r>
          </w:p>
        </w:tc>
        <w:tc>
          <w:tcPr>
            <w:tcW w:w="2476" w:type="dxa"/>
            <w:tcBorders>
              <w:top w:val="single" w:sz="6" w:space="0" w:color="auto"/>
              <w:bottom w:val="single" w:sz="6" w:space="0" w:color="auto"/>
            </w:tcBorders>
            <w:vAlign w:val="center"/>
          </w:tcPr>
          <w:p w14:paraId="1DFAC462" w14:textId="3A8636EC" w:rsidR="00AD7F2A" w:rsidRDefault="005A206B" w:rsidP="007E08C0">
            <w:pPr>
              <w:pStyle w:val="TableCen"/>
            </w:pPr>
            <w:r>
              <w:t>7</w:t>
            </w:r>
            <w:r w:rsidR="00A542E6">
              <w:t> - </w:t>
            </w:r>
            <w:r>
              <w:t>18</w:t>
            </w:r>
          </w:p>
        </w:tc>
      </w:tr>
      <w:tr w:rsidR="00AD7F2A" w14:paraId="1DFAC468" w14:textId="77777777" w:rsidTr="002E7498">
        <w:trPr>
          <w:trHeight w:val="340"/>
        </w:trPr>
        <w:tc>
          <w:tcPr>
            <w:tcW w:w="1363" w:type="dxa"/>
            <w:tcBorders>
              <w:top w:val="single" w:sz="6" w:space="0" w:color="auto"/>
              <w:bottom w:val="single" w:sz="12" w:space="0" w:color="auto"/>
            </w:tcBorders>
            <w:vAlign w:val="center"/>
          </w:tcPr>
          <w:p w14:paraId="1DFAC464" w14:textId="77777777" w:rsidR="00AD7F2A" w:rsidRDefault="000E2F6D" w:rsidP="007E08C0">
            <w:pPr>
              <w:pStyle w:val="TableCen"/>
            </w:pPr>
            <w:r>
              <w:t>0.075</w:t>
            </w:r>
          </w:p>
        </w:tc>
        <w:tc>
          <w:tcPr>
            <w:tcW w:w="2475" w:type="dxa"/>
            <w:tcBorders>
              <w:top w:val="single" w:sz="6" w:space="0" w:color="auto"/>
              <w:bottom w:val="single" w:sz="12" w:space="0" w:color="auto"/>
            </w:tcBorders>
            <w:vAlign w:val="center"/>
          </w:tcPr>
          <w:p w14:paraId="1DFAC465" w14:textId="0D15BFB8" w:rsidR="00AD7F2A" w:rsidRDefault="000E2F6D" w:rsidP="007E08C0">
            <w:pPr>
              <w:pStyle w:val="TableCen"/>
            </w:pPr>
            <w:r>
              <w:t>6</w:t>
            </w:r>
            <w:r w:rsidR="00A542E6">
              <w:t> - </w:t>
            </w:r>
            <w:r>
              <w:t>15</w:t>
            </w:r>
          </w:p>
        </w:tc>
        <w:tc>
          <w:tcPr>
            <w:tcW w:w="2475" w:type="dxa"/>
            <w:tcBorders>
              <w:top w:val="single" w:sz="6" w:space="0" w:color="auto"/>
              <w:bottom w:val="single" w:sz="12" w:space="0" w:color="auto"/>
            </w:tcBorders>
            <w:vAlign w:val="center"/>
          </w:tcPr>
          <w:p w14:paraId="1DFAC466" w14:textId="78A3C9A1" w:rsidR="00AD7F2A" w:rsidRDefault="005A206B" w:rsidP="007E08C0">
            <w:pPr>
              <w:pStyle w:val="TableCen"/>
            </w:pPr>
            <w:r>
              <w:t>5</w:t>
            </w:r>
            <w:r w:rsidR="00A542E6">
              <w:t> - </w:t>
            </w:r>
            <w:r>
              <w:t>13</w:t>
            </w:r>
          </w:p>
        </w:tc>
        <w:tc>
          <w:tcPr>
            <w:tcW w:w="2476" w:type="dxa"/>
            <w:tcBorders>
              <w:top w:val="single" w:sz="6" w:space="0" w:color="auto"/>
              <w:bottom w:val="single" w:sz="12" w:space="0" w:color="auto"/>
            </w:tcBorders>
            <w:vAlign w:val="center"/>
          </w:tcPr>
          <w:p w14:paraId="1DFAC467" w14:textId="0CF2C152" w:rsidR="00AD7F2A" w:rsidRDefault="005A206B" w:rsidP="007E08C0">
            <w:pPr>
              <w:pStyle w:val="TableCen"/>
            </w:pPr>
            <w:r>
              <w:t>4</w:t>
            </w:r>
            <w:r w:rsidR="00A542E6">
              <w:t> - </w:t>
            </w:r>
            <w:r>
              <w:t>12</w:t>
            </w:r>
          </w:p>
        </w:tc>
      </w:tr>
    </w:tbl>
    <w:p w14:paraId="1DFAC469" w14:textId="77777777" w:rsidR="005251F0" w:rsidRDefault="001B50FB" w:rsidP="00925E66">
      <w:pPr>
        <w:pStyle w:val="Heading3"/>
      </w:pPr>
      <w:bookmarkStart w:id="27" w:name="_Toc76107346"/>
      <w:r>
        <w:t>Mix Properties</w:t>
      </w:r>
      <w:bookmarkEnd w:id="27"/>
    </w:p>
    <w:p w14:paraId="1DFAC46A" w14:textId="77777777" w:rsidR="005251F0" w:rsidRDefault="005251F0" w:rsidP="00867F2E">
      <w:pPr>
        <w:pStyle w:val="BodyTextIndent"/>
      </w:pPr>
      <w:r w:rsidRPr="00493B36">
        <w:rPr>
          <w:rStyle w:val="BodyTextIndentBoldUnderlineChar"/>
          <w:b w:val="0"/>
        </w:rPr>
        <w:t>Requirement</w:t>
      </w:r>
      <w:r w:rsidRPr="003D5004">
        <w:rPr>
          <w:rStyle w:val="BodyTextIndentBoldUnderlineChar"/>
          <w:b w:val="0"/>
          <w:u w:val="none"/>
        </w:rPr>
        <w:t>:</w:t>
      </w:r>
      <w:r>
        <w:t xml:space="preserve"> The mix design must satisfy the </w:t>
      </w:r>
      <w:r w:rsidR="001B50FB">
        <w:t xml:space="preserve">following </w:t>
      </w:r>
      <w:r>
        <w:t xml:space="preserve">properties </w:t>
      </w:r>
      <w:r w:rsidR="001B50FB">
        <w:t>f</w:t>
      </w:r>
      <w:r>
        <w:t>or the design mix and for mixes</w:t>
      </w:r>
      <w:r w:rsidR="001B50FB">
        <w:t xml:space="preserve"> </w:t>
      </w:r>
      <w:r>
        <w:t>prepared with the maximum permitted variations in grading and binder content</w:t>
      </w:r>
      <w:r w:rsidR="001B50FB">
        <w:t>.</w:t>
      </w:r>
    </w:p>
    <w:p w14:paraId="1DFAC46B" w14:textId="1399CF9B" w:rsidR="009E7F74" w:rsidRDefault="009E7F74" w:rsidP="00EC6028">
      <w:pPr>
        <w:pStyle w:val="TableLegend"/>
      </w:pPr>
      <w:r>
        <w:t>Table</w:t>
      </w:r>
      <w:r w:rsidR="004D6344">
        <w:t> </w:t>
      </w:r>
      <w:r>
        <w:t>4.2 – Mix properties</w:t>
      </w:r>
    </w:p>
    <w:tbl>
      <w:tblPr>
        <w:tblW w:w="8789" w:type="dxa"/>
        <w:tblInd w:w="794" w:type="dxa"/>
        <w:tblLayout w:type="fixed"/>
        <w:tblCellMar>
          <w:top w:w="102" w:type="dxa"/>
          <w:left w:w="85" w:type="dxa"/>
          <w:bottom w:w="57" w:type="dxa"/>
          <w:right w:w="85" w:type="dxa"/>
        </w:tblCellMar>
        <w:tblLook w:val="00A0" w:firstRow="1" w:lastRow="0" w:firstColumn="1" w:lastColumn="0" w:noHBand="0" w:noVBand="0"/>
      </w:tblPr>
      <w:tblGrid>
        <w:gridCol w:w="1417"/>
        <w:gridCol w:w="1418"/>
        <w:gridCol w:w="2977"/>
        <w:gridCol w:w="2977"/>
      </w:tblGrid>
      <w:tr w:rsidR="00C636F9" w:rsidRPr="00464EFC" w14:paraId="1DFAC470" w14:textId="77777777" w:rsidTr="00EF1019">
        <w:trPr>
          <w:cantSplit/>
          <w:trHeight w:val="397"/>
        </w:trPr>
        <w:tc>
          <w:tcPr>
            <w:tcW w:w="1417" w:type="dxa"/>
            <w:tcBorders>
              <w:top w:val="single" w:sz="12" w:space="0" w:color="auto"/>
              <w:bottom w:val="single" w:sz="12" w:space="0" w:color="auto"/>
            </w:tcBorders>
            <w:shd w:val="pct10" w:color="auto" w:fill="auto"/>
            <w:vAlign w:val="center"/>
          </w:tcPr>
          <w:p w14:paraId="1DFAC46C" w14:textId="77777777" w:rsidR="00C636F9" w:rsidRPr="00464EFC" w:rsidRDefault="00C636F9" w:rsidP="007E08C0">
            <w:pPr>
              <w:pStyle w:val="TableHeadCen"/>
            </w:pPr>
            <w:r w:rsidRPr="00464EFC">
              <w:t>Property</w:t>
            </w:r>
          </w:p>
        </w:tc>
        <w:tc>
          <w:tcPr>
            <w:tcW w:w="1418" w:type="dxa"/>
            <w:tcBorders>
              <w:top w:val="single" w:sz="12" w:space="0" w:color="auto"/>
              <w:bottom w:val="single" w:sz="12" w:space="0" w:color="auto"/>
            </w:tcBorders>
            <w:shd w:val="pct10" w:color="auto" w:fill="auto"/>
            <w:vAlign w:val="center"/>
          </w:tcPr>
          <w:p w14:paraId="1DFAC46D" w14:textId="77777777" w:rsidR="00C636F9" w:rsidRPr="00464EFC" w:rsidRDefault="00C636F9" w:rsidP="007E08C0">
            <w:pPr>
              <w:pStyle w:val="TableHeadCen"/>
            </w:pPr>
            <w:r w:rsidRPr="00464EFC">
              <w:t>Test</w:t>
            </w:r>
          </w:p>
        </w:tc>
        <w:tc>
          <w:tcPr>
            <w:tcW w:w="2977" w:type="dxa"/>
            <w:tcBorders>
              <w:top w:val="single" w:sz="12" w:space="0" w:color="auto"/>
              <w:bottom w:val="single" w:sz="12" w:space="0" w:color="auto"/>
            </w:tcBorders>
            <w:shd w:val="pct10" w:color="auto" w:fill="auto"/>
            <w:vAlign w:val="center"/>
          </w:tcPr>
          <w:p w14:paraId="1DFAC46E" w14:textId="77777777" w:rsidR="00C636F9" w:rsidRPr="00464EFC" w:rsidRDefault="00C636F9" w:rsidP="007E08C0">
            <w:pPr>
              <w:pStyle w:val="TableHeadCen"/>
            </w:pPr>
            <w:r w:rsidRPr="00464EFC">
              <w:t>Description</w:t>
            </w:r>
          </w:p>
        </w:tc>
        <w:tc>
          <w:tcPr>
            <w:tcW w:w="2977" w:type="dxa"/>
            <w:tcBorders>
              <w:top w:val="single" w:sz="12" w:space="0" w:color="auto"/>
              <w:bottom w:val="single" w:sz="12" w:space="0" w:color="auto"/>
            </w:tcBorders>
            <w:shd w:val="pct10" w:color="auto" w:fill="auto"/>
            <w:vAlign w:val="center"/>
          </w:tcPr>
          <w:p w14:paraId="1DFAC46F" w14:textId="77777777" w:rsidR="00C636F9" w:rsidRPr="00464EFC" w:rsidRDefault="00C636F9" w:rsidP="007E08C0">
            <w:pPr>
              <w:pStyle w:val="TableHeadCen"/>
            </w:pPr>
            <w:r w:rsidRPr="00464EFC">
              <w:t>Requirement</w:t>
            </w:r>
          </w:p>
        </w:tc>
      </w:tr>
      <w:tr w:rsidR="00867F2E" w14:paraId="1DFAC475" w14:textId="77777777" w:rsidTr="00EF1019">
        <w:trPr>
          <w:cantSplit/>
          <w:trHeight w:val="340"/>
        </w:trPr>
        <w:tc>
          <w:tcPr>
            <w:tcW w:w="1417" w:type="dxa"/>
            <w:vMerge w:val="restart"/>
            <w:tcBorders>
              <w:top w:val="single" w:sz="12" w:space="0" w:color="auto"/>
            </w:tcBorders>
            <w:vAlign w:val="center"/>
          </w:tcPr>
          <w:p w14:paraId="1DFAC471" w14:textId="77777777" w:rsidR="00867F2E" w:rsidRDefault="00867F2E" w:rsidP="007E08C0">
            <w:pPr>
              <w:pStyle w:val="Table"/>
            </w:pPr>
            <w:r>
              <w:t>Traffic Time</w:t>
            </w:r>
          </w:p>
        </w:tc>
        <w:tc>
          <w:tcPr>
            <w:tcW w:w="1418" w:type="dxa"/>
            <w:vMerge w:val="restart"/>
            <w:tcBorders>
              <w:top w:val="single" w:sz="12" w:space="0" w:color="auto"/>
            </w:tcBorders>
            <w:vAlign w:val="center"/>
          </w:tcPr>
          <w:p w14:paraId="1DFAC472" w14:textId="77777777" w:rsidR="00867F2E" w:rsidRPr="00A216FB" w:rsidRDefault="00867F2E" w:rsidP="00A216FB">
            <w:pPr>
              <w:pStyle w:val="TableCen"/>
              <w:rPr>
                <w:i/>
              </w:rPr>
            </w:pPr>
            <w:r w:rsidRPr="00A216FB">
              <w:rPr>
                <w:i/>
              </w:rPr>
              <w:t>Austroads</w:t>
            </w:r>
            <w:r w:rsidR="00A216FB">
              <w:rPr>
                <w:i/>
              </w:rPr>
              <w:t xml:space="preserve"> </w:t>
            </w:r>
            <w:r w:rsidRPr="00A216FB">
              <w:rPr>
                <w:i/>
              </w:rPr>
              <w:t>AGPT271</w:t>
            </w:r>
          </w:p>
        </w:tc>
        <w:tc>
          <w:tcPr>
            <w:tcW w:w="2977" w:type="dxa"/>
            <w:tcBorders>
              <w:top w:val="single" w:sz="12" w:space="0" w:color="auto"/>
            </w:tcBorders>
            <w:vAlign w:val="center"/>
          </w:tcPr>
          <w:p w14:paraId="1DFAC473" w14:textId="77777777" w:rsidR="00867F2E" w:rsidRPr="00A216FB" w:rsidRDefault="00867F2E" w:rsidP="00A216FB">
            <w:pPr>
              <w:pStyle w:val="TableCen"/>
            </w:pPr>
            <w:r w:rsidRPr="00A216FB">
              <w:t>Wet Cohesion</w:t>
            </w:r>
          </w:p>
        </w:tc>
        <w:tc>
          <w:tcPr>
            <w:tcW w:w="2977" w:type="dxa"/>
            <w:tcBorders>
              <w:top w:val="single" w:sz="12" w:space="0" w:color="auto"/>
            </w:tcBorders>
            <w:shd w:val="clear" w:color="auto" w:fill="auto"/>
            <w:vAlign w:val="center"/>
          </w:tcPr>
          <w:p w14:paraId="1DFAC474" w14:textId="77777777" w:rsidR="00867F2E" w:rsidRPr="00A216FB" w:rsidRDefault="00867F2E" w:rsidP="00A216FB">
            <w:pPr>
              <w:pStyle w:val="TableCen"/>
            </w:pPr>
          </w:p>
        </w:tc>
      </w:tr>
      <w:tr w:rsidR="00867F2E" w14:paraId="1DFAC47A" w14:textId="77777777" w:rsidTr="00EF1019">
        <w:trPr>
          <w:cantSplit/>
          <w:trHeight w:val="340"/>
        </w:trPr>
        <w:tc>
          <w:tcPr>
            <w:tcW w:w="1417" w:type="dxa"/>
            <w:vMerge/>
            <w:vAlign w:val="center"/>
          </w:tcPr>
          <w:p w14:paraId="1DFAC476" w14:textId="77777777" w:rsidR="00867F2E" w:rsidRDefault="00867F2E" w:rsidP="00894E7C">
            <w:pPr>
              <w:pStyle w:val="Table"/>
            </w:pPr>
          </w:p>
        </w:tc>
        <w:tc>
          <w:tcPr>
            <w:tcW w:w="1418" w:type="dxa"/>
            <w:vMerge/>
            <w:vAlign w:val="center"/>
          </w:tcPr>
          <w:p w14:paraId="1DFAC477" w14:textId="77777777" w:rsidR="00867F2E" w:rsidRPr="00894E7C" w:rsidRDefault="00867F2E" w:rsidP="00894E7C">
            <w:pPr>
              <w:pStyle w:val="TableCen"/>
              <w:rPr>
                <w:i/>
              </w:rPr>
            </w:pPr>
          </w:p>
        </w:tc>
        <w:tc>
          <w:tcPr>
            <w:tcW w:w="2977" w:type="dxa"/>
            <w:vAlign w:val="center"/>
          </w:tcPr>
          <w:p w14:paraId="1DFAC478" w14:textId="160E41F0" w:rsidR="00867F2E" w:rsidRPr="00A216FB" w:rsidRDefault="00867F2E" w:rsidP="00894E7C">
            <w:pPr>
              <w:pStyle w:val="TableCen"/>
            </w:pPr>
            <w:r w:rsidRPr="00A216FB">
              <w:t>@</w:t>
            </w:r>
            <w:r w:rsidR="009759EA">
              <w:t> </w:t>
            </w:r>
            <w:r w:rsidRPr="00A216FB">
              <w:t>30</w:t>
            </w:r>
            <w:r w:rsidR="009759EA">
              <w:t> </w:t>
            </w:r>
            <w:r w:rsidRPr="00A216FB">
              <w:t>m</w:t>
            </w:r>
            <w:bookmarkStart w:id="28" w:name="OLE_LINK1"/>
            <w:bookmarkStart w:id="29" w:name="OLE_LINK2"/>
            <w:r w:rsidRPr="00A216FB">
              <w:t>i</w:t>
            </w:r>
            <w:bookmarkEnd w:id="28"/>
            <w:bookmarkEnd w:id="29"/>
            <w:r w:rsidRPr="00A216FB">
              <w:t>nutes (Initial set)</w:t>
            </w:r>
          </w:p>
        </w:tc>
        <w:tc>
          <w:tcPr>
            <w:tcW w:w="2977" w:type="dxa"/>
            <w:shd w:val="clear" w:color="auto" w:fill="auto"/>
            <w:vAlign w:val="center"/>
          </w:tcPr>
          <w:p w14:paraId="1DFAC479" w14:textId="77777777" w:rsidR="00867F2E" w:rsidRPr="00A216FB" w:rsidRDefault="00867F2E" w:rsidP="00894E7C">
            <w:pPr>
              <w:pStyle w:val="TableCen"/>
            </w:pPr>
            <w:r w:rsidRPr="00A216FB">
              <w:t>12</w:t>
            </w:r>
            <w:r w:rsidR="00502F36" w:rsidRPr="00A216FB">
              <w:t> </w:t>
            </w:r>
            <w:r w:rsidRPr="00A216FB">
              <w:t>kN.m (min)</w:t>
            </w:r>
          </w:p>
        </w:tc>
      </w:tr>
      <w:tr w:rsidR="00867F2E" w14:paraId="1DFAC47F" w14:textId="77777777" w:rsidTr="00EF1019">
        <w:trPr>
          <w:cantSplit/>
          <w:trHeight w:val="340"/>
        </w:trPr>
        <w:tc>
          <w:tcPr>
            <w:tcW w:w="1417" w:type="dxa"/>
            <w:vMerge/>
            <w:tcBorders>
              <w:bottom w:val="single" w:sz="8" w:space="0" w:color="auto"/>
            </w:tcBorders>
            <w:vAlign w:val="center"/>
          </w:tcPr>
          <w:p w14:paraId="1DFAC47B" w14:textId="77777777" w:rsidR="00867F2E" w:rsidRDefault="00867F2E" w:rsidP="00894E7C">
            <w:pPr>
              <w:pStyle w:val="Table"/>
            </w:pPr>
          </w:p>
        </w:tc>
        <w:tc>
          <w:tcPr>
            <w:tcW w:w="1418" w:type="dxa"/>
            <w:vMerge/>
            <w:tcBorders>
              <w:bottom w:val="single" w:sz="8" w:space="0" w:color="auto"/>
            </w:tcBorders>
            <w:vAlign w:val="center"/>
          </w:tcPr>
          <w:p w14:paraId="1DFAC47C" w14:textId="77777777" w:rsidR="00867F2E" w:rsidRPr="00894E7C" w:rsidRDefault="00867F2E" w:rsidP="00894E7C">
            <w:pPr>
              <w:pStyle w:val="TableCen"/>
              <w:rPr>
                <w:i/>
              </w:rPr>
            </w:pPr>
          </w:p>
        </w:tc>
        <w:tc>
          <w:tcPr>
            <w:tcW w:w="2977" w:type="dxa"/>
            <w:tcBorders>
              <w:bottom w:val="single" w:sz="8" w:space="0" w:color="auto"/>
            </w:tcBorders>
            <w:vAlign w:val="center"/>
          </w:tcPr>
          <w:p w14:paraId="1DFAC47D" w14:textId="09E24615" w:rsidR="00867F2E" w:rsidRPr="00A216FB" w:rsidRDefault="00867F2E" w:rsidP="00894E7C">
            <w:pPr>
              <w:pStyle w:val="TableCen"/>
            </w:pPr>
            <w:r w:rsidRPr="00A216FB">
              <w:t>@</w:t>
            </w:r>
            <w:r w:rsidR="009759EA">
              <w:t> </w:t>
            </w:r>
            <w:r w:rsidRPr="00A216FB">
              <w:t>60</w:t>
            </w:r>
            <w:r w:rsidR="00B2168D">
              <w:t> </w:t>
            </w:r>
            <w:r w:rsidRPr="00A216FB">
              <w:t>minutes (Trafficking)</w:t>
            </w:r>
          </w:p>
        </w:tc>
        <w:tc>
          <w:tcPr>
            <w:tcW w:w="2977" w:type="dxa"/>
            <w:tcBorders>
              <w:bottom w:val="single" w:sz="8" w:space="0" w:color="auto"/>
            </w:tcBorders>
            <w:shd w:val="clear" w:color="auto" w:fill="auto"/>
            <w:vAlign w:val="center"/>
          </w:tcPr>
          <w:p w14:paraId="1DFAC47E" w14:textId="77777777" w:rsidR="00867F2E" w:rsidRPr="00A216FB" w:rsidRDefault="00867F2E" w:rsidP="00894E7C">
            <w:pPr>
              <w:pStyle w:val="TableCen"/>
            </w:pPr>
            <w:r w:rsidRPr="00A216FB">
              <w:t>20</w:t>
            </w:r>
            <w:r w:rsidR="00502F36" w:rsidRPr="00A216FB">
              <w:t> </w:t>
            </w:r>
            <w:r w:rsidRPr="00A216FB">
              <w:t>kN.m (min)</w:t>
            </w:r>
          </w:p>
        </w:tc>
      </w:tr>
      <w:tr w:rsidR="00867F2E" w14:paraId="1DFAC484" w14:textId="77777777" w:rsidTr="00EF1019">
        <w:trPr>
          <w:cantSplit/>
          <w:trHeight w:val="340"/>
        </w:trPr>
        <w:tc>
          <w:tcPr>
            <w:tcW w:w="1417" w:type="dxa"/>
            <w:vMerge w:val="restart"/>
            <w:tcBorders>
              <w:top w:val="single" w:sz="8" w:space="0" w:color="auto"/>
            </w:tcBorders>
            <w:vAlign w:val="center"/>
          </w:tcPr>
          <w:p w14:paraId="1DFAC480" w14:textId="77777777" w:rsidR="00867F2E" w:rsidRDefault="00867F2E" w:rsidP="007E08C0">
            <w:pPr>
              <w:pStyle w:val="Table"/>
            </w:pPr>
            <w:r>
              <w:t>Wear Loss</w:t>
            </w:r>
          </w:p>
        </w:tc>
        <w:tc>
          <w:tcPr>
            <w:tcW w:w="1418" w:type="dxa"/>
            <w:vMerge w:val="restart"/>
            <w:tcBorders>
              <w:top w:val="single" w:sz="8" w:space="0" w:color="auto"/>
            </w:tcBorders>
            <w:vAlign w:val="center"/>
          </w:tcPr>
          <w:p w14:paraId="1DFAC481" w14:textId="77777777" w:rsidR="00867F2E" w:rsidRPr="00A216FB" w:rsidRDefault="00867F2E" w:rsidP="00A216FB">
            <w:pPr>
              <w:pStyle w:val="TableCen"/>
              <w:rPr>
                <w:i/>
              </w:rPr>
            </w:pPr>
            <w:r w:rsidRPr="00A216FB">
              <w:rPr>
                <w:i/>
              </w:rPr>
              <w:t>Austroads</w:t>
            </w:r>
            <w:r w:rsidR="00A216FB">
              <w:rPr>
                <w:i/>
              </w:rPr>
              <w:t xml:space="preserve"> </w:t>
            </w:r>
            <w:r w:rsidRPr="00A216FB">
              <w:rPr>
                <w:i/>
              </w:rPr>
              <w:t>AGPT272</w:t>
            </w:r>
          </w:p>
        </w:tc>
        <w:tc>
          <w:tcPr>
            <w:tcW w:w="2977" w:type="dxa"/>
            <w:tcBorders>
              <w:top w:val="single" w:sz="8" w:space="0" w:color="auto"/>
            </w:tcBorders>
            <w:vAlign w:val="center"/>
          </w:tcPr>
          <w:p w14:paraId="1DFAC482" w14:textId="77777777" w:rsidR="00867F2E" w:rsidRDefault="00867F2E" w:rsidP="007E08C0">
            <w:pPr>
              <w:pStyle w:val="TableCen"/>
            </w:pPr>
            <w:r>
              <w:t>Wet Track Abrasion Loss</w:t>
            </w:r>
          </w:p>
        </w:tc>
        <w:tc>
          <w:tcPr>
            <w:tcW w:w="2977" w:type="dxa"/>
            <w:tcBorders>
              <w:top w:val="single" w:sz="8" w:space="0" w:color="auto"/>
            </w:tcBorders>
            <w:vAlign w:val="center"/>
          </w:tcPr>
          <w:p w14:paraId="1DFAC483" w14:textId="77777777" w:rsidR="00867F2E" w:rsidRPr="00502F36" w:rsidRDefault="00867F2E" w:rsidP="007E08C0">
            <w:pPr>
              <w:pStyle w:val="TableCen"/>
            </w:pPr>
          </w:p>
        </w:tc>
      </w:tr>
      <w:tr w:rsidR="00867F2E" w14:paraId="1DFAC489" w14:textId="77777777" w:rsidTr="00EF1019">
        <w:trPr>
          <w:cantSplit/>
          <w:trHeight w:val="340"/>
        </w:trPr>
        <w:tc>
          <w:tcPr>
            <w:tcW w:w="1417" w:type="dxa"/>
            <w:vMerge/>
            <w:vAlign w:val="center"/>
          </w:tcPr>
          <w:p w14:paraId="1DFAC485" w14:textId="77777777" w:rsidR="00867F2E" w:rsidRDefault="00867F2E" w:rsidP="00816707">
            <w:pPr>
              <w:pStyle w:val="BodyTextIndentMinor"/>
            </w:pPr>
          </w:p>
        </w:tc>
        <w:tc>
          <w:tcPr>
            <w:tcW w:w="1418" w:type="dxa"/>
            <w:vMerge/>
            <w:vAlign w:val="center"/>
          </w:tcPr>
          <w:p w14:paraId="1DFAC486" w14:textId="77777777" w:rsidR="00867F2E" w:rsidRDefault="00867F2E" w:rsidP="00816707">
            <w:pPr>
              <w:pStyle w:val="BodyTextIndentMinor"/>
            </w:pPr>
          </w:p>
        </w:tc>
        <w:tc>
          <w:tcPr>
            <w:tcW w:w="2977" w:type="dxa"/>
            <w:vAlign w:val="center"/>
          </w:tcPr>
          <w:p w14:paraId="1DFAC487" w14:textId="77777777" w:rsidR="00867F2E" w:rsidRDefault="00867F2E" w:rsidP="007E08C0">
            <w:pPr>
              <w:pStyle w:val="TableCen"/>
            </w:pPr>
            <w:r>
              <w:t>One hour soak</w:t>
            </w:r>
          </w:p>
        </w:tc>
        <w:tc>
          <w:tcPr>
            <w:tcW w:w="2977" w:type="dxa"/>
            <w:vAlign w:val="center"/>
          </w:tcPr>
          <w:p w14:paraId="1DFAC488" w14:textId="168C59EC" w:rsidR="00867F2E" w:rsidRPr="00502F36" w:rsidRDefault="00867F2E" w:rsidP="007E08C0">
            <w:pPr>
              <w:pStyle w:val="TableCen"/>
            </w:pPr>
            <w:r w:rsidRPr="00502F36">
              <w:t>540</w:t>
            </w:r>
            <w:r w:rsidR="00502F36" w:rsidRPr="00502F36">
              <w:t> </w:t>
            </w:r>
            <w:r w:rsidRPr="00502F36">
              <w:t>g/m</w:t>
            </w:r>
            <w:r w:rsidRPr="00502F36">
              <w:rPr>
                <w:vertAlign w:val="superscript"/>
              </w:rPr>
              <w:t>2</w:t>
            </w:r>
            <w:r w:rsidRPr="00502F36">
              <w:t xml:space="preserve"> (max)</w:t>
            </w:r>
            <w:r w:rsidR="00BA6F3B" w:rsidRPr="00710138">
              <w:rPr>
                <w:i/>
                <w:iCs/>
                <w:vertAlign w:val="superscript"/>
              </w:rPr>
              <w:t>(</w:t>
            </w:r>
            <w:r w:rsidRPr="00710138">
              <w:rPr>
                <w:i/>
                <w:iCs/>
                <w:szCs w:val="22"/>
                <w:vertAlign w:val="superscript"/>
              </w:rPr>
              <w:t>1</w:t>
            </w:r>
            <w:r w:rsidR="00BA6F3B" w:rsidRPr="00710138">
              <w:rPr>
                <w:i/>
                <w:iCs/>
                <w:szCs w:val="22"/>
                <w:vertAlign w:val="superscript"/>
              </w:rPr>
              <w:t>)</w:t>
            </w:r>
          </w:p>
        </w:tc>
      </w:tr>
      <w:tr w:rsidR="00867F2E" w14:paraId="1DFAC48E" w14:textId="77777777" w:rsidTr="00EF1019">
        <w:trPr>
          <w:cantSplit/>
          <w:trHeight w:val="340"/>
        </w:trPr>
        <w:tc>
          <w:tcPr>
            <w:tcW w:w="1417" w:type="dxa"/>
            <w:vMerge/>
            <w:tcBorders>
              <w:bottom w:val="single" w:sz="12" w:space="0" w:color="auto"/>
            </w:tcBorders>
            <w:vAlign w:val="center"/>
          </w:tcPr>
          <w:p w14:paraId="1DFAC48A" w14:textId="77777777" w:rsidR="00867F2E" w:rsidRDefault="00867F2E" w:rsidP="00816707">
            <w:pPr>
              <w:pStyle w:val="BodyTextIndentMinor"/>
            </w:pPr>
          </w:p>
        </w:tc>
        <w:tc>
          <w:tcPr>
            <w:tcW w:w="1418" w:type="dxa"/>
            <w:vMerge/>
            <w:tcBorders>
              <w:bottom w:val="single" w:sz="12" w:space="0" w:color="auto"/>
            </w:tcBorders>
            <w:vAlign w:val="center"/>
          </w:tcPr>
          <w:p w14:paraId="1DFAC48B" w14:textId="77777777" w:rsidR="00867F2E" w:rsidRDefault="00867F2E" w:rsidP="00816707">
            <w:pPr>
              <w:pStyle w:val="BodyTextIndentMinor"/>
            </w:pPr>
          </w:p>
        </w:tc>
        <w:tc>
          <w:tcPr>
            <w:tcW w:w="2977" w:type="dxa"/>
            <w:tcBorders>
              <w:bottom w:val="single" w:sz="12" w:space="0" w:color="auto"/>
            </w:tcBorders>
            <w:vAlign w:val="center"/>
          </w:tcPr>
          <w:p w14:paraId="1DFAC48C" w14:textId="77777777" w:rsidR="00867F2E" w:rsidRDefault="00867F2E" w:rsidP="007E08C0">
            <w:pPr>
              <w:pStyle w:val="TableCen"/>
            </w:pPr>
            <w:r>
              <w:t>Six day soak</w:t>
            </w:r>
          </w:p>
        </w:tc>
        <w:tc>
          <w:tcPr>
            <w:tcW w:w="2977" w:type="dxa"/>
            <w:tcBorders>
              <w:bottom w:val="single" w:sz="12" w:space="0" w:color="auto"/>
            </w:tcBorders>
            <w:vAlign w:val="center"/>
          </w:tcPr>
          <w:p w14:paraId="1DFAC48D" w14:textId="56D578D7" w:rsidR="00867F2E" w:rsidRPr="00502F36" w:rsidRDefault="00867F2E" w:rsidP="007E08C0">
            <w:pPr>
              <w:pStyle w:val="TableCen"/>
            </w:pPr>
            <w:r w:rsidRPr="00502F36">
              <w:t>800</w:t>
            </w:r>
            <w:r w:rsidR="00502F36" w:rsidRPr="00502F36">
              <w:t> </w:t>
            </w:r>
            <w:r w:rsidRPr="00502F36">
              <w:t>g/m</w:t>
            </w:r>
            <w:r w:rsidRPr="00502F36">
              <w:rPr>
                <w:vertAlign w:val="superscript"/>
              </w:rPr>
              <w:t>2</w:t>
            </w:r>
            <w:r w:rsidRPr="00502F36">
              <w:t xml:space="preserve"> (max)</w:t>
            </w:r>
            <w:r w:rsidR="00BA6F3B" w:rsidRPr="00710138">
              <w:rPr>
                <w:i/>
                <w:iCs/>
                <w:vertAlign w:val="superscript"/>
              </w:rPr>
              <w:t>(</w:t>
            </w:r>
            <w:r w:rsidRPr="00710138">
              <w:rPr>
                <w:i/>
                <w:iCs/>
                <w:szCs w:val="22"/>
                <w:vertAlign w:val="superscript"/>
              </w:rPr>
              <w:t>2</w:t>
            </w:r>
            <w:r w:rsidR="00BA6F3B" w:rsidRPr="00710138">
              <w:rPr>
                <w:i/>
                <w:iCs/>
                <w:szCs w:val="22"/>
                <w:vertAlign w:val="superscript"/>
              </w:rPr>
              <w:t>)</w:t>
            </w:r>
          </w:p>
        </w:tc>
      </w:tr>
    </w:tbl>
    <w:p w14:paraId="1DFAC48F" w14:textId="7CF30849" w:rsidR="00212CE3" w:rsidRDefault="00BA6F3B" w:rsidP="00710138">
      <w:pPr>
        <w:pStyle w:val="BodyTextIndentNote"/>
        <w:ind w:left="1134" w:hanging="425"/>
      </w:pPr>
      <w:r w:rsidRPr="00710138">
        <w:rPr>
          <w:vertAlign w:val="superscript"/>
        </w:rPr>
        <w:t>(</w:t>
      </w:r>
      <w:r w:rsidR="00212CE3" w:rsidRPr="00710138">
        <w:rPr>
          <w:vertAlign w:val="superscript"/>
        </w:rPr>
        <w:t>1</w:t>
      </w:r>
      <w:r w:rsidRPr="00710138">
        <w:rPr>
          <w:vertAlign w:val="superscript"/>
        </w:rPr>
        <w:t>)</w:t>
      </w:r>
      <w:r w:rsidR="00212CE3">
        <w:tab/>
        <w:t xml:space="preserve">Traffic </w:t>
      </w:r>
      <w:r w:rsidR="005E55F8">
        <w:rPr>
          <w:rFonts w:cs="Arial"/>
        </w:rPr>
        <w:t>≤</w:t>
      </w:r>
      <w:r w:rsidR="00212CE3">
        <w:t>3,000</w:t>
      </w:r>
      <w:r w:rsidR="009513BF">
        <w:t> </w:t>
      </w:r>
      <w:r w:rsidR="00212CE3">
        <w:t>vehicles</w:t>
      </w:r>
      <w:r w:rsidR="009513BF">
        <w:t> </w:t>
      </w:r>
      <w:r w:rsidR="00212CE3">
        <w:t>per</w:t>
      </w:r>
      <w:r w:rsidR="004D6344">
        <w:t> </w:t>
      </w:r>
      <w:r w:rsidR="00212CE3">
        <w:t>lane</w:t>
      </w:r>
      <w:r w:rsidR="004D6344">
        <w:t> </w:t>
      </w:r>
      <w:r w:rsidR="00212CE3">
        <w:t>per</w:t>
      </w:r>
      <w:r w:rsidR="004D6344">
        <w:t> </w:t>
      </w:r>
      <w:r w:rsidR="00212CE3">
        <w:t>day (v/l/d)</w:t>
      </w:r>
    </w:p>
    <w:p w14:paraId="1DFAC490" w14:textId="003F8271" w:rsidR="00212CE3" w:rsidRDefault="00710138" w:rsidP="00710138">
      <w:pPr>
        <w:pStyle w:val="BodyTextIndentNote"/>
        <w:ind w:left="1134" w:hanging="425"/>
      </w:pPr>
      <w:r w:rsidRPr="00710138">
        <w:rPr>
          <w:vertAlign w:val="superscript"/>
        </w:rPr>
        <w:t>(</w:t>
      </w:r>
      <w:r w:rsidR="00212CE3" w:rsidRPr="00710138">
        <w:rPr>
          <w:vertAlign w:val="superscript"/>
        </w:rPr>
        <w:t>2</w:t>
      </w:r>
      <w:r w:rsidRPr="00710138">
        <w:rPr>
          <w:vertAlign w:val="superscript"/>
        </w:rPr>
        <w:t>)</w:t>
      </w:r>
      <w:r w:rsidR="00212CE3">
        <w:tab/>
        <w:t xml:space="preserve">Traffic </w:t>
      </w:r>
      <w:r w:rsidR="00FA6F5C">
        <w:t>&gt;</w:t>
      </w:r>
      <w:r w:rsidR="00212CE3">
        <w:t>3,000</w:t>
      </w:r>
      <w:r w:rsidR="004D6344">
        <w:t> </w:t>
      </w:r>
      <w:r w:rsidR="00212CE3">
        <w:t>v/l/d</w:t>
      </w:r>
    </w:p>
    <w:p w14:paraId="1DFAC491" w14:textId="0EBE25E2" w:rsidR="00DD740F" w:rsidRDefault="00925E66" w:rsidP="00212CE3">
      <w:pPr>
        <w:pStyle w:val="TableLegend"/>
      </w:pPr>
      <w:r>
        <w:br w:type="page"/>
      </w:r>
      <w:r w:rsidR="009E7F74">
        <w:lastRenderedPageBreak/>
        <w:t>Table 4</w:t>
      </w:r>
      <w:r w:rsidR="004D6344">
        <w:t> </w:t>
      </w:r>
      <w:r w:rsidR="009E7F74">
        <w:t xml:space="preserve">3 – Mix properties: </w:t>
      </w:r>
      <w:r w:rsidR="009E7F74" w:rsidRPr="001E53FC">
        <w:t>permitted variations in grading and binder content</w:t>
      </w:r>
    </w:p>
    <w:tbl>
      <w:tblPr>
        <w:tblW w:w="8789" w:type="dxa"/>
        <w:tblInd w:w="817" w:type="dxa"/>
        <w:tblLook w:val="01E0" w:firstRow="1" w:lastRow="1" w:firstColumn="1" w:lastColumn="1" w:noHBand="0" w:noVBand="0"/>
      </w:tblPr>
      <w:tblGrid>
        <w:gridCol w:w="4394"/>
        <w:gridCol w:w="4395"/>
      </w:tblGrid>
      <w:tr w:rsidR="00F46D3E" w14:paraId="1DFAC493" w14:textId="77777777" w:rsidTr="00212CE3">
        <w:trPr>
          <w:trHeight w:val="397"/>
        </w:trPr>
        <w:tc>
          <w:tcPr>
            <w:tcW w:w="8789" w:type="dxa"/>
            <w:gridSpan w:val="2"/>
            <w:tcBorders>
              <w:top w:val="single" w:sz="12" w:space="0" w:color="auto"/>
              <w:bottom w:val="single" w:sz="12" w:space="0" w:color="auto"/>
            </w:tcBorders>
            <w:shd w:val="pct10" w:color="auto" w:fill="auto"/>
            <w:vAlign w:val="center"/>
          </w:tcPr>
          <w:p w14:paraId="1DFAC492" w14:textId="77777777" w:rsidR="00F46D3E" w:rsidRDefault="00F46D3E" w:rsidP="00212CE3">
            <w:pPr>
              <w:pStyle w:val="TableHeadCen"/>
            </w:pPr>
            <w:r>
              <w:t>Maximum Permitted Variations From The Approved Mix Design</w:t>
            </w:r>
          </w:p>
        </w:tc>
      </w:tr>
      <w:tr w:rsidR="00D824F2" w14:paraId="1DFAC496" w14:textId="77777777" w:rsidTr="00212CE3">
        <w:trPr>
          <w:trHeight w:val="397"/>
        </w:trPr>
        <w:tc>
          <w:tcPr>
            <w:tcW w:w="4394" w:type="dxa"/>
            <w:tcBorders>
              <w:top w:val="single" w:sz="12" w:space="0" w:color="auto"/>
              <w:bottom w:val="single" w:sz="12" w:space="0" w:color="auto"/>
            </w:tcBorders>
            <w:shd w:val="pct10" w:color="auto" w:fill="auto"/>
            <w:vAlign w:val="center"/>
          </w:tcPr>
          <w:p w14:paraId="1DFAC494" w14:textId="77777777" w:rsidR="00D824F2" w:rsidRPr="00A1361B" w:rsidRDefault="00F46D3E" w:rsidP="00212CE3">
            <w:pPr>
              <w:pStyle w:val="TableHeadCen"/>
            </w:pPr>
            <w:r w:rsidRPr="00A1361B">
              <w:t>Property</w:t>
            </w:r>
          </w:p>
        </w:tc>
        <w:tc>
          <w:tcPr>
            <w:tcW w:w="4395" w:type="dxa"/>
            <w:tcBorders>
              <w:top w:val="single" w:sz="12" w:space="0" w:color="auto"/>
              <w:bottom w:val="single" w:sz="12" w:space="0" w:color="auto"/>
            </w:tcBorders>
            <w:shd w:val="pct10" w:color="auto" w:fill="auto"/>
            <w:vAlign w:val="center"/>
          </w:tcPr>
          <w:p w14:paraId="1DFAC495" w14:textId="77777777" w:rsidR="00D824F2" w:rsidRPr="00A1361B" w:rsidRDefault="00F46D3E" w:rsidP="00212CE3">
            <w:pPr>
              <w:pStyle w:val="TableHeadCen"/>
            </w:pPr>
            <w:r w:rsidRPr="00A1361B">
              <w:t>Maximum permitted deviation</w:t>
            </w:r>
          </w:p>
        </w:tc>
      </w:tr>
      <w:tr w:rsidR="00D824F2" w14:paraId="1DFAC499" w14:textId="77777777" w:rsidTr="00212CE3">
        <w:trPr>
          <w:trHeight w:val="340"/>
        </w:trPr>
        <w:tc>
          <w:tcPr>
            <w:tcW w:w="4394" w:type="dxa"/>
            <w:tcBorders>
              <w:top w:val="single" w:sz="12" w:space="0" w:color="auto"/>
              <w:bottom w:val="single" w:sz="6" w:space="0" w:color="auto"/>
            </w:tcBorders>
            <w:vAlign w:val="center"/>
          </w:tcPr>
          <w:p w14:paraId="1DFAC497" w14:textId="299FEBF1" w:rsidR="00D824F2" w:rsidRDefault="00F46D3E" w:rsidP="00212CE3">
            <w:pPr>
              <w:pStyle w:val="TableCen"/>
            </w:pPr>
            <w:r>
              <w:t xml:space="preserve">A.S. sieve size </w:t>
            </w:r>
            <w:r w:rsidR="005E55F8">
              <w:rPr>
                <w:rFonts w:cs="Arial"/>
              </w:rPr>
              <w:t>≥</w:t>
            </w:r>
            <w:r>
              <w:t>9.5</w:t>
            </w:r>
            <w:r w:rsidR="00502F36">
              <w:t> </w:t>
            </w:r>
            <w:r>
              <w:t>mm</w:t>
            </w:r>
          </w:p>
        </w:tc>
        <w:tc>
          <w:tcPr>
            <w:tcW w:w="4395" w:type="dxa"/>
            <w:tcBorders>
              <w:top w:val="single" w:sz="12" w:space="0" w:color="auto"/>
              <w:bottom w:val="single" w:sz="6" w:space="0" w:color="auto"/>
            </w:tcBorders>
            <w:vAlign w:val="center"/>
          </w:tcPr>
          <w:p w14:paraId="1DFAC498" w14:textId="2C730295" w:rsidR="00D824F2" w:rsidRDefault="005E55F8" w:rsidP="00212CE3">
            <w:pPr>
              <w:pStyle w:val="TableCen"/>
            </w:pPr>
            <w:r>
              <w:rPr>
                <w:rFonts w:cs="Arial"/>
              </w:rPr>
              <w:t>±</w:t>
            </w:r>
            <w:r w:rsidR="00F46D3E">
              <w:t>7% by mass</w:t>
            </w:r>
          </w:p>
        </w:tc>
      </w:tr>
      <w:tr w:rsidR="00D824F2" w14:paraId="1DFAC49C" w14:textId="77777777" w:rsidTr="00212CE3">
        <w:trPr>
          <w:trHeight w:val="340"/>
        </w:trPr>
        <w:tc>
          <w:tcPr>
            <w:tcW w:w="4394" w:type="dxa"/>
            <w:tcBorders>
              <w:top w:val="single" w:sz="6" w:space="0" w:color="auto"/>
              <w:bottom w:val="single" w:sz="6" w:space="0" w:color="auto"/>
            </w:tcBorders>
            <w:vAlign w:val="center"/>
          </w:tcPr>
          <w:p w14:paraId="1DFAC49A" w14:textId="77777777" w:rsidR="00D824F2" w:rsidRDefault="00A1361B" w:rsidP="00212CE3">
            <w:pPr>
              <w:pStyle w:val="TableCen"/>
            </w:pPr>
            <w:r>
              <w:t>A.S. sieve size 4.75</w:t>
            </w:r>
            <w:r w:rsidR="00502F36">
              <w:t> </w:t>
            </w:r>
            <w:r>
              <w:t>mm</w:t>
            </w:r>
          </w:p>
        </w:tc>
        <w:tc>
          <w:tcPr>
            <w:tcW w:w="4395" w:type="dxa"/>
            <w:tcBorders>
              <w:top w:val="single" w:sz="6" w:space="0" w:color="auto"/>
              <w:bottom w:val="single" w:sz="6" w:space="0" w:color="auto"/>
            </w:tcBorders>
            <w:vAlign w:val="center"/>
          </w:tcPr>
          <w:p w14:paraId="1DFAC49B" w14:textId="1F7BD290" w:rsidR="00D824F2" w:rsidRDefault="005E55F8" w:rsidP="00212CE3">
            <w:pPr>
              <w:pStyle w:val="TableCen"/>
            </w:pPr>
            <w:r>
              <w:rPr>
                <w:rFonts w:cs="Arial"/>
              </w:rPr>
              <w:t>±</w:t>
            </w:r>
            <w:r w:rsidR="00A1361B">
              <w:t>6% by mass</w:t>
            </w:r>
          </w:p>
        </w:tc>
      </w:tr>
      <w:tr w:rsidR="00D824F2" w14:paraId="1DFAC49F" w14:textId="77777777" w:rsidTr="00212CE3">
        <w:trPr>
          <w:trHeight w:val="340"/>
        </w:trPr>
        <w:tc>
          <w:tcPr>
            <w:tcW w:w="4394" w:type="dxa"/>
            <w:tcBorders>
              <w:top w:val="single" w:sz="6" w:space="0" w:color="auto"/>
              <w:bottom w:val="single" w:sz="6" w:space="0" w:color="auto"/>
            </w:tcBorders>
            <w:vAlign w:val="center"/>
          </w:tcPr>
          <w:p w14:paraId="1DFAC49D" w14:textId="77777777" w:rsidR="00D824F2" w:rsidRDefault="00A1361B" w:rsidP="00212CE3">
            <w:pPr>
              <w:pStyle w:val="TableCen"/>
            </w:pPr>
            <w:r>
              <w:t>A.S. sieve size 2.36</w:t>
            </w:r>
            <w:r w:rsidR="00502F36">
              <w:t> </w:t>
            </w:r>
            <w:r>
              <w:t>mm</w:t>
            </w:r>
          </w:p>
        </w:tc>
        <w:tc>
          <w:tcPr>
            <w:tcW w:w="4395" w:type="dxa"/>
            <w:tcBorders>
              <w:top w:val="single" w:sz="6" w:space="0" w:color="auto"/>
              <w:bottom w:val="single" w:sz="6" w:space="0" w:color="auto"/>
            </w:tcBorders>
            <w:vAlign w:val="center"/>
          </w:tcPr>
          <w:p w14:paraId="1DFAC49E" w14:textId="6C49A9EA" w:rsidR="00D824F2" w:rsidRDefault="005E55F8" w:rsidP="00212CE3">
            <w:pPr>
              <w:pStyle w:val="TableCen"/>
            </w:pPr>
            <w:r>
              <w:rPr>
                <w:rFonts w:cs="Arial"/>
              </w:rPr>
              <w:t>±</w:t>
            </w:r>
            <w:r w:rsidR="00A1361B">
              <w:t>5% by mass</w:t>
            </w:r>
          </w:p>
        </w:tc>
      </w:tr>
      <w:tr w:rsidR="00D824F2" w14:paraId="1DFAC4A2" w14:textId="77777777" w:rsidTr="00212CE3">
        <w:trPr>
          <w:trHeight w:val="340"/>
        </w:trPr>
        <w:tc>
          <w:tcPr>
            <w:tcW w:w="4394" w:type="dxa"/>
            <w:tcBorders>
              <w:top w:val="single" w:sz="6" w:space="0" w:color="auto"/>
              <w:bottom w:val="single" w:sz="6" w:space="0" w:color="auto"/>
            </w:tcBorders>
            <w:vAlign w:val="center"/>
          </w:tcPr>
          <w:p w14:paraId="1DFAC4A0" w14:textId="77777777" w:rsidR="00D824F2" w:rsidRDefault="00A1361B" w:rsidP="00212CE3">
            <w:pPr>
              <w:pStyle w:val="TableCen"/>
            </w:pPr>
            <w:r>
              <w:t>A.S. sieve size 0.600</w:t>
            </w:r>
            <w:r w:rsidR="00502F36">
              <w:t> </w:t>
            </w:r>
            <w:r>
              <w:t>mm</w:t>
            </w:r>
          </w:p>
        </w:tc>
        <w:tc>
          <w:tcPr>
            <w:tcW w:w="4395" w:type="dxa"/>
            <w:tcBorders>
              <w:top w:val="single" w:sz="6" w:space="0" w:color="auto"/>
              <w:bottom w:val="single" w:sz="6" w:space="0" w:color="auto"/>
            </w:tcBorders>
            <w:vAlign w:val="center"/>
          </w:tcPr>
          <w:p w14:paraId="1DFAC4A1" w14:textId="77777777" w:rsidR="00D824F2" w:rsidRDefault="00502F36" w:rsidP="00212CE3">
            <w:pPr>
              <w:pStyle w:val="TableCen"/>
            </w:pPr>
            <w:r>
              <w:rPr>
                <w:rFonts w:cs="Arial"/>
              </w:rPr>
              <w:t>±</w:t>
            </w:r>
            <w:r w:rsidR="00A1361B">
              <w:t>4% by mass</w:t>
            </w:r>
          </w:p>
        </w:tc>
      </w:tr>
      <w:tr w:rsidR="00D824F2" w14:paraId="1DFAC4A5" w14:textId="77777777" w:rsidTr="00212CE3">
        <w:trPr>
          <w:trHeight w:val="340"/>
        </w:trPr>
        <w:tc>
          <w:tcPr>
            <w:tcW w:w="4394" w:type="dxa"/>
            <w:tcBorders>
              <w:top w:val="single" w:sz="6" w:space="0" w:color="auto"/>
              <w:bottom w:val="single" w:sz="6" w:space="0" w:color="auto"/>
            </w:tcBorders>
            <w:vAlign w:val="center"/>
          </w:tcPr>
          <w:p w14:paraId="1DFAC4A3" w14:textId="77777777" w:rsidR="00D824F2" w:rsidRDefault="00A1361B" w:rsidP="00212CE3">
            <w:pPr>
              <w:pStyle w:val="TableCen"/>
            </w:pPr>
            <w:r>
              <w:t>A.S. sieve size 0.300</w:t>
            </w:r>
            <w:r w:rsidR="00502F36">
              <w:t> </w:t>
            </w:r>
            <w:r>
              <w:t>mm</w:t>
            </w:r>
          </w:p>
        </w:tc>
        <w:tc>
          <w:tcPr>
            <w:tcW w:w="4395" w:type="dxa"/>
            <w:tcBorders>
              <w:top w:val="single" w:sz="6" w:space="0" w:color="auto"/>
              <w:bottom w:val="single" w:sz="6" w:space="0" w:color="auto"/>
            </w:tcBorders>
            <w:vAlign w:val="center"/>
          </w:tcPr>
          <w:p w14:paraId="1DFAC4A4" w14:textId="77777777" w:rsidR="00D824F2" w:rsidRDefault="00502F36" w:rsidP="00212CE3">
            <w:pPr>
              <w:pStyle w:val="TableCen"/>
            </w:pPr>
            <w:r>
              <w:rPr>
                <w:rFonts w:cs="Arial"/>
              </w:rPr>
              <w:t>±</w:t>
            </w:r>
            <w:r w:rsidR="00A1361B">
              <w:t>3% by mass</w:t>
            </w:r>
          </w:p>
        </w:tc>
      </w:tr>
      <w:tr w:rsidR="00D824F2" w14:paraId="1DFAC4A8" w14:textId="77777777" w:rsidTr="00212CE3">
        <w:trPr>
          <w:trHeight w:val="340"/>
        </w:trPr>
        <w:tc>
          <w:tcPr>
            <w:tcW w:w="4394" w:type="dxa"/>
            <w:tcBorders>
              <w:top w:val="single" w:sz="6" w:space="0" w:color="auto"/>
              <w:bottom w:val="single" w:sz="6" w:space="0" w:color="auto"/>
            </w:tcBorders>
            <w:vAlign w:val="center"/>
          </w:tcPr>
          <w:p w14:paraId="1DFAC4A6" w14:textId="77777777" w:rsidR="00D824F2" w:rsidRDefault="00A1361B" w:rsidP="00212CE3">
            <w:pPr>
              <w:pStyle w:val="TableCen"/>
            </w:pPr>
            <w:r>
              <w:t>A.S. sieve size 0.150</w:t>
            </w:r>
            <w:r w:rsidR="00502F36">
              <w:t> </w:t>
            </w:r>
            <w:r>
              <w:t>mm</w:t>
            </w:r>
          </w:p>
        </w:tc>
        <w:tc>
          <w:tcPr>
            <w:tcW w:w="4395" w:type="dxa"/>
            <w:tcBorders>
              <w:top w:val="single" w:sz="6" w:space="0" w:color="auto"/>
              <w:bottom w:val="single" w:sz="6" w:space="0" w:color="auto"/>
            </w:tcBorders>
            <w:vAlign w:val="center"/>
          </w:tcPr>
          <w:p w14:paraId="1DFAC4A7" w14:textId="77777777" w:rsidR="00D824F2" w:rsidRDefault="00502F36" w:rsidP="00212CE3">
            <w:pPr>
              <w:pStyle w:val="TableCen"/>
            </w:pPr>
            <w:r>
              <w:rPr>
                <w:rFonts w:cs="Arial"/>
              </w:rPr>
              <w:t>±</w:t>
            </w:r>
            <w:r w:rsidR="00A1361B">
              <w:t>2% by mass</w:t>
            </w:r>
          </w:p>
        </w:tc>
      </w:tr>
      <w:tr w:rsidR="00D824F2" w14:paraId="1DFAC4AB" w14:textId="77777777" w:rsidTr="00212CE3">
        <w:trPr>
          <w:trHeight w:val="340"/>
        </w:trPr>
        <w:tc>
          <w:tcPr>
            <w:tcW w:w="4394" w:type="dxa"/>
            <w:tcBorders>
              <w:top w:val="single" w:sz="6" w:space="0" w:color="auto"/>
              <w:bottom w:val="single" w:sz="6" w:space="0" w:color="auto"/>
            </w:tcBorders>
            <w:vAlign w:val="center"/>
          </w:tcPr>
          <w:p w14:paraId="1DFAC4A9" w14:textId="77777777" w:rsidR="00D824F2" w:rsidRDefault="00A1361B" w:rsidP="00212CE3">
            <w:pPr>
              <w:pStyle w:val="TableCen"/>
            </w:pPr>
            <w:r>
              <w:t>A.S. sieve size 0.075</w:t>
            </w:r>
            <w:r w:rsidR="00502F36">
              <w:t> </w:t>
            </w:r>
            <w:r>
              <w:t>mm</w:t>
            </w:r>
          </w:p>
        </w:tc>
        <w:tc>
          <w:tcPr>
            <w:tcW w:w="4395" w:type="dxa"/>
            <w:tcBorders>
              <w:top w:val="single" w:sz="6" w:space="0" w:color="auto"/>
              <w:bottom w:val="single" w:sz="6" w:space="0" w:color="auto"/>
            </w:tcBorders>
            <w:vAlign w:val="center"/>
          </w:tcPr>
          <w:p w14:paraId="1DFAC4AA" w14:textId="610868CC" w:rsidR="00D824F2" w:rsidRDefault="005E55F8" w:rsidP="00212CE3">
            <w:pPr>
              <w:pStyle w:val="TableCen"/>
            </w:pPr>
            <w:r>
              <w:rPr>
                <w:rFonts w:cs="Arial"/>
              </w:rPr>
              <w:t>±</w:t>
            </w:r>
            <w:r w:rsidR="00A1361B">
              <w:t>1.5% by mass</w:t>
            </w:r>
          </w:p>
        </w:tc>
      </w:tr>
      <w:tr w:rsidR="00D824F2" w14:paraId="1DFAC4AE" w14:textId="77777777" w:rsidTr="00212CE3">
        <w:trPr>
          <w:trHeight w:val="340"/>
        </w:trPr>
        <w:tc>
          <w:tcPr>
            <w:tcW w:w="4394" w:type="dxa"/>
            <w:tcBorders>
              <w:top w:val="single" w:sz="6" w:space="0" w:color="auto"/>
              <w:bottom w:val="single" w:sz="12" w:space="0" w:color="auto"/>
            </w:tcBorders>
            <w:vAlign w:val="center"/>
          </w:tcPr>
          <w:p w14:paraId="1DFAC4AC" w14:textId="77777777" w:rsidR="00D824F2" w:rsidRDefault="00A1361B" w:rsidP="00212CE3">
            <w:pPr>
              <w:pStyle w:val="TableCen"/>
            </w:pPr>
            <w:r>
              <w:t>Residual Binder Content</w:t>
            </w:r>
          </w:p>
        </w:tc>
        <w:tc>
          <w:tcPr>
            <w:tcW w:w="4395" w:type="dxa"/>
            <w:tcBorders>
              <w:top w:val="single" w:sz="6" w:space="0" w:color="auto"/>
              <w:bottom w:val="single" w:sz="12" w:space="0" w:color="auto"/>
            </w:tcBorders>
            <w:vAlign w:val="center"/>
          </w:tcPr>
          <w:p w14:paraId="1DFAC4AD" w14:textId="77777777" w:rsidR="00D824F2" w:rsidRDefault="00A1361B" w:rsidP="00212CE3">
            <w:pPr>
              <w:pStyle w:val="TableCen"/>
            </w:pPr>
            <w:r>
              <w:t>-0.5%</w:t>
            </w:r>
            <w:r w:rsidR="00AB79F2">
              <w:t xml:space="preserve"> or +1.0%</w:t>
            </w:r>
          </w:p>
        </w:tc>
      </w:tr>
    </w:tbl>
    <w:p w14:paraId="1DFAC4AF" w14:textId="77777777" w:rsidR="00AE1C92" w:rsidRDefault="001E53FC" w:rsidP="00925E66">
      <w:pPr>
        <w:pStyle w:val="Heading3"/>
      </w:pPr>
      <w:bookmarkStart w:id="30" w:name="_Toc76107347"/>
      <w:r>
        <w:t>Surface Texture</w:t>
      </w:r>
      <w:bookmarkEnd w:id="30"/>
    </w:p>
    <w:p w14:paraId="1DFAC4B0" w14:textId="77777777" w:rsidR="00AE1C92" w:rsidRDefault="00AE1C92" w:rsidP="00816707">
      <w:pPr>
        <w:pStyle w:val="BodyTextIndent"/>
      </w:pPr>
      <w:r>
        <w:t xml:space="preserve">After trafficking for one month, wearing course </w:t>
      </w:r>
      <w:r w:rsidR="003D176F">
        <w:t>micro-surfacing</w:t>
      </w:r>
      <w:r>
        <w:t xml:space="preserve"> shall have average texture depths </w:t>
      </w:r>
      <w:r w:rsidR="003D176F">
        <w:t xml:space="preserve">(Volumetric Sand Patch Method) </w:t>
      </w:r>
      <w:r>
        <w:t>not less than th</w:t>
      </w:r>
      <w:r w:rsidR="003D176F">
        <w:t xml:space="preserve">e minimum value </w:t>
      </w:r>
      <w:r>
        <w:t>specified</w:t>
      </w:r>
      <w:r w:rsidR="003D176F">
        <w:t>.</w:t>
      </w:r>
    </w:p>
    <w:p w14:paraId="1DFAC4B1" w14:textId="2CD0C071" w:rsidR="009E7F74" w:rsidRDefault="009E7F74" w:rsidP="00212CE3">
      <w:pPr>
        <w:pStyle w:val="TableLegend"/>
      </w:pPr>
      <w:r>
        <w:t>Table</w:t>
      </w:r>
      <w:r w:rsidR="000A6594">
        <w:t> </w:t>
      </w:r>
      <w:r>
        <w:t>4.4 – Surface texture depth</w:t>
      </w:r>
    </w:p>
    <w:tbl>
      <w:tblPr>
        <w:tblW w:w="8789" w:type="dxa"/>
        <w:tblInd w:w="817" w:type="dxa"/>
        <w:tblLook w:val="01E0" w:firstRow="1" w:lastRow="1" w:firstColumn="1" w:lastColumn="1" w:noHBand="0" w:noVBand="0"/>
      </w:tblPr>
      <w:tblGrid>
        <w:gridCol w:w="4394"/>
        <w:gridCol w:w="4395"/>
      </w:tblGrid>
      <w:tr w:rsidR="00AE1C92" w14:paraId="1DFAC4B4" w14:textId="77777777" w:rsidTr="00212CE3">
        <w:trPr>
          <w:trHeight w:val="397"/>
        </w:trPr>
        <w:tc>
          <w:tcPr>
            <w:tcW w:w="4394" w:type="dxa"/>
            <w:tcBorders>
              <w:top w:val="single" w:sz="12" w:space="0" w:color="auto"/>
              <w:bottom w:val="single" w:sz="12" w:space="0" w:color="auto"/>
            </w:tcBorders>
            <w:shd w:val="pct10" w:color="auto" w:fill="auto"/>
            <w:vAlign w:val="center"/>
          </w:tcPr>
          <w:p w14:paraId="1DFAC4B2" w14:textId="77777777" w:rsidR="00AE1C92" w:rsidRPr="00A1361B" w:rsidRDefault="00AE1C92" w:rsidP="00212CE3">
            <w:pPr>
              <w:pStyle w:val="TableHeadLeft"/>
            </w:pPr>
            <w:r w:rsidRPr="0049663D">
              <w:t>Micro-Surfacing Nominal Size (mm)</w:t>
            </w:r>
          </w:p>
        </w:tc>
        <w:tc>
          <w:tcPr>
            <w:tcW w:w="4395" w:type="dxa"/>
            <w:tcBorders>
              <w:top w:val="single" w:sz="12" w:space="0" w:color="auto"/>
              <w:bottom w:val="single" w:sz="12" w:space="0" w:color="auto"/>
            </w:tcBorders>
            <w:shd w:val="pct10" w:color="auto" w:fill="auto"/>
            <w:vAlign w:val="center"/>
          </w:tcPr>
          <w:p w14:paraId="1DFAC4B3" w14:textId="77777777" w:rsidR="00AE1C92" w:rsidRPr="00A1361B" w:rsidRDefault="00AE1C92" w:rsidP="00212CE3">
            <w:pPr>
              <w:pStyle w:val="TableHeadLeft"/>
            </w:pPr>
            <w:r w:rsidRPr="00A1361B">
              <w:t>M</w:t>
            </w:r>
            <w:r>
              <w:t>ini</w:t>
            </w:r>
            <w:r w:rsidRPr="00A1361B">
              <w:t xml:space="preserve">mum </w:t>
            </w:r>
            <w:r>
              <w:t>Texture Depth (mm)</w:t>
            </w:r>
          </w:p>
        </w:tc>
      </w:tr>
      <w:tr w:rsidR="00AE1C92" w14:paraId="1DFAC4B7" w14:textId="77777777" w:rsidTr="00212CE3">
        <w:trPr>
          <w:trHeight w:val="340"/>
        </w:trPr>
        <w:tc>
          <w:tcPr>
            <w:tcW w:w="4394" w:type="dxa"/>
            <w:tcBorders>
              <w:top w:val="single" w:sz="12" w:space="0" w:color="auto"/>
              <w:bottom w:val="single" w:sz="6" w:space="0" w:color="auto"/>
            </w:tcBorders>
            <w:vAlign w:val="center"/>
          </w:tcPr>
          <w:p w14:paraId="1DFAC4B5" w14:textId="1AA93E71" w:rsidR="00AE1C92" w:rsidRDefault="00AE1C92" w:rsidP="00212CE3">
            <w:pPr>
              <w:pStyle w:val="TableCen"/>
            </w:pPr>
            <w:r>
              <w:t>Size</w:t>
            </w:r>
            <w:r w:rsidR="005E55F8" w:rsidRPr="005B7388">
              <w:t> </w:t>
            </w:r>
            <w:r>
              <w:t>5</w:t>
            </w:r>
          </w:p>
        </w:tc>
        <w:tc>
          <w:tcPr>
            <w:tcW w:w="4395" w:type="dxa"/>
            <w:tcBorders>
              <w:top w:val="single" w:sz="12" w:space="0" w:color="auto"/>
              <w:bottom w:val="single" w:sz="6" w:space="0" w:color="auto"/>
            </w:tcBorders>
            <w:vAlign w:val="center"/>
          </w:tcPr>
          <w:p w14:paraId="1DFAC4B6" w14:textId="77777777" w:rsidR="00AE1C92" w:rsidRDefault="00AE1C92" w:rsidP="00212CE3">
            <w:pPr>
              <w:pStyle w:val="TableCen"/>
            </w:pPr>
            <w:r>
              <w:t>0.4</w:t>
            </w:r>
          </w:p>
        </w:tc>
      </w:tr>
      <w:tr w:rsidR="00AE1C92" w14:paraId="1DFAC4BA" w14:textId="77777777" w:rsidTr="00212CE3">
        <w:trPr>
          <w:trHeight w:val="340"/>
        </w:trPr>
        <w:tc>
          <w:tcPr>
            <w:tcW w:w="4394" w:type="dxa"/>
            <w:tcBorders>
              <w:top w:val="single" w:sz="6" w:space="0" w:color="auto"/>
              <w:bottom w:val="single" w:sz="6" w:space="0" w:color="auto"/>
            </w:tcBorders>
            <w:vAlign w:val="center"/>
          </w:tcPr>
          <w:p w14:paraId="1DFAC4B8" w14:textId="69CD30D7" w:rsidR="00AE1C92" w:rsidRDefault="00AE1C92" w:rsidP="00212CE3">
            <w:pPr>
              <w:pStyle w:val="TableCen"/>
            </w:pPr>
            <w:r>
              <w:t>Size</w:t>
            </w:r>
            <w:r w:rsidR="005E55F8" w:rsidRPr="005B7388">
              <w:t> </w:t>
            </w:r>
            <w:r>
              <w:t>7</w:t>
            </w:r>
          </w:p>
        </w:tc>
        <w:tc>
          <w:tcPr>
            <w:tcW w:w="4395" w:type="dxa"/>
            <w:tcBorders>
              <w:top w:val="single" w:sz="6" w:space="0" w:color="auto"/>
              <w:bottom w:val="single" w:sz="6" w:space="0" w:color="auto"/>
            </w:tcBorders>
            <w:vAlign w:val="center"/>
          </w:tcPr>
          <w:p w14:paraId="1DFAC4B9" w14:textId="77777777" w:rsidR="00AE1C92" w:rsidRDefault="00AE1C92" w:rsidP="00212CE3">
            <w:pPr>
              <w:pStyle w:val="TableCen"/>
            </w:pPr>
            <w:r>
              <w:t>0.8</w:t>
            </w:r>
          </w:p>
        </w:tc>
      </w:tr>
      <w:tr w:rsidR="00AE1C92" w14:paraId="1DFAC4BD" w14:textId="77777777" w:rsidTr="00212CE3">
        <w:trPr>
          <w:trHeight w:val="340"/>
        </w:trPr>
        <w:tc>
          <w:tcPr>
            <w:tcW w:w="4394" w:type="dxa"/>
            <w:tcBorders>
              <w:top w:val="single" w:sz="6" w:space="0" w:color="auto"/>
              <w:bottom w:val="single" w:sz="12" w:space="0" w:color="auto"/>
            </w:tcBorders>
            <w:vAlign w:val="center"/>
          </w:tcPr>
          <w:p w14:paraId="1DFAC4BB" w14:textId="7FD7A65B" w:rsidR="00AE1C92" w:rsidRDefault="00AE1C92" w:rsidP="00212CE3">
            <w:pPr>
              <w:pStyle w:val="TableCen"/>
            </w:pPr>
            <w:r>
              <w:t>Size</w:t>
            </w:r>
            <w:r w:rsidR="005E55F8" w:rsidRPr="005B7388">
              <w:t> </w:t>
            </w:r>
            <w:r>
              <w:t>10</w:t>
            </w:r>
          </w:p>
        </w:tc>
        <w:tc>
          <w:tcPr>
            <w:tcW w:w="4395" w:type="dxa"/>
            <w:tcBorders>
              <w:top w:val="single" w:sz="6" w:space="0" w:color="auto"/>
              <w:bottom w:val="single" w:sz="12" w:space="0" w:color="auto"/>
            </w:tcBorders>
            <w:vAlign w:val="center"/>
          </w:tcPr>
          <w:p w14:paraId="1DFAC4BC" w14:textId="77777777" w:rsidR="00AE1C92" w:rsidRDefault="00AE1C92" w:rsidP="00212CE3">
            <w:pPr>
              <w:pStyle w:val="TableCen"/>
            </w:pPr>
            <w:r>
              <w:t>1.2</w:t>
            </w:r>
          </w:p>
        </w:tc>
      </w:tr>
    </w:tbl>
    <w:p w14:paraId="1DFAC4BE" w14:textId="77777777" w:rsidR="0035296C" w:rsidRPr="00556759" w:rsidRDefault="00556759" w:rsidP="00925E66">
      <w:pPr>
        <w:pStyle w:val="Heading2"/>
      </w:pPr>
      <w:bookmarkStart w:id="31" w:name="_Toc76107348"/>
      <w:r w:rsidRPr="00556759">
        <w:t>PLANT</w:t>
      </w:r>
      <w:bookmarkEnd w:id="31"/>
    </w:p>
    <w:p w14:paraId="1DFAC4BF" w14:textId="77777777" w:rsidR="0035296C" w:rsidRDefault="0035296C" w:rsidP="00816707">
      <w:pPr>
        <w:pStyle w:val="BodyTextIndent"/>
      </w:pPr>
      <w:r w:rsidRPr="00493B36">
        <w:rPr>
          <w:rStyle w:val="BodyTextIndentBoldUnderlineChar"/>
          <w:b w:val="0"/>
        </w:rPr>
        <w:t>General</w:t>
      </w:r>
      <w:r w:rsidRPr="003D5004">
        <w:rPr>
          <w:rStyle w:val="BodyTextIndentBoldUnderlineChar"/>
          <w:b w:val="0"/>
          <w:u w:val="none"/>
        </w:rPr>
        <w:t>:</w:t>
      </w:r>
      <w:r>
        <w:t xml:space="preserve"> Provide the required plant necessary for the performance of the particular operation.</w:t>
      </w:r>
    </w:p>
    <w:p w14:paraId="1DFAC4C0" w14:textId="77777777" w:rsidR="00CC7245" w:rsidRPr="00212CE3" w:rsidRDefault="0064510C" w:rsidP="00212CE3">
      <w:pPr>
        <w:pStyle w:val="BodyTextIndent"/>
        <w:rPr>
          <w:rStyle w:val="BodyTextIndentChar"/>
        </w:rPr>
      </w:pPr>
      <w:r w:rsidRPr="00EC6028">
        <w:rPr>
          <w:rStyle w:val="BodyTextIndentBoldUnderlineChar"/>
          <w:b w:val="0"/>
        </w:rPr>
        <w:t>Paving Unit</w:t>
      </w:r>
      <w:r w:rsidR="00CC7245" w:rsidRPr="003D5004">
        <w:rPr>
          <w:rStyle w:val="BodyTextIndentBoldUnderlineChar"/>
          <w:b w:val="0"/>
          <w:u w:val="none"/>
        </w:rPr>
        <w:t>:</w:t>
      </w:r>
      <w:r w:rsidR="00CC7245" w:rsidRPr="00EC6028">
        <w:rPr>
          <w:rStyle w:val="BodyTextIndentChar"/>
          <w:b/>
        </w:rPr>
        <w:t xml:space="preserve"> </w:t>
      </w:r>
      <w:r w:rsidR="00E930AD" w:rsidRPr="00212CE3">
        <w:rPr>
          <w:rStyle w:val="BodyTextIndentChar"/>
        </w:rPr>
        <w:t>Provide a</w:t>
      </w:r>
      <w:r w:rsidRPr="00212CE3">
        <w:rPr>
          <w:rStyle w:val="BodyTextIndentChar"/>
        </w:rPr>
        <w:t xml:space="preserve"> purpose-built continuous flow mixing unit capable of accurately metering each individual component material into a mixer which thoroughly blends these materials to form homogeneous bituminous slurry and transfers the </w:t>
      </w:r>
      <w:r w:rsidR="00376409" w:rsidRPr="00212CE3">
        <w:rPr>
          <w:rStyle w:val="BodyTextIndentChar"/>
        </w:rPr>
        <w:t>micro-surfacing</w:t>
      </w:r>
      <w:r w:rsidRPr="00212CE3">
        <w:rPr>
          <w:rStyle w:val="BodyTextIndentChar"/>
        </w:rPr>
        <w:t xml:space="preserve"> into a spreader box for application to the pavement surface.</w:t>
      </w:r>
      <w:r w:rsidR="00CC7245" w:rsidRPr="00212CE3">
        <w:rPr>
          <w:rStyle w:val="BodyTextIndentChar"/>
        </w:rPr>
        <w:t xml:space="preserve">  The spreader box shall be capable of spreading </w:t>
      </w:r>
      <w:r w:rsidR="00376409" w:rsidRPr="00212CE3">
        <w:rPr>
          <w:rStyle w:val="BodyTextIndentChar"/>
        </w:rPr>
        <w:t>micro-surfacing</w:t>
      </w:r>
      <w:r w:rsidR="00CC7245" w:rsidRPr="00212CE3">
        <w:rPr>
          <w:rStyle w:val="BodyTextIndentChar"/>
        </w:rPr>
        <w:t xml:space="preserve"> in one pass a</w:t>
      </w:r>
      <w:r w:rsidR="006E3EA0" w:rsidRPr="00212CE3">
        <w:rPr>
          <w:rStyle w:val="BodyTextIndentChar"/>
        </w:rPr>
        <w:t>t varying widths up to 3.75</w:t>
      </w:r>
      <w:r w:rsidR="00502F36" w:rsidRPr="00212CE3">
        <w:rPr>
          <w:rStyle w:val="BodyTextIndentChar"/>
        </w:rPr>
        <w:t> </w:t>
      </w:r>
      <w:r w:rsidR="006E3EA0" w:rsidRPr="00212CE3">
        <w:rPr>
          <w:rStyle w:val="BodyTextIndentChar"/>
        </w:rPr>
        <w:t>m.</w:t>
      </w:r>
    </w:p>
    <w:p w14:paraId="1DFAC4C1" w14:textId="77777777" w:rsidR="00266C0D" w:rsidRDefault="005F2272" w:rsidP="00816707">
      <w:pPr>
        <w:pStyle w:val="BodyTextIndent"/>
      </w:pPr>
      <w:r w:rsidRPr="00493B36">
        <w:rPr>
          <w:rStyle w:val="BodyTextIndentBoldUnderlineChar"/>
          <w:b w:val="0"/>
        </w:rPr>
        <w:t>Paving Unit Calibration</w:t>
      </w:r>
      <w:r w:rsidRPr="003D5004">
        <w:rPr>
          <w:rStyle w:val="BodyTextIndentBoldUnderlineChar"/>
          <w:b w:val="0"/>
          <w:u w:val="none"/>
        </w:rPr>
        <w:t>:</w:t>
      </w:r>
      <w:r>
        <w:t xml:space="preserve"> </w:t>
      </w:r>
      <w:r w:rsidR="00FB6A31">
        <w:t>Prior to commencing paving, c</w:t>
      </w:r>
      <w:r w:rsidR="00266C0D">
        <w:t>alibrate</w:t>
      </w:r>
      <w:r w:rsidR="00FB6A31">
        <w:t xml:space="preserve"> the paving unit</w:t>
      </w:r>
      <w:r w:rsidR="00266C0D">
        <w:t xml:space="preserve"> for the materials </w:t>
      </w:r>
      <w:r w:rsidR="00E930AD">
        <w:t>used in</w:t>
      </w:r>
      <w:r w:rsidR="00266C0D">
        <w:t xml:space="preserve"> the approved mix</w:t>
      </w:r>
      <w:r w:rsidR="00FB6A31">
        <w:t>.</w:t>
      </w:r>
      <w:r w:rsidR="00266C0D">
        <w:t xml:space="preserve">  The documentation shall include an individual calibration for each component material at various settings which can be related to the paving unit's metering devices.</w:t>
      </w:r>
    </w:p>
    <w:p w14:paraId="1DFAC4C2" w14:textId="77777777" w:rsidR="0035296C" w:rsidRDefault="00556759" w:rsidP="00925E66">
      <w:pPr>
        <w:pStyle w:val="Heading2"/>
      </w:pPr>
      <w:bookmarkStart w:id="32" w:name="_Toc76107349"/>
      <w:r>
        <w:t>PLACING</w:t>
      </w:r>
      <w:bookmarkEnd w:id="32"/>
    </w:p>
    <w:p w14:paraId="1DFAC4C3" w14:textId="77777777" w:rsidR="006C4314" w:rsidRDefault="006C4314" w:rsidP="00925E66">
      <w:pPr>
        <w:pStyle w:val="Heading3"/>
      </w:pPr>
      <w:bookmarkStart w:id="33" w:name="_Toc76107350"/>
      <w:r>
        <w:t xml:space="preserve">Traffic </w:t>
      </w:r>
      <w:r w:rsidR="001E53FC">
        <w:t>Control</w:t>
      </w:r>
      <w:bookmarkEnd w:id="33"/>
    </w:p>
    <w:p w14:paraId="1DFAC4C4" w14:textId="77777777" w:rsidR="00816707" w:rsidRDefault="00816707" w:rsidP="00212CE3">
      <w:pPr>
        <w:pStyle w:val="BodyTextIndentBoldUnderline"/>
      </w:pPr>
      <w:r w:rsidRPr="00816707">
        <w:t>Traffic</w:t>
      </w:r>
    </w:p>
    <w:p w14:paraId="1DFAC4C5" w14:textId="77777777" w:rsidR="00DD740F" w:rsidRDefault="00DD740F" w:rsidP="00816707">
      <w:pPr>
        <w:pStyle w:val="BodyTextIndent"/>
      </w:pPr>
      <w:r w:rsidRPr="00493B36">
        <w:rPr>
          <w:rStyle w:val="BodyTextIndentBoldUnderlineChar"/>
          <w:b w:val="0"/>
        </w:rPr>
        <w:t>General</w:t>
      </w:r>
      <w:r w:rsidRPr="003D5004">
        <w:rPr>
          <w:rStyle w:val="BodyTextIndentBoldUnderlineChar"/>
          <w:b w:val="0"/>
          <w:u w:val="none"/>
        </w:rPr>
        <w:t>:</w:t>
      </w:r>
      <w:r>
        <w:t xml:space="preserve"> Traffic control shall be undertaken in accordance with the approved Traffic Management Plans and Permits.</w:t>
      </w:r>
    </w:p>
    <w:p w14:paraId="1DFAC4C6" w14:textId="77777777" w:rsidR="00DD740F" w:rsidRDefault="00DD740F" w:rsidP="00816707">
      <w:pPr>
        <w:pStyle w:val="BodyTextIndent"/>
      </w:pPr>
      <w:r w:rsidRPr="00493B36">
        <w:rPr>
          <w:rStyle w:val="BodyTextIndentBoldUnderlineChar"/>
          <w:b w:val="0"/>
        </w:rPr>
        <w:t>Method</w:t>
      </w:r>
      <w:r w:rsidRPr="003D5004">
        <w:rPr>
          <w:rStyle w:val="BodyTextIndentBoldUnderlineChar"/>
          <w:b w:val="0"/>
          <w:u w:val="none"/>
        </w:rPr>
        <w:t>:</w:t>
      </w:r>
      <w:r>
        <w:t xml:space="preserve"> Provide for traffic while undertaking the works in accordance with the requirements of </w:t>
      </w:r>
      <w:r w:rsidRPr="00074FC1">
        <w:rPr>
          <w:i/>
        </w:rPr>
        <w:t>Manual of Uniform Traffic Control Devices</w:t>
      </w:r>
      <w:r>
        <w:rPr>
          <w:i/>
        </w:rPr>
        <w:t xml:space="preserve"> (Queensland)</w:t>
      </w:r>
      <w:r w:rsidRPr="00074FC1">
        <w:rPr>
          <w:i/>
        </w:rPr>
        <w:t>, Part 3: Works on Roads.</w:t>
      </w:r>
    </w:p>
    <w:p w14:paraId="1DFAC4C7" w14:textId="77777777" w:rsidR="001E53FC" w:rsidRDefault="001E53FC" w:rsidP="00212CE3">
      <w:pPr>
        <w:pStyle w:val="BodyTextIndentBoldUnderline"/>
      </w:pPr>
      <w:r w:rsidRPr="001E53FC">
        <w:t>Public Notification</w:t>
      </w:r>
    </w:p>
    <w:p w14:paraId="1DFAC4C8" w14:textId="77777777" w:rsidR="00DD740F" w:rsidRPr="009A3A4A" w:rsidRDefault="00DD740F" w:rsidP="001E53FC">
      <w:pPr>
        <w:pStyle w:val="BodyTextIndent"/>
      </w:pPr>
      <w:r w:rsidRPr="00493B36">
        <w:rPr>
          <w:rStyle w:val="BodyTextIndentBoldUnderlineChar"/>
          <w:b w:val="0"/>
        </w:rPr>
        <w:t>General</w:t>
      </w:r>
      <w:r w:rsidRPr="003D5004">
        <w:rPr>
          <w:rStyle w:val="BodyTextIndentBoldUnderlineChar"/>
          <w:b w:val="0"/>
          <w:u w:val="none"/>
        </w:rPr>
        <w:t xml:space="preserve">: </w:t>
      </w:r>
      <w:r>
        <w:t xml:space="preserve">Notify all affected residents and business owners whose access will be temporally restricted by the </w:t>
      </w:r>
      <w:r w:rsidR="00682EB6">
        <w:t xml:space="preserve">proposed works. </w:t>
      </w:r>
      <w:r>
        <w:t xml:space="preserve"> </w:t>
      </w:r>
      <w:r w:rsidR="00682EB6">
        <w:t>W</w:t>
      </w:r>
      <w:r>
        <w:t>ording of the noti</w:t>
      </w:r>
      <w:r w:rsidR="000F0DE2">
        <w:t>fication</w:t>
      </w:r>
      <w:r>
        <w:t xml:space="preserve"> </w:t>
      </w:r>
      <w:r w:rsidR="00682EB6">
        <w:t>to be</w:t>
      </w:r>
      <w:r>
        <w:t xml:space="preserve"> approved by the </w:t>
      </w:r>
      <w:r>
        <w:lastRenderedPageBreak/>
        <w:t>Superintendent</w:t>
      </w:r>
      <w:r w:rsidR="00682EB6">
        <w:t xml:space="preserve"> and be in accordance with Council requirements and distributed </w:t>
      </w:r>
      <w:r w:rsidR="000F0DE2">
        <w:t xml:space="preserve">within approved </w:t>
      </w:r>
      <w:r w:rsidR="00682EB6">
        <w:t>timelines</w:t>
      </w:r>
      <w:r>
        <w:t>.</w:t>
      </w:r>
    </w:p>
    <w:p w14:paraId="1DFAC4C9" w14:textId="77777777" w:rsidR="0035296C" w:rsidRDefault="001E53FC" w:rsidP="00925E66">
      <w:pPr>
        <w:pStyle w:val="Heading3"/>
      </w:pPr>
      <w:bookmarkStart w:id="34" w:name="_Toc76107351"/>
      <w:r>
        <w:t>Preparation for Micro-Surfacing</w:t>
      </w:r>
      <w:bookmarkEnd w:id="34"/>
    </w:p>
    <w:p w14:paraId="1DFAC4CA" w14:textId="77777777" w:rsidR="004C64B4" w:rsidRDefault="004C64B4" w:rsidP="00212CE3">
      <w:pPr>
        <w:pStyle w:val="BodyTextIndentBoldUnderline"/>
      </w:pPr>
      <w:r>
        <w:t>Removal of Existing Line Marking</w:t>
      </w:r>
    </w:p>
    <w:p w14:paraId="1DFAC4CB" w14:textId="7DC9B1FE" w:rsidR="004C64B4" w:rsidRDefault="00C64CDA" w:rsidP="001E53FC">
      <w:pPr>
        <w:pStyle w:val="BodyTextIndent"/>
      </w:pPr>
      <w:r w:rsidRPr="00212CE3">
        <w:rPr>
          <w:u w:val="single"/>
        </w:rPr>
        <w:t>Requirement</w:t>
      </w:r>
      <w:r w:rsidRPr="003D5004">
        <w:t>:</w:t>
      </w:r>
      <w:r>
        <w:t xml:space="preserve"> Remove al</w:t>
      </w:r>
      <w:r w:rsidR="006315FF">
        <w:t>l thermoplastic markings, painted markings and pavement markers</w:t>
      </w:r>
      <w:r w:rsidR="004C64B4">
        <w:t xml:space="preserve"> prior to sealing operati</w:t>
      </w:r>
      <w:r>
        <w:t>ons, unless indicated otherwise</w:t>
      </w:r>
      <w:r w:rsidR="004C64B4">
        <w:t>.</w:t>
      </w:r>
      <w:r w:rsidR="003D7458">
        <w:t xml:space="preserve">  Do not remove more than </w:t>
      </w:r>
      <w:r w:rsidR="00127425">
        <w:t>7</w:t>
      </w:r>
      <w:r w:rsidR="00730B45" w:rsidRPr="005B7388">
        <w:t> </w:t>
      </w:r>
      <w:r w:rsidR="003D7458">
        <w:t>days prior to micro-surfacing.</w:t>
      </w:r>
    </w:p>
    <w:p w14:paraId="1DFAC4CC" w14:textId="77777777" w:rsidR="004C64B4" w:rsidRDefault="003D7458" w:rsidP="001E53FC">
      <w:pPr>
        <w:pStyle w:val="BodyTextIndent"/>
      </w:pPr>
      <w:r w:rsidRPr="00212CE3">
        <w:rPr>
          <w:rStyle w:val="BodyTextIndentBoldUnderlineChar"/>
          <w:b w:val="0"/>
        </w:rPr>
        <w:t>Method</w:t>
      </w:r>
      <w:r w:rsidRPr="003D5004">
        <w:rPr>
          <w:rStyle w:val="BodyTextIndentBoldUnderlineChar"/>
          <w:b w:val="0"/>
          <w:u w:val="none"/>
        </w:rPr>
        <w:t>:</w:t>
      </w:r>
      <w:r w:rsidR="004C64B4">
        <w:t xml:space="preserve"> Remov</w:t>
      </w:r>
      <w:r>
        <w:t>e</w:t>
      </w:r>
      <w:r w:rsidR="004C64B4">
        <w:t xml:space="preserve"> existing painted or thermoplastic </w:t>
      </w:r>
      <w:r>
        <w:t>lines</w:t>
      </w:r>
      <w:r w:rsidR="004C64B4">
        <w:t xml:space="preserve">/markings by grinding. Removal shall be to the satisfaction of the </w:t>
      </w:r>
      <w:r w:rsidR="009E0D0B">
        <w:t>Superintendent</w:t>
      </w:r>
      <w:r w:rsidR="004C64B4">
        <w:t>.</w:t>
      </w:r>
    </w:p>
    <w:p w14:paraId="1DFAC4CD" w14:textId="77777777" w:rsidR="004C64B4" w:rsidRDefault="003D7458" w:rsidP="001E53FC">
      <w:pPr>
        <w:pStyle w:val="BodyTextIndent"/>
      </w:pPr>
      <w:r w:rsidRPr="00212CE3">
        <w:rPr>
          <w:rStyle w:val="BodyTextIndentBoldUnderlineChar"/>
          <w:b w:val="0"/>
        </w:rPr>
        <w:t>Temporary Markings</w:t>
      </w:r>
      <w:r w:rsidRPr="003D5004">
        <w:rPr>
          <w:rStyle w:val="BodyTextIndentBoldUnderlineChar"/>
          <w:b w:val="0"/>
          <w:u w:val="none"/>
        </w:rPr>
        <w:t>:</w:t>
      </w:r>
      <w:r>
        <w:t xml:space="preserve"> Install temporary pavement delineation where </w:t>
      </w:r>
      <w:r w:rsidR="003766B0">
        <w:t>existing markings</w:t>
      </w:r>
      <w:r w:rsidR="009E0D0B">
        <w:t xml:space="preserve"> on major roads</w:t>
      </w:r>
      <w:r w:rsidR="003766B0">
        <w:t xml:space="preserve"> are removed </w:t>
      </w:r>
      <w:r w:rsidR="006311A5">
        <w:t xml:space="preserve">and maintained until </w:t>
      </w:r>
      <w:r w:rsidR="003766B0">
        <w:t>the day of micro-surfacing application.</w:t>
      </w:r>
    </w:p>
    <w:p w14:paraId="1DFAC4CE" w14:textId="77777777" w:rsidR="0035296C" w:rsidRDefault="0035296C" w:rsidP="00212CE3">
      <w:pPr>
        <w:pStyle w:val="BodyTextIndentBoldUnderline"/>
      </w:pPr>
      <w:r>
        <w:t>Cleaning</w:t>
      </w:r>
    </w:p>
    <w:p w14:paraId="1DFAC4CF" w14:textId="77777777" w:rsidR="0036432D" w:rsidRDefault="0035296C" w:rsidP="001E53FC">
      <w:pPr>
        <w:pStyle w:val="BodyTextIndent"/>
      </w:pPr>
      <w:r w:rsidRPr="00493B36">
        <w:rPr>
          <w:rStyle w:val="BodyTextIndentBoldUnderlineChar"/>
          <w:b w:val="0"/>
        </w:rPr>
        <w:t>General</w:t>
      </w:r>
      <w:r w:rsidRPr="003D5004">
        <w:rPr>
          <w:rStyle w:val="BodyTextIndentBoldUnderlineChar"/>
          <w:b w:val="0"/>
          <w:u w:val="none"/>
        </w:rPr>
        <w:t>:</w:t>
      </w:r>
      <w:r w:rsidRPr="00493B36">
        <w:t xml:space="preserve"> </w:t>
      </w:r>
      <w:r>
        <w:t xml:space="preserve">Immediately before </w:t>
      </w:r>
      <w:r w:rsidR="007858F9">
        <w:t>surfacing</w:t>
      </w:r>
      <w:r>
        <w:t xml:space="preserve"> remove loose and foreign material on the </w:t>
      </w:r>
      <w:r w:rsidR="00272DEC">
        <w:t>existing pavement</w:t>
      </w:r>
      <w:r>
        <w:t xml:space="preserve"> surface, including dust, debris</w:t>
      </w:r>
      <w:r w:rsidR="0036432D">
        <w:t>, silt, soil</w:t>
      </w:r>
      <w:r w:rsidR="00AC1EE7">
        <w:t>, flaking paint</w:t>
      </w:r>
      <w:r w:rsidR="0036432D">
        <w:t xml:space="preserve"> </w:t>
      </w:r>
      <w:r>
        <w:t xml:space="preserve">and </w:t>
      </w:r>
      <w:r w:rsidR="0036432D">
        <w:rPr>
          <w:rFonts w:cs="Arial"/>
        </w:rPr>
        <w:t xml:space="preserve">any other </w:t>
      </w:r>
      <w:r w:rsidR="0036432D">
        <w:t>deleterious material.  Keep traffic off the cleaned surface.</w:t>
      </w:r>
    </w:p>
    <w:p w14:paraId="1DFAC4D0" w14:textId="77777777" w:rsidR="0035296C" w:rsidRDefault="0035296C" w:rsidP="001E53FC">
      <w:pPr>
        <w:pStyle w:val="BodyTextIndent"/>
      </w:pPr>
      <w:r w:rsidRPr="00493B36">
        <w:rPr>
          <w:rStyle w:val="BodyTextIndentBoldUnderlineChar"/>
          <w:b w:val="0"/>
        </w:rPr>
        <w:t>Method</w:t>
      </w:r>
      <w:r w:rsidRPr="003D5004">
        <w:rPr>
          <w:rStyle w:val="BodyTextIndentBoldUnderlineChar"/>
          <w:b w:val="0"/>
          <w:u w:val="none"/>
        </w:rPr>
        <w:t>:</w:t>
      </w:r>
      <w:r>
        <w:t xml:space="preserve"> Use suitable powe</w:t>
      </w:r>
      <w:r w:rsidR="0036432D">
        <w:t>r blowers or road brooms, or use</w:t>
      </w:r>
      <w:r>
        <w:t xml:space="preserve"> hand methods where inaccessible to power equipment.</w:t>
      </w:r>
    </w:p>
    <w:p w14:paraId="1DFAC4D1" w14:textId="77777777" w:rsidR="009C48CA" w:rsidRDefault="00FA0A88" w:rsidP="00212CE3">
      <w:pPr>
        <w:pStyle w:val="BodyTextIndentBoldUnderline"/>
      </w:pPr>
      <w:r>
        <w:t>Pre-dampening</w:t>
      </w:r>
    </w:p>
    <w:p w14:paraId="1DFAC4D2" w14:textId="77777777" w:rsidR="009C48CA" w:rsidRDefault="00FA0A88" w:rsidP="001E53FC">
      <w:pPr>
        <w:pStyle w:val="BodyTextIndent"/>
      </w:pPr>
      <w:r>
        <w:t xml:space="preserve">The surface may be pre-dampened if necessary by </w:t>
      </w:r>
      <w:r w:rsidR="00EB70AD" w:rsidRPr="00791951">
        <w:t>lightly spraying with water</w:t>
      </w:r>
      <w:r>
        <w:t xml:space="preserve"> ahead of the spreader box. The application rate shall be adjusted to suit temperature, surface texture, humidity and dryness of the surface being covered.</w:t>
      </w:r>
    </w:p>
    <w:p w14:paraId="1DFAC4D3" w14:textId="77777777" w:rsidR="009C48CA" w:rsidRDefault="009C48CA" w:rsidP="00212CE3">
      <w:pPr>
        <w:pStyle w:val="BodyTextIndentBoldUnderline"/>
      </w:pPr>
      <w:r>
        <w:t>Tack Coat</w:t>
      </w:r>
    </w:p>
    <w:p w14:paraId="1DFAC4D4" w14:textId="12B56427" w:rsidR="009C48CA" w:rsidRDefault="009C48CA" w:rsidP="001E53FC">
      <w:pPr>
        <w:pStyle w:val="BodyTextIndent"/>
      </w:pPr>
      <w:r>
        <w:t>A tack coat is not required unless the surface to be covered is extremely oxidised and ravelled or comprises concrete or other non-bituminous surfacing.  If necessary, a tack coat of bitumen emulsion should be applied at a rate of 0.12</w:t>
      </w:r>
      <w:r w:rsidR="0076513B" w:rsidRPr="005B7388">
        <w:t> </w:t>
      </w:r>
      <w:r>
        <w:t>to</w:t>
      </w:r>
      <w:r w:rsidR="00730B45" w:rsidRPr="005B7388">
        <w:t> </w:t>
      </w:r>
      <w:r>
        <w:t>0.24</w:t>
      </w:r>
      <w:r w:rsidR="008E471C">
        <w:t> </w:t>
      </w:r>
      <w:r>
        <w:t>l/m</w:t>
      </w:r>
      <w:r w:rsidRPr="0057197B">
        <w:rPr>
          <w:vertAlign w:val="superscript"/>
        </w:rPr>
        <w:t>2</w:t>
      </w:r>
      <w:r>
        <w:t xml:space="preserve"> of residual binder at 15</w:t>
      </w:r>
      <w:r w:rsidR="00730B45">
        <w:rPr>
          <w:rFonts w:cs="Arial"/>
        </w:rPr>
        <w:t>°</w:t>
      </w:r>
      <w:r>
        <w:t xml:space="preserve">C. </w:t>
      </w:r>
      <w:r w:rsidR="006D7490">
        <w:t xml:space="preserve"> </w:t>
      </w:r>
      <w:r>
        <w:t>Such work shall only be carried out when directed by the Superintendent.</w:t>
      </w:r>
    </w:p>
    <w:p w14:paraId="1DFAC4D5" w14:textId="77777777" w:rsidR="0035296C" w:rsidRDefault="001E53FC" w:rsidP="00925E66">
      <w:pPr>
        <w:pStyle w:val="Heading3"/>
      </w:pPr>
      <w:bookmarkStart w:id="35" w:name="_Toc76107352"/>
      <w:r>
        <w:t>Placing Operations</w:t>
      </w:r>
      <w:bookmarkEnd w:id="35"/>
    </w:p>
    <w:p w14:paraId="1DFAC4D6" w14:textId="77777777" w:rsidR="0035296C" w:rsidRDefault="0035296C" w:rsidP="00493B36">
      <w:pPr>
        <w:pStyle w:val="BodyTextIndentBoldUnderline"/>
      </w:pPr>
      <w:r>
        <w:t>Protection</w:t>
      </w:r>
    </w:p>
    <w:p w14:paraId="1DFAC4D7" w14:textId="77777777" w:rsidR="00682EB6" w:rsidRDefault="0035296C" w:rsidP="001E53FC">
      <w:pPr>
        <w:pStyle w:val="BodyTextIndent"/>
      </w:pPr>
      <w:r>
        <w:t xml:space="preserve">Protect adjacent surfaces during </w:t>
      </w:r>
      <w:r w:rsidR="007857C2">
        <w:t>placin</w:t>
      </w:r>
      <w:r>
        <w:t xml:space="preserve">g.  </w:t>
      </w:r>
      <w:r w:rsidR="007857C2">
        <w:t>Take a</w:t>
      </w:r>
      <w:r w:rsidR="00EA3EF2">
        <w:t xml:space="preserve">ll necessary precautions to prevent </w:t>
      </w:r>
      <w:r w:rsidR="007857C2">
        <w:t>micro-surfacing</w:t>
      </w:r>
      <w:r w:rsidR="00EA3EF2">
        <w:t xml:space="preserve"> or other material used in the work from entering or adhering to grat</w:t>
      </w:r>
      <w:r w:rsidR="00682EB6">
        <w:t>e</w:t>
      </w:r>
      <w:r w:rsidR="00EA3EF2">
        <w:t xml:space="preserve">s, hydrants, valve boxes, manhole covers, bridge or culvert decks or other road fixtures. </w:t>
      </w:r>
      <w:r w:rsidR="007857C2">
        <w:t xml:space="preserve"> </w:t>
      </w:r>
      <w:r w:rsidR="00EA3EF2">
        <w:t xml:space="preserve">After the </w:t>
      </w:r>
      <w:r w:rsidR="007857C2">
        <w:t>micro-surfacing</w:t>
      </w:r>
      <w:r w:rsidR="00EA3EF2">
        <w:t xml:space="preserve"> has been laid, any such material which has entered or adhered to road furniture and structures shall be removed</w:t>
      </w:r>
      <w:r w:rsidR="007857C2">
        <w:t xml:space="preserve"> or, if this is not possible, replace and make good.</w:t>
      </w:r>
    </w:p>
    <w:p w14:paraId="1DFAC4D8" w14:textId="77777777" w:rsidR="0035296C" w:rsidRDefault="004253E5" w:rsidP="001E53FC">
      <w:pPr>
        <w:pStyle w:val="BodyTextIndent"/>
      </w:pPr>
      <w:r>
        <w:t xml:space="preserve">Immediately following the </w:t>
      </w:r>
      <w:r w:rsidR="000F22BA">
        <w:t>drying</w:t>
      </w:r>
      <w:r>
        <w:t xml:space="preserve"> of the </w:t>
      </w:r>
      <w:r w:rsidR="00EA3EF2">
        <w:t>micro-surfacing</w:t>
      </w:r>
      <w:r>
        <w:t>, remove the protective coverings and dispose of them off site.</w:t>
      </w:r>
    </w:p>
    <w:p w14:paraId="1DFAC4D9" w14:textId="77777777" w:rsidR="00682EB6" w:rsidRDefault="00682EB6" w:rsidP="001E53FC">
      <w:pPr>
        <w:pStyle w:val="BodyTextIndent"/>
      </w:pPr>
      <w:r>
        <w:t>Protect freshly placed surfaces from contamination.</w:t>
      </w:r>
    </w:p>
    <w:p w14:paraId="1DFAC4DA" w14:textId="77777777" w:rsidR="00D61A45" w:rsidRDefault="00D61A45" w:rsidP="001E53FC">
      <w:pPr>
        <w:pStyle w:val="BodyTextIndent"/>
      </w:pPr>
      <w:r>
        <w:t xml:space="preserve">In the event of rain occurring before the </w:t>
      </w:r>
      <w:r w:rsidR="00EA3EF2">
        <w:t>micro-surfacing</w:t>
      </w:r>
      <w:r>
        <w:t xml:space="preserve"> has dried, take all steps necessary to prevent the </w:t>
      </w:r>
      <w:r w:rsidR="00EA3EF2">
        <w:t>materials</w:t>
      </w:r>
      <w:r>
        <w:t xml:space="preserve"> from contaminating the surrounding area and associated drainage systems.</w:t>
      </w:r>
      <w:r w:rsidR="004253E5">
        <w:t xml:space="preserve">  </w:t>
      </w:r>
      <w:r>
        <w:t xml:space="preserve">Any pools of </w:t>
      </w:r>
      <w:r w:rsidR="00EA3EF2">
        <w:t>micro-surfacing</w:t>
      </w:r>
      <w:r>
        <w:t xml:space="preserve">/water created by the rain shall be removed and disposed in an approved manner compliant with Environmental </w:t>
      </w:r>
      <w:r w:rsidR="002D1D97">
        <w:t>L</w:t>
      </w:r>
      <w:r>
        <w:t>egislation.</w:t>
      </w:r>
    </w:p>
    <w:p w14:paraId="1DFAC4DB" w14:textId="77777777" w:rsidR="00D61A45" w:rsidRDefault="004253E5" w:rsidP="001E53FC">
      <w:pPr>
        <w:pStyle w:val="BodyTextIndent"/>
      </w:pPr>
      <w:r>
        <w:t>R</w:t>
      </w:r>
      <w:r w:rsidR="00D61A45">
        <w:t xml:space="preserve">einstate any </w:t>
      </w:r>
      <w:r w:rsidR="00EA3EF2">
        <w:t>micro-surfacing</w:t>
      </w:r>
      <w:r w:rsidR="00D61A45">
        <w:t xml:space="preserve"> washed off the pavement surface due to rain.</w:t>
      </w:r>
      <w:r>
        <w:t xml:space="preserve"> </w:t>
      </w:r>
      <w:r w:rsidR="00D61A45">
        <w:t xml:space="preserve"> </w:t>
      </w:r>
      <w:r w:rsidR="00EA3EF2">
        <w:t>T</w:t>
      </w:r>
      <w:r w:rsidR="007857C2">
        <w:t xml:space="preserve">he </w:t>
      </w:r>
      <w:r w:rsidR="00D61A45">
        <w:t>extent of reinstatement shall be determined by a joint inspection conducted by the Superintendent and the Contractor.</w:t>
      </w:r>
    </w:p>
    <w:p w14:paraId="1DFAC4DC" w14:textId="77777777" w:rsidR="0035296C" w:rsidRDefault="0035296C" w:rsidP="00493B36">
      <w:pPr>
        <w:pStyle w:val="BodyTextIndentBoldUnderline"/>
      </w:pPr>
      <w:r>
        <w:t>Restrictions</w:t>
      </w:r>
    </w:p>
    <w:p w14:paraId="1DFAC4DD" w14:textId="53CFE689" w:rsidR="0035296C" w:rsidRDefault="0035296C" w:rsidP="001E53FC">
      <w:pPr>
        <w:pStyle w:val="BodyTextIndent"/>
      </w:pPr>
      <w:r w:rsidRPr="00F30709">
        <w:rPr>
          <w:u w:val="single"/>
        </w:rPr>
        <w:t>Pavement surface temperature</w:t>
      </w:r>
      <w:r w:rsidRPr="003D5004">
        <w:t>:</w:t>
      </w:r>
      <w:r>
        <w:t xml:space="preserve"> Do not commence </w:t>
      </w:r>
      <w:r w:rsidR="00F060BE">
        <w:t>placing micro-surfacing</w:t>
      </w:r>
      <w:r>
        <w:t xml:space="preserve"> until the </w:t>
      </w:r>
      <w:r w:rsidR="00C220CE">
        <w:t>ambient</w:t>
      </w:r>
      <w:r>
        <w:t xml:space="preserve"> </w:t>
      </w:r>
      <w:r w:rsidR="000870DD">
        <w:t xml:space="preserve">air and pavement </w:t>
      </w:r>
      <w:r>
        <w:t>temperature</w:t>
      </w:r>
      <w:r w:rsidR="000870DD">
        <w:t>s</w:t>
      </w:r>
      <w:r w:rsidR="00F060BE">
        <w:t xml:space="preserve"> are</w:t>
      </w:r>
      <w:r>
        <w:t xml:space="preserve"> </w:t>
      </w:r>
      <w:r w:rsidR="007858F9">
        <w:t>at least</w:t>
      </w:r>
      <w:r>
        <w:t xml:space="preserve"> </w:t>
      </w:r>
      <w:r w:rsidR="00C220CE">
        <w:t>1</w:t>
      </w:r>
      <w:r w:rsidR="00F060BE">
        <w:t>0</w:t>
      </w:r>
      <w:r w:rsidR="0076513B">
        <w:rPr>
          <w:rFonts w:cs="Arial"/>
        </w:rPr>
        <w:t>°</w:t>
      </w:r>
      <w:r>
        <w:t xml:space="preserve">C </w:t>
      </w:r>
      <w:r w:rsidR="007858F9">
        <w:t xml:space="preserve">and rising </w:t>
      </w:r>
      <w:r w:rsidR="00C220CE">
        <w:t xml:space="preserve">and likely to remain at least at that temperature during all </w:t>
      </w:r>
      <w:r w:rsidR="00F060BE">
        <w:t>placing</w:t>
      </w:r>
      <w:r w:rsidR="000F22BA">
        <w:t xml:space="preserve"> operations</w:t>
      </w:r>
      <w:r>
        <w:t>.</w:t>
      </w:r>
    </w:p>
    <w:p w14:paraId="1DFAC4DE" w14:textId="69441EF4" w:rsidR="0035296C" w:rsidRDefault="0035296C" w:rsidP="001E53FC">
      <w:pPr>
        <w:pStyle w:val="BodyTextIndent"/>
      </w:pPr>
      <w:r w:rsidRPr="00F30709">
        <w:rPr>
          <w:u w:val="single"/>
        </w:rPr>
        <w:lastRenderedPageBreak/>
        <w:t>Weather conditions</w:t>
      </w:r>
      <w:r w:rsidRPr="003D5004">
        <w:t>:</w:t>
      </w:r>
      <w:r>
        <w:t xml:space="preserve"> Do not </w:t>
      </w:r>
      <w:r w:rsidR="00F060BE">
        <w:t>place</w:t>
      </w:r>
      <w:r>
        <w:t xml:space="preserve"> during rain or if rain is </w:t>
      </w:r>
      <w:r w:rsidR="00C220CE">
        <w:t xml:space="preserve">forecast </w:t>
      </w:r>
      <w:r w:rsidR="00776597">
        <w:t xml:space="preserve">by the Bureau of Meteorology within the following </w:t>
      </w:r>
      <w:r w:rsidR="000870DD">
        <w:t>8</w:t>
      </w:r>
      <w:r w:rsidR="000A6594">
        <w:t> </w:t>
      </w:r>
      <w:r w:rsidR="00776597">
        <w:t>hours</w:t>
      </w:r>
      <w:r w:rsidR="006F2B9D">
        <w:t>.</w:t>
      </w:r>
    </w:p>
    <w:p w14:paraId="1DFAC4DF" w14:textId="77777777" w:rsidR="00890D39" w:rsidRDefault="00890D39" w:rsidP="001E53FC">
      <w:pPr>
        <w:pStyle w:val="BodyTextIndent"/>
      </w:pPr>
      <w:r>
        <w:t>Do not proceed with the application unless there is sufficient time for the material to cure before opening to traffic within the specified approved period of road closure.</w:t>
      </w:r>
    </w:p>
    <w:p w14:paraId="1DFAC4E0" w14:textId="77777777" w:rsidR="0035296C" w:rsidRDefault="0035296C" w:rsidP="001E53FC">
      <w:pPr>
        <w:pStyle w:val="BodyTextIndent"/>
      </w:pPr>
      <w:r w:rsidRPr="00F30709">
        <w:rPr>
          <w:u w:val="single"/>
        </w:rPr>
        <w:t>Minimum period between bituminous treatments</w:t>
      </w:r>
      <w:r w:rsidRPr="003D5004">
        <w:t>:</w:t>
      </w:r>
      <w:r>
        <w:t xml:space="preserve"> </w:t>
      </w:r>
      <w:r w:rsidR="00563392">
        <w:t xml:space="preserve">New asphalt surfaces must be </w:t>
      </w:r>
      <w:r>
        <w:t xml:space="preserve">at least </w:t>
      </w:r>
      <w:r w:rsidR="006F2B9D">
        <w:t>28</w:t>
      </w:r>
      <w:r>
        <w:t xml:space="preserve"> days </w:t>
      </w:r>
      <w:r w:rsidR="00563392">
        <w:t xml:space="preserve">old before placing </w:t>
      </w:r>
      <w:r w:rsidR="00561A85">
        <w:t>the polymer modified emulsion surface treatment</w:t>
      </w:r>
      <w:r>
        <w:t>.</w:t>
      </w:r>
    </w:p>
    <w:p w14:paraId="1DFAC4E1" w14:textId="77777777" w:rsidR="0035296C" w:rsidRDefault="0035296C" w:rsidP="00493B36">
      <w:pPr>
        <w:pStyle w:val="BodyTextIndentBoldUnderline"/>
      </w:pPr>
      <w:r>
        <w:t>Method of application</w:t>
      </w:r>
    </w:p>
    <w:p w14:paraId="1DFAC4E2" w14:textId="77777777" w:rsidR="00C56860" w:rsidRDefault="000D2D94" w:rsidP="001E53FC">
      <w:pPr>
        <w:pStyle w:val="BodyTextIndent"/>
      </w:pPr>
      <w:r>
        <w:t>M</w:t>
      </w:r>
      <w:r w:rsidR="00C56860">
        <w:t>icro</w:t>
      </w:r>
      <w:r>
        <w:t>-</w:t>
      </w:r>
      <w:r w:rsidR="00C56860">
        <w:t>surfacing shall be mixed and applied using a purpose built paver.  The mix shall be of the desired consistency when deposited in the spreader box, and nothing more shall be added other than minor amounts of water for the purpose of overcoming temporary build-up of micro</w:t>
      </w:r>
      <w:r>
        <w:t>-</w:t>
      </w:r>
      <w:r w:rsidR="00C56860">
        <w:t>surfacing in the corners of the spreader box.</w:t>
      </w:r>
    </w:p>
    <w:p w14:paraId="1DFAC4E3" w14:textId="77777777" w:rsidR="00C56860" w:rsidRDefault="004B5D66" w:rsidP="001E53FC">
      <w:pPr>
        <w:pStyle w:val="BodyTextIndent"/>
      </w:pPr>
      <w:r>
        <w:t>Mix for</w:t>
      </w:r>
      <w:r w:rsidR="00C56860">
        <w:t xml:space="preserve"> sufficient </w:t>
      </w:r>
      <w:r>
        <w:t xml:space="preserve">time </w:t>
      </w:r>
      <w:r w:rsidR="00C56860">
        <w:t xml:space="preserve">to produce a complete and uniform coating of the aggregate and </w:t>
      </w:r>
      <w:r>
        <w:t xml:space="preserve">convey </w:t>
      </w:r>
      <w:r w:rsidR="00C56860">
        <w:t>the resulting mixture into the moving spreader box at a sufficient rate to always maintain an ample supply across the full width of the strike-off.</w:t>
      </w:r>
    </w:p>
    <w:p w14:paraId="1DFAC4E4" w14:textId="77777777" w:rsidR="00C56860" w:rsidRDefault="00C56860" w:rsidP="001E53FC">
      <w:pPr>
        <w:pStyle w:val="BodyTextIndent"/>
      </w:pPr>
      <w:r>
        <w:t xml:space="preserve">The strike-off shall be adjusted to provide an application rate which will completely fill the surface voids and provide the </w:t>
      </w:r>
      <w:r w:rsidR="004B5D66">
        <w:t xml:space="preserve">approved </w:t>
      </w:r>
      <w:r>
        <w:t>nominal application rate of micro</w:t>
      </w:r>
      <w:r w:rsidR="000D2D94">
        <w:t>-surfacing.</w:t>
      </w:r>
    </w:p>
    <w:p w14:paraId="1DFAC4E5" w14:textId="77777777" w:rsidR="0035296C" w:rsidRDefault="00C56860" w:rsidP="00493B36">
      <w:pPr>
        <w:pStyle w:val="BodyTextIndentBoldUnderline"/>
      </w:pPr>
      <w:r>
        <w:t>Surface Texture</w:t>
      </w:r>
    </w:p>
    <w:p w14:paraId="1DFAC4E6" w14:textId="77777777" w:rsidR="000D2D94" w:rsidRDefault="0035296C" w:rsidP="001E53FC">
      <w:pPr>
        <w:pStyle w:val="BodyTextIndent"/>
      </w:pPr>
      <w:r w:rsidRPr="00493B36">
        <w:rPr>
          <w:rStyle w:val="BodyTextIndentBoldUnderlineChar"/>
          <w:b w:val="0"/>
        </w:rPr>
        <w:t>General</w:t>
      </w:r>
      <w:r w:rsidRPr="003D5004">
        <w:rPr>
          <w:rStyle w:val="BodyTextIndentBoldUnderlineChar"/>
          <w:b w:val="0"/>
          <w:u w:val="none"/>
        </w:rPr>
        <w:t>:</w:t>
      </w:r>
      <w:r>
        <w:t xml:space="preserve"> </w:t>
      </w:r>
      <w:r w:rsidR="000D2D94">
        <w:t>The</w:t>
      </w:r>
      <w:r w:rsidR="000D2D94" w:rsidRPr="001E53FC">
        <w:t xml:space="preserve"> resulting surface after spreading shall be uniform in appearance, and free of areas exhibiting segregation or excessive or insufficient binder.  The surface texture shall be demonstrated on a short test run for approval by the Superintendent.  Where increased surface texture is required, a fabric skirt m</w:t>
      </w:r>
      <w:r w:rsidR="000D2D94">
        <w:t>ay be trailed behind the spreader box.  If the surface texture is acceptable to the Superintendent, then all subsequent work shall be finished to an equivalent surface texture.</w:t>
      </w:r>
    </w:p>
    <w:p w14:paraId="1DFAC4E7" w14:textId="77777777" w:rsidR="004B5D66" w:rsidRDefault="004B5D66" w:rsidP="00493B36">
      <w:pPr>
        <w:pStyle w:val="BodyTextIndentBoldUnderline"/>
      </w:pPr>
      <w:r>
        <w:t>Joints</w:t>
      </w:r>
    </w:p>
    <w:p w14:paraId="1DFAC4E8" w14:textId="77777777" w:rsidR="004B5D66" w:rsidRDefault="004B5D66" w:rsidP="001E53FC">
      <w:pPr>
        <w:pStyle w:val="BodyTextIndent"/>
      </w:pPr>
      <w:r w:rsidRPr="00493B36">
        <w:rPr>
          <w:rStyle w:val="BodyTextIndentBoldUnderlineChar"/>
          <w:b w:val="0"/>
        </w:rPr>
        <w:t>General</w:t>
      </w:r>
      <w:r w:rsidRPr="003D5004">
        <w:rPr>
          <w:rStyle w:val="BodyTextIndentBoldUnderlineChar"/>
          <w:b w:val="0"/>
          <w:u w:val="none"/>
        </w:rPr>
        <w:t>:</w:t>
      </w:r>
      <w:r w:rsidRPr="00493B36">
        <w:rPr>
          <w:b/>
        </w:rPr>
        <w:t xml:space="preserve"> </w:t>
      </w:r>
      <w:r>
        <w:t xml:space="preserve">Longitudinal joints in the wearing course shall be straight and placed at either the edge or the centre of a traffic lane. </w:t>
      </w:r>
      <w:r w:rsidR="00D4389D">
        <w:t xml:space="preserve"> </w:t>
      </w:r>
      <w:r w:rsidR="00D4389D" w:rsidRPr="00D4389D">
        <w:t>All joints shall be overlapped.  The maximum overlap shall be 150</w:t>
      </w:r>
      <w:r w:rsidR="008E471C">
        <w:t> </w:t>
      </w:r>
      <w:r w:rsidR="00D4389D" w:rsidRPr="00D4389D">
        <w:t>mm.</w:t>
      </w:r>
      <w:r w:rsidR="00D4389D">
        <w:t xml:space="preserve">  T</w:t>
      </w:r>
      <w:r>
        <w:t>he edges and joints shall be lightly screeded with a hand squeegee to achieve a smooth uniform appearance and to remove excess build-up of material.</w:t>
      </w:r>
    </w:p>
    <w:p w14:paraId="1DFAC4E9" w14:textId="77777777" w:rsidR="006C0CD9" w:rsidRDefault="006C0CD9" w:rsidP="001E53FC">
      <w:pPr>
        <w:pStyle w:val="BodyTextIndent"/>
      </w:pPr>
      <w:r>
        <w:t>The end of each run shall be squared off at the point where there is insufficient material in the spreader box to maintain the full width of the spread.</w:t>
      </w:r>
    </w:p>
    <w:p w14:paraId="1DFAC4EA" w14:textId="77777777" w:rsidR="0035296C" w:rsidRDefault="0035296C" w:rsidP="00493B36">
      <w:pPr>
        <w:pStyle w:val="BodyTextIndentBoldUnderline"/>
      </w:pPr>
      <w:r>
        <w:t>Recording</w:t>
      </w:r>
    </w:p>
    <w:p w14:paraId="1DFAC4EB" w14:textId="77777777" w:rsidR="0035296C" w:rsidRPr="004618A9" w:rsidRDefault="0035296C" w:rsidP="001E53FC">
      <w:pPr>
        <w:pStyle w:val="BodyTextIndent"/>
      </w:pPr>
      <w:r>
        <w:t>Actual spr</w:t>
      </w:r>
      <w:r w:rsidR="009E0D0B">
        <w:t>e</w:t>
      </w:r>
      <w:r>
        <w:t>a</w:t>
      </w:r>
      <w:r w:rsidR="009E0D0B">
        <w:t>d</w:t>
      </w:r>
      <w:r>
        <w:t xml:space="preserve"> rate: </w:t>
      </w:r>
      <w:r w:rsidR="004618A9">
        <w:t>Record</w:t>
      </w:r>
      <w:r>
        <w:t xml:space="preserve"> </w:t>
      </w:r>
      <w:r w:rsidR="004618A9">
        <w:t>d</w:t>
      </w:r>
      <w:r w:rsidR="004618A9" w:rsidRPr="004618A9">
        <w:t>etails of all materials applied immediately after each application.</w:t>
      </w:r>
    </w:p>
    <w:p w14:paraId="1DFAC4EC" w14:textId="77777777" w:rsidR="0035296C" w:rsidRDefault="001E53FC" w:rsidP="00925E66">
      <w:pPr>
        <w:pStyle w:val="Heading3"/>
      </w:pPr>
      <w:bookmarkStart w:id="36" w:name="_Toc76107353"/>
      <w:r>
        <w:t>Application Rate</w:t>
      </w:r>
      <w:bookmarkEnd w:id="36"/>
    </w:p>
    <w:p w14:paraId="1DFAC4ED" w14:textId="77777777" w:rsidR="00B74D2C" w:rsidRDefault="00B74D2C" w:rsidP="00493B36">
      <w:pPr>
        <w:pStyle w:val="BodyTextIndentBoldUnderline"/>
      </w:pPr>
      <w:r>
        <w:t>Rut Filling Course</w:t>
      </w:r>
    </w:p>
    <w:p w14:paraId="1DFAC4EE" w14:textId="69CC02B7" w:rsidR="00B74D2C" w:rsidRDefault="00B74D2C" w:rsidP="001E53FC">
      <w:pPr>
        <w:pStyle w:val="BodyTextIndent"/>
      </w:pPr>
      <w:r>
        <w:t>Where wheel ruts average 25</w:t>
      </w:r>
      <w:r w:rsidR="008E471C">
        <w:t> </w:t>
      </w:r>
      <w:r>
        <w:t xml:space="preserve">mm or more in depth, apply a rut filling course with the aid of a rut filling attachment to the mixer/spreader prior to placing the wearing course.  </w:t>
      </w:r>
      <w:r w:rsidR="00BE635E">
        <w:t>Open to traffic, s</w:t>
      </w:r>
      <w:r>
        <w:t>ections where rut filling has been carried out for a minimum of 8</w:t>
      </w:r>
      <w:r w:rsidR="000233F8" w:rsidRPr="005B7388">
        <w:t> </w:t>
      </w:r>
      <w:r>
        <w:t>hours prior to placing the wearing course.</w:t>
      </w:r>
    </w:p>
    <w:p w14:paraId="1DFAC4EF" w14:textId="77777777" w:rsidR="00B74D2C" w:rsidRDefault="00B74D2C" w:rsidP="00A216FB">
      <w:pPr>
        <w:pStyle w:val="BodyTextIndentBoldUnderline"/>
      </w:pPr>
      <w:r>
        <w:t>Regulating Course</w:t>
      </w:r>
    </w:p>
    <w:p w14:paraId="1DFAC4F0" w14:textId="2061547B" w:rsidR="00B74D2C" w:rsidRDefault="00B74D2C" w:rsidP="001E53FC">
      <w:pPr>
        <w:pStyle w:val="BodyTextIndent"/>
      </w:pPr>
      <w:r>
        <w:t>Where the existing surface varies by more than 10</w:t>
      </w:r>
      <w:r w:rsidR="008E471C">
        <w:t> </w:t>
      </w:r>
      <w:r>
        <w:t>mm from a 3</w:t>
      </w:r>
      <w:r w:rsidR="008E471C">
        <w:t> </w:t>
      </w:r>
      <w:r>
        <w:t xml:space="preserve">m straight edge, </w:t>
      </w:r>
      <w:r w:rsidR="00BE635E">
        <w:t xml:space="preserve">apply </w:t>
      </w:r>
      <w:r>
        <w:t xml:space="preserve">a regulating or </w:t>
      </w:r>
      <w:r w:rsidR="0076513B">
        <w:t>“</w:t>
      </w:r>
      <w:r>
        <w:t>scratch</w:t>
      </w:r>
      <w:r w:rsidR="0076513B">
        <w:t>”</w:t>
      </w:r>
      <w:r>
        <w:t xml:space="preserve"> course to the surface prior to placing the wearing course.  </w:t>
      </w:r>
      <w:r w:rsidR="00BE635E">
        <w:t>Do not apply t</w:t>
      </w:r>
      <w:r>
        <w:t>he wearing course until the regulating course has set sufficiently to carry the mixer/spreader without damage.</w:t>
      </w:r>
    </w:p>
    <w:p w14:paraId="1DFAC4F1" w14:textId="7443BA40" w:rsidR="00B74D2C" w:rsidRDefault="00B74D2C" w:rsidP="001E53FC">
      <w:pPr>
        <w:pStyle w:val="BodyTextIndent"/>
      </w:pPr>
      <w:r>
        <w:t xml:space="preserve">For regulating or </w:t>
      </w:r>
      <w:r w:rsidR="0076513B">
        <w:t>“</w:t>
      </w:r>
      <w:r>
        <w:t>scratch</w:t>
      </w:r>
      <w:r w:rsidR="0076513B">
        <w:t>”</w:t>
      </w:r>
      <w:r>
        <w:t xml:space="preserve"> courses, the spreader box shall be fitted with skids of not less than 1.6</w:t>
      </w:r>
      <w:r w:rsidR="008E471C">
        <w:t> </w:t>
      </w:r>
      <w:r>
        <w:t xml:space="preserve">m in length and where the shape of the existing surface permits, a rigid </w:t>
      </w:r>
      <w:r w:rsidR="0076513B">
        <w:t>“</w:t>
      </w:r>
      <w:r>
        <w:t>strike off</w:t>
      </w:r>
      <w:r w:rsidR="0076513B">
        <w:t>”</w:t>
      </w:r>
      <w:r>
        <w:t xml:space="preserve"> blade may be used.</w:t>
      </w:r>
    </w:p>
    <w:p w14:paraId="1DFAC4F2" w14:textId="77777777" w:rsidR="00B74D2C" w:rsidRDefault="00B74D2C" w:rsidP="00A216FB">
      <w:pPr>
        <w:pStyle w:val="BodyTextIndentBoldUnderline"/>
      </w:pPr>
      <w:r>
        <w:t>Wearing Course</w:t>
      </w:r>
    </w:p>
    <w:p w14:paraId="1DFAC4F3" w14:textId="77777777" w:rsidR="00DF615E" w:rsidRDefault="00DF615E" w:rsidP="001E53FC">
      <w:pPr>
        <w:pStyle w:val="BodyTextIndent"/>
      </w:pPr>
      <w:r w:rsidRPr="00DF615E">
        <w:t xml:space="preserve">The average layer thickness shall not be less than the nominal aggregate size or greater than twice the nominal aggregate size.  The layer thickness at any point shall not exceed three times </w:t>
      </w:r>
      <w:r w:rsidRPr="00DF615E">
        <w:lastRenderedPageBreak/>
        <w:t>the nominal aggregate size without first applying a regulating course or pre filling isolated low areas.</w:t>
      </w:r>
    </w:p>
    <w:p w14:paraId="1DFAC4F4" w14:textId="77777777" w:rsidR="0035296C" w:rsidRDefault="001E53FC" w:rsidP="00925E66">
      <w:pPr>
        <w:pStyle w:val="Heading3"/>
      </w:pPr>
      <w:bookmarkStart w:id="37" w:name="_Toc76107354"/>
      <w:r>
        <w:t>Defective Surfacing</w:t>
      </w:r>
      <w:bookmarkEnd w:id="37"/>
    </w:p>
    <w:p w14:paraId="1DFAC4F5" w14:textId="77777777" w:rsidR="00517717" w:rsidRDefault="00517717" w:rsidP="001E53FC">
      <w:pPr>
        <w:pStyle w:val="BodyTextIndent"/>
      </w:pPr>
      <w:r>
        <w:t>Any Slurry lot which fails to achieve conformance with any property specified or which incorporates materials which fail to achieve conformance with any property specified shall constitute a non-conformance.</w:t>
      </w:r>
    </w:p>
    <w:p w14:paraId="1DFAC4F6" w14:textId="77777777" w:rsidR="00517717" w:rsidRDefault="00517717" w:rsidP="001E53FC">
      <w:pPr>
        <w:pStyle w:val="BodyTextIndent"/>
      </w:pPr>
      <w:r>
        <w:t>Non-conforming Slurry may be either overlaid, removed or allowed to remain as agreed by the Superintendent.</w:t>
      </w:r>
    </w:p>
    <w:p w14:paraId="1DFAC4F7" w14:textId="77777777" w:rsidR="0035296C" w:rsidRDefault="00556759" w:rsidP="00925E66">
      <w:pPr>
        <w:pStyle w:val="Heading2"/>
      </w:pPr>
      <w:bookmarkStart w:id="38" w:name="_Toc76107355"/>
      <w:r>
        <w:t>CURING</w:t>
      </w:r>
      <w:bookmarkEnd w:id="38"/>
    </w:p>
    <w:p w14:paraId="1DFAC4F8" w14:textId="77777777" w:rsidR="0031220D" w:rsidRDefault="0031220D" w:rsidP="00A216FB">
      <w:pPr>
        <w:pStyle w:val="BodyTextIndentBoldUnderline"/>
      </w:pPr>
      <w:r>
        <w:t xml:space="preserve">Time </w:t>
      </w:r>
      <w:r w:rsidR="001E53FC">
        <w:t>limitations</w:t>
      </w:r>
    </w:p>
    <w:p w14:paraId="1DFAC4F9" w14:textId="43FB72DE" w:rsidR="0031220D" w:rsidRDefault="0031220D" w:rsidP="001E53FC">
      <w:pPr>
        <w:pStyle w:val="BodyTextIndent"/>
      </w:pPr>
      <w:r w:rsidRPr="003D5004">
        <w:rPr>
          <w:u w:val="single"/>
        </w:rPr>
        <w:t>General</w:t>
      </w:r>
      <w:r>
        <w:t xml:space="preserve">: Select materials and processes so that the direct access to properties is not restricted for more than </w:t>
      </w:r>
      <w:r w:rsidR="00303437">
        <w:t>4 </w:t>
      </w:r>
      <w:r>
        <w:t>hours at any one time.</w:t>
      </w:r>
    </w:p>
    <w:p w14:paraId="1DFAC4FA" w14:textId="77777777" w:rsidR="0035296C" w:rsidRDefault="0035296C" w:rsidP="00A216FB">
      <w:pPr>
        <w:pStyle w:val="BodyTextIndentBoldUnderline"/>
      </w:pPr>
      <w:r>
        <w:t>Traffic on pavement</w:t>
      </w:r>
    </w:p>
    <w:p w14:paraId="1DFAC4FB" w14:textId="77777777" w:rsidR="00B63B05" w:rsidRDefault="0035296C" w:rsidP="001E53FC">
      <w:pPr>
        <w:pStyle w:val="BodyTextIndent"/>
      </w:pPr>
      <w:r>
        <w:t>Provide adequate means of protection</w:t>
      </w:r>
      <w:r w:rsidR="00B63B05">
        <w:t xml:space="preserve"> to ensure that the </w:t>
      </w:r>
      <w:r w:rsidR="001C24E6">
        <w:t>treat</w:t>
      </w:r>
      <w:r w:rsidR="00B63B05">
        <w:t xml:space="preserve">ed area is not trafficked until the </w:t>
      </w:r>
      <w:r w:rsidR="001C24E6">
        <w:t>micro-surfacing</w:t>
      </w:r>
      <w:r w:rsidR="00B63B05">
        <w:t xml:space="preserve"> has </w:t>
      </w:r>
      <w:r w:rsidR="007858F9">
        <w:t>cured</w:t>
      </w:r>
      <w:r w:rsidR="00B63B05">
        <w:t xml:space="preserve"> sufficiently to prevent being picked up by vehicular and pedestrian traffic.</w:t>
      </w:r>
    </w:p>
    <w:sectPr w:rsidR="00B63B05" w:rsidSect="002E7498">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BCFF" w14:textId="77777777" w:rsidR="00811C06" w:rsidRDefault="00811C06">
      <w:r>
        <w:separator/>
      </w:r>
    </w:p>
  </w:endnote>
  <w:endnote w:type="continuationSeparator" w:id="0">
    <w:p w14:paraId="221F7A9D" w14:textId="77777777" w:rsidR="00811C06" w:rsidRDefault="0081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C503" w14:textId="3F9F5C72" w:rsidR="00AF60AB" w:rsidRDefault="00682A12" w:rsidP="00816707">
    <w:pPr>
      <w:pStyle w:val="Footer"/>
    </w:pPr>
    <w:r w:rsidRPr="008177E2">
      <w:t xml:space="preserve">Revision </w:t>
    </w:r>
    <w:r>
      <w:t>3</w:t>
    </w:r>
    <w:r w:rsidRPr="008177E2">
      <w:t xml:space="preserve">.0 – </w:t>
    </w:r>
    <w:r w:rsidR="001E21D4" w:rsidRPr="001E21D4">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6750" w14:textId="77777777" w:rsidR="00995201" w:rsidRDefault="00995201" w:rsidP="00816707">
    <w:pPr>
      <w:pStyle w:val="Footer"/>
    </w:pPr>
    <w:r w:rsidRPr="008177E2">
      <w:t xml:space="preserve">Revision </w:t>
    </w:r>
    <w:r>
      <w:t>3</w:t>
    </w:r>
    <w:r w:rsidRPr="008177E2">
      <w:t xml:space="preserve">.0 – </w:t>
    </w:r>
    <w:r w:rsidRPr="001E21D4">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9E8E" w14:textId="0CC65412" w:rsidR="00682A12" w:rsidRDefault="00682A12" w:rsidP="00816707">
    <w:pPr>
      <w:pStyle w:val="Footer"/>
    </w:pPr>
    <w:r w:rsidRPr="008177E2">
      <w:t xml:space="preserve">Revision </w:t>
    </w:r>
    <w:r>
      <w:t>3</w:t>
    </w:r>
    <w:r w:rsidRPr="008177E2">
      <w:t xml:space="preserve">.0 – </w:t>
    </w:r>
    <w:r w:rsidR="001E21D4" w:rsidRPr="001E21D4">
      <w:t>March 2021</w:t>
    </w:r>
    <w:r w:rsidR="00E31EF0">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0C69" w14:textId="1682B3B9" w:rsidR="00682A12" w:rsidRDefault="00682A12" w:rsidP="00816707">
    <w:pPr>
      <w:pStyle w:val="Footer"/>
    </w:pPr>
    <w:r w:rsidRPr="008177E2">
      <w:t xml:space="preserve">Revision </w:t>
    </w:r>
    <w:r>
      <w:t>3</w:t>
    </w:r>
    <w:r w:rsidRPr="008177E2">
      <w:t xml:space="preserve">.0 – </w:t>
    </w:r>
    <w:r w:rsidR="001E21D4" w:rsidRPr="001E21D4">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3C34" w14:textId="0D2F5898" w:rsidR="00682A12" w:rsidRDefault="00682A12" w:rsidP="00816707">
    <w:pPr>
      <w:pStyle w:val="Footer"/>
    </w:pPr>
    <w:r w:rsidRPr="008177E2">
      <w:t xml:space="preserve">Revision </w:t>
    </w:r>
    <w:r>
      <w:t>3</w:t>
    </w:r>
    <w:r w:rsidRPr="008177E2">
      <w:t xml:space="preserve">.0 – </w:t>
    </w:r>
    <w:r w:rsidR="001E21D4">
      <w:t>March 2021</w:t>
    </w:r>
    <w:r w:rsidR="00E31EF0">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6A05" w14:textId="77777777" w:rsidR="00811C06" w:rsidRDefault="00811C06">
      <w:r>
        <w:separator/>
      </w:r>
    </w:p>
  </w:footnote>
  <w:footnote w:type="continuationSeparator" w:id="0">
    <w:p w14:paraId="67247EF5" w14:textId="77777777" w:rsidR="00811C06" w:rsidRDefault="0081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C502" w14:textId="75202C53" w:rsidR="00AF60AB" w:rsidRPr="00C62B5E" w:rsidRDefault="00EF1019" w:rsidP="00E31EF0">
    <w:pPr>
      <w:pStyle w:val="Header"/>
    </w:pPr>
    <w:r>
      <w:pict w14:anchorId="5A4B4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64EB" w14:textId="7BC48C08" w:rsidR="00995201" w:rsidRPr="00C62B5E" w:rsidRDefault="00995201" w:rsidP="00816707">
    <w:pPr>
      <w:pStyle w:val="Header"/>
    </w:pPr>
    <w:r w:rsidRPr="00C62B5E">
      <w:t>Brisbane City Council</w:t>
    </w:r>
    <w:r w:rsidR="00E31EF0">
      <w:tab/>
    </w:r>
    <w:r w:rsidRPr="001E21D4">
      <w:t>Reference Specifications for Engineering Work</w:t>
    </w:r>
    <w:r w:rsidR="00E31EF0">
      <w:t xml:space="preserve"> </w:t>
    </w:r>
    <w:r w:rsidR="00EF1019">
      <w:rPr>
        <w:noProof/>
      </w:rPr>
      <w:pict w14:anchorId="34319AAF">
        <v:shapetype id="_x0000_t202" coordsize="21600,21600" o:spt="202" path="m,l,21600r21600,l21600,xe">
          <v:stroke joinstyle="miter"/>
          <v:path gradientshapeok="t" o:connecttype="rect"/>
        </v:shapetype>
        <v:shape id="Text Box 14" o:spid="_x0000_s2103" type="#_x0000_t202" style="position:absolute;left:0;text-align:left;margin-left:288.85pt;margin-top:488.15pt;width:558.25pt;height:30.35pt;rotation:-5921140fd;z-index:251661824;visibility:visibl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" filled="f" stroked="f">
          <v:stroke joinstyle="round"/>
          <o:lock v:ext="edit" shapetype="t"/>
          <v:textbox style="layout-flow:vertical;mso-layout-flow-alt:bottom-to-top">
            <w:txbxContent>
              <w:p w14:paraId="6E080CAE" w14:textId="77777777" w:rsidR="00995201" w:rsidRPr="0095675E" w:rsidRDefault="00995201" w:rsidP="00682A12">
                <w:pPr>
                  <w:pStyle w:val="NormalWeb"/>
                  <w:rPr>
                    <w:rFonts w:ascii="Arial Bold" w:hAnsi="Arial Bold"/>
                    <w:sz w:val="28"/>
                    <w:szCs w:val="28"/>
                  </w:rPr>
                </w:pPr>
                <w:r w:rsidRPr="00682A12">
                  <w:rPr>
                    <w:rFonts w:ascii="Arial Bold" w:hAnsi="Arial Bold" w:cs="Arial"/>
                    <w:b/>
                    <w:bCs/>
                    <w:i/>
                    <w:iCs/>
                    <w:sz w:val="28"/>
                    <w:szCs w:val="28"/>
                  </w:rPr>
                  <w:t>S336 POLYMER MODIFIED EMULSION MICRO-SURFACING TREATMENT</w:t>
                </w:r>
                <w:r>
                  <w:rPr>
                    <w:rFonts w:ascii="Arial Bold" w:hAnsi="Arial Bold" w:cs="Arial"/>
                    <w:b/>
                    <w:bCs/>
                    <w:i/>
                    <w:iCs/>
                    <w:sz w:val="28"/>
                    <w:szCs w:val="28"/>
                  </w:rPr>
                  <w:t xml:space="preserve"> </w:t>
                </w:r>
              </w:p>
            </w:txbxContent>
          </v:textbox>
          <w10:wrap anchorx="page" anchory="page"/>
        </v:shape>
      </w:pict>
    </w:r>
    <w:r w:rsidRPr="00C62B5E">
      <w:t>S</w:t>
    </w:r>
    <w:r>
      <w:t>336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C504" w14:textId="77777777" w:rsidR="00AF60AB" w:rsidRDefault="00EF1019">
    <w:pPr>
      <w:pStyle w:val="Header"/>
    </w:pPr>
    <w:r>
      <w:rPr>
        <w:noProof/>
        <w:lang w:eastAsia="en-US"/>
      </w:rPr>
      <w:pict w14:anchorId="1DFAC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6704" o:allowincell="f" fillcolor="black">
          <v:shadow color="#868686"/>
          <v:textpath style="font-family:&quot;Arial Narrow&quot;;v-rotate-letters:t;v-text-kern:t" trim="t" fitpath="t" string="1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1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BF4D60"/>
    <w:multiLevelType w:val="multilevel"/>
    <w:tmpl w:val="9DBCB77E"/>
    <w:lvl w:ilvl="0">
      <w:start w:val="6"/>
      <w:numFmt w:val="bullet"/>
      <w:pStyle w:val="Dot2"/>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E7B1F"/>
    <w:multiLevelType w:val="multilevel"/>
    <w:tmpl w:val="6748CEB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C841EC8"/>
    <w:multiLevelType w:val="multilevel"/>
    <w:tmpl w:val="7478A008"/>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pStyle w:val="Heading4"/>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5" w15:restartNumberingAfterBreak="0">
    <w:nsid w:val="2CD6461A"/>
    <w:multiLevelType w:val="singleLevel"/>
    <w:tmpl w:val="86F00B46"/>
    <w:lvl w:ilvl="0">
      <w:start w:val="1"/>
      <w:numFmt w:val="bullet"/>
      <w:pStyle w:val="DotTab"/>
      <w:lvlText w:val=""/>
      <w:lvlJc w:val="left"/>
      <w:pPr>
        <w:tabs>
          <w:tab w:val="num" w:pos="720"/>
        </w:tabs>
        <w:ind w:left="720" w:hanging="720"/>
      </w:pPr>
      <w:rPr>
        <w:rFonts w:ascii="Symbol" w:hAnsi="Symbol" w:hint="default"/>
      </w:rPr>
    </w:lvl>
  </w:abstractNum>
  <w:abstractNum w:abstractNumId="6" w15:restartNumberingAfterBreak="0">
    <w:nsid w:val="32192CE4"/>
    <w:multiLevelType w:val="multilevel"/>
    <w:tmpl w:val="BA46A9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4845996"/>
    <w:multiLevelType w:val="multilevel"/>
    <w:tmpl w:val="694C1C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79935AC"/>
    <w:multiLevelType w:val="multilevel"/>
    <w:tmpl w:val="C6065E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C092C91"/>
    <w:multiLevelType w:val="multilevel"/>
    <w:tmpl w:val="C722FE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EC76C36"/>
    <w:multiLevelType w:val="multilevel"/>
    <w:tmpl w:val="E91EB9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59071DE7"/>
    <w:multiLevelType w:val="multilevel"/>
    <w:tmpl w:val="A0AA48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C9B7B9C"/>
    <w:multiLevelType w:val="multilevel"/>
    <w:tmpl w:val="709C91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83564B"/>
    <w:multiLevelType w:val="multilevel"/>
    <w:tmpl w:val="56B26550"/>
    <w:lvl w:ilvl="0">
      <w:start w:val="1"/>
      <w:numFmt w:val="bullet"/>
      <w:pStyle w:val="Dot20"/>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E65AF5"/>
    <w:multiLevelType w:val="multilevel"/>
    <w:tmpl w:val="E0F4A0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67A79AC"/>
    <w:multiLevelType w:val="multilevel"/>
    <w:tmpl w:val="0C09001F"/>
    <w:lvl w:ilvl="0">
      <w:start w:val="1"/>
      <w:numFmt w:val="decimal"/>
      <w:pStyle w:val="DotPoin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CB57878"/>
    <w:multiLevelType w:val="multilevel"/>
    <w:tmpl w:val="6FEE6F14"/>
    <w:lvl w:ilvl="0">
      <w:start w:val="1"/>
      <w:numFmt w:val="bullet"/>
      <w:pStyle w:val="BodyTextIndentDot"/>
      <w:lvlText w:val=""/>
      <w:lvlJc w:val="left"/>
      <w:pPr>
        <w:tabs>
          <w:tab w:val="num" w:pos="1134"/>
        </w:tabs>
        <w:ind w:left="1134" w:hanging="425"/>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13"/>
  </w:num>
  <w:num w:numId="4">
    <w:abstractNumId w:val="17"/>
  </w:num>
  <w:num w:numId="5">
    <w:abstractNumId w:val="1"/>
  </w:num>
  <w:num w:numId="6">
    <w:abstractNumId w:val="14"/>
  </w:num>
  <w:num w:numId="7">
    <w:abstractNumId w:val="5"/>
  </w:num>
  <w:num w:numId="8">
    <w:abstractNumId w:val="4"/>
  </w:num>
  <w:num w:numId="9">
    <w:abstractNumId w:val="8"/>
  </w:num>
  <w:num w:numId="10">
    <w:abstractNumId w:val="11"/>
  </w:num>
  <w:num w:numId="11">
    <w:abstractNumId w:val="15"/>
  </w:num>
  <w:num w:numId="12">
    <w:abstractNumId w:val="2"/>
  </w:num>
  <w:num w:numId="13">
    <w:abstractNumId w:val="12"/>
  </w:num>
  <w:num w:numId="14">
    <w:abstractNumId w:val="6"/>
  </w:num>
  <w:num w:numId="15">
    <w:abstractNumId w:val="9"/>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977"/>
    <w:rsid w:val="00012D65"/>
    <w:rsid w:val="00016E70"/>
    <w:rsid w:val="000233F8"/>
    <w:rsid w:val="00025AFC"/>
    <w:rsid w:val="00037F9B"/>
    <w:rsid w:val="00055270"/>
    <w:rsid w:val="000621D7"/>
    <w:rsid w:val="0007360D"/>
    <w:rsid w:val="00074FC1"/>
    <w:rsid w:val="000870DD"/>
    <w:rsid w:val="00091421"/>
    <w:rsid w:val="000932DD"/>
    <w:rsid w:val="00097C6E"/>
    <w:rsid w:val="000A6594"/>
    <w:rsid w:val="000B19AE"/>
    <w:rsid w:val="000C56A6"/>
    <w:rsid w:val="000C78A6"/>
    <w:rsid w:val="000D2D94"/>
    <w:rsid w:val="000D43A3"/>
    <w:rsid w:val="000E00F3"/>
    <w:rsid w:val="000E2F6D"/>
    <w:rsid w:val="000E38A5"/>
    <w:rsid w:val="000F0DE2"/>
    <w:rsid w:val="000F22BA"/>
    <w:rsid w:val="000F70C2"/>
    <w:rsid w:val="00100167"/>
    <w:rsid w:val="00102DC0"/>
    <w:rsid w:val="00103667"/>
    <w:rsid w:val="00106A05"/>
    <w:rsid w:val="00116B94"/>
    <w:rsid w:val="00127425"/>
    <w:rsid w:val="00156623"/>
    <w:rsid w:val="00156655"/>
    <w:rsid w:val="00164871"/>
    <w:rsid w:val="00175D31"/>
    <w:rsid w:val="00176599"/>
    <w:rsid w:val="00181871"/>
    <w:rsid w:val="001826ED"/>
    <w:rsid w:val="00190F17"/>
    <w:rsid w:val="00196E18"/>
    <w:rsid w:val="001B14E4"/>
    <w:rsid w:val="001B194F"/>
    <w:rsid w:val="001B50FB"/>
    <w:rsid w:val="001B73CF"/>
    <w:rsid w:val="001C24E6"/>
    <w:rsid w:val="001C60EC"/>
    <w:rsid w:val="001D39C4"/>
    <w:rsid w:val="001E1448"/>
    <w:rsid w:val="001E21D4"/>
    <w:rsid w:val="001E53FC"/>
    <w:rsid w:val="001F2410"/>
    <w:rsid w:val="0020458D"/>
    <w:rsid w:val="00205196"/>
    <w:rsid w:val="00212CE3"/>
    <w:rsid w:val="00217668"/>
    <w:rsid w:val="002204C6"/>
    <w:rsid w:val="00224F87"/>
    <w:rsid w:val="00266C0D"/>
    <w:rsid w:val="00272DEC"/>
    <w:rsid w:val="00275145"/>
    <w:rsid w:val="002908CC"/>
    <w:rsid w:val="00292764"/>
    <w:rsid w:val="00296F57"/>
    <w:rsid w:val="002A34CC"/>
    <w:rsid w:val="002B070D"/>
    <w:rsid w:val="002D1D97"/>
    <w:rsid w:val="002E7498"/>
    <w:rsid w:val="00302849"/>
    <w:rsid w:val="00303437"/>
    <w:rsid w:val="0031220D"/>
    <w:rsid w:val="00316562"/>
    <w:rsid w:val="003204FB"/>
    <w:rsid w:val="00322B64"/>
    <w:rsid w:val="00336A1E"/>
    <w:rsid w:val="0035296C"/>
    <w:rsid w:val="0036432D"/>
    <w:rsid w:val="00366DB8"/>
    <w:rsid w:val="00375FA8"/>
    <w:rsid w:val="00376409"/>
    <w:rsid w:val="003766B0"/>
    <w:rsid w:val="00383627"/>
    <w:rsid w:val="003B0B29"/>
    <w:rsid w:val="003B24F9"/>
    <w:rsid w:val="003B51AB"/>
    <w:rsid w:val="003C360F"/>
    <w:rsid w:val="003D176F"/>
    <w:rsid w:val="003D5004"/>
    <w:rsid w:val="003D7458"/>
    <w:rsid w:val="003F4F5A"/>
    <w:rsid w:val="003F5964"/>
    <w:rsid w:val="004055E7"/>
    <w:rsid w:val="00405734"/>
    <w:rsid w:val="0042363D"/>
    <w:rsid w:val="004253E5"/>
    <w:rsid w:val="00437B4B"/>
    <w:rsid w:val="00440319"/>
    <w:rsid w:val="00442D4A"/>
    <w:rsid w:val="00442F8C"/>
    <w:rsid w:val="00443327"/>
    <w:rsid w:val="00453F5A"/>
    <w:rsid w:val="00457AB4"/>
    <w:rsid w:val="004618A9"/>
    <w:rsid w:val="00461C8B"/>
    <w:rsid w:val="00463F13"/>
    <w:rsid w:val="00472CA9"/>
    <w:rsid w:val="00473EEB"/>
    <w:rsid w:val="00474CB9"/>
    <w:rsid w:val="004824C0"/>
    <w:rsid w:val="00486CF9"/>
    <w:rsid w:val="00493B36"/>
    <w:rsid w:val="0049663D"/>
    <w:rsid w:val="004A0E05"/>
    <w:rsid w:val="004B5D66"/>
    <w:rsid w:val="004C64B4"/>
    <w:rsid w:val="004D6344"/>
    <w:rsid w:val="004D6453"/>
    <w:rsid w:val="004E358B"/>
    <w:rsid w:val="00502F36"/>
    <w:rsid w:val="00504969"/>
    <w:rsid w:val="005070CE"/>
    <w:rsid w:val="005120FE"/>
    <w:rsid w:val="00517717"/>
    <w:rsid w:val="00520A03"/>
    <w:rsid w:val="00524FE4"/>
    <w:rsid w:val="005251F0"/>
    <w:rsid w:val="00526278"/>
    <w:rsid w:val="0053523B"/>
    <w:rsid w:val="00541DA0"/>
    <w:rsid w:val="0054233E"/>
    <w:rsid w:val="005544F4"/>
    <w:rsid w:val="00556759"/>
    <w:rsid w:val="00561A85"/>
    <w:rsid w:val="00563392"/>
    <w:rsid w:val="0057197B"/>
    <w:rsid w:val="00577565"/>
    <w:rsid w:val="0058134D"/>
    <w:rsid w:val="00586C0E"/>
    <w:rsid w:val="005A206B"/>
    <w:rsid w:val="005B2603"/>
    <w:rsid w:val="005B7388"/>
    <w:rsid w:val="005D0F33"/>
    <w:rsid w:val="005E16B2"/>
    <w:rsid w:val="005E3706"/>
    <w:rsid w:val="005E55F8"/>
    <w:rsid w:val="005F2272"/>
    <w:rsid w:val="005F2B14"/>
    <w:rsid w:val="005F62CE"/>
    <w:rsid w:val="006042B1"/>
    <w:rsid w:val="00630586"/>
    <w:rsid w:val="006311A5"/>
    <w:rsid w:val="006315FF"/>
    <w:rsid w:val="00642977"/>
    <w:rsid w:val="0064510C"/>
    <w:rsid w:val="00651C85"/>
    <w:rsid w:val="00652155"/>
    <w:rsid w:val="006630AF"/>
    <w:rsid w:val="00682130"/>
    <w:rsid w:val="00682A12"/>
    <w:rsid w:val="00682EB6"/>
    <w:rsid w:val="0069085C"/>
    <w:rsid w:val="00695AA8"/>
    <w:rsid w:val="006B3C36"/>
    <w:rsid w:val="006B7732"/>
    <w:rsid w:val="006C06E4"/>
    <w:rsid w:val="006C0CD9"/>
    <w:rsid w:val="006C4314"/>
    <w:rsid w:val="006D7490"/>
    <w:rsid w:val="006E3EA0"/>
    <w:rsid w:val="006F2B9D"/>
    <w:rsid w:val="007006E8"/>
    <w:rsid w:val="00704086"/>
    <w:rsid w:val="00710138"/>
    <w:rsid w:val="00726FF1"/>
    <w:rsid w:val="00730B45"/>
    <w:rsid w:val="00737322"/>
    <w:rsid w:val="0076513B"/>
    <w:rsid w:val="007664C4"/>
    <w:rsid w:val="007701F6"/>
    <w:rsid w:val="00776597"/>
    <w:rsid w:val="00784AFE"/>
    <w:rsid w:val="007857C2"/>
    <w:rsid w:val="007858F9"/>
    <w:rsid w:val="00791951"/>
    <w:rsid w:val="0079747B"/>
    <w:rsid w:val="0079779E"/>
    <w:rsid w:val="007A48EA"/>
    <w:rsid w:val="007D78D4"/>
    <w:rsid w:val="007E08C0"/>
    <w:rsid w:val="007E5C5D"/>
    <w:rsid w:val="007E64B0"/>
    <w:rsid w:val="007E6A07"/>
    <w:rsid w:val="008050AD"/>
    <w:rsid w:val="0081199B"/>
    <w:rsid w:val="00811C06"/>
    <w:rsid w:val="00816707"/>
    <w:rsid w:val="00824A32"/>
    <w:rsid w:val="008251D7"/>
    <w:rsid w:val="0083134C"/>
    <w:rsid w:val="00837F61"/>
    <w:rsid w:val="00856CCC"/>
    <w:rsid w:val="00861773"/>
    <w:rsid w:val="00866ECE"/>
    <w:rsid w:val="00867F2E"/>
    <w:rsid w:val="00872B66"/>
    <w:rsid w:val="00872F4B"/>
    <w:rsid w:val="00873542"/>
    <w:rsid w:val="00883527"/>
    <w:rsid w:val="00890D39"/>
    <w:rsid w:val="008938DC"/>
    <w:rsid w:val="00894E7C"/>
    <w:rsid w:val="008B231E"/>
    <w:rsid w:val="008B41C5"/>
    <w:rsid w:val="008C539D"/>
    <w:rsid w:val="008D3F84"/>
    <w:rsid w:val="008D459D"/>
    <w:rsid w:val="008E471C"/>
    <w:rsid w:val="0090105E"/>
    <w:rsid w:val="00902277"/>
    <w:rsid w:val="009035BF"/>
    <w:rsid w:val="00905C30"/>
    <w:rsid w:val="00915A06"/>
    <w:rsid w:val="00925E66"/>
    <w:rsid w:val="0093666F"/>
    <w:rsid w:val="009446F7"/>
    <w:rsid w:val="009513BF"/>
    <w:rsid w:val="0095228C"/>
    <w:rsid w:val="009647C1"/>
    <w:rsid w:val="00965512"/>
    <w:rsid w:val="00973176"/>
    <w:rsid w:val="00975637"/>
    <w:rsid w:val="009759EA"/>
    <w:rsid w:val="009769A4"/>
    <w:rsid w:val="00977E71"/>
    <w:rsid w:val="00983812"/>
    <w:rsid w:val="00990660"/>
    <w:rsid w:val="00995201"/>
    <w:rsid w:val="009A3A4A"/>
    <w:rsid w:val="009B0044"/>
    <w:rsid w:val="009C48CA"/>
    <w:rsid w:val="009D4ED9"/>
    <w:rsid w:val="009D6EA9"/>
    <w:rsid w:val="009E0D0B"/>
    <w:rsid w:val="009E7F74"/>
    <w:rsid w:val="00A02F36"/>
    <w:rsid w:val="00A1361B"/>
    <w:rsid w:val="00A216FB"/>
    <w:rsid w:val="00A22F9C"/>
    <w:rsid w:val="00A307BB"/>
    <w:rsid w:val="00A42E16"/>
    <w:rsid w:val="00A46BCC"/>
    <w:rsid w:val="00A520E4"/>
    <w:rsid w:val="00A542E6"/>
    <w:rsid w:val="00A649C0"/>
    <w:rsid w:val="00A64BE3"/>
    <w:rsid w:val="00A775EC"/>
    <w:rsid w:val="00A84FEE"/>
    <w:rsid w:val="00A86BAC"/>
    <w:rsid w:val="00AA4271"/>
    <w:rsid w:val="00AB3503"/>
    <w:rsid w:val="00AB79F2"/>
    <w:rsid w:val="00AC1AED"/>
    <w:rsid w:val="00AC1EE7"/>
    <w:rsid w:val="00AC4815"/>
    <w:rsid w:val="00AD7F2A"/>
    <w:rsid w:val="00AE1C92"/>
    <w:rsid w:val="00AE4C4E"/>
    <w:rsid w:val="00AF33D6"/>
    <w:rsid w:val="00AF60AB"/>
    <w:rsid w:val="00B04791"/>
    <w:rsid w:val="00B2168D"/>
    <w:rsid w:val="00B426AA"/>
    <w:rsid w:val="00B45CA8"/>
    <w:rsid w:val="00B63B05"/>
    <w:rsid w:val="00B72107"/>
    <w:rsid w:val="00B74D2C"/>
    <w:rsid w:val="00B94EC6"/>
    <w:rsid w:val="00BA6F3B"/>
    <w:rsid w:val="00BB6645"/>
    <w:rsid w:val="00BC3770"/>
    <w:rsid w:val="00BD0A41"/>
    <w:rsid w:val="00BD26F7"/>
    <w:rsid w:val="00BE4087"/>
    <w:rsid w:val="00BE6066"/>
    <w:rsid w:val="00BE635E"/>
    <w:rsid w:val="00C021CE"/>
    <w:rsid w:val="00C0546B"/>
    <w:rsid w:val="00C144CB"/>
    <w:rsid w:val="00C220CE"/>
    <w:rsid w:val="00C22B74"/>
    <w:rsid w:val="00C31013"/>
    <w:rsid w:val="00C355FB"/>
    <w:rsid w:val="00C37D08"/>
    <w:rsid w:val="00C4538D"/>
    <w:rsid w:val="00C469E0"/>
    <w:rsid w:val="00C50200"/>
    <w:rsid w:val="00C5505B"/>
    <w:rsid w:val="00C56860"/>
    <w:rsid w:val="00C61D70"/>
    <w:rsid w:val="00C636F9"/>
    <w:rsid w:val="00C64932"/>
    <w:rsid w:val="00C64CDA"/>
    <w:rsid w:val="00C741AD"/>
    <w:rsid w:val="00C74E1B"/>
    <w:rsid w:val="00C85089"/>
    <w:rsid w:val="00C873C6"/>
    <w:rsid w:val="00CA2923"/>
    <w:rsid w:val="00CA646A"/>
    <w:rsid w:val="00CB138C"/>
    <w:rsid w:val="00CC276B"/>
    <w:rsid w:val="00CC27E8"/>
    <w:rsid w:val="00CC28C7"/>
    <w:rsid w:val="00CC7245"/>
    <w:rsid w:val="00CF153A"/>
    <w:rsid w:val="00D01EF5"/>
    <w:rsid w:val="00D02CF0"/>
    <w:rsid w:val="00D05531"/>
    <w:rsid w:val="00D15985"/>
    <w:rsid w:val="00D20F07"/>
    <w:rsid w:val="00D4389D"/>
    <w:rsid w:val="00D4758F"/>
    <w:rsid w:val="00D544BE"/>
    <w:rsid w:val="00D57BE5"/>
    <w:rsid w:val="00D61A45"/>
    <w:rsid w:val="00D73281"/>
    <w:rsid w:val="00D81141"/>
    <w:rsid w:val="00D824F2"/>
    <w:rsid w:val="00D86D4B"/>
    <w:rsid w:val="00DB1C1D"/>
    <w:rsid w:val="00DC1AF1"/>
    <w:rsid w:val="00DC49AA"/>
    <w:rsid w:val="00DD740F"/>
    <w:rsid w:val="00DF2AD3"/>
    <w:rsid w:val="00DF615E"/>
    <w:rsid w:val="00E31EF0"/>
    <w:rsid w:val="00E4206C"/>
    <w:rsid w:val="00E46DF6"/>
    <w:rsid w:val="00E542BB"/>
    <w:rsid w:val="00E61666"/>
    <w:rsid w:val="00E72369"/>
    <w:rsid w:val="00E80AE1"/>
    <w:rsid w:val="00E81B82"/>
    <w:rsid w:val="00E930AD"/>
    <w:rsid w:val="00EA3EF2"/>
    <w:rsid w:val="00EA726E"/>
    <w:rsid w:val="00EB70AD"/>
    <w:rsid w:val="00EC2C47"/>
    <w:rsid w:val="00EC6028"/>
    <w:rsid w:val="00ED262C"/>
    <w:rsid w:val="00ED2B54"/>
    <w:rsid w:val="00EE0F49"/>
    <w:rsid w:val="00EE434F"/>
    <w:rsid w:val="00EE6B93"/>
    <w:rsid w:val="00EF1019"/>
    <w:rsid w:val="00EF305C"/>
    <w:rsid w:val="00EF3CF9"/>
    <w:rsid w:val="00F060BE"/>
    <w:rsid w:val="00F24D15"/>
    <w:rsid w:val="00F30709"/>
    <w:rsid w:val="00F46D3E"/>
    <w:rsid w:val="00F52B6B"/>
    <w:rsid w:val="00F64A42"/>
    <w:rsid w:val="00F75190"/>
    <w:rsid w:val="00F80C94"/>
    <w:rsid w:val="00F81440"/>
    <w:rsid w:val="00F953FA"/>
    <w:rsid w:val="00F96DB6"/>
    <w:rsid w:val="00FA006C"/>
    <w:rsid w:val="00FA0A88"/>
    <w:rsid w:val="00FA32C4"/>
    <w:rsid w:val="00FA6F5C"/>
    <w:rsid w:val="00FB2EEC"/>
    <w:rsid w:val="00FB6A31"/>
    <w:rsid w:val="00FC2881"/>
    <w:rsid w:val="00FC3E56"/>
    <w:rsid w:val="00FD176C"/>
    <w:rsid w:val="6E5C2196"/>
    <w:rsid w:val="704470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1DFAC394"/>
  <w15:docId w15:val="{1920A620-7AB4-4312-BA45-9FBD47B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313"/>
    <w:rPr>
      <w:rFonts w:ascii="Arial" w:hAnsi="Arial"/>
      <w:lang w:eastAsia="en-AU" w:bidi="ar-SA"/>
    </w:rPr>
  </w:style>
  <w:style w:type="paragraph" w:styleId="Heading1">
    <w:name w:val="heading 1"/>
    <w:basedOn w:val="Normal"/>
    <w:next w:val="Normal"/>
    <w:qFormat/>
    <w:rsid w:val="00E31EF0"/>
    <w:pPr>
      <w:keepNext/>
      <w:spacing w:before="200" w:after="80"/>
      <w:jc w:val="both"/>
      <w:outlineLvl w:val="0"/>
    </w:pPr>
    <w:rPr>
      <w:b/>
      <w:caps/>
      <w:kern w:val="28"/>
      <w:sz w:val="24"/>
      <w:szCs w:val="18"/>
    </w:rPr>
  </w:style>
  <w:style w:type="paragraph" w:styleId="Heading2">
    <w:name w:val="heading 2"/>
    <w:basedOn w:val="Normal"/>
    <w:next w:val="Normal"/>
    <w:qFormat/>
    <w:rsid w:val="00925E66"/>
    <w:pPr>
      <w:keepNext/>
      <w:numPr>
        <w:numId w:val="2"/>
      </w:numPr>
      <w:spacing w:before="160" w:after="60"/>
      <w:outlineLvl w:val="1"/>
    </w:pPr>
    <w:rPr>
      <w:rFonts w:ascii="Arial Bold" w:hAnsi="Arial Bold"/>
      <w:b/>
      <w:caps/>
      <w:sz w:val="28"/>
      <w:szCs w:val="28"/>
    </w:rPr>
  </w:style>
  <w:style w:type="paragraph" w:styleId="Heading3">
    <w:name w:val="heading 3"/>
    <w:basedOn w:val="Heading2"/>
    <w:next w:val="Normal"/>
    <w:qFormat/>
    <w:rsid w:val="00925E66"/>
    <w:pPr>
      <w:numPr>
        <w:ilvl w:val="1"/>
      </w:numPr>
      <w:outlineLvl w:val="2"/>
    </w:pPr>
    <w:rPr>
      <w:sz w:val="24"/>
      <w:szCs w:val="22"/>
    </w:rPr>
  </w:style>
  <w:style w:type="paragraph" w:styleId="Heading4">
    <w:name w:val="heading 4"/>
    <w:basedOn w:val="Normal"/>
    <w:next w:val="Normal"/>
    <w:qFormat/>
    <w:rsid w:val="00F369CF"/>
    <w:pPr>
      <w:keepNext/>
      <w:numPr>
        <w:ilvl w:val="3"/>
        <w:numId w:val="2"/>
      </w:numPr>
      <w:spacing w:before="120" w:after="60"/>
      <w:outlineLvl w:val="3"/>
    </w:pPr>
    <w:rPr>
      <w:b/>
    </w:rPr>
  </w:style>
  <w:style w:type="paragraph" w:styleId="Heading5">
    <w:name w:val="heading 5"/>
    <w:basedOn w:val="Normal"/>
    <w:next w:val="Normal"/>
    <w:qFormat/>
    <w:rsid w:val="00A96313"/>
    <w:pPr>
      <w:spacing w:before="240" w:after="60"/>
      <w:outlineLvl w:val="4"/>
    </w:pPr>
    <w:rPr>
      <w:sz w:val="22"/>
    </w:rPr>
  </w:style>
  <w:style w:type="paragraph" w:styleId="Heading6">
    <w:name w:val="heading 6"/>
    <w:basedOn w:val="Normal"/>
    <w:next w:val="Normal"/>
    <w:qFormat/>
    <w:rsid w:val="00A96313"/>
    <w:pPr>
      <w:spacing w:before="240" w:after="60"/>
      <w:outlineLvl w:val="5"/>
    </w:pPr>
    <w:rPr>
      <w:i/>
      <w:sz w:val="22"/>
    </w:rPr>
  </w:style>
  <w:style w:type="paragraph" w:styleId="Heading7">
    <w:name w:val="heading 7"/>
    <w:basedOn w:val="Normal"/>
    <w:next w:val="Normal"/>
    <w:qFormat/>
    <w:rsid w:val="00A96313"/>
    <w:pPr>
      <w:spacing w:before="240" w:after="60"/>
      <w:outlineLvl w:val="6"/>
    </w:pPr>
  </w:style>
  <w:style w:type="paragraph" w:styleId="Heading8">
    <w:name w:val="heading 8"/>
    <w:basedOn w:val="Normal"/>
    <w:next w:val="Normal"/>
    <w:qFormat/>
    <w:rsid w:val="00A96313"/>
    <w:pPr>
      <w:spacing w:before="240" w:after="60"/>
      <w:outlineLvl w:val="7"/>
    </w:pPr>
    <w:rPr>
      <w:i/>
    </w:rPr>
  </w:style>
  <w:style w:type="paragraph" w:styleId="Heading9">
    <w:name w:val="heading 9"/>
    <w:basedOn w:val="Normal"/>
    <w:next w:val="Normal"/>
    <w:qFormat/>
    <w:rsid w:val="00A9631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rsid w:val="00A96313"/>
  </w:style>
  <w:style w:type="paragraph" w:styleId="Header">
    <w:name w:val="header"/>
    <w:basedOn w:val="Normal"/>
    <w:rsid w:val="007664C4"/>
    <w:pPr>
      <w:pBdr>
        <w:bottom w:val="single" w:sz="2" w:space="5" w:color="auto"/>
      </w:pBdr>
      <w:tabs>
        <w:tab w:val="right" w:pos="9356"/>
      </w:tabs>
      <w:spacing w:before="20" w:after="20"/>
      <w:jc w:val="both"/>
    </w:pPr>
    <w:rPr>
      <w:i/>
      <w:sz w:val="16"/>
    </w:rPr>
  </w:style>
  <w:style w:type="paragraph" w:styleId="Footer">
    <w:name w:val="footer"/>
    <w:basedOn w:val="Normal"/>
    <w:rsid w:val="00995201"/>
    <w:pPr>
      <w:pBdr>
        <w:top w:val="single" w:sz="2" w:space="4" w:color="auto"/>
      </w:pBdr>
      <w:tabs>
        <w:tab w:val="right" w:pos="9356"/>
      </w:tabs>
      <w:spacing w:before="80"/>
      <w:contextualSpacing/>
      <w:jc w:val="both"/>
    </w:pPr>
    <w:rPr>
      <w:b/>
      <w:i/>
      <w:sz w:val="16"/>
    </w:rPr>
  </w:style>
  <w:style w:type="character" w:styleId="PageNumber">
    <w:name w:val="page number"/>
    <w:rsid w:val="00A96313"/>
    <w:rPr>
      <w:rFonts w:ascii="Arial" w:hAnsi="Arial"/>
      <w:sz w:val="16"/>
    </w:rPr>
  </w:style>
  <w:style w:type="paragraph" w:styleId="BodyText">
    <w:name w:val="Body Text"/>
    <w:basedOn w:val="Normal"/>
    <w:rsid w:val="00A96313"/>
    <w:pPr>
      <w:spacing w:line="302" w:lineRule="exact"/>
      <w:ind w:left="737"/>
      <w:jc w:val="both"/>
    </w:pPr>
  </w:style>
  <w:style w:type="paragraph" w:styleId="Caption">
    <w:name w:val="caption"/>
    <w:basedOn w:val="Normal"/>
    <w:next w:val="Normal"/>
    <w:qFormat/>
    <w:rsid w:val="00A96313"/>
    <w:pPr>
      <w:spacing w:before="120" w:after="120"/>
    </w:pPr>
    <w:rPr>
      <w:b/>
    </w:rPr>
  </w:style>
  <w:style w:type="paragraph" w:styleId="BodyText2">
    <w:name w:val="Body Text 2"/>
    <w:basedOn w:val="Normal"/>
    <w:rsid w:val="00A96313"/>
    <w:pPr>
      <w:jc w:val="center"/>
    </w:pPr>
    <w:rPr>
      <w:b/>
      <w:sz w:val="24"/>
    </w:rPr>
  </w:style>
  <w:style w:type="paragraph" w:styleId="BodyText3">
    <w:name w:val="Body Text 3"/>
    <w:basedOn w:val="Normal"/>
    <w:rsid w:val="00A96313"/>
    <w:pPr>
      <w:spacing w:before="4" w:line="211" w:lineRule="exact"/>
      <w:jc w:val="both"/>
    </w:pPr>
  </w:style>
  <w:style w:type="paragraph" w:styleId="BodyTextIndent">
    <w:name w:val="Body Text Indent"/>
    <w:basedOn w:val="Normal"/>
    <w:link w:val="BodyTextIndentChar"/>
    <w:rsid w:val="00A96313"/>
    <w:pPr>
      <w:spacing w:before="60" w:after="60"/>
      <w:ind w:left="709"/>
      <w:jc w:val="both"/>
    </w:pPr>
  </w:style>
  <w:style w:type="paragraph" w:styleId="TOC1">
    <w:name w:val="toc 1"/>
    <w:basedOn w:val="Normal"/>
    <w:next w:val="Normal"/>
    <w:autoRedefine/>
    <w:uiPriority w:val="39"/>
    <w:rsid w:val="00AF60AB"/>
    <w:pPr>
      <w:tabs>
        <w:tab w:val="left" w:pos="567"/>
        <w:tab w:val="right" w:leader="dot" w:pos="9498"/>
      </w:tabs>
      <w:spacing w:before="120" w:after="60"/>
      <w:ind w:left="567" w:hanging="567"/>
    </w:pPr>
    <w:rPr>
      <w:b/>
      <w:caps/>
      <w:noProof/>
      <w:sz w:val="24"/>
      <w:szCs w:val="24"/>
    </w:rPr>
  </w:style>
  <w:style w:type="paragraph" w:customStyle="1" w:styleId="hdg1">
    <w:name w:val="hdg 1"/>
    <w:basedOn w:val="Normal"/>
    <w:next w:val="hdg2"/>
    <w:rsid w:val="00A96313"/>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Normal"/>
    <w:rsid w:val="00A96313"/>
    <w:pPr>
      <w:keepNext/>
      <w:keepLines/>
      <w:spacing w:before="240" w:after="240"/>
    </w:pPr>
    <w:rPr>
      <w:rFonts w:ascii="MarkingPenHeavy" w:hAnsi="MarkingPenHeavy"/>
      <w:i/>
      <w:caps/>
      <w:snapToGrid w:val="0"/>
      <w:color w:val="808080"/>
      <w:kern w:val="32"/>
      <w:sz w:val="32"/>
      <w:lang w:eastAsia="en-US"/>
    </w:rPr>
  </w:style>
  <w:style w:type="paragraph" w:customStyle="1" w:styleId="bullets">
    <w:name w:val="bullets"/>
    <w:basedOn w:val="Normal"/>
    <w:next w:val="Normal"/>
    <w:rsid w:val="00A96313"/>
    <w:pPr>
      <w:keepLines/>
      <w:numPr>
        <w:numId w:val="3"/>
      </w:numPr>
      <w:tabs>
        <w:tab w:val="clear" w:pos="360"/>
        <w:tab w:val="num" w:pos="1134"/>
      </w:tabs>
      <w:spacing w:before="120"/>
      <w:ind w:left="1134" w:hanging="425"/>
    </w:pPr>
  </w:style>
  <w:style w:type="paragraph" w:styleId="BlockText">
    <w:name w:val="Block Text"/>
    <w:basedOn w:val="Normal"/>
    <w:rsid w:val="00A96313"/>
    <w:pPr>
      <w:spacing w:after="120"/>
      <w:ind w:left="1440" w:right="1440"/>
    </w:pPr>
  </w:style>
  <w:style w:type="paragraph" w:styleId="BodyTextIndent2">
    <w:name w:val="Body Text Indent 2"/>
    <w:basedOn w:val="Normal"/>
    <w:rsid w:val="00A96313"/>
    <w:pPr>
      <w:spacing w:before="60" w:after="60"/>
      <w:ind w:left="709"/>
      <w:jc w:val="both"/>
    </w:pPr>
    <w:rPr>
      <w:i/>
    </w:rPr>
  </w:style>
  <w:style w:type="paragraph" w:styleId="BodyTextIndent3">
    <w:name w:val="Body Text Indent 3"/>
    <w:basedOn w:val="Normal"/>
    <w:rsid w:val="00A96313"/>
    <w:pPr>
      <w:spacing w:after="120"/>
      <w:ind w:left="709"/>
      <w:jc w:val="both"/>
    </w:pPr>
  </w:style>
  <w:style w:type="paragraph" w:styleId="CommentText">
    <w:name w:val="annotation text"/>
    <w:basedOn w:val="Normal"/>
    <w:semiHidden/>
    <w:rsid w:val="00A96313"/>
    <w:rPr>
      <w:rFonts w:ascii="Times New Roman" w:hAnsi="Times New Roman"/>
    </w:rPr>
  </w:style>
  <w:style w:type="paragraph" w:styleId="BalloonText">
    <w:name w:val="Balloon Text"/>
    <w:basedOn w:val="Normal"/>
    <w:semiHidden/>
    <w:rsid w:val="00A96313"/>
    <w:rPr>
      <w:rFonts w:ascii="Tahoma" w:hAnsi="Tahoma"/>
      <w:sz w:val="16"/>
    </w:rPr>
  </w:style>
  <w:style w:type="character" w:customStyle="1" w:styleId="PlainTextCharChar">
    <w:name w:val="Plain Text Char Char"/>
    <w:rsid w:val="00A96313"/>
    <w:rPr>
      <w:rFonts w:ascii="Tahoma" w:hAnsi="Tahoma" w:cs="MarkingPenHeavy"/>
      <w:noProof w:val="0"/>
      <w:color w:val="000000"/>
      <w:lang w:val="en-AU" w:eastAsia="en-US" w:bidi="ar-SA"/>
    </w:rPr>
  </w:style>
  <w:style w:type="paragraph" w:customStyle="1" w:styleId="Dot20">
    <w:name w:val="Dot 2"/>
    <w:basedOn w:val="Normal"/>
    <w:rsid w:val="00A96313"/>
    <w:pPr>
      <w:numPr>
        <w:numId w:val="6"/>
      </w:numPr>
      <w:tabs>
        <w:tab w:val="clear" w:pos="360"/>
      </w:tabs>
      <w:ind w:left="1134" w:hanging="425"/>
    </w:pPr>
  </w:style>
  <w:style w:type="paragraph" w:customStyle="1" w:styleId="Dot2">
    <w:name w:val="Dot2"/>
    <w:basedOn w:val="Normal"/>
    <w:rsid w:val="00A96313"/>
    <w:pPr>
      <w:numPr>
        <w:numId w:val="5"/>
      </w:numPr>
      <w:tabs>
        <w:tab w:val="clear" w:pos="360"/>
        <w:tab w:val="num" w:pos="1418"/>
      </w:tabs>
      <w:ind w:left="1418" w:hanging="425"/>
      <w:jc w:val="both"/>
    </w:pPr>
    <w:rPr>
      <w:snapToGrid w:val="0"/>
      <w:lang w:eastAsia="en-US"/>
    </w:rPr>
  </w:style>
  <w:style w:type="paragraph" w:customStyle="1" w:styleId="MinorHead">
    <w:name w:val="Minor Head"/>
    <w:basedOn w:val="Normal"/>
    <w:rsid w:val="00894D43"/>
    <w:pPr>
      <w:spacing w:before="60" w:after="60"/>
      <w:ind w:left="709"/>
      <w:jc w:val="both"/>
    </w:pPr>
    <w:rPr>
      <w:b/>
      <w:u w:val="single"/>
    </w:rPr>
  </w:style>
  <w:style w:type="paragraph" w:customStyle="1" w:styleId="DotTab">
    <w:name w:val="Dot Tab"/>
    <w:basedOn w:val="Normal"/>
    <w:rsid w:val="00A96313"/>
    <w:pPr>
      <w:numPr>
        <w:numId w:val="7"/>
      </w:numPr>
      <w:tabs>
        <w:tab w:val="clear" w:pos="720"/>
        <w:tab w:val="num" w:pos="426"/>
      </w:tabs>
      <w:ind w:left="426" w:hanging="284"/>
    </w:pPr>
    <w:rPr>
      <w:snapToGrid w:val="0"/>
      <w:color w:val="000000"/>
      <w:sz w:val="18"/>
      <w:lang w:eastAsia="en-US"/>
    </w:rPr>
  </w:style>
  <w:style w:type="paragraph" w:customStyle="1" w:styleId="Text">
    <w:name w:val="Text"/>
    <w:basedOn w:val="Normal"/>
    <w:rsid w:val="00A96313"/>
    <w:pPr>
      <w:spacing w:after="120"/>
      <w:ind w:left="709"/>
      <w:jc w:val="both"/>
    </w:pPr>
  </w:style>
  <w:style w:type="paragraph" w:customStyle="1" w:styleId="DotPoint">
    <w:name w:val="Dot Point"/>
    <w:basedOn w:val="Normal"/>
    <w:rsid w:val="00A96313"/>
    <w:pPr>
      <w:numPr>
        <w:numId w:val="1"/>
      </w:numPr>
      <w:tabs>
        <w:tab w:val="clear" w:pos="360"/>
        <w:tab w:val="num" w:pos="851"/>
      </w:tabs>
      <w:ind w:left="851" w:hanging="284"/>
      <w:jc w:val="both"/>
    </w:pPr>
    <w:rPr>
      <w:snapToGrid w:val="0"/>
      <w:color w:val="000000"/>
      <w:sz w:val="22"/>
      <w:lang w:eastAsia="en-US"/>
    </w:rPr>
  </w:style>
  <w:style w:type="paragraph" w:styleId="Index8">
    <w:name w:val="index 8"/>
    <w:basedOn w:val="Normal"/>
    <w:next w:val="Normal"/>
    <w:autoRedefine/>
    <w:semiHidden/>
    <w:rsid w:val="00A96313"/>
    <w:pPr>
      <w:ind w:left="1760" w:hanging="220"/>
    </w:pPr>
    <w:rPr>
      <w:rFonts w:ascii="Times New Roman" w:hAnsi="Times New Roman"/>
      <w:lang w:val="en-GB"/>
    </w:rPr>
  </w:style>
  <w:style w:type="paragraph" w:customStyle="1" w:styleId="Table">
    <w:name w:val="Table"/>
    <w:basedOn w:val="BodyTextIndent3"/>
    <w:rsid w:val="0042703A"/>
    <w:pPr>
      <w:spacing w:before="40" w:after="40"/>
      <w:ind w:left="0"/>
      <w:jc w:val="left"/>
    </w:pPr>
    <w:rPr>
      <w:snapToGrid w:val="0"/>
      <w:sz w:val="18"/>
      <w:lang w:eastAsia="en-US"/>
    </w:rPr>
  </w:style>
  <w:style w:type="paragraph" w:customStyle="1" w:styleId="TableCen">
    <w:name w:val="Table Cen"/>
    <w:basedOn w:val="Table"/>
    <w:rsid w:val="0042703A"/>
    <w:pPr>
      <w:jc w:val="center"/>
    </w:pPr>
  </w:style>
  <w:style w:type="paragraph" w:customStyle="1" w:styleId="TableHead">
    <w:name w:val="Table Head"/>
    <w:basedOn w:val="Normal"/>
    <w:rsid w:val="00856CEA"/>
    <w:pPr>
      <w:spacing w:before="60" w:after="60"/>
    </w:pPr>
    <w:rPr>
      <w:b/>
      <w:sz w:val="18"/>
    </w:rPr>
  </w:style>
  <w:style w:type="paragraph" w:customStyle="1" w:styleId="BodyTextIndentDot">
    <w:name w:val="Body Text Indent Dot"/>
    <w:basedOn w:val="BodyTextIndent"/>
    <w:rsid w:val="00030332"/>
    <w:pPr>
      <w:numPr>
        <w:numId w:val="4"/>
      </w:numPr>
      <w:spacing w:before="40" w:after="40"/>
    </w:pPr>
  </w:style>
  <w:style w:type="paragraph" w:customStyle="1" w:styleId="BodyTextIndentBold">
    <w:name w:val="Body Text Indent Bold"/>
    <w:basedOn w:val="BodyTextIndent"/>
    <w:link w:val="BodyTextIndentBoldChar"/>
    <w:rsid w:val="00A96313"/>
    <w:rPr>
      <w:b/>
    </w:rPr>
  </w:style>
  <w:style w:type="paragraph" w:customStyle="1" w:styleId="BodyTextIndentMinor">
    <w:name w:val="Body Text Indent Minor"/>
    <w:basedOn w:val="BodyTextIndent3"/>
    <w:rsid w:val="00A96313"/>
    <w:pPr>
      <w:tabs>
        <w:tab w:val="left" w:pos="993"/>
      </w:tabs>
      <w:spacing w:before="40" w:after="40"/>
      <w:ind w:left="993" w:hanging="284"/>
    </w:pPr>
    <w:rPr>
      <w:sz w:val="18"/>
    </w:rPr>
  </w:style>
  <w:style w:type="paragraph" w:customStyle="1" w:styleId="BodyTextIndentDot2">
    <w:name w:val="Body Text Indent Dot2"/>
    <w:basedOn w:val="Normal"/>
    <w:rsid w:val="00A96313"/>
    <w:pPr>
      <w:numPr>
        <w:numId w:val="8"/>
      </w:numPr>
      <w:tabs>
        <w:tab w:val="clear" w:pos="360"/>
        <w:tab w:val="num" w:pos="1134"/>
      </w:tabs>
      <w:spacing w:before="40" w:after="40"/>
      <w:ind w:left="1134" w:hanging="425"/>
      <w:jc w:val="both"/>
    </w:pPr>
  </w:style>
  <w:style w:type="paragraph" w:customStyle="1" w:styleId="TableDot1">
    <w:name w:val="Table Dot1"/>
    <w:basedOn w:val="BodyTextIndentDot2"/>
    <w:rsid w:val="00464920"/>
    <w:pPr>
      <w:tabs>
        <w:tab w:val="num" w:pos="459"/>
      </w:tabs>
      <w:spacing w:before="20" w:after="20"/>
      <w:ind w:left="459" w:hanging="283"/>
      <w:jc w:val="left"/>
    </w:pPr>
    <w:rPr>
      <w:sz w:val="18"/>
    </w:rPr>
  </w:style>
  <w:style w:type="paragraph" w:customStyle="1" w:styleId="TableBold">
    <w:name w:val="Table Bold"/>
    <w:basedOn w:val="Table"/>
    <w:rsid w:val="0042703A"/>
    <w:rPr>
      <w:b/>
    </w:rPr>
  </w:style>
  <w:style w:type="paragraph" w:customStyle="1" w:styleId="Amend">
    <w:name w:val="Amend"/>
    <w:basedOn w:val="Normal"/>
    <w:rsid w:val="00A96313"/>
    <w:pPr>
      <w:jc w:val="right"/>
    </w:pPr>
    <w:rPr>
      <w:sz w:val="16"/>
    </w:rPr>
  </w:style>
  <w:style w:type="paragraph" w:styleId="TOC2">
    <w:name w:val="toc 2"/>
    <w:basedOn w:val="Normal"/>
    <w:next w:val="Normal"/>
    <w:autoRedefine/>
    <w:uiPriority w:val="39"/>
    <w:rsid w:val="00AF60AB"/>
    <w:pPr>
      <w:tabs>
        <w:tab w:val="left" w:pos="993"/>
        <w:tab w:val="right" w:leader="dot" w:pos="9498"/>
      </w:tabs>
      <w:spacing w:before="40" w:after="40"/>
      <w:ind w:left="992" w:hanging="425"/>
      <w:contextualSpacing/>
      <w:jc w:val="both"/>
    </w:pPr>
    <w:rPr>
      <w:rFonts w:ascii="Arial Bold" w:hAnsi="Arial Bold"/>
      <w:b/>
      <w:smallCaps/>
      <w:noProof/>
      <w:sz w:val="22"/>
      <w:szCs w:val="22"/>
    </w:rPr>
  </w:style>
  <w:style w:type="paragraph" w:styleId="TOC3">
    <w:name w:val="toc 3"/>
    <w:basedOn w:val="Normal"/>
    <w:next w:val="Normal"/>
    <w:autoRedefine/>
    <w:uiPriority w:val="39"/>
    <w:rsid w:val="00CF4223"/>
    <w:pPr>
      <w:tabs>
        <w:tab w:val="left" w:pos="1701"/>
        <w:tab w:val="right" w:leader="dot" w:pos="9072"/>
      </w:tabs>
      <w:spacing w:after="20"/>
      <w:ind w:left="1701" w:hanging="709"/>
      <w:contextualSpacing/>
    </w:pPr>
    <w:rPr>
      <w:smallCaps/>
      <w:noProof/>
    </w:rPr>
  </w:style>
  <w:style w:type="character" w:styleId="Hyperlink">
    <w:name w:val="Hyperlink"/>
    <w:rsid w:val="008C4DB3"/>
    <w:rPr>
      <w:color w:val="0000FF"/>
      <w:u w:val="single"/>
    </w:rPr>
  </w:style>
  <w:style w:type="paragraph" w:customStyle="1" w:styleId="CoverHeading">
    <w:name w:val="Cover Heading"/>
    <w:basedOn w:val="Normal"/>
    <w:rsid w:val="005E132D"/>
    <w:pPr>
      <w:spacing w:before="240" w:after="120"/>
      <w:jc w:val="center"/>
      <w:outlineLvl w:val="0"/>
    </w:pPr>
    <w:rPr>
      <w:b/>
      <w:caps/>
      <w:sz w:val="24"/>
    </w:rPr>
  </w:style>
  <w:style w:type="paragraph" w:customStyle="1" w:styleId="TableHeadLeft">
    <w:name w:val="Table Head Left"/>
    <w:basedOn w:val="TableHead"/>
    <w:rsid w:val="00620F37"/>
  </w:style>
  <w:style w:type="character" w:customStyle="1" w:styleId="BodyTextIndentChar">
    <w:name w:val="Body Text Indent Char"/>
    <w:link w:val="BodyTextIndent"/>
    <w:rsid w:val="009D7751"/>
    <w:rPr>
      <w:rFonts w:ascii="Arial" w:hAnsi="Arial"/>
      <w:lang w:val="en-AU" w:eastAsia="en-AU" w:bidi="ar-SA"/>
    </w:rPr>
  </w:style>
  <w:style w:type="character" w:customStyle="1" w:styleId="BodyTextIndentBoldChar">
    <w:name w:val="Body Text Indent Bold Char"/>
    <w:link w:val="BodyTextIndentBold"/>
    <w:rsid w:val="009D7751"/>
    <w:rPr>
      <w:rFonts w:ascii="Arial" w:hAnsi="Arial"/>
      <w:b/>
      <w:lang w:val="en-AU" w:eastAsia="en-AU" w:bidi="ar-SA"/>
    </w:rPr>
  </w:style>
  <w:style w:type="paragraph" w:customStyle="1" w:styleId="BodyTextIndentBoldUnderline">
    <w:name w:val="Body Text Indent Bold Underline"/>
    <w:basedOn w:val="BodyTextIndent"/>
    <w:link w:val="BodyTextIndentBoldUnderlineChar"/>
    <w:rsid w:val="009D7751"/>
    <w:rPr>
      <w:b/>
      <w:u w:val="single"/>
    </w:rPr>
  </w:style>
  <w:style w:type="character" w:customStyle="1" w:styleId="BodyTextIndentBoldUnderlineChar">
    <w:name w:val="Body Text Indent Bold Underline Char"/>
    <w:link w:val="BodyTextIndentBoldUnderline"/>
    <w:rsid w:val="009D7751"/>
    <w:rPr>
      <w:rFonts w:ascii="Arial" w:hAnsi="Arial"/>
      <w:b/>
      <w:u w:val="single"/>
      <w:lang w:val="en-AU" w:eastAsia="en-AU" w:bidi="ar-SA"/>
    </w:rPr>
  </w:style>
  <w:style w:type="paragraph" w:customStyle="1" w:styleId="BodyTextIndentBoldItalicCen">
    <w:name w:val="Body Text Indent Bold Italic Cen"/>
    <w:basedOn w:val="BodyTextIndent"/>
    <w:rsid w:val="00C62B5E"/>
    <w:pPr>
      <w:jc w:val="center"/>
    </w:pPr>
    <w:rPr>
      <w:b/>
      <w:i/>
    </w:rPr>
  </w:style>
  <w:style w:type="paragraph" w:customStyle="1" w:styleId="TableLegend">
    <w:name w:val="Table Legend"/>
    <w:basedOn w:val="Normal"/>
    <w:rsid w:val="00925E66"/>
    <w:pPr>
      <w:spacing w:before="120" w:after="60"/>
      <w:ind w:left="709"/>
    </w:pPr>
    <w:rPr>
      <w:b/>
      <w:i/>
      <w:sz w:val="18"/>
    </w:rPr>
  </w:style>
  <w:style w:type="paragraph" w:customStyle="1" w:styleId="Figure">
    <w:name w:val="Figure"/>
    <w:basedOn w:val="Normal"/>
    <w:rsid w:val="00FC7970"/>
    <w:pPr>
      <w:spacing w:before="60" w:after="60"/>
      <w:ind w:left="709"/>
    </w:pPr>
    <w:rPr>
      <w:b/>
      <w:i/>
      <w:sz w:val="18"/>
    </w:rPr>
  </w:style>
  <w:style w:type="paragraph" w:customStyle="1" w:styleId="TableHeadCen">
    <w:name w:val="Table Head Cen"/>
    <w:basedOn w:val="Normal"/>
    <w:rsid w:val="00856CEA"/>
    <w:pPr>
      <w:spacing w:before="60" w:after="60"/>
      <w:jc w:val="center"/>
    </w:pPr>
    <w:rPr>
      <w:rFonts w:ascii="Arial Bold" w:hAnsi="Arial Bold"/>
      <w:b/>
      <w:sz w:val="18"/>
    </w:rPr>
  </w:style>
  <w:style w:type="paragraph" w:styleId="TOC4">
    <w:name w:val="toc 4"/>
    <w:basedOn w:val="Normal"/>
    <w:next w:val="Normal"/>
    <w:autoRedefine/>
    <w:semiHidden/>
    <w:rsid w:val="0042703A"/>
    <w:pPr>
      <w:tabs>
        <w:tab w:val="left" w:pos="2552"/>
        <w:tab w:val="right" w:leader="dot" w:pos="9060"/>
      </w:tabs>
      <w:ind w:left="2552" w:hanging="851"/>
    </w:pPr>
  </w:style>
  <w:style w:type="paragraph" w:customStyle="1" w:styleId="BodyTextIndentItalic">
    <w:name w:val="Body Text Indent Italic"/>
    <w:basedOn w:val="BodyTextIndent"/>
    <w:link w:val="BodyTextIndentItalicChar"/>
    <w:rsid w:val="00DA52DE"/>
    <w:rPr>
      <w:i/>
    </w:rPr>
  </w:style>
  <w:style w:type="character" w:customStyle="1" w:styleId="BodyTextIndentItalicChar">
    <w:name w:val="Body Text Indent Italic Char"/>
    <w:link w:val="BodyTextIndentItalic"/>
    <w:rsid w:val="00DA52DE"/>
    <w:rPr>
      <w:rFonts w:ascii="Arial" w:hAnsi="Arial"/>
      <w:i/>
      <w:lang w:val="en-AU" w:eastAsia="en-AU" w:bidi="ar-SA"/>
    </w:rPr>
  </w:style>
  <w:style w:type="paragraph" w:customStyle="1" w:styleId="BodyTextIndentUnderline">
    <w:name w:val="Body Text Indent Underline"/>
    <w:basedOn w:val="BodyTextIndent"/>
    <w:qFormat/>
    <w:rsid w:val="00212CE3"/>
    <w:rPr>
      <w:u w:val="single"/>
    </w:rPr>
  </w:style>
  <w:style w:type="paragraph" w:customStyle="1" w:styleId="BodyTextIndentNote">
    <w:name w:val="Body Text Indent Note"/>
    <w:basedOn w:val="Normal"/>
    <w:rsid w:val="00A216FB"/>
    <w:pPr>
      <w:spacing w:before="20" w:after="20"/>
      <w:ind w:left="709"/>
      <w:jc w:val="both"/>
    </w:pPr>
    <w:rPr>
      <w:i/>
      <w:sz w:val="18"/>
      <w:lang w:eastAsia="en-US"/>
    </w:rPr>
  </w:style>
  <w:style w:type="paragraph" w:styleId="NormalWeb">
    <w:name w:val="Normal (Web)"/>
    <w:basedOn w:val="Normal"/>
    <w:uiPriority w:val="99"/>
    <w:semiHidden/>
    <w:unhideWhenUsed/>
    <w:rsid w:val="00682A1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370AC-6BFC-43F1-BDAF-BFC29B0EF832}">
  <ds:schemaRefs>
    <ds:schemaRef ds:uri="http://schemas.microsoft.com/sharepoint/v3/contenttype/forms"/>
  </ds:schemaRefs>
</ds:datastoreItem>
</file>

<file path=customXml/itemProps2.xml><?xml version="1.0" encoding="utf-8"?>
<ds:datastoreItem xmlns:ds="http://schemas.openxmlformats.org/officeDocument/2006/customXml" ds:itemID="{39CA57AB-8152-4D51-A3E4-59BE87915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4BA22-F6C7-4112-A514-5AB17CF77E4F}">
  <ds:schemaRefs>
    <ds:schemaRef ds:uri="4f40705d-e7da-4f43-bdce-ad8c70b86017"/>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aac26e5-4c41-468c-83b0-97e8e79a919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2968</Words>
  <Characters>16921</Characters>
  <Application>Microsoft Office Word</Application>
  <DocSecurity>0</DocSecurity>
  <Lines>141</Lines>
  <Paragraphs>39</Paragraphs>
  <ScaleCrop>false</ScaleCrop>
  <Manager>Bruce Hansen</Manager>
  <Company>Brisbane City Council</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S330 Sprayed Bituminous Surfacing</dc:subject>
  <dc:creator>Lucy Ting</dc:creator>
  <cp:keywords/>
  <dc:description/>
  <cp:lastModifiedBy>David Brady</cp:lastModifiedBy>
  <cp:revision>70</cp:revision>
  <cp:lastPrinted>2011-09-04T22:59:00Z</cp:lastPrinted>
  <dcterms:created xsi:type="dcterms:W3CDTF">2014-04-22T22:13:00Z</dcterms:created>
  <dcterms:modified xsi:type="dcterms:W3CDTF">2021-11-17T21:51:00Z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