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447C" w14:textId="22169D70" w:rsidR="00817308" w:rsidRPr="00817308" w:rsidRDefault="007C7D69" w:rsidP="00817308">
      <w:pPr>
        <w:pStyle w:val="Heading1"/>
      </w:pPr>
      <w:bookmarkStart w:id="0" w:name="_Toc197934562"/>
      <w:bookmarkStart w:id="1" w:name="_Toc197935081"/>
      <w:bookmarkStart w:id="2" w:name="_Toc197936723"/>
      <w:r w:rsidRPr="00817308">
        <w:rPr>
          <w:caps w:val="0"/>
        </w:rPr>
        <w:t>BRISBANE INFRASTRUCTURE DIVISION</w:t>
      </w:r>
    </w:p>
    <w:p w14:paraId="234A3B17" w14:textId="70A16DFC" w:rsidR="00817308" w:rsidRDefault="007C7D69" w:rsidP="00817308">
      <w:pPr>
        <w:pStyle w:val="Heading1"/>
      </w:pPr>
      <w:r>
        <w:rPr>
          <w:caps w:val="0"/>
        </w:rPr>
        <w:t>REFERENCE SPECIFICATIONS FOR ENGINEERING WORK</w:t>
      </w:r>
    </w:p>
    <w:p w14:paraId="3C1D971F" w14:textId="4CD582B9" w:rsidR="00185087" w:rsidRDefault="007C7D69" w:rsidP="00817308">
      <w:pPr>
        <w:pStyle w:val="Heading1"/>
        <w:sectPr w:rsidR="00185087" w:rsidSect="00B75756">
          <w:headerReference w:type="even" r:id="rId10"/>
          <w:headerReference w:type="default" r:id="rId11"/>
          <w:footerReference w:type="default" r:id="rId12"/>
          <w:pgSz w:w="11906" w:h="16838" w:code="9"/>
          <w:pgMar w:top="1134" w:right="1134" w:bottom="992" w:left="1418" w:header="1134" w:footer="851" w:gutter="0"/>
          <w:pgNumType w:fmt="lowerRoman" w:start="1"/>
          <w:cols w:space="720"/>
          <w:docGrid w:linePitch="272"/>
        </w:sectPr>
      </w:pPr>
      <w:r>
        <w:rPr>
          <w:caps w:val="0"/>
        </w:rPr>
        <w:t>S710 SOLID STATE LIGHTING (SSL) LUMINAIRE INSTALLATION</w:t>
      </w:r>
    </w:p>
    <w:p w14:paraId="0A84DB17" w14:textId="227CE52A" w:rsidR="00974BCE" w:rsidRDefault="007C7D69" w:rsidP="007C7D69">
      <w:pPr>
        <w:pStyle w:val="Heading2"/>
        <w:numPr>
          <w:ilvl w:val="0"/>
          <w:numId w:val="0"/>
        </w:numPr>
        <w:ind w:left="720" w:hanging="720"/>
      </w:pPr>
      <w:r>
        <w:rPr>
          <w:caps w:val="0"/>
        </w:rPr>
        <w:lastRenderedPageBreak/>
        <w:t>AMENDMENT REGISTER</w:t>
      </w:r>
      <w:bookmarkEnd w:id="0"/>
      <w:bookmarkEnd w:id="1"/>
      <w:bookmarkEnd w:id="2"/>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134"/>
        <w:gridCol w:w="5103"/>
        <w:gridCol w:w="1843"/>
      </w:tblGrid>
      <w:tr w:rsidR="00974BCE" w14:paraId="1B0532AB" w14:textId="77777777" w:rsidTr="007C7D69">
        <w:tc>
          <w:tcPr>
            <w:tcW w:w="1134" w:type="dxa"/>
            <w:tcBorders>
              <w:top w:val="single" w:sz="12" w:space="0" w:color="auto"/>
              <w:left w:val="nil"/>
              <w:bottom w:val="single" w:sz="12" w:space="0" w:color="auto"/>
              <w:right w:val="single" w:sz="6" w:space="0" w:color="auto"/>
            </w:tcBorders>
            <w:shd w:val="pct10" w:color="auto" w:fill="auto"/>
            <w:vAlign w:val="center"/>
          </w:tcPr>
          <w:p w14:paraId="25D5C518" w14:textId="77777777" w:rsidR="00974BCE" w:rsidRDefault="00974BCE" w:rsidP="00FD4A2B">
            <w:pPr>
              <w:pStyle w:val="TableHeadCen"/>
            </w:pPr>
            <w:r>
              <w:t>Ed/Rev Number</w:t>
            </w:r>
          </w:p>
        </w:tc>
        <w:tc>
          <w:tcPr>
            <w:tcW w:w="1134" w:type="dxa"/>
            <w:tcBorders>
              <w:top w:val="single" w:sz="12" w:space="0" w:color="auto"/>
              <w:left w:val="single" w:sz="6" w:space="0" w:color="auto"/>
              <w:bottom w:val="single" w:sz="12" w:space="0" w:color="auto"/>
              <w:right w:val="single" w:sz="6" w:space="0" w:color="auto"/>
            </w:tcBorders>
            <w:shd w:val="pct10" w:color="auto" w:fill="auto"/>
            <w:vAlign w:val="center"/>
          </w:tcPr>
          <w:p w14:paraId="14F6E4FD" w14:textId="77777777" w:rsidR="00974BCE" w:rsidRDefault="00974BCE" w:rsidP="00FD4A2B">
            <w:pPr>
              <w:pStyle w:val="TableHeadCen"/>
            </w:pPr>
            <w:r>
              <w:t>Section Number</w:t>
            </w:r>
          </w:p>
        </w:tc>
        <w:tc>
          <w:tcPr>
            <w:tcW w:w="5103" w:type="dxa"/>
            <w:tcBorders>
              <w:top w:val="single" w:sz="12" w:space="0" w:color="auto"/>
              <w:left w:val="single" w:sz="6" w:space="0" w:color="auto"/>
              <w:bottom w:val="single" w:sz="12" w:space="0" w:color="auto"/>
              <w:right w:val="single" w:sz="6" w:space="0" w:color="auto"/>
            </w:tcBorders>
            <w:shd w:val="pct10" w:color="auto" w:fill="auto"/>
            <w:vAlign w:val="center"/>
          </w:tcPr>
          <w:p w14:paraId="5EBB8B62" w14:textId="77777777" w:rsidR="00974BCE" w:rsidRDefault="00974BCE" w:rsidP="00FD4A2B">
            <w:pPr>
              <w:pStyle w:val="TableHead"/>
            </w:pPr>
            <w:r>
              <w:t>Description</w:t>
            </w:r>
          </w:p>
        </w:tc>
        <w:tc>
          <w:tcPr>
            <w:tcW w:w="1843" w:type="dxa"/>
            <w:tcBorders>
              <w:top w:val="single" w:sz="12" w:space="0" w:color="auto"/>
              <w:left w:val="single" w:sz="6" w:space="0" w:color="auto"/>
              <w:bottom w:val="single" w:sz="12" w:space="0" w:color="auto"/>
              <w:right w:val="nil"/>
            </w:tcBorders>
            <w:shd w:val="pct10" w:color="auto" w:fill="auto"/>
            <w:vAlign w:val="center"/>
          </w:tcPr>
          <w:p w14:paraId="5BDF27C2" w14:textId="77777777" w:rsidR="00974BCE" w:rsidRDefault="00974BCE" w:rsidP="00FD4A2B">
            <w:pPr>
              <w:pStyle w:val="TableHeadCen"/>
            </w:pPr>
            <w:r>
              <w:t>Date</w:t>
            </w:r>
          </w:p>
        </w:tc>
      </w:tr>
      <w:tr w:rsidR="00974BCE" w14:paraId="17EF1789" w14:textId="77777777" w:rsidTr="007C7D69">
        <w:trPr>
          <w:trHeight w:val="340"/>
        </w:trPr>
        <w:tc>
          <w:tcPr>
            <w:tcW w:w="1134" w:type="dxa"/>
            <w:tcBorders>
              <w:top w:val="single" w:sz="12" w:space="0" w:color="auto"/>
              <w:left w:val="nil"/>
              <w:bottom w:val="single" w:sz="2" w:space="0" w:color="auto"/>
              <w:right w:val="single" w:sz="6" w:space="0" w:color="auto"/>
            </w:tcBorders>
            <w:vAlign w:val="center"/>
          </w:tcPr>
          <w:p w14:paraId="317580E5" w14:textId="77777777" w:rsidR="00974BCE" w:rsidRDefault="00974BCE" w:rsidP="00FD4A2B">
            <w:pPr>
              <w:pStyle w:val="TableCen"/>
            </w:pPr>
            <w:r>
              <w:t>1.0</w:t>
            </w:r>
          </w:p>
        </w:tc>
        <w:tc>
          <w:tcPr>
            <w:tcW w:w="1134" w:type="dxa"/>
            <w:tcBorders>
              <w:top w:val="single" w:sz="12" w:space="0" w:color="auto"/>
              <w:left w:val="single" w:sz="6" w:space="0" w:color="auto"/>
              <w:bottom w:val="single" w:sz="2" w:space="0" w:color="auto"/>
              <w:right w:val="single" w:sz="6" w:space="0" w:color="auto"/>
            </w:tcBorders>
            <w:vAlign w:val="center"/>
          </w:tcPr>
          <w:p w14:paraId="03DEA291" w14:textId="77777777" w:rsidR="00974BCE" w:rsidRDefault="00974BCE" w:rsidP="00FD4A2B">
            <w:pPr>
              <w:pStyle w:val="TableCen"/>
            </w:pPr>
          </w:p>
        </w:tc>
        <w:tc>
          <w:tcPr>
            <w:tcW w:w="5103" w:type="dxa"/>
            <w:tcBorders>
              <w:top w:val="single" w:sz="12" w:space="0" w:color="auto"/>
              <w:left w:val="single" w:sz="6" w:space="0" w:color="auto"/>
              <w:bottom w:val="single" w:sz="2" w:space="0" w:color="auto"/>
              <w:right w:val="single" w:sz="6" w:space="0" w:color="auto"/>
            </w:tcBorders>
            <w:vAlign w:val="center"/>
          </w:tcPr>
          <w:p w14:paraId="59D10082" w14:textId="2EE3970C" w:rsidR="00974BCE" w:rsidRDefault="00974BCE" w:rsidP="00FD4A2B">
            <w:pPr>
              <w:pStyle w:val="Table"/>
            </w:pPr>
            <w:r>
              <w:t>Original issue.</w:t>
            </w:r>
          </w:p>
        </w:tc>
        <w:tc>
          <w:tcPr>
            <w:tcW w:w="1843" w:type="dxa"/>
            <w:tcBorders>
              <w:top w:val="single" w:sz="12" w:space="0" w:color="auto"/>
              <w:left w:val="single" w:sz="6" w:space="0" w:color="auto"/>
              <w:bottom w:val="single" w:sz="2" w:space="0" w:color="auto"/>
              <w:right w:val="nil"/>
            </w:tcBorders>
            <w:vAlign w:val="center"/>
          </w:tcPr>
          <w:p w14:paraId="420D6BD8" w14:textId="74F60F16" w:rsidR="00974BCE" w:rsidRPr="001B0206" w:rsidRDefault="0097599C" w:rsidP="001A18EF">
            <w:pPr>
              <w:pStyle w:val="TableCen"/>
            </w:pPr>
            <w:r w:rsidRPr="0097599C">
              <w:t>Mar 2021</w:t>
            </w:r>
          </w:p>
        </w:tc>
      </w:tr>
      <w:tr w:rsidR="00974BCE" w14:paraId="5AB755DC" w14:textId="77777777" w:rsidTr="007C7D69">
        <w:trPr>
          <w:trHeight w:val="340"/>
        </w:trPr>
        <w:tc>
          <w:tcPr>
            <w:tcW w:w="1134" w:type="dxa"/>
            <w:tcBorders>
              <w:top w:val="single" w:sz="2" w:space="0" w:color="auto"/>
              <w:left w:val="nil"/>
              <w:right w:val="single" w:sz="6" w:space="0" w:color="auto"/>
            </w:tcBorders>
            <w:vAlign w:val="center"/>
          </w:tcPr>
          <w:p w14:paraId="4A66A2FC" w14:textId="192C5640" w:rsidR="00974BCE" w:rsidRDefault="00974BCE" w:rsidP="00FD4A2B">
            <w:pPr>
              <w:pStyle w:val="TableCen"/>
            </w:pPr>
          </w:p>
        </w:tc>
        <w:tc>
          <w:tcPr>
            <w:tcW w:w="1134" w:type="dxa"/>
            <w:tcBorders>
              <w:top w:val="single" w:sz="2" w:space="0" w:color="auto"/>
              <w:left w:val="single" w:sz="6" w:space="0" w:color="auto"/>
              <w:bottom w:val="single" w:sz="2" w:space="0" w:color="auto"/>
              <w:right w:val="single" w:sz="6" w:space="0" w:color="auto"/>
            </w:tcBorders>
            <w:vAlign w:val="center"/>
          </w:tcPr>
          <w:p w14:paraId="5E876A92" w14:textId="77777777" w:rsidR="00974BCE" w:rsidRDefault="00974BCE" w:rsidP="00FD4A2B">
            <w:pPr>
              <w:pStyle w:val="TableCen"/>
            </w:pPr>
          </w:p>
        </w:tc>
        <w:tc>
          <w:tcPr>
            <w:tcW w:w="5103" w:type="dxa"/>
            <w:tcBorders>
              <w:top w:val="single" w:sz="2" w:space="0" w:color="auto"/>
              <w:left w:val="single" w:sz="6" w:space="0" w:color="auto"/>
              <w:bottom w:val="single" w:sz="2" w:space="0" w:color="auto"/>
              <w:right w:val="single" w:sz="6" w:space="0" w:color="auto"/>
            </w:tcBorders>
            <w:vAlign w:val="center"/>
          </w:tcPr>
          <w:p w14:paraId="0C1058C1" w14:textId="77777777" w:rsidR="00974BCE" w:rsidRDefault="00974BCE" w:rsidP="00FD4A2B">
            <w:pPr>
              <w:pStyle w:val="Table"/>
            </w:pPr>
          </w:p>
        </w:tc>
        <w:tc>
          <w:tcPr>
            <w:tcW w:w="1843" w:type="dxa"/>
            <w:tcBorders>
              <w:top w:val="single" w:sz="2" w:space="0" w:color="auto"/>
              <w:left w:val="single" w:sz="6" w:space="0" w:color="auto"/>
              <w:right w:val="nil"/>
            </w:tcBorders>
            <w:vAlign w:val="center"/>
          </w:tcPr>
          <w:p w14:paraId="6A29A54C" w14:textId="77777777" w:rsidR="00974BCE" w:rsidRDefault="00974BCE" w:rsidP="00FD4A2B">
            <w:pPr>
              <w:pStyle w:val="TableCen"/>
            </w:pPr>
          </w:p>
        </w:tc>
      </w:tr>
      <w:tr w:rsidR="00974BCE" w14:paraId="6655E241" w14:textId="77777777" w:rsidTr="007C7D69">
        <w:trPr>
          <w:trHeight w:val="340"/>
        </w:trPr>
        <w:tc>
          <w:tcPr>
            <w:tcW w:w="1134" w:type="dxa"/>
            <w:tcBorders>
              <w:left w:val="nil"/>
              <w:bottom w:val="single" w:sz="12" w:space="0" w:color="auto"/>
              <w:right w:val="single" w:sz="6" w:space="0" w:color="auto"/>
            </w:tcBorders>
            <w:vAlign w:val="center"/>
          </w:tcPr>
          <w:p w14:paraId="4665BF6C" w14:textId="77777777" w:rsidR="00974BCE" w:rsidRDefault="00974BCE" w:rsidP="00FD4A2B">
            <w:pPr>
              <w:pStyle w:val="TableCen"/>
            </w:pPr>
          </w:p>
        </w:tc>
        <w:tc>
          <w:tcPr>
            <w:tcW w:w="1134" w:type="dxa"/>
            <w:tcBorders>
              <w:top w:val="single" w:sz="2" w:space="0" w:color="auto"/>
              <w:left w:val="single" w:sz="6" w:space="0" w:color="auto"/>
              <w:bottom w:val="single" w:sz="12" w:space="0" w:color="auto"/>
              <w:right w:val="single" w:sz="6" w:space="0" w:color="auto"/>
            </w:tcBorders>
            <w:vAlign w:val="center"/>
          </w:tcPr>
          <w:p w14:paraId="486D7EA8" w14:textId="77777777" w:rsidR="00974BCE" w:rsidRDefault="00974BCE" w:rsidP="00FD4A2B">
            <w:pPr>
              <w:pStyle w:val="TableCen"/>
            </w:pPr>
          </w:p>
        </w:tc>
        <w:tc>
          <w:tcPr>
            <w:tcW w:w="5103" w:type="dxa"/>
            <w:tcBorders>
              <w:top w:val="single" w:sz="2" w:space="0" w:color="auto"/>
              <w:left w:val="single" w:sz="6" w:space="0" w:color="auto"/>
              <w:bottom w:val="single" w:sz="12" w:space="0" w:color="auto"/>
              <w:right w:val="single" w:sz="6" w:space="0" w:color="auto"/>
            </w:tcBorders>
            <w:vAlign w:val="center"/>
          </w:tcPr>
          <w:p w14:paraId="2BA0C681" w14:textId="77777777" w:rsidR="00974BCE" w:rsidRDefault="00974BCE" w:rsidP="00FD4A2B">
            <w:pPr>
              <w:pStyle w:val="Table"/>
            </w:pPr>
          </w:p>
        </w:tc>
        <w:tc>
          <w:tcPr>
            <w:tcW w:w="1843" w:type="dxa"/>
            <w:tcBorders>
              <w:left w:val="single" w:sz="6" w:space="0" w:color="auto"/>
              <w:bottom w:val="single" w:sz="12" w:space="0" w:color="auto"/>
              <w:right w:val="nil"/>
            </w:tcBorders>
            <w:vAlign w:val="center"/>
          </w:tcPr>
          <w:p w14:paraId="51EC03AD" w14:textId="77777777" w:rsidR="00974BCE" w:rsidRDefault="00974BCE" w:rsidP="00FD4A2B">
            <w:pPr>
              <w:pStyle w:val="TableCen"/>
            </w:pPr>
          </w:p>
        </w:tc>
      </w:tr>
    </w:tbl>
    <w:p w14:paraId="07D5D2B9" w14:textId="77777777" w:rsidR="00974BCE" w:rsidRPr="005D2DAC" w:rsidRDefault="00974BCE" w:rsidP="005D2DAC">
      <w:pPr>
        <w:pStyle w:val="BlockText"/>
      </w:pPr>
    </w:p>
    <w:p w14:paraId="3101C765" w14:textId="77777777" w:rsidR="00974BCE" w:rsidRDefault="00974BCE" w:rsidP="00974BCE">
      <w:pPr>
        <w:jc w:val="center"/>
        <w:sectPr w:rsidR="00974BCE" w:rsidSect="00B75756">
          <w:headerReference w:type="default" r:id="rId13"/>
          <w:pgSz w:w="11906" w:h="16838" w:code="9"/>
          <w:pgMar w:top="1134" w:right="1134" w:bottom="992" w:left="1418" w:header="1134" w:footer="851" w:gutter="0"/>
          <w:pgNumType w:fmt="lowerRoman" w:start="1"/>
          <w:cols w:space="720"/>
          <w:docGrid w:linePitch="272"/>
        </w:sectPr>
      </w:pPr>
    </w:p>
    <w:p w14:paraId="7807BACB" w14:textId="58D3F9F3" w:rsidR="00FC5E2F" w:rsidRDefault="008D4909" w:rsidP="00974BCE">
      <w:pPr>
        <w:pStyle w:val="BodyTextIndentBoldItalicCen"/>
      </w:pPr>
      <w:r>
        <w:lastRenderedPageBreak/>
        <w:t>(</w:t>
      </w:r>
      <w:r w:rsidR="00FC5E2F">
        <w:t>This p</w:t>
      </w:r>
      <w:r w:rsidR="00FC5E2F" w:rsidRPr="00FC5E2F">
        <w:t>age left intentionally blank</w:t>
      </w:r>
      <w:r w:rsidR="00B56938">
        <w:t>)</w:t>
      </w:r>
    </w:p>
    <w:p w14:paraId="5AF36CE5" w14:textId="3872B1E1" w:rsidR="00974BCE" w:rsidRDefault="00974BCE" w:rsidP="00974BCE">
      <w:pPr>
        <w:jc w:val="center"/>
        <w:sectPr w:rsidR="00974BCE" w:rsidSect="00B75756">
          <w:pgSz w:w="11906" w:h="16838" w:code="9"/>
          <w:pgMar w:top="1134" w:right="1134" w:bottom="992" w:left="1418" w:header="1134" w:footer="851" w:gutter="0"/>
          <w:pgNumType w:fmt="lowerRoman" w:start="1"/>
          <w:cols w:space="720"/>
          <w:vAlign w:val="center"/>
        </w:sectPr>
      </w:pPr>
    </w:p>
    <w:p w14:paraId="47A5623C" w14:textId="77777777" w:rsidR="00974BCE" w:rsidRDefault="00974BCE" w:rsidP="007C7D69">
      <w:pPr>
        <w:pStyle w:val="Heading2"/>
        <w:numPr>
          <w:ilvl w:val="0"/>
          <w:numId w:val="0"/>
        </w:numPr>
        <w:ind w:left="720" w:hanging="720"/>
      </w:pPr>
      <w:bookmarkStart w:id="3" w:name="_Toc197934563"/>
      <w:bookmarkStart w:id="4" w:name="_Toc197935082"/>
      <w:bookmarkStart w:id="5" w:name="_Toc197936724"/>
      <w:r w:rsidRPr="005E132D">
        <w:lastRenderedPageBreak/>
        <w:t>TABLE OF CONTENTS</w:t>
      </w:r>
      <w:bookmarkEnd w:id="3"/>
      <w:bookmarkEnd w:id="4"/>
      <w:bookmarkEnd w:id="5"/>
    </w:p>
    <w:bookmarkStart w:id="6" w:name="_Toc493942064"/>
    <w:bookmarkStart w:id="7" w:name="_Toc493986903"/>
    <w:p w14:paraId="47E7F1D5" w14:textId="7B3ECF01" w:rsidR="00784842" w:rsidRDefault="00974BCE">
      <w:pPr>
        <w:pStyle w:val="TOC1"/>
        <w:rPr>
          <w:rFonts w:asciiTheme="minorHAnsi" w:eastAsiaTheme="minorEastAsia" w:hAnsiTheme="minorHAnsi" w:cstheme="minorBidi"/>
          <w:b w:val="0"/>
          <w:caps w:val="0"/>
          <w:noProof/>
          <w:sz w:val="22"/>
          <w:szCs w:val="22"/>
        </w:rPr>
      </w:pPr>
      <w:r>
        <w:fldChar w:fldCharType="begin"/>
      </w:r>
      <w:r>
        <w:instrText xml:space="preserve"> TOC \o "2-3" \t "Heading 1,1" </w:instrText>
      </w:r>
      <w:r>
        <w:fldChar w:fldCharType="separate"/>
      </w:r>
      <w:r w:rsidR="00784842">
        <w:rPr>
          <w:noProof/>
        </w:rPr>
        <w:t>1.0</w:t>
      </w:r>
      <w:r w:rsidR="00784842">
        <w:rPr>
          <w:rFonts w:asciiTheme="minorHAnsi" w:eastAsiaTheme="minorEastAsia" w:hAnsiTheme="minorHAnsi" w:cstheme="minorBidi"/>
          <w:b w:val="0"/>
          <w:caps w:val="0"/>
          <w:noProof/>
          <w:sz w:val="22"/>
          <w:szCs w:val="22"/>
        </w:rPr>
        <w:tab/>
      </w:r>
      <w:r w:rsidR="00784842">
        <w:rPr>
          <w:noProof/>
        </w:rPr>
        <w:t>GENERAL</w:t>
      </w:r>
      <w:r w:rsidR="00784842">
        <w:rPr>
          <w:noProof/>
        </w:rPr>
        <w:tab/>
      </w:r>
      <w:r w:rsidR="00784842">
        <w:rPr>
          <w:noProof/>
        </w:rPr>
        <w:fldChar w:fldCharType="begin"/>
      </w:r>
      <w:r w:rsidR="00784842">
        <w:rPr>
          <w:noProof/>
        </w:rPr>
        <w:instrText xml:space="preserve"> PAGEREF _Toc52953503 \h </w:instrText>
      </w:r>
      <w:r w:rsidR="00784842">
        <w:rPr>
          <w:noProof/>
        </w:rPr>
      </w:r>
      <w:r w:rsidR="00784842">
        <w:rPr>
          <w:noProof/>
        </w:rPr>
        <w:fldChar w:fldCharType="separate"/>
      </w:r>
      <w:r w:rsidR="002A7BBF">
        <w:rPr>
          <w:noProof/>
        </w:rPr>
        <w:t>1</w:t>
      </w:r>
      <w:r w:rsidR="00784842">
        <w:rPr>
          <w:noProof/>
        </w:rPr>
        <w:fldChar w:fldCharType="end"/>
      </w:r>
    </w:p>
    <w:p w14:paraId="28355358" w14:textId="76DBFF8E" w:rsidR="00784842" w:rsidRDefault="00784842">
      <w:pPr>
        <w:pStyle w:val="TOC2"/>
        <w:rPr>
          <w:rFonts w:asciiTheme="minorHAnsi" w:eastAsiaTheme="minorEastAsia" w:hAnsiTheme="minorHAnsi" w:cstheme="minorBidi"/>
          <w:b w:val="0"/>
          <w:smallCaps w:val="0"/>
          <w:noProof/>
          <w:szCs w:val="22"/>
        </w:rPr>
      </w:pPr>
      <w:r>
        <w:rPr>
          <w:noProof/>
        </w:rPr>
        <w:t>1.1</w:t>
      </w:r>
      <w:r>
        <w:rPr>
          <w:rFonts w:asciiTheme="minorHAnsi" w:eastAsiaTheme="minorEastAsia" w:hAnsiTheme="minorHAnsi" w:cstheme="minorBidi"/>
          <w:b w:val="0"/>
          <w:smallCaps w:val="0"/>
          <w:noProof/>
          <w:szCs w:val="22"/>
        </w:rPr>
        <w:tab/>
      </w:r>
      <w:r>
        <w:rPr>
          <w:noProof/>
        </w:rPr>
        <w:t>Scope</w:t>
      </w:r>
      <w:r>
        <w:rPr>
          <w:noProof/>
        </w:rPr>
        <w:tab/>
      </w:r>
      <w:r>
        <w:rPr>
          <w:noProof/>
        </w:rPr>
        <w:fldChar w:fldCharType="begin"/>
      </w:r>
      <w:r>
        <w:rPr>
          <w:noProof/>
        </w:rPr>
        <w:instrText xml:space="preserve"> PAGEREF _Toc52953504 \h </w:instrText>
      </w:r>
      <w:r>
        <w:rPr>
          <w:noProof/>
        </w:rPr>
      </w:r>
      <w:r>
        <w:rPr>
          <w:noProof/>
        </w:rPr>
        <w:fldChar w:fldCharType="separate"/>
      </w:r>
      <w:r w:rsidR="002A7BBF">
        <w:rPr>
          <w:noProof/>
        </w:rPr>
        <w:t>1</w:t>
      </w:r>
      <w:r>
        <w:rPr>
          <w:noProof/>
        </w:rPr>
        <w:fldChar w:fldCharType="end"/>
      </w:r>
    </w:p>
    <w:p w14:paraId="20CB1E14" w14:textId="0AA8CA69" w:rsidR="00784842" w:rsidRDefault="00784842">
      <w:pPr>
        <w:pStyle w:val="TOC2"/>
        <w:rPr>
          <w:rFonts w:asciiTheme="minorHAnsi" w:eastAsiaTheme="minorEastAsia" w:hAnsiTheme="minorHAnsi" w:cstheme="minorBidi"/>
          <w:b w:val="0"/>
          <w:smallCaps w:val="0"/>
          <w:noProof/>
          <w:szCs w:val="22"/>
        </w:rPr>
      </w:pPr>
      <w:r>
        <w:rPr>
          <w:noProof/>
        </w:rPr>
        <w:t>1.2</w:t>
      </w:r>
      <w:r>
        <w:rPr>
          <w:rFonts w:asciiTheme="minorHAnsi" w:eastAsiaTheme="minorEastAsia" w:hAnsiTheme="minorHAnsi" w:cstheme="minorBidi"/>
          <w:b w:val="0"/>
          <w:smallCaps w:val="0"/>
          <w:noProof/>
          <w:szCs w:val="22"/>
        </w:rPr>
        <w:tab/>
      </w:r>
      <w:r>
        <w:rPr>
          <w:noProof/>
        </w:rPr>
        <w:t>Installation Techniques – Existing Council Assets</w:t>
      </w:r>
      <w:r>
        <w:rPr>
          <w:noProof/>
        </w:rPr>
        <w:tab/>
      </w:r>
      <w:r>
        <w:rPr>
          <w:noProof/>
        </w:rPr>
        <w:fldChar w:fldCharType="begin"/>
      </w:r>
      <w:r>
        <w:rPr>
          <w:noProof/>
        </w:rPr>
        <w:instrText xml:space="preserve"> PAGEREF _Toc52953505 \h </w:instrText>
      </w:r>
      <w:r>
        <w:rPr>
          <w:noProof/>
        </w:rPr>
      </w:r>
      <w:r>
        <w:rPr>
          <w:noProof/>
        </w:rPr>
        <w:fldChar w:fldCharType="separate"/>
      </w:r>
      <w:r w:rsidR="002A7BBF">
        <w:rPr>
          <w:noProof/>
        </w:rPr>
        <w:t>1</w:t>
      </w:r>
      <w:r>
        <w:rPr>
          <w:noProof/>
        </w:rPr>
        <w:fldChar w:fldCharType="end"/>
      </w:r>
    </w:p>
    <w:p w14:paraId="2B4DA734" w14:textId="5C8AAA3A" w:rsidR="00784842" w:rsidRDefault="00784842">
      <w:pPr>
        <w:pStyle w:val="TOC2"/>
        <w:rPr>
          <w:rFonts w:asciiTheme="minorHAnsi" w:eastAsiaTheme="minorEastAsia" w:hAnsiTheme="minorHAnsi" w:cstheme="minorBidi"/>
          <w:b w:val="0"/>
          <w:smallCaps w:val="0"/>
          <w:noProof/>
          <w:szCs w:val="22"/>
        </w:rPr>
      </w:pPr>
      <w:r>
        <w:rPr>
          <w:noProof/>
        </w:rPr>
        <w:t>1.3</w:t>
      </w:r>
      <w:r>
        <w:rPr>
          <w:rFonts w:asciiTheme="minorHAnsi" w:eastAsiaTheme="minorEastAsia" w:hAnsiTheme="minorHAnsi" w:cstheme="minorBidi"/>
          <w:b w:val="0"/>
          <w:smallCaps w:val="0"/>
          <w:noProof/>
          <w:szCs w:val="22"/>
        </w:rPr>
        <w:tab/>
      </w:r>
      <w:r>
        <w:rPr>
          <w:noProof/>
        </w:rPr>
        <w:t>Standards</w:t>
      </w:r>
      <w:r>
        <w:rPr>
          <w:noProof/>
        </w:rPr>
        <w:tab/>
      </w:r>
      <w:r>
        <w:rPr>
          <w:noProof/>
        </w:rPr>
        <w:fldChar w:fldCharType="begin"/>
      </w:r>
      <w:r>
        <w:rPr>
          <w:noProof/>
        </w:rPr>
        <w:instrText xml:space="preserve"> PAGEREF _Toc52953506 \h </w:instrText>
      </w:r>
      <w:r>
        <w:rPr>
          <w:noProof/>
        </w:rPr>
      </w:r>
      <w:r>
        <w:rPr>
          <w:noProof/>
        </w:rPr>
        <w:fldChar w:fldCharType="separate"/>
      </w:r>
      <w:r w:rsidR="002A7BBF">
        <w:rPr>
          <w:noProof/>
        </w:rPr>
        <w:t>1</w:t>
      </w:r>
      <w:r>
        <w:rPr>
          <w:noProof/>
        </w:rPr>
        <w:fldChar w:fldCharType="end"/>
      </w:r>
    </w:p>
    <w:p w14:paraId="5D1449BC" w14:textId="0735E666" w:rsidR="00784842" w:rsidRDefault="00784842">
      <w:pPr>
        <w:pStyle w:val="TOC2"/>
        <w:rPr>
          <w:rFonts w:asciiTheme="minorHAnsi" w:eastAsiaTheme="minorEastAsia" w:hAnsiTheme="minorHAnsi" w:cstheme="minorBidi"/>
          <w:b w:val="0"/>
          <w:smallCaps w:val="0"/>
          <w:noProof/>
          <w:szCs w:val="22"/>
        </w:rPr>
      </w:pPr>
      <w:r>
        <w:rPr>
          <w:noProof/>
        </w:rPr>
        <w:t>1.4</w:t>
      </w:r>
      <w:r>
        <w:rPr>
          <w:rFonts w:asciiTheme="minorHAnsi" w:eastAsiaTheme="minorEastAsia" w:hAnsiTheme="minorHAnsi" w:cstheme="minorBidi"/>
          <w:b w:val="0"/>
          <w:smallCaps w:val="0"/>
          <w:noProof/>
          <w:szCs w:val="22"/>
        </w:rPr>
        <w:tab/>
      </w:r>
      <w:r>
        <w:rPr>
          <w:noProof/>
        </w:rPr>
        <w:t>References</w:t>
      </w:r>
      <w:r>
        <w:rPr>
          <w:noProof/>
        </w:rPr>
        <w:tab/>
      </w:r>
      <w:r>
        <w:rPr>
          <w:noProof/>
        </w:rPr>
        <w:fldChar w:fldCharType="begin"/>
      </w:r>
      <w:r>
        <w:rPr>
          <w:noProof/>
        </w:rPr>
        <w:instrText xml:space="preserve"> PAGEREF _Toc52953507 \h </w:instrText>
      </w:r>
      <w:r>
        <w:rPr>
          <w:noProof/>
        </w:rPr>
      </w:r>
      <w:r>
        <w:rPr>
          <w:noProof/>
        </w:rPr>
        <w:fldChar w:fldCharType="separate"/>
      </w:r>
      <w:r w:rsidR="002A7BBF">
        <w:rPr>
          <w:noProof/>
        </w:rPr>
        <w:t>2</w:t>
      </w:r>
      <w:r>
        <w:rPr>
          <w:noProof/>
        </w:rPr>
        <w:fldChar w:fldCharType="end"/>
      </w:r>
    </w:p>
    <w:p w14:paraId="6E5D94F3" w14:textId="2CD5B26C" w:rsidR="00784842" w:rsidRDefault="00784842">
      <w:pPr>
        <w:pStyle w:val="TOC2"/>
        <w:rPr>
          <w:rFonts w:asciiTheme="minorHAnsi" w:eastAsiaTheme="minorEastAsia" w:hAnsiTheme="minorHAnsi" w:cstheme="minorBidi"/>
          <w:b w:val="0"/>
          <w:smallCaps w:val="0"/>
          <w:noProof/>
          <w:szCs w:val="22"/>
        </w:rPr>
      </w:pPr>
      <w:r>
        <w:rPr>
          <w:noProof/>
        </w:rPr>
        <w:t>1.5</w:t>
      </w:r>
      <w:r>
        <w:rPr>
          <w:rFonts w:asciiTheme="minorHAnsi" w:eastAsiaTheme="minorEastAsia" w:hAnsiTheme="minorHAnsi" w:cstheme="minorBidi"/>
          <w:b w:val="0"/>
          <w:smallCaps w:val="0"/>
          <w:noProof/>
          <w:szCs w:val="22"/>
        </w:rPr>
        <w:tab/>
      </w:r>
      <w:r>
        <w:rPr>
          <w:noProof/>
        </w:rPr>
        <w:t>Definitions</w:t>
      </w:r>
      <w:r>
        <w:rPr>
          <w:noProof/>
        </w:rPr>
        <w:tab/>
      </w:r>
      <w:r>
        <w:rPr>
          <w:noProof/>
        </w:rPr>
        <w:fldChar w:fldCharType="begin"/>
      </w:r>
      <w:r>
        <w:rPr>
          <w:noProof/>
        </w:rPr>
        <w:instrText xml:space="preserve"> PAGEREF _Toc52953508 \h </w:instrText>
      </w:r>
      <w:r>
        <w:rPr>
          <w:noProof/>
        </w:rPr>
      </w:r>
      <w:r>
        <w:rPr>
          <w:noProof/>
        </w:rPr>
        <w:fldChar w:fldCharType="separate"/>
      </w:r>
      <w:r w:rsidR="002A7BBF">
        <w:rPr>
          <w:noProof/>
        </w:rPr>
        <w:t>4</w:t>
      </w:r>
      <w:r>
        <w:rPr>
          <w:noProof/>
        </w:rPr>
        <w:fldChar w:fldCharType="end"/>
      </w:r>
    </w:p>
    <w:p w14:paraId="17281E73" w14:textId="058A269A" w:rsidR="00784842" w:rsidRDefault="00784842">
      <w:pPr>
        <w:pStyle w:val="TOC2"/>
        <w:rPr>
          <w:rFonts w:asciiTheme="minorHAnsi" w:eastAsiaTheme="minorEastAsia" w:hAnsiTheme="minorHAnsi" w:cstheme="minorBidi"/>
          <w:b w:val="0"/>
          <w:smallCaps w:val="0"/>
          <w:noProof/>
          <w:szCs w:val="22"/>
        </w:rPr>
      </w:pPr>
      <w:r>
        <w:rPr>
          <w:noProof/>
        </w:rPr>
        <w:t>1.6</w:t>
      </w:r>
      <w:r>
        <w:rPr>
          <w:rFonts w:asciiTheme="minorHAnsi" w:eastAsiaTheme="minorEastAsia" w:hAnsiTheme="minorHAnsi" w:cstheme="minorBidi"/>
          <w:b w:val="0"/>
          <w:smallCaps w:val="0"/>
          <w:noProof/>
          <w:szCs w:val="22"/>
        </w:rPr>
        <w:tab/>
      </w:r>
      <w:r>
        <w:rPr>
          <w:noProof/>
        </w:rPr>
        <w:t>Traffic Control</w:t>
      </w:r>
      <w:r>
        <w:rPr>
          <w:noProof/>
        </w:rPr>
        <w:tab/>
      </w:r>
      <w:r>
        <w:rPr>
          <w:noProof/>
        </w:rPr>
        <w:fldChar w:fldCharType="begin"/>
      </w:r>
      <w:r>
        <w:rPr>
          <w:noProof/>
        </w:rPr>
        <w:instrText xml:space="preserve"> PAGEREF _Toc52953509 \h </w:instrText>
      </w:r>
      <w:r>
        <w:rPr>
          <w:noProof/>
        </w:rPr>
      </w:r>
      <w:r>
        <w:rPr>
          <w:noProof/>
        </w:rPr>
        <w:fldChar w:fldCharType="separate"/>
      </w:r>
      <w:r w:rsidR="002A7BBF">
        <w:rPr>
          <w:noProof/>
        </w:rPr>
        <w:t>5</w:t>
      </w:r>
      <w:r>
        <w:rPr>
          <w:noProof/>
        </w:rPr>
        <w:fldChar w:fldCharType="end"/>
      </w:r>
    </w:p>
    <w:p w14:paraId="7924D21A" w14:textId="785A1FD5" w:rsidR="00784842" w:rsidRDefault="00784842">
      <w:pPr>
        <w:pStyle w:val="TOC1"/>
        <w:rPr>
          <w:rFonts w:asciiTheme="minorHAnsi" w:eastAsiaTheme="minorEastAsia" w:hAnsiTheme="minorHAnsi" w:cstheme="minorBidi"/>
          <w:b w:val="0"/>
          <w:caps w:val="0"/>
          <w:noProof/>
          <w:sz w:val="22"/>
          <w:szCs w:val="22"/>
        </w:rPr>
      </w:pPr>
      <w:r w:rsidRPr="0083680B">
        <w:rPr>
          <w:bCs/>
          <w:noProof/>
        </w:rPr>
        <w:t>2.0</w:t>
      </w:r>
      <w:r>
        <w:rPr>
          <w:rFonts w:asciiTheme="minorHAnsi" w:eastAsiaTheme="minorEastAsia" w:hAnsiTheme="minorHAnsi" w:cstheme="minorBidi"/>
          <w:b w:val="0"/>
          <w:caps w:val="0"/>
          <w:noProof/>
          <w:sz w:val="22"/>
          <w:szCs w:val="22"/>
        </w:rPr>
        <w:tab/>
      </w:r>
      <w:r w:rsidRPr="0083680B">
        <w:rPr>
          <w:bCs/>
          <w:noProof/>
        </w:rPr>
        <w:t>Technical Specification of Solid state lighting (ssl) Luminaires</w:t>
      </w:r>
      <w:r>
        <w:rPr>
          <w:noProof/>
        </w:rPr>
        <w:tab/>
      </w:r>
      <w:r>
        <w:rPr>
          <w:noProof/>
        </w:rPr>
        <w:fldChar w:fldCharType="begin"/>
      </w:r>
      <w:r>
        <w:rPr>
          <w:noProof/>
        </w:rPr>
        <w:instrText xml:space="preserve"> PAGEREF _Toc52953510 \h </w:instrText>
      </w:r>
      <w:r>
        <w:rPr>
          <w:noProof/>
        </w:rPr>
      </w:r>
      <w:r>
        <w:rPr>
          <w:noProof/>
        </w:rPr>
        <w:fldChar w:fldCharType="separate"/>
      </w:r>
      <w:r w:rsidR="002A7BBF">
        <w:rPr>
          <w:noProof/>
        </w:rPr>
        <w:t>5</w:t>
      </w:r>
      <w:r>
        <w:rPr>
          <w:noProof/>
        </w:rPr>
        <w:fldChar w:fldCharType="end"/>
      </w:r>
    </w:p>
    <w:p w14:paraId="149D35B8" w14:textId="4F888A07" w:rsidR="00784842" w:rsidRDefault="00784842">
      <w:pPr>
        <w:pStyle w:val="TOC1"/>
        <w:rPr>
          <w:rFonts w:asciiTheme="minorHAnsi" w:eastAsiaTheme="minorEastAsia" w:hAnsiTheme="minorHAnsi" w:cstheme="minorBidi"/>
          <w:b w:val="0"/>
          <w:caps w:val="0"/>
          <w:noProof/>
          <w:sz w:val="22"/>
          <w:szCs w:val="22"/>
        </w:rPr>
      </w:pPr>
      <w:r w:rsidRPr="0083680B">
        <w:rPr>
          <w:bCs/>
          <w:noProof/>
        </w:rPr>
        <w:t>3.0</w:t>
      </w:r>
      <w:r>
        <w:rPr>
          <w:rFonts w:asciiTheme="minorHAnsi" w:eastAsiaTheme="minorEastAsia" w:hAnsiTheme="minorHAnsi" w:cstheme="minorBidi"/>
          <w:b w:val="0"/>
          <w:caps w:val="0"/>
          <w:noProof/>
          <w:sz w:val="22"/>
          <w:szCs w:val="22"/>
        </w:rPr>
        <w:tab/>
      </w:r>
      <w:r w:rsidRPr="0083680B">
        <w:rPr>
          <w:bCs/>
          <w:noProof/>
        </w:rPr>
        <w:t>New Items</w:t>
      </w:r>
      <w:r>
        <w:rPr>
          <w:noProof/>
        </w:rPr>
        <w:tab/>
      </w:r>
      <w:r>
        <w:rPr>
          <w:noProof/>
        </w:rPr>
        <w:fldChar w:fldCharType="begin"/>
      </w:r>
      <w:r>
        <w:rPr>
          <w:noProof/>
        </w:rPr>
        <w:instrText xml:space="preserve"> PAGEREF _Toc52953511 \h </w:instrText>
      </w:r>
      <w:r>
        <w:rPr>
          <w:noProof/>
        </w:rPr>
      </w:r>
      <w:r>
        <w:rPr>
          <w:noProof/>
        </w:rPr>
        <w:fldChar w:fldCharType="separate"/>
      </w:r>
      <w:r w:rsidR="002A7BBF">
        <w:rPr>
          <w:noProof/>
        </w:rPr>
        <w:t>6</w:t>
      </w:r>
      <w:r>
        <w:rPr>
          <w:noProof/>
        </w:rPr>
        <w:fldChar w:fldCharType="end"/>
      </w:r>
    </w:p>
    <w:p w14:paraId="6E229A80" w14:textId="375F3262" w:rsidR="00784842" w:rsidRDefault="00784842">
      <w:pPr>
        <w:pStyle w:val="TOC1"/>
        <w:rPr>
          <w:rFonts w:asciiTheme="minorHAnsi" w:eastAsiaTheme="minorEastAsia" w:hAnsiTheme="minorHAnsi" w:cstheme="minorBidi"/>
          <w:b w:val="0"/>
          <w:caps w:val="0"/>
          <w:noProof/>
          <w:sz w:val="22"/>
          <w:szCs w:val="22"/>
        </w:rPr>
      </w:pPr>
      <w:r w:rsidRPr="0083680B">
        <w:rPr>
          <w:bCs/>
          <w:noProof/>
        </w:rPr>
        <w:t>4.0</w:t>
      </w:r>
      <w:r>
        <w:rPr>
          <w:rFonts w:asciiTheme="minorHAnsi" w:eastAsiaTheme="minorEastAsia" w:hAnsiTheme="minorHAnsi" w:cstheme="minorBidi"/>
          <w:b w:val="0"/>
          <w:caps w:val="0"/>
          <w:noProof/>
          <w:sz w:val="22"/>
          <w:szCs w:val="22"/>
        </w:rPr>
        <w:tab/>
      </w:r>
      <w:r w:rsidRPr="0083680B">
        <w:rPr>
          <w:bCs/>
          <w:noProof/>
        </w:rPr>
        <w:t>Documentation</w:t>
      </w:r>
      <w:r>
        <w:rPr>
          <w:noProof/>
        </w:rPr>
        <w:tab/>
      </w:r>
      <w:r>
        <w:rPr>
          <w:noProof/>
        </w:rPr>
        <w:fldChar w:fldCharType="begin"/>
      </w:r>
      <w:r>
        <w:rPr>
          <w:noProof/>
        </w:rPr>
        <w:instrText xml:space="preserve"> PAGEREF _Toc52953512 \h </w:instrText>
      </w:r>
      <w:r>
        <w:rPr>
          <w:noProof/>
        </w:rPr>
      </w:r>
      <w:r>
        <w:rPr>
          <w:noProof/>
        </w:rPr>
        <w:fldChar w:fldCharType="separate"/>
      </w:r>
      <w:r w:rsidR="002A7BBF">
        <w:rPr>
          <w:noProof/>
        </w:rPr>
        <w:t>6</w:t>
      </w:r>
      <w:r>
        <w:rPr>
          <w:noProof/>
        </w:rPr>
        <w:fldChar w:fldCharType="end"/>
      </w:r>
    </w:p>
    <w:p w14:paraId="5EF64A1B" w14:textId="1DF1663C" w:rsidR="005D2DAC" w:rsidRPr="005D2DAC" w:rsidRDefault="00974BCE" w:rsidP="005D2DAC">
      <w:pPr>
        <w:pStyle w:val="BodyText"/>
      </w:pPr>
      <w:r>
        <w:fldChar w:fldCharType="end"/>
      </w:r>
    </w:p>
    <w:p w14:paraId="0F795840" w14:textId="3D3B5529" w:rsidR="005D2DAC" w:rsidRDefault="005D2DAC" w:rsidP="005D2DAC">
      <w:pPr>
        <w:pStyle w:val="BodyText"/>
      </w:pPr>
    </w:p>
    <w:p w14:paraId="283ECB6E" w14:textId="77777777" w:rsidR="00974BCE" w:rsidRPr="005D2DAC" w:rsidRDefault="00974BCE" w:rsidP="005D2DAC">
      <w:pPr>
        <w:sectPr w:rsidR="00974BCE" w:rsidRPr="005D2DAC" w:rsidSect="00B75756">
          <w:footerReference w:type="default" r:id="rId14"/>
          <w:pgSz w:w="11906" w:h="16838" w:code="9"/>
          <w:pgMar w:top="1134" w:right="1134" w:bottom="992" w:left="1418" w:header="1134" w:footer="851" w:gutter="0"/>
          <w:pgNumType w:fmt="lowerRoman" w:start="1"/>
          <w:cols w:space="720"/>
          <w:docGrid w:linePitch="272"/>
        </w:sectPr>
      </w:pPr>
    </w:p>
    <w:p w14:paraId="5EA27BAE" w14:textId="3D303761" w:rsidR="00974BCE" w:rsidRPr="006E06D3" w:rsidRDefault="00B56938" w:rsidP="00974BCE">
      <w:pPr>
        <w:pStyle w:val="BodyTextIndentBoldItalicCen"/>
      </w:pPr>
      <w:r>
        <w:lastRenderedPageBreak/>
        <w:t>(</w:t>
      </w:r>
      <w:r w:rsidR="00974BCE" w:rsidRPr="006E06D3">
        <w:t>This page left intentionally blank</w:t>
      </w:r>
      <w:r>
        <w:t>)</w:t>
      </w:r>
    </w:p>
    <w:p w14:paraId="1A6FB1DB" w14:textId="77777777" w:rsidR="00974BCE" w:rsidRDefault="00974BCE" w:rsidP="00974BCE">
      <w:pPr>
        <w:pStyle w:val="FootnoteText"/>
        <w:widowControl/>
        <w:rPr>
          <w:rFonts w:ascii="Arial" w:hAnsi="Arial"/>
          <w:snapToGrid/>
          <w:lang w:val="en-AU"/>
        </w:rPr>
        <w:sectPr w:rsidR="00974BCE" w:rsidSect="00B75756">
          <w:footerReference w:type="default" r:id="rId15"/>
          <w:pgSz w:w="11906" w:h="16838" w:code="9"/>
          <w:pgMar w:top="1134" w:right="1134" w:bottom="992" w:left="1418" w:header="1134" w:footer="851" w:gutter="0"/>
          <w:pgNumType w:fmt="lowerRoman" w:start="1"/>
          <w:cols w:space="720"/>
          <w:vAlign w:val="center"/>
        </w:sectPr>
      </w:pPr>
    </w:p>
    <w:p w14:paraId="4A06EAC3" w14:textId="77777777" w:rsidR="00974BCE" w:rsidRPr="00817308" w:rsidRDefault="00974BCE" w:rsidP="00817308">
      <w:pPr>
        <w:pStyle w:val="Heading2"/>
      </w:pPr>
      <w:bookmarkStart w:id="8" w:name="_Toc493942071"/>
      <w:bookmarkStart w:id="9" w:name="_Toc493986910"/>
      <w:bookmarkStart w:id="10" w:name="_Toc52953503"/>
      <w:bookmarkEnd w:id="6"/>
      <w:bookmarkEnd w:id="7"/>
      <w:r w:rsidRPr="00817308">
        <w:lastRenderedPageBreak/>
        <w:t>GENERAL</w:t>
      </w:r>
      <w:bookmarkEnd w:id="8"/>
      <w:bookmarkEnd w:id="9"/>
      <w:bookmarkEnd w:id="10"/>
    </w:p>
    <w:p w14:paraId="06690A45" w14:textId="77777777" w:rsidR="00974BCE" w:rsidRPr="00817308" w:rsidRDefault="00974BCE" w:rsidP="00817308">
      <w:pPr>
        <w:pStyle w:val="Heading3"/>
      </w:pPr>
      <w:bookmarkStart w:id="11" w:name="_Toc52953504"/>
      <w:r w:rsidRPr="00817308">
        <w:t>Scope</w:t>
      </w:r>
      <w:bookmarkEnd w:id="11"/>
    </w:p>
    <w:p w14:paraId="06BB9ADD" w14:textId="7A480B4D" w:rsidR="00974BCE" w:rsidRDefault="00974BCE" w:rsidP="00974BCE">
      <w:pPr>
        <w:pStyle w:val="BodyTextIndent"/>
      </w:pPr>
      <w:r>
        <w:t xml:space="preserve">This specification applies to the </w:t>
      </w:r>
      <w:r w:rsidR="00FD4A2B">
        <w:t xml:space="preserve">selection, </w:t>
      </w:r>
      <w:r w:rsidR="00DE3139">
        <w:t>installation,</w:t>
      </w:r>
      <w:r>
        <w:t xml:space="preserve"> and maintenance of</w:t>
      </w:r>
      <w:r w:rsidR="00807EAC">
        <w:t xml:space="preserve"> Light Emitting Diode</w:t>
      </w:r>
      <w:r>
        <w:t xml:space="preserve"> </w:t>
      </w:r>
      <w:r w:rsidR="00807EAC">
        <w:t>(</w:t>
      </w:r>
      <w:r w:rsidR="00FD4A2B">
        <w:t>LED</w:t>
      </w:r>
      <w:r w:rsidR="003B22B8">
        <w:t>)</w:t>
      </w:r>
      <w:r w:rsidR="00AE2BDD">
        <w:t xml:space="preserve"> </w:t>
      </w:r>
      <w:r w:rsidR="00FD4A2B">
        <w:t>luminaires within Councils</w:t>
      </w:r>
      <w:r w:rsidR="00696B19">
        <w:t>’</w:t>
      </w:r>
      <w:r w:rsidR="00FD4A2B">
        <w:t xml:space="preserve"> public lighting network</w:t>
      </w:r>
      <w:r>
        <w:t xml:space="preserve">.  These </w:t>
      </w:r>
      <w:r w:rsidR="00EB7A45">
        <w:t>LED</w:t>
      </w:r>
      <w:r w:rsidR="00807EAC">
        <w:t xml:space="preserve"> luminaires</w:t>
      </w:r>
      <w:r w:rsidR="00EB7A45">
        <w:t xml:space="preserve"> </w:t>
      </w:r>
      <w:r>
        <w:t xml:space="preserve">may be installed as part of new construction projects or </w:t>
      </w:r>
      <w:r w:rsidR="00D17C30">
        <w:t>retrofitting of</w:t>
      </w:r>
      <w:r>
        <w:t xml:space="preserve"> existing assets owned by Brisbane City Council.  These </w:t>
      </w:r>
      <w:r w:rsidR="00D17C30">
        <w:t>occur on publicly</w:t>
      </w:r>
      <w:r w:rsidR="00505D00">
        <w:t xml:space="preserve"> </w:t>
      </w:r>
      <w:r w:rsidR="000A3FF6">
        <w:t>accessible</w:t>
      </w:r>
      <w:r w:rsidR="00505D00">
        <w:t xml:space="preserve"> land </w:t>
      </w:r>
      <w:r>
        <w:t>within the road reserves or within other Council controlled land such as parks.</w:t>
      </w:r>
      <w:r w:rsidR="0005690B">
        <w:t xml:space="preserve">  This specification applies to </w:t>
      </w:r>
      <w:r w:rsidR="1DA87DD3">
        <w:t>Network Public Lighting</w:t>
      </w:r>
      <w:r w:rsidR="00220B58">
        <w:t xml:space="preserve"> (NPL</w:t>
      </w:r>
      <w:r w:rsidR="4461B32A">
        <w:t>)</w:t>
      </w:r>
      <w:r w:rsidR="00A80827">
        <w:t> </w:t>
      </w:r>
      <w:r w:rsidR="0005690B">
        <w:t xml:space="preserve">3 and </w:t>
      </w:r>
      <w:r w:rsidR="000A3FF6">
        <w:t xml:space="preserve">Metered </w:t>
      </w:r>
      <w:r w:rsidR="0005690B">
        <w:t xml:space="preserve">tariffs.  For </w:t>
      </w:r>
      <w:r w:rsidR="3794A7FE">
        <w:t>NPL</w:t>
      </w:r>
      <w:r w:rsidR="00A80827">
        <w:t> </w:t>
      </w:r>
      <w:r w:rsidR="0005690B">
        <w:t>1</w:t>
      </w:r>
      <w:r w:rsidR="2E97C6B6">
        <w:t xml:space="preserve">, </w:t>
      </w:r>
      <w:r w:rsidR="7AC1BC92">
        <w:t>NPL</w:t>
      </w:r>
      <w:r w:rsidR="00A80827">
        <w:t> </w:t>
      </w:r>
      <w:r w:rsidR="000A3FF6">
        <w:t>2</w:t>
      </w:r>
      <w:r w:rsidR="29FD1E13">
        <w:t xml:space="preserve"> and NPL</w:t>
      </w:r>
      <w:r w:rsidR="00A80827">
        <w:t> </w:t>
      </w:r>
      <w:r w:rsidR="29FD1E13">
        <w:t>4</w:t>
      </w:r>
      <w:r w:rsidR="000A3FF6">
        <w:t xml:space="preserve"> </w:t>
      </w:r>
      <w:r w:rsidR="0005690B">
        <w:t>installations, Energex guidelines should be adhered to.</w:t>
      </w:r>
    </w:p>
    <w:p w14:paraId="46DB4276" w14:textId="77777777" w:rsidR="00974BCE" w:rsidRPr="00B028F0" w:rsidRDefault="00974BCE" w:rsidP="00817308">
      <w:pPr>
        <w:pStyle w:val="Heading3"/>
      </w:pPr>
      <w:bookmarkStart w:id="12" w:name="_Toc52953505"/>
      <w:r w:rsidRPr="00B028F0">
        <w:t xml:space="preserve">Installation Techniques </w:t>
      </w:r>
      <w:r w:rsidRPr="00B028F0">
        <w:rPr>
          <w:rFonts w:hint="eastAsia"/>
        </w:rPr>
        <w:t>–</w:t>
      </w:r>
      <w:r w:rsidRPr="00B028F0">
        <w:t xml:space="preserve"> Existing Council Assets</w:t>
      </w:r>
      <w:bookmarkEnd w:id="12"/>
    </w:p>
    <w:p w14:paraId="64918E18" w14:textId="3D77432A" w:rsidR="00974BCE" w:rsidRDefault="00007F30" w:rsidP="00974BCE">
      <w:pPr>
        <w:pStyle w:val="BodyTextIndent"/>
      </w:pPr>
      <w:r>
        <w:t xml:space="preserve">Council policy </w:t>
      </w:r>
      <w:r w:rsidR="008218B4">
        <w:t xml:space="preserve">requires </w:t>
      </w:r>
      <w:r w:rsidR="00FE4A67">
        <w:t>LED luminaires</w:t>
      </w:r>
      <w:r>
        <w:t xml:space="preserve"> </w:t>
      </w:r>
      <w:r w:rsidR="008218B4">
        <w:t>to be used</w:t>
      </w:r>
      <w:r w:rsidR="00010853">
        <w:t xml:space="preserve"> whenever a luminaire is replaced due to failure or end of life.  In some </w:t>
      </w:r>
      <w:r w:rsidR="00807EAC">
        <w:t>instances,</w:t>
      </w:r>
      <w:r w:rsidR="00010853">
        <w:t xml:space="preserve"> </w:t>
      </w:r>
      <w:r w:rsidR="22622292">
        <w:t>the installation of an LED luminaire</w:t>
      </w:r>
      <w:r w:rsidR="003371FF">
        <w:t xml:space="preserve"> </w:t>
      </w:r>
      <w:r w:rsidR="00010853">
        <w:t>may not be possible a</w:t>
      </w:r>
      <w:r w:rsidR="006E0240">
        <w:t>s further testing needs to be performed on the pole</w:t>
      </w:r>
      <w:r w:rsidR="00807EAC">
        <w:t xml:space="preserve"> or structure</w:t>
      </w:r>
      <w:r w:rsidR="006E0240">
        <w:t xml:space="preserve"> to ensure structural safety.</w:t>
      </w:r>
    </w:p>
    <w:p w14:paraId="413233C5" w14:textId="2772910D" w:rsidR="0081137B" w:rsidRDefault="0081137B" w:rsidP="0081137B">
      <w:pPr>
        <w:pStyle w:val="BodyTextIndent"/>
      </w:pPr>
      <w:r>
        <w:t xml:space="preserve">This may require engineering assessment or structural testing of the pole or structure prior to the </w:t>
      </w:r>
      <w:r w:rsidR="251F888D">
        <w:t>LED luminaire installation</w:t>
      </w:r>
      <w:r>
        <w:t xml:space="preserve"> to ensure structural safety.</w:t>
      </w:r>
    </w:p>
    <w:p w14:paraId="55811EB1" w14:textId="15A76132" w:rsidR="0081137B" w:rsidRDefault="0081137B" w:rsidP="0081137B">
      <w:pPr>
        <w:pStyle w:val="BodyTextIndent"/>
      </w:pPr>
      <w:r>
        <w:t xml:space="preserve">An assessment of the illumination levels must comply with the relevant levels in the Australian Standards as detailed in City Plan 2014. </w:t>
      </w:r>
      <w:r w:rsidR="000F67E0">
        <w:t xml:space="preserve"> </w:t>
      </w:r>
      <w:r>
        <w:t>Where previous lighting levels did not comply with an Australian Standard</w:t>
      </w:r>
      <w:r w:rsidR="5114DCB4">
        <w:t>,</w:t>
      </w:r>
      <w:r>
        <w:t xml:space="preserve"> advice should be </w:t>
      </w:r>
      <w:r w:rsidR="00DE3139">
        <w:t>sought,</w:t>
      </w:r>
      <w:r>
        <w:t xml:space="preserve"> and direction should be provided by Council.</w:t>
      </w:r>
    </w:p>
    <w:p w14:paraId="3F0517C5" w14:textId="77777777" w:rsidR="00974BCE" w:rsidRDefault="00974BCE" w:rsidP="00817308">
      <w:pPr>
        <w:pStyle w:val="Heading3"/>
      </w:pPr>
      <w:bookmarkStart w:id="13" w:name="_Toc52953506"/>
      <w:r>
        <w:t>Standards</w:t>
      </w:r>
      <w:bookmarkEnd w:id="13"/>
    </w:p>
    <w:tbl>
      <w:tblPr>
        <w:tblW w:w="8363" w:type="dxa"/>
        <w:tblInd w:w="709" w:type="dxa"/>
        <w:tblLook w:val="0400" w:firstRow="0" w:lastRow="0" w:firstColumn="0" w:lastColumn="0" w:noHBand="0" w:noVBand="1"/>
      </w:tblPr>
      <w:tblGrid>
        <w:gridCol w:w="2300"/>
        <w:gridCol w:w="1811"/>
        <w:gridCol w:w="4252"/>
      </w:tblGrid>
      <w:tr w:rsidR="00FC5E2F" w:rsidRPr="00542E4C" w14:paraId="6ED63A00" w14:textId="77777777" w:rsidTr="00817308">
        <w:trPr>
          <w:trHeight w:val="340"/>
        </w:trPr>
        <w:tc>
          <w:tcPr>
            <w:tcW w:w="2300" w:type="dxa"/>
            <w:vAlign w:val="center"/>
          </w:tcPr>
          <w:p w14:paraId="26F3CAA1" w14:textId="307C6E3F" w:rsidR="00FC5E2F" w:rsidRPr="00482006" w:rsidRDefault="00FC5E2F" w:rsidP="00FC5E2F">
            <w:pPr>
              <w:pStyle w:val="Table"/>
            </w:pPr>
            <w:r>
              <w:t>Australian/New Zealand Standard</w:t>
            </w:r>
          </w:p>
        </w:tc>
        <w:tc>
          <w:tcPr>
            <w:tcW w:w="1811" w:type="dxa"/>
            <w:vAlign w:val="center"/>
          </w:tcPr>
          <w:p w14:paraId="71B14DDD" w14:textId="309E2441" w:rsidR="00FC5E2F" w:rsidRPr="00542E4C" w:rsidRDefault="00FC5E2F" w:rsidP="00FC5E2F">
            <w:pPr>
              <w:pStyle w:val="TableCen"/>
            </w:pPr>
            <w:r>
              <w:t>AS/NZS 1158.0</w:t>
            </w:r>
          </w:p>
        </w:tc>
        <w:tc>
          <w:tcPr>
            <w:tcW w:w="4252" w:type="dxa"/>
            <w:vAlign w:val="center"/>
          </w:tcPr>
          <w:p w14:paraId="3A050D26" w14:textId="6B203AFD" w:rsidR="00FC5E2F" w:rsidRPr="00FC5E2F" w:rsidRDefault="00FC5E2F" w:rsidP="00FC5E2F">
            <w:pPr>
              <w:pStyle w:val="Table"/>
            </w:pPr>
            <w:r>
              <w:t xml:space="preserve">Lighting for </w:t>
            </w:r>
            <w:r w:rsidR="00C62273">
              <w:t xml:space="preserve">roads and public spaces </w:t>
            </w:r>
            <w:r>
              <w:t>–</w:t>
            </w:r>
            <w:r w:rsidR="00E67F22">
              <w:t xml:space="preserve"> </w:t>
            </w:r>
            <w:r>
              <w:t>Introduction</w:t>
            </w:r>
          </w:p>
        </w:tc>
      </w:tr>
      <w:tr w:rsidR="00FC5E2F" w:rsidRPr="00542E4C" w14:paraId="04C94603" w14:textId="77777777" w:rsidTr="00817308">
        <w:trPr>
          <w:trHeight w:val="340"/>
        </w:trPr>
        <w:tc>
          <w:tcPr>
            <w:tcW w:w="2300" w:type="dxa"/>
            <w:vAlign w:val="center"/>
          </w:tcPr>
          <w:p w14:paraId="2B7C11FB" w14:textId="0DEA4ECC" w:rsidR="00FC5E2F" w:rsidRPr="00482006" w:rsidRDefault="00FC5E2F" w:rsidP="00FC5E2F">
            <w:pPr>
              <w:pStyle w:val="Table"/>
            </w:pPr>
            <w:r>
              <w:t>Australian/New Zealand Standard</w:t>
            </w:r>
          </w:p>
        </w:tc>
        <w:tc>
          <w:tcPr>
            <w:tcW w:w="1811" w:type="dxa"/>
            <w:vAlign w:val="center"/>
          </w:tcPr>
          <w:p w14:paraId="51CA86F3" w14:textId="580728C0" w:rsidR="00FC5E2F" w:rsidRPr="00542E4C" w:rsidRDefault="00FC5E2F" w:rsidP="00FC5E2F">
            <w:pPr>
              <w:pStyle w:val="TableCen"/>
            </w:pPr>
            <w:r>
              <w:t>AS/NZS 1158.1.1</w:t>
            </w:r>
          </w:p>
        </w:tc>
        <w:tc>
          <w:tcPr>
            <w:tcW w:w="4252" w:type="dxa"/>
            <w:vAlign w:val="center"/>
          </w:tcPr>
          <w:p w14:paraId="61A7FE07" w14:textId="6C04C397" w:rsidR="00FC5E2F" w:rsidRPr="00542E4C" w:rsidRDefault="00FC5E2F" w:rsidP="00FC5E2F">
            <w:pPr>
              <w:pStyle w:val="Table"/>
            </w:pPr>
            <w:r w:rsidRPr="00FC5E2F">
              <w:t xml:space="preserve">Lighting for </w:t>
            </w:r>
            <w:r w:rsidR="00C62273">
              <w:t xml:space="preserve">roads and public spaces </w:t>
            </w:r>
            <w:r w:rsidR="00E67F22">
              <w:t>–</w:t>
            </w:r>
            <w:r w:rsidRPr="00FC5E2F">
              <w:t xml:space="preserve"> Vehicular Traffic (Category V) Lighting - Performance and </w:t>
            </w:r>
            <w:r w:rsidR="00C62273" w:rsidRPr="00FC5E2F">
              <w:t>design requirements</w:t>
            </w:r>
          </w:p>
        </w:tc>
      </w:tr>
      <w:tr w:rsidR="00FC5E2F" w:rsidRPr="00542E4C" w14:paraId="418CB10D" w14:textId="77777777" w:rsidTr="00817308">
        <w:trPr>
          <w:trHeight w:val="340"/>
        </w:trPr>
        <w:tc>
          <w:tcPr>
            <w:tcW w:w="2300" w:type="dxa"/>
            <w:vAlign w:val="center"/>
          </w:tcPr>
          <w:p w14:paraId="388F910B" w14:textId="0FE2D181" w:rsidR="00FC5E2F" w:rsidRPr="00482006" w:rsidRDefault="00FC5E2F" w:rsidP="00FC5E2F">
            <w:pPr>
              <w:pStyle w:val="Table"/>
            </w:pPr>
            <w:r>
              <w:t>Australian/New Zealand Standard</w:t>
            </w:r>
          </w:p>
        </w:tc>
        <w:tc>
          <w:tcPr>
            <w:tcW w:w="1811" w:type="dxa"/>
            <w:vAlign w:val="center"/>
          </w:tcPr>
          <w:p w14:paraId="76BC366C" w14:textId="370104AA" w:rsidR="00FC5E2F" w:rsidRPr="00542E4C" w:rsidRDefault="00FC5E2F" w:rsidP="00FC5E2F">
            <w:pPr>
              <w:pStyle w:val="TableCen"/>
            </w:pPr>
            <w:r>
              <w:t>AS/NZS 1158.1.2</w:t>
            </w:r>
          </w:p>
        </w:tc>
        <w:tc>
          <w:tcPr>
            <w:tcW w:w="4252" w:type="dxa"/>
            <w:vAlign w:val="center"/>
          </w:tcPr>
          <w:p w14:paraId="2D80CEDD" w14:textId="65A887AB" w:rsidR="00FC5E2F" w:rsidRPr="00542E4C" w:rsidRDefault="00FC5E2F" w:rsidP="00FC5E2F">
            <w:pPr>
              <w:pStyle w:val="Table"/>
            </w:pPr>
            <w:r w:rsidRPr="00AA5A3E">
              <w:t xml:space="preserve">Lighting for </w:t>
            </w:r>
            <w:r w:rsidR="00C62273">
              <w:t xml:space="preserve">roads and public spaces </w:t>
            </w:r>
            <w:r w:rsidRPr="00AA5A3E">
              <w:t xml:space="preserve">– Vehicular </w:t>
            </w:r>
            <w:r w:rsidR="00C62273">
              <w:t>t</w:t>
            </w:r>
            <w:r w:rsidRPr="00AA5A3E">
              <w:t xml:space="preserve">raffic (Category V) </w:t>
            </w:r>
            <w:r w:rsidR="00C62273">
              <w:t>l</w:t>
            </w:r>
            <w:r w:rsidRPr="00AA5A3E">
              <w:t xml:space="preserve">ighting – </w:t>
            </w:r>
            <w:r>
              <w:t xml:space="preserve">Guide to </w:t>
            </w:r>
            <w:r w:rsidR="00C62273">
              <w:t>design, installation, operation and maintenance</w:t>
            </w:r>
          </w:p>
        </w:tc>
      </w:tr>
      <w:tr w:rsidR="00FC5E2F" w:rsidRPr="00542E4C" w14:paraId="13710BA8" w14:textId="77777777" w:rsidTr="00817308">
        <w:trPr>
          <w:trHeight w:val="340"/>
        </w:trPr>
        <w:tc>
          <w:tcPr>
            <w:tcW w:w="2300" w:type="dxa"/>
            <w:vAlign w:val="center"/>
          </w:tcPr>
          <w:p w14:paraId="4D71257A" w14:textId="77777777" w:rsidR="00FC5E2F" w:rsidRPr="00482006" w:rsidRDefault="00FC5E2F" w:rsidP="00FC5E2F">
            <w:pPr>
              <w:pStyle w:val="Table"/>
            </w:pPr>
            <w:r>
              <w:t>Australian/New Zealand Standard</w:t>
            </w:r>
          </w:p>
        </w:tc>
        <w:tc>
          <w:tcPr>
            <w:tcW w:w="1811" w:type="dxa"/>
            <w:vAlign w:val="center"/>
          </w:tcPr>
          <w:p w14:paraId="08B7866D" w14:textId="0BE4CF19" w:rsidR="00FC5E2F" w:rsidRPr="00542E4C" w:rsidRDefault="00FC5E2F" w:rsidP="00FC5E2F">
            <w:pPr>
              <w:pStyle w:val="TableCen"/>
            </w:pPr>
            <w:r>
              <w:t>AS/NZS 1158.2</w:t>
            </w:r>
          </w:p>
        </w:tc>
        <w:tc>
          <w:tcPr>
            <w:tcW w:w="4252" w:type="dxa"/>
            <w:vAlign w:val="center"/>
          </w:tcPr>
          <w:p w14:paraId="03ACB38E" w14:textId="25B5D7E0" w:rsidR="00FC5E2F" w:rsidRPr="00542E4C" w:rsidRDefault="00FC5E2F" w:rsidP="00FC5E2F">
            <w:pPr>
              <w:pStyle w:val="Table"/>
            </w:pPr>
            <w:r w:rsidRPr="00AA5A3E">
              <w:t xml:space="preserve">Lighting for </w:t>
            </w:r>
            <w:r w:rsidR="00C62273">
              <w:t xml:space="preserve">roads and public spaces </w:t>
            </w:r>
            <w:r w:rsidRPr="00AA5A3E">
              <w:t xml:space="preserve">– </w:t>
            </w:r>
            <w:r>
              <w:t xml:space="preserve">Computer </w:t>
            </w:r>
            <w:r w:rsidR="00C62273">
              <w:t xml:space="preserve">procedures for the calculation of light technical parameters </w:t>
            </w:r>
            <w:r>
              <w:t xml:space="preserve">for </w:t>
            </w:r>
            <w:r w:rsidRPr="00AA5A3E">
              <w:t>Category V</w:t>
            </w:r>
            <w:r>
              <w:t xml:space="preserve"> </w:t>
            </w:r>
            <w:r w:rsidR="00E67F22">
              <w:t>and</w:t>
            </w:r>
            <w:r>
              <w:t xml:space="preserve"> Category P</w:t>
            </w:r>
            <w:r w:rsidRPr="00AA5A3E">
              <w:t xml:space="preserve"> </w:t>
            </w:r>
            <w:r w:rsidR="00C62273">
              <w:t>l</w:t>
            </w:r>
            <w:r w:rsidRPr="00AA5A3E">
              <w:t>ighting</w:t>
            </w:r>
          </w:p>
        </w:tc>
      </w:tr>
      <w:tr w:rsidR="00FC5E2F" w:rsidRPr="00542E4C" w14:paraId="11D9FCDE" w14:textId="77777777" w:rsidTr="00817308">
        <w:trPr>
          <w:trHeight w:val="340"/>
        </w:trPr>
        <w:tc>
          <w:tcPr>
            <w:tcW w:w="2300" w:type="dxa"/>
            <w:vAlign w:val="center"/>
          </w:tcPr>
          <w:p w14:paraId="72D8E0EE" w14:textId="2C5BAE35" w:rsidR="00FC5E2F" w:rsidRPr="00482006" w:rsidRDefault="00FC5E2F" w:rsidP="00FC5E2F">
            <w:pPr>
              <w:pStyle w:val="Table"/>
            </w:pPr>
            <w:r>
              <w:t>Australian/New Zealand Standard</w:t>
            </w:r>
          </w:p>
        </w:tc>
        <w:tc>
          <w:tcPr>
            <w:tcW w:w="1811" w:type="dxa"/>
            <w:vAlign w:val="center"/>
          </w:tcPr>
          <w:p w14:paraId="0539ED72" w14:textId="309EED14" w:rsidR="00FC5E2F" w:rsidRPr="00542E4C" w:rsidRDefault="00FC5E2F" w:rsidP="00FC5E2F">
            <w:pPr>
              <w:pStyle w:val="TableCen"/>
            </w:pPr>
            <w:r>
              <w:t>AS/NZS 1158.3</w:t>
            </w:r>
            <w:r w:rsidR="125F5415">
              <w:t>.1</w:t>
            </w:r>
          </w:p>
        </w:tc>
        <w:tc>
          <w:tcPr>
            <w:tcW w:w="4252" w:type="dxa"/>
            <w:vAlign w:val="center"/>
          </w:tcPr>
          <w:p w14:paraId="1A56DFF2" w14:textId="2192928C" w:rsidR="00FC5E2F" w:rsidRPr="00542E4C" w:rsidRDefault="00FC5E2F" w:rsidP="00FC5E2F">
            <w:pPr>
              <w:pStyle w:val="Table"/>
            </w:pPr>
            <w:r w:rsidRPr="00AA5A3E">
              <w:t xml:space="preserve">Lighting for </w:t>
            </w:r>
            <w:r w:rsidR="00C62273">
              <w:t xml:space="preserve">roads and public spaces </w:t>
            </w:r>
            <w:r w:rsidRPr="00AA5A3E">
              <w:t xml:space="preserve">– </w:t>
            </w:r>
            <w:r>
              <w:t xml:space="preserve">Pedestrian </w:t>
            </w:r>
            <w:r w:rsidR="00C62273">
              <w:t>a</w:t>
            </w:r>
            <w:r>
              <w:t>rea</w:t>
            </w:r>
            <w:r w:rsidRPr="00AA5A3E">
              <w:t xml:space="preserve"> (Category </w:t>
            </w:r>
            <w:r>
              <w:t>P</w:t>
            </w:r>
            <w:r w:rsidRPr="00AA5A3E">
              <w:t xml:space="preserve">) </w:t>
            </w:r>
            <w:r w:rsidR="00C62273">
              <w:t>l</w:t>
            </w:r>
            <w:r w:rsidRPr="00AA5A3E">
              <w:t xml:space="preserve">ighting – Performance and </w:t>
            </w:r>
            <w:r w:rsidR="00C62273" w:rsidRPr="00AA5A3E">
              <w:t>design requirements</w:t>
            </w:r>
          </w:p>
        </w:tc>
      </w:tr>
      <w:tr w:rsidR="00FC5E2F" w:rsidRPr="00542E4C" w14:paraId="20497942" w14:textId="77777777" w:rsidTr="00817308">
        <w:trPr>
          <w:trHeight w:val="340"/>
        </w:trPr>
        <w:tc>
          <w:tcPr>
            <w:tcW w:w="2300" w:type="dxa"/>
            <w:vAlign w:val="center"/>
          </w:tcPr>
          <w:p w14:paraId="72C67BBB" w14:textId="2B79C020" w:rsidR="00FC5E2F" w:rsidRPr="00482006" w:rsidRDefault="00FC5E2F" w:rsidP="00FC5E2F">
            <w:pPr>
              <w:pStyle w:val="Table"/>
            </w:pPr>
            <w:r>
              <w:t>Australian/New Zealand Standard</w:t>
            </w:r>
          </w:p>
        </w:tc>
        <w:tc>
          <w:tcPr>
            <w:tcW w:w="1811" w:type="dxa"/>
            <w:vAlign w:val="center"/>
          </w:tcPr>
          <w:p w14:paraId="43859FC8" w14:textId="2BF7A7DD" w:rsidR="00FC5E2F" w:rsidRPr="00542E4C" w:rsidRDefault="00FC5E2F" w:rsidP="00FC5E2F">
            <w:pPr>
              <w:pStyle w:val="TableCen"/>
            </w:pPr>
            <w:r>
              <w:t>AS/NZS 1158.4</w:t>
            </w:r>
          </w:p>
        </w:tc>
        <w:tc>
          <w:tcPr>
            <w:tcW w:w="4252" w:type="dxa"/>
            <w:vAlign w:val="center"/>
          </w:tcPr>
          <w:p w14:paraId="784F9664" w14:textId="77EE570E" w:rsidR="00FC5E2F" w:rsidRPr="00542E4C" w:rsidRDefault="00FC5E2F" w:rsidP="00FC5E2F">
            <w:pPr>
              <w:pStyle w:val="Table"/>
            </w:pPr>
            <w:r w:rsidRPr="00F026E8">
              <w:t xml:space="preserve">Lighting for </w:t>
            </w:r>
            <w:r w:rsidR="00C62273">
              <w:t xml:space="preserve">roads and public spaces </w:t>
            </w:r>
            <w:r w:rsidRPr="00F026E8">
              <w:t>–</w:t>
            </w:r>
            <w:r>
              <w:t xml:space="preserve"> Lighting of </w:t>
            </w:r>
            <w:r w:rsidR="00C62273">
              <w:t>pedestrian crossings</w:t>
            </w:r>
          </w:p>
        </w:tc>
      </w:tr>
      <w:tr w:rsidR="00FC5E2F" w:rsidRPr="00542E4C" w14:paraId="778862DC" w14:textId="77777777" w:rsidTr="00817308">
        <w:trPr>
          <w:trHeight w:val="340"/>
        </w:trPr>
        <w:tc>
          <w:tcPr>
            <w:tcW w:w="2300" w:type="dxa"/>
            <w:vAlign w:val="center"/>
          </w:tcPr>
          <w:p w14:paraId="3DBDA76D" w14:textId="0697B0A4" w:rsidR="00FC5E2F" w:rsidRPr="00482006" w:rsidRDefault="00FC5E2F" w:rsidP="00FC5E2F">
            <w:pPr>
              <w:pStyle w:val="Table"/>
            </w:pPr>
            <w:r>
              <w:t>Australian/New Zealand Standard</w:t>
            </w:r>
          </w:p>
        </w:tc>
        <w:tc>
          <w:tcPr>
            <w:tcW w:w="1811" w:type="dxa"/>
            <w:vAlign w:val="center"/>
          </w:tcPr>
          <w:p w14:paraId="2FCCE142" w14:textId="7874E7EC" w:rsidR="00FC5E2F" w:rsidRPr="00542E4C" w:rsidRDefault="00FC5E2F" w:rsidP="00FC5E2F">
            <w:pPr>
              <w:pStyle w:val="TableCen"/>
            </w:pPr>
            <w:r>
              <w:t>AS/NZS 1158.5</w:t>
            </w:r>
          </w:p>
        </w:tc>
        <w:tc>
          <w:tcPr>
            <w:tcW w:w="4252" w:type="dxa"/>
            <w:vAlign w:val="center"/>
          </w:tcPr>
          <w:p w14:paraId="61EA6097" w14:textId="35B2F7B3" w:rsidR="00FC5E2F" w:rsidRPr="00542E4C" w:rsidRDefault="00FC5E2F" w:rsidP="00FC5E2F">
            <w:pPr>
              <w:pStyle w:val="Table"/>
            </w:pPr>
            <w:r w:rsidRPr="00FC5E2F">
              <w:t xml:space="preserve">Lighting for </w:t>
            </w:r>
            <w:r w:rsidR="00C62273">
              <w:t xml:space="preserve">roads and public spaces </w:t>
            </w:r>
            <w:r w:rsidR="00E67F22">
              <w:t>–</w:t>
            </w:r>
            <w:r w:rsidRPr="00FC5E2F">
              <w:t xml:space="preserve"> Tunnels and </w:t>
            </w:r>
            <w:r w:rsidR="00C62273">
              <w:t>u</w:t>
            </w:r>
            <w:r w:rsidRPr="00FC5E2F">
              <w:t>nderpasses</w:t>
            </w:r>
          </w:p>
        </w:tc>
      </w:tr>
      <w:tr w:rsidR="00CE3DFA" w:rsidRPr="00542E4C" w14:paraId="00867735" w14:textId="77777777" w:rsidTr="00817308">
        <w:trPr>
          <w:trHeight w:val="340"/>
        </w:trPr>
        <w:tc>
          <w:tcPr>
            <w:tcW w:w="2300" w:type="dxa"/>
            <w:vAlign w:val="center"/>
          </w:tcPr>
          <w:p w14:paraId="05418D7F" w14:textId="7FB4A8CA" w:rsidR="00CE3DFA" w:rsidRDefault="42C09660" w:rsidP="00CE3DFA">
            <w:pPr>
              <w:pStyle w:val="Table"/>
            </w:pPr>
            <w:r>
              <w:t xml:space="preserve">Technical Specification </w:t>
            </w:r>
            <w:r w:rsidR="00CE3DFA">
              <w:t>Standards Australian/Standards New</w:t>
            </w:r>
            <w:r w:rsidR="00E81133">
              <w:t xml:space="preserve"> </w:t>
            </w:r>
            <w:r w:rsidR="00CE3DFA">
              <w:t>Zealand</w:t>
            </w:r>
          </w:p>
        </w:tc>
        <w:tc>
          <w:tcPr>
            <w:tcW w:w="1811" w:type="dxa"/>
            <w:vAlign w:val="center"/>
          </w:tcPr>
          <w:p w14:paraId="3EDDEDB8" w14:textId="122DFF03" w:rsidR="00CE3DFA" w:rsidRPr="001D4923" w:rsidRDefault="042B776F" w:rsidP="00CE3DFA">
            <w:pPr>
              <w:pStyle w:val="TableCen"/>
            </w:pPr>
            <w:r>
              <w:t>SA/SNZ</w:t>
            </w:r>
            <w:r w:rsidR="0083707C">
              <w:t> </w:t>
            </w:r>
            <w:r w:rsidR="00CE3DFA">
              <w:t>TS 1158.6</w:t>
            </w:r>
          </w:p>
        </w:tc>
        <w:tc>
          <w:tcPr>
            <w:tcW w:w="4252" w:type="dxa"/>
            <w:vAlign w:val="center"/>
          </w:tcPr>
          <w:p w14:paraId="62F5889A" w14:textId="494765D6" w:rsidR="00CE3DFA" w:rsidRPr="001D4923" w:rsidRDefault="00CE3DFA" w:rsidP="00CE3DFA">
            <w:pPr>
              <w:pStyle w:val="Table"/>
            </w:pPr>
            <w:r>
              <w:t>Lighting for roads and public spaces – Luminaires – Performance</w:t>
            </w:r>
          </w:p>
        </w:tc>
      </w:tr>
      <w:tr w:rsidR="00CE3DFA" w:rsidRPr="00542E4C" w14:paraId="72C6E537" w14:textId="77777777" w:rsidTr="00817308">
        <w:trPr>
          <w:trHeight w:val="340"/>
        </w:trPr>
        <w:tc>
          <w:tcPr>
            <w:tcW w:w="2300" w:type="dxa"/>
            <w:vAlign w:val="center"/>
          </w:tcPr>
          <w:p w14:paraId="733AA0B0" w14:textId="54577A44" w:rsidR="00CE3DFA" w:rsidRDefault="00CE3DFA" w:rsidP="00CE3DFA">
            <w:pPr>
              <w:pStyle w:val="Table"/>
            </w:pPr>
            <w:r>
              <w:t>Australian Standard</w:t>
            </w:r>
          </w:p>
        </w:tc>
        <w:tc>
          <w:tcPr>
            <w:tcW w:w="1811" w:type="dxa"/>
            <w:vAlign w:val="center"/>
          </w:tcPr>
          <w:p w14:paraId="2B336CCF" w14:textId="1B94DD4C" w:rsidR="00CE3DFA" w:rsidRPr="00145887" w:rsidRDefault="00CE3DFA" w:rsidP="00CE3DFA">
            <w:pPr>
              <w:pStyle w:val="TableCen"/>
            </w:pPr>
            <w:r w:rsidRPr="001D4923">
              <w:t>AS</w:t>
            </w:r>
            <w:r>
              <w:t> </w:t>
            </w:r>
            <w:r w:rsidRPr="001D4923">
              <w:t>1798</w:t>
            </w:r>
          </w:p>
        </w:tc>
        <w:tc>
          <w:tcPr>
            <w:tcW w:w="4252" w:type="dxa"/>
            <w:vAlign w:val="center"/>
          </w:tcPr>
          <w:p w14:paraId="6EE21830" w14:textId="44FDEA46" w:rsidR="00CE3DFA" w:rsidRPr="00757771" w:rsidRDefault="00CE3DFA" w:rsidP="00CE3DFA">
            <w:pPr>
              <w:pStyle w:val="Table"/>
            </w:pPr>
            <w:r w:rsidRPr="001D4923">
              <w:t>Lighting poles and brackets arms – Recommended dimensions</w:t>
            </w:r>
          </w:p>
        </w:tc>
      </w:tr>
      <w:tr w:rsidR="00CE3DFA" w:rsidRPr="00542E4C" w14:paraId="4490EE7C" w14:textId="77777777" w:rsidTr="00817308">
        <w:trPr>
          <w:trHeight w:val="340"/>
        </w:trPr>
        <w:tc>
          <w:tcPr>
            <w:tcW w:w="2300" w:type="dxa"/>
            <w:vAlign w:val="center"/>
          </w:tcPr>
          <w:p w14:paraId="29C66AC0" w14:textId="63ED3F6F" w:rsidR="00CE3DFA" w:rsidRDefault="00CE3DFA" w:rsidP="00CE3DFA">
            <w:pPr>
              <w:pStyle w:val="Table"/>
            </w:pPr>
            <w:r>
              <w:t>Australian/New Zealand Standard</w:t>
            </w:r>
          </w:p>
        </w:tc>
        <w:tc>
          <w:tcPr>
            <w:tcW w:w="1811" w:type="dxa"/>
            <w:vAlign w:val="center"/>
          </w:tcPr>
          <w:p w14:paraId="3BFA0C4F" w14:textId="56590DCD" w:rsidR="00CE3DFA" w:rsidRDefault="00CE3DFA" w:rsidP="00CE3DFA">
            <w:pPr>
              <w:pStyle w:val="TableCen"/>
            </w:pPr>
            <w:r w:rsidRPr="00145887">
              <w:t>AS/</w:t>
            </w:r>
            <w:r w:rsidRPr="00757771">
              <w:t>NZS</w:t>
            </w:r>
            <w:r>
              <w:t> </w:t>
            </w:r>
            <w:r w:rsidRPr="00757771">
              <w:t>3000</w:t>
            </w:r>
          </w:p>
        </w:tc>
        <w:tc>
          <w:tcPr>
            <w:tcW w:w="4252" w:type="dxa"/>
            <w:vAlign w:val="center"/>
          </w:tcPr>
          <w:p w14:paraId="4D19591A" w14:textId="369593DF" w:rsidR="00CE3DFA" w:rsidRDefault="00CE3DFA" w:rsidP="00CE3DFA">
            <w:pPr>
              <w:pStyle w:val="Table"/>
            </w:pPr>
            <w:r w:rsidRPr="00757771">
              <w:t>Electrical installations</w:t>
            </w:r>
          </w:p>
          <w:p w14:paraId="02B71443" w14:textId="3A4D9351" w:rsidR="00CE3DFA" w:rsidRPr="00F026E8" w:rsidRDefault="00CE3DFA" w:rsidP="00CE3DFA">
            <w:pPr>
              <w:pStyle w:val="Table"/>
            </w:pPr>
            <w:r w:rsidRPr="00757771">
              <w:t xml:space="preserve">(known As </w:t>
            </w:r>
            <w:r w:rsidRPr="00757771">
              <w:rPr>
                <w:i/>
              </w:rPr>
              <w:t>The Australian/New Zealand Wiring Rules</w:t>
            </w:r>
            <w:r w:rsidRPr="00757771">
              <w:t>)</w:t>
            </w:r>
          </w:p>
        </w:tc>
      </w:tr>
      <w:tr w:rsidR="00CE3DFA" w:rsidRPr="00542E4C" w14:paraId="3D69D08F" w14:textId="77777777" w:rsidTr="00817308">
        <w:trPr>
          <w:trHeight w:val="340"/>
        </w:trPr>
        <w:tc>
          <w:tcPr>
            <w:tcW w:w="2300" w:type="dxa"/>
            <w:vAlign w:val="center"/>
          </w:tcPr>
          <w:p w14:paraId="0719E1F8" w14:textId="060DA5DA" w:rsidR="00CE3DFA" w:rsidRDefault="00CE3DFA" w:rsidP="00CE3DFA">
            <w:pPr>
              <w:pStyle w:val="Table"/>
            </w:pPr>
            <w:r>
              <w:t>Australian/New Zealand Standard</w:t>
            </w:r>
          </w:p>
        </w:tc>
        <w:tc>
          <w:tcPr>
            <w:tcW w:w="1811" w:type="dxa"/>
            <w:vAlign w:val="center"/>
          </w:tcPr>
          <w:p w14:paraId="06FEA630" w14:textId="60A0000E" w:rsidR="00CE3DFA" w:rsidRDefault="00CE3DFA" w:rsidP="00CE3DFA">
            <w:pPr>
              <w:pStyle w:val="TableCen"/>
            </w:pPr>
            <w:r w:rsidRPr="000D566E">
              <w:t>AS/NZS</w:t>
            </w:r>
            <w:r>
              <w:t> </w:t>
            </w:r>
            <w:r w:rsidRPr="000D566E">
              <w:t>4282</w:t>
            </w:r>
          </w:p>
        </w:tc>
        <w:tc>
          <w:tcPr>
            <w:tcW w:w="4252" w:type="dxa"/>
            <w:vAlign w:val="center"/>
          </w:tcPr>
          <w:p w14:paraId="723A30AA" w14:textId="660AEC86" w:rsidR="00CE3DFA" w:rsidRPr="00F026E8" w:rsidRDefault="00CE3DFA" w:rsidP="00CE3DFA">
            <w:pPr>
              <w:pStyle w:val="Table"/>
            </w:pPr>
            <w:r w:rsidRPr="000D566E">
              <w:t>Control of the obtrusive effects of outdoor lighting</w:t>
            </w:r>
          </w:p>
        </w:tc>
      </w:tr>
      <w:tr w:rsidR="00CE3DFA" w:rsidRPr="00542E4C" w14:paraId="58D99D50" w14:textId="77777777" w:rsidTr="00817308">
        <w:trPr>
          <w:trHeight w:val="340"/>
        </w:trPr>
        <w:tc>
          <w:tcPr>
            <w:tcW w:w="2300" w:type="dxa"/>
            <w:vAlign w:val="center"/>
          </w:tcPr>
          <w:p w14:paraId="78492C3B" w14:textId="2E7D231E" w:rsidR="00CE3DFA" w:rsidRDefault="00CE3DFA" w:rsidP="00CE3DFA">
            <w:pPr>
              <w:pStyle w:val="Table"/>
            </w:pPr>
            <w:r>
              <w:t>Australian/New Zealand Standard</w:t>
            </w:r>
          </w:p>
        </w:tc>
        <w:tc>
          <w:tcPr>
            <w:tcW w:w="1811" w:type="dxa"/>
            <w:vAlign w:val="center"/>
          </w:tcPr>
          <w:p w14:paraId="2A32C6E6" w14:textId="3EA3548E" w:rsidR="00CE3DFA" w:rsidRDefault="00CE3DFA" w:rsidP="00CE3DFA">
            <w:pPr>
              <w:pStyle w:val="TableCen"/>
            </w:pPr>
            <w:r w:rsidRPr="000D566E">
              <w:t>AS/NZS</w:t>
            </w:r>
            <w:r>
              <w:t> </w:t>
            </w:r>
            <w:r w:rsidRPr="000D566E">
              <w:t>60598.1</w:t>
            </w:r>
          </w:p>
        </w:tc>
        <w:tc>
          <w:tcPr>
            <w:tcW w:w="4252" w:type="dxa"/>
            <w:vAlign w:val="center"/>
          </w:tcPr>
          <w:p w14:paraId="79053BF2" w14:textId="6249E499" w:rsidR="00CE3DFA" w:rsidRPr="00F026E8" w:rsidRDefault="00CE3DFA" w:rsidP="00CE3DFA">
            <w:pPr>
              <w:pStyle w:val="Table"/>
            </w:pPr>
            <w:r w:rsidRPr="00E67F22">
              <w:t xml:space="preserve">Luminaires </w:t>
            </w:r>
            <w:r>
              <w:t>–</w:t>
            </w:r>
            <w:r w:rsidRPr="00E67F22">
              <w:t xml:space="preserve"> General requirements and tests (IEC 60598-1, Ed. 8.0 (2014) MOD)</w:t>
            </w:r>
          </w:p>
        </w:tc>
      </w:tr>
      <w:tr w:rsidR="00CE3DFA" w:rsidRPr="00542E4C" w14:paraId="7B0BCBCF" w14:textId="77777777" w:rsidTr="00817308">
        <w:trPr>
          <w:trHeight w:val="340"/>
        </w:trPr>
        <w:tc>
          <w:tcPr>
            <w:tcW w:w="2300" w:type="dxa"/>
            <w:vAlign w:val="center"/>
          </w:tcPr>
          <w:p w14:paraId="2F74DD35" w14:textId="44DAE665" w:rsidR="00CE3DFA" w:rsidRDefault="00CE3DFA" w:rsidP="00CE3DFA">
            <w:pPr>
              <w:pStyle w:val="Table"/>
            </w:pPr>
            <w:r>
              <w:t>Australian/New Zealand Standard</w:t>
            </w:r>
          </w:p>
        </w:tc>
        <w:tc>
          <w:tcPr>
            <w:tcW w:w="1811" w:type="dxa"/>
            <w:vAlign w:val="center"/>
          </w:tcPr>
          <w:p w14:paraId="3156F73F" w14:textId="5CF39FA2" w:rsidR="00CE3DFA" w:rsidRDefault="00CE3DFA" w:rsidP="00CE3DFA">
            <w:pPr>
              <w:pStyle w:val="TableCen"/>
            </w:pPr>
            <w:r w:rsidRPr="000D566E">
              <w:t>AS/NZS</w:t>
            </w:r>
            <w:r>
              <w:t> </w:t>
            </w:r>
            <w:r w:rsidRPr="000D566E">
              <w:t>60598.2.3</w:t>
            </w:r>
          </w:p>
        </w:tc>
        <w:tc>
          <w:tcPr>
            <w:tcW w:w="4252" w:type="dxa"/>
            <w:vAlign w:val="center"/>
          </w:tcPr>
          <w:p w14:paraId="7058002E" w14:textId="001E94F4" w:rsidR="00CE3DFA" w:rsidRPr="00F026E8" w:rsidRDefault="00CE3DFA" w:rsidP="00CE3DFA">
            <w:pPr>
              <w:pStyle w:val="Table"/>
            </w:pPr>
            <w:r>
              <w:t>L</w:t>
            </w:r>
            <w:r w:rsidRPr="001964A0">
              <w:t xml:space="preserve">uminaires </w:t>
            </w:r>
            <w:r>
              <w:t>–</w:t>
            </w:r>
            <w:r w:rsidRPr="001964A0">
              <w:t xml:space="preserve"> Particular </w:t>
            </w:r>
            <w:r>
              <w:t>r</w:t>
            </w:r>
            <w:r w:rsidRPr="001964A0">
              <w:t xml:space="preserve">equirements </w:t>
            </w:r>
            <w:r>
              <w:t>–</w:t>
            </w:r>
            <w:r w:rsidRPr="001964A0">
              <w:t xml:space="preserve"> Luminaires for road and street lighting (IEC 60598-2-3, Ed. 3.1 (2011) MOD)</w:t>
            </w:r>
          </w:p>
        </w:tc>
      </w:tr>
      <w:tr w:rsidR="00CE3DFA" w:rsidRPr="00542E4C" w14:paraId="2230ED04" w14:textId="77777777" w:rsidTr="00817308">
        <w:trPr>
          <w:trHeight w:val="340"/>
        </w:trPr>
        <w:tc>
          <w:tcPr>
            <w:tcW w:w="2300" w:type="dxa"/>
            <w:vAlign w:val="center"/>
          </w:tcPr>
          <w:p w14:paraId="0E96C202" w14:textId="1CC58942" w:rsidR="00CE3DFA" w:rsidRDefault="00CE3DFA" w:rsidP="00CE3DFA">
            <w:pPr>
              <w:pStyle w:val="Table"/>
            </w:pPr>
            <w:r>
              <w:t>Australian/New Zealand Standard</w:t>
            </w:r>
          </w:p>
        </w:tc>
        <w:tc>
          <w:tcPr>
            <w:tcW w:w="1811" w:type="dxa"/>
            <w:vAlign w:val="center"/>
          </w:tcPr>
          <w:p w14:paraId="489D794E" w14:textId="62092228" w:rsidR="00CE3DFA" w:rsidRDefault="00CE3DFA" w:rsidP="00CE3DFA">
            <w:pPr>
              <w:pStyle w:val="TableCen"/>
            </w:pPr>
            <w:r w:rsidRPr="000D566E">
              <w:t>AS/NZS</w:t>
            </w:r>
            <w:r>
              <w:t> </w:t>
            </w:r>
            <w:r w:rsidRPr="000D566E">
              <w:t>60598.2.5</w:t>
            </w:r>
          </w:p>
        </w:tc>
        <w:tc>
          <w:tcPr>
            <w:tcW w:w="4252" w:type="dxa"/>
            <w:vAlign w:val="center"/>
          </w:tcPr>
          <w:p w14:paraId="5C43701D" w14:textId="1E069880" w:rsidR="00CE3DFA" w:rsidRPr="00F026E8" w:rsidRDefault="00CE3DFA" w:rsidP="00CE3DFA">
            <w:pPr>
              <w:pStyle w:val="Table"/>
            </w:pPr>
            <w:r w:rsidRPr="001964A0">
              <w:t xml:space="preserve">Luminaires </w:t>
            </w:r>
            <w:r>
              <w:t>–</w:t>
            </w:r>
            <w:r w:rsidRPr="001964A0">
              <w:t xml:space="preserve"> Particular </w:t>
            </w:r>
            <w:r>
              <w:t>r</w:t>
            </w:r>
            <w:r w:rsidRPr="001964A0">
              <w:t xml:space="preserve">equirements </w:t>
            </w:r>
            <w:r>
              <w:t>–</w:t>
            </w:r>
            <w:r w:rsidRPr="001964A0">
              <w:t xml:space="preserve"> Floodlights (IEC 60598-2-5:2015 (ED. 3.0), MOD)</w:t>
            </w:r>
          </w:p>
        </w:tc>
      </w:tr>
      <w:tr w:rsidR="00CE3DFA" w:rsidRPr="00542E4C" w14:paraId="5E893578" w14:textId="77777777" w:rsidTr="00817308">
        <w:trPr>
          <w:trHeight w:val="340"/>
        </w:trPr>
        <w:tc>
          <w:tcPr>
            <w:tcW w:w="2300" w:type="dxa"/>
            <w:vAlign w:val="center"/>
          </w:tcPr>
          <w:p w14:paraId="4A017C2F" w14:textId="612F7746" w:rsidR="00CE3DFA" w:rsidRDefault="00CE3DFA" w:rsidP="00CE3DFA">
            <w:pPr>
              <w:pStyle w:val="Table"/>
            </w:pPr>
            <w:r>
              <w:lastRenderedPageBreak/>
              <w:t>Australian/New Zealand Standard</w:t>
            </w:r>
          </w:p>
        </w:tc>
        <w:tc>
          <w:tcPr>
            <w:tcW w:w="1811" w:type="dxa"/>
            <w:vAlign w:val="center"/>
          </w:tcPr>
          <w:p w14:paraId="3605E6B9" w14:textId="4AE6C006" w:rsidR="00CE3DFA" w:rsidRDefault="00CE3DFA" w:rsidP="00CE3DFA">
            <w:pPr>
              <w:pStyle w:val="TableCen"/>
            </w:pPr>
            <w:r w:rsidRPr="000D566E">
              <w:t>AS/NZS</w:t>
            </w:r>
            <w:r>
              <w:t> </w:t>
            </w:r>
            <w:r w:rsidRPr="000D566E">
              <w:t>61000.3.2</w:t>
            </w:r>
          </w:p>
        </w:tc>
        <w:tc>
          <w:tcPr>
            <w:tcW w:w="4252" w:type="dxa"/>
            <w:vAlign w:val="center"/>
          </w:tcPr>
          <w:p w14:paraId="1B712445" w14:textId="0DB4596A" w:rsidR="00CE3DFA" w:rsidRPr="00F026E8" w:rsidRDefault="00CE3DFA" w:rsidP="00CE3DFA">
            <w:pPr>
              <w:pStyle w:val="Table"/>
            </w:pPr>
            <w:r w:rsidRPr="000D566E">
              <w:t xml:space="preserve">Electromagnetic </w:t>
            </w:r>
            <w:r>
              <w:t>c</w:t>
            </w:r>
            <w:r w:rsidRPr="000D566E">
              <w:t>ompatibility</w:t>
            </w:r>
            <w:r>
              <w:t xml:space="preserve"> </w:t>
            </w:r>
            <w:r w:rsidRPr="000D566E">
              <w:t>(EMC)</w:t>
            </w:r>
          </w:p>
        </w:tc>
      </w:tr>
      <w:tr w:rsidR="0091712F" w:rsidRPr="00542E4C" w14:paraId="47761CC4" w14:textId="77777777" w:rsidTr="00817308">
        <w:trPr>
          <w:trHeight w:val="340"/>
        </w:trPr>
        <w:tc>
          <w:tcPr>
            <w:tcW w:w="2300" w:type="dxa"/>
            <w:vAlign w:val="center"/>
          </w:tcPr>
          <w:p w14:paraId="25A47272" w14:textId="161D77F6" w:rsidR="0091712F" w:rsidRDefault="0091712F" w:rsidP="00CE3DFA">
            <w:pPr>
              <w:pStyle w:val="Table"/>
            </w:pPr>
            <w:r w:rsidRPr="0091712F">
              <w:t>American National Standard</w:t>
            </w:r>
          </w:p>
        </w:tc>
        <w:tc>
          <w:tcPr>
            <w:tcW w:w="1811" w:type="dxa"/>
            <w:vAlign w:val="center"/>
          </w:tcPr>
          <w:p w14:paraId="30C7532F" w14:textId="35EBB270" w:rsidR="0091712F" w:rsidRPr="000D566E" w:rsidRDefault="0091712F" w:rsidP="00CE3DFA">
            <w:pPr>
              <w:pStyle w:val="TableCen"/>
            </w:pPr>
            <w:r w:rsidRPr="0091712F">
              <w:t>ANSI</w:t>
            </w:r>
            <w:r>
              <w:t> </w:t>
            </w:r>
            <w:r w:rsidRPr="0091712F">
              <w:t>C136.41</w:t>
            </w:r>
          </w:p>
        </w:tc>
        <w:tc>
          <w:tcPr>
            <w:tcW w:w="4252" w:type="dxa"/>
            <w:vAlign w:val="center"/>
          </w:tcPr>
          <w:p w14:paraId="69CF0EC2" w14:textId="49B21E75" w:rsidR="0091712F" w:rsidRPr="000D566E" w:rsidRDefault="0091712F" w:rsidP="0091712F">
            <w:pPr>
              <w:pStyle w:val="Table"/>
            </w:pPr>
            <w:r>
              <w:t>For Roadway and Area Lighting Equipment – Dimming Control Between an External Locking Type – Photocontrol and Ballast or Driver</w:t>
            </w:r>
          </w:p>
        </w:tc>
      </w:tr>
    </w:tbl>
    <w:p w14:paraId="79B251CB" w14:textId="14C79656" w:rsidR="00973355" w:rsidRDefault="00973355" w:rsidP="001964A0">
      <w:pPr>
        <w:pStyle w:val="BodyTextIndent"/>
      </w:pPr>
      <w:r w:rsidRPr="00480F3F">
        <w:t xml:space="preserve">Council’s Requirements align with LED Lighting requirements from </w:t>
      </w:r>
      <w:r>
        <w:t>Energex (</w:t>
      </w:r>
      <w:r w:rsidRPr="00480F3F">
        <w:t xml:space="preserve">Energy Queensland </w:t>
      </w:r>
      <w:r w:rsidR="00EC6AC7">
        <w:t>Group</w:t>
      </w:r>
      <w:r>
        <w:t>)</w:t>
      </w:r>
      <w:r w:rsidRPr="00480F3F">
        <w:t xml:space="preserve"> and </w:t>
      </w:r>
      <w:r>
        <w:t xml:space="preserve">the </w:t>
      </w:r>
      <w:r w:rsidR="00EC6AC7" w:rsidRPr="00B12FF4">
        <w:t xml:space="preserve">Queensland </w:t>
      </w:r>
      <w:r>
        <w:t xml:space="preserve">Department of </w:t>
      </w:r>
      <w:r w:rsidRPr="00480F3F">
        <w:t>Transport and Main Roads</w:t>
      </w:r>
      <w:r w:rsidR="005317EB">
        <w:t xml:space="preserve"> (DTMR)</w:t>
      </w:r>
      <w:r w:rsidRPr="00480F3F">
        <w:t>:</w:t>
      </w:r>
    </w:p>
    <w:tbl>
      <w:tblPr>
        <w:tblW w:w="8363" w:type="dxa"/>
        <w:tblInd w:w="709" w:type="dxa"/>
        <w:tblLayout w:type="fixed"/>
        <w:tblLook w:val="0400" w:firstRow="0" w:lastRow="0" w:firstColumn="0" w:lastColumn="0" w:noHBand="0" w:noVBand="1"/>
      </w:tblPr>
      <w:tblGrid>
        <w:gridCol w:w="2410"/>
        <w:gridCol w:w="1417"/>
        <w:gridCol w:w="1560"/>
        <w:gridCol w:w="2976"/>
      </w:tblGrid>
      <w:tr w:rsidR="007A47B1" w:rsidRPr="002B1076" w14:paraId="04EFD572" w14:textId="77777777" w:rsidTr="00817308">
        <w:trPr>
          <w:trHeight w:val="340"/>
        </w:trPr>
        <w:tc>
          <w:tcPr>
            <w:tcW w:w="2410" w:type="dxa"/>
            <w:vAlign w:val="center"/>
          </w:tcPr>
          <w:p w14:paraId="24EF0EB7" w14:textId="6D320898" w:rsidR="007A47B1" w:rsidRPr="00B12FF4" w:rsidRDefault="007A47B1" w:rsidP="007A47B1">
            <w:pPr>
              <w:pStyle w:val="Table"/>
            </w:pPr>
            <w:r>
              <w:t>Energex (</w:t>
            </w:r>
            <w:r w:rsidRPr="00480F3F">
              <w:t xml:space="preserve">Energy Queensland </w:t>
            </w:r>
            <w:r>
              <w:t>Group)</w:t>
            </w:r>
          </w:p>
        </w:tc>
        <w:tc>
          <w:tcPr>
            <w:tcW w:w="1417" w:type="dxa"/>
            <w:vAlign w:val="center"/>
          </w:tcPr>
          <w:p w14:paraId="0214526F" w14:textId="77777777" w:rsidR="007A47B1" w:rsidRPr="00922263" w:rsidRDefault="007A47B1" w:rsidP="007A47B1">
            <w:pPr>
              <w:pStyle w:val="TableCen"/>
            </w:pPr>
          </w:p>
        </w:tc>
        <w:tc>
          <w:tcPr>
            <w:tcW w:w="1560" w:type="dxa"/>
            <w:vAlign w:val="center"/>
          </w:tcPr>
          <w:p w14:paraId="60AB1888" w14:textId="31D514BE" w:rsidR="007A47B1" w:rsidRPr="009C16FE" w:rsidRDefault="007A47B1" w:rsidP="007A47B1">
            <w:pPr>
              <w:pStyle w:val="TableCen"/>
            </w:pPr>
            <w:r w:rsidRPr="00922263">
              <w:t>EQTS 05-05-01</w:t>
            </w:r>
          </w:p>
        </w:tc>
        <w:tc>
          <w:tcPr>
            <w:tcW w:w="2976" w:type="dxa"/>
            <w:vAlign w:val="center"/>
          </w:tcPr>
          <w:p w14:paraId="1ED8F9B2" w14:textId="56899823" w:rsidR="007A47B1" w:rsidRPr="00C17847" w:rsidRDefault="007A47B1" w:rsidP="007A47B1">
            <w:pPr>
              <w:pStyle w:val="Table"/>
            </w:pPr>
            <w:r w:rsidRPr="00922263">
              <w:t xml:space="preserve">PE Cells </w:t>
            </w:r>
            <w:r>
              <w:t>(</w:t>
            </w:r>
            <w:r w:rsidRPr="00922263">
              <w:t>or any amended version</w:t>
            </w:r>
            <w:r>
              <w:t>)</w:t>
            </w:r>
          </w:p>
        </w:tc>
      </w:tr>
      <w:tr w:rsidR="007A47B1" w:rsidRPr="002B1076" w14:paraId="7AE08979" w14:textId="77777777" w:rsidTr="00817308">
        <w:trPr>
          <w:trHeight w:val="340"/>
        </w:trPr>
        <w:tc>
          <w:tcPr>
            <w:tcW w:w="2410" w:type="dxa"/>
            <w:vAlign w:val="center"/>
          </w:tcPr>
          <w:p w14:paraId="3D5C01BA" w14:textId="3380A6BB" w:rsidR="007A47B1" w:rsidRPr="00B12FF4" w:rsidRDefault="007A47B1" w:rsidP="007A47B1">
            <w:pPr>
              <w:pStyle w:val="Table"/>
            </w:pPr>
            <w:r>
              <w:t>Energex (</w:t>
            </w:r>
            <w:r w:rsidRPr="00480F3F">
              <w:t xml:space="preserve">Energy Queensland </w:t>
            </w:r>
            <w:r>
              <w:t>Group)</w:t>
            </w:r>
          </w:p>
        </w:tc>
        <w:tc>
          <w:tcPr>
            <w:tcW w:w="1417" w:type="dxa"/>
            <w:vAlign w:val="center"/>
          </w:tcPr>
          <w:p w14:paraId="0DBB06D4" w14:textId="77777777" w:rsidR="007A47B1" w:rsidRPr="00922263" w:rsidRDefault="007A47B1" w:rsidP="007A47B1">
            <w:pPr>
              <w:pStyle w:val="TableCen"/>
            </w:pPr>
          </w:p>
        </w:tc>
        <w:tc>
          <w:tcPr>
            <w:tcW w:w="1560" w:type="dxa"/>
            <w:vAlign w:val="center"/>
          </w:tcPr>
          <w:p w14:paraId="5B01A6B7" w14:textId="779E4BC1" w:rsidR="007A47B1" w:rsidRPr="009C16FE" w:rsidRDefault="007A47B1" w:rsidP="007A47B1">
            <w:pPr>
              <w:pStyle w:val="TableCen"/>
            </w:pPr>
            <w:r w:rsidRPr="00922263">
              <w:t>EQTS 05-01-02</w:t>
            </w:r>
          </w:p>
        </w:tc>
        <w:tc>
          <w:tcPr>
            <w:tcW w:w="2976" w:type="dxa"/>
            <w:vAlign w:val="center"/>
          </w:tcPr>
          <w:p w14:paraId="6965A10E" w14:textId="0ECD318A" w:rsidR="007A47B1" w:rsidRPr="00C17847" w:rsidRDefault="007A47B1" w:rsidP="007A47B1">
            <w:pPr>
              <w:pStyle w:val="Table"/>
            </w:pPr>
            <w:r w:rsidRPr="00922263">
              <w:t xml:space="preserve">SSL Luminaires </w:t>
            </w:r>
            <w:r>
              <w:t>(</w:t>
            </w:r>
            <w:r w:rsidRPr="00922263">
              <w:t>or any amended version</w:t>
            </w:r>
            <w:r>
              <w:t>)</w:t>
            </w:r>
          </w:p>
        </w:tc>
      </w:tr>
      <w:tr w:rsidR="00625AAE" w:rsidRPr="002B1076" w14:paraId="6431741A" w14:textId="77777777" w:rsidTr="00817308">
        <w:trPr>
          <w:trHeight w:val="340"/>
        </w:trPr>
        <w:tc>
          <w:tcPr>
            <w:tcW w:w="2410" w:type="dxa"/>
            <w:vAlign w:val="center"/>
          </w:tcPr>
          <w:p w14:paraId="7428EE36" w14:textId="20EFC485" w:rsidR="00625AAE" w:rsidRPr="00B12FF4" w:rsidRDefault="00625AAE" w:rsidP="00625AAE">
            <w:pPr>
              <w:pStyle w:val="Table"/>
            </w:pPr>
            <w:r w:rsidRPr="00B12FF4">
              <w:t>Queensland Department of Transport and Main Roads</w:t>
            </w:r>
          </w:p>
        </w:tc>
        <w:tc>
          <w:tcPr>
            <w:tcW w:w="1417" w:type="dxa"/>
            <w:vAlign w:val="center"/>
          </w:tcPr>
          <w:p w14:paraId="61478B6C" w14:textId="2952EBBF" w:rsidR="00625AAE" w:rsidRPr="00922263" w:rsidRDefault="00625AAE" w:rsidP="00625AAE">
            <w:pPr>
              <w:pStyle w:val="TableCen"/>
            </w:pPr>
            <w:r w:rsidRPr="00922263">
              <w:t>Technical Specification</w:t>
            </w:r>
          </w:p>
        </w:tc>
        <w:tc>
          <w:tcPr>
            <w:tcW w:w="1560" w:type="dxa"/>
            <w:vAlign w:val="center"/>
          </w:tcPr>
          <w:p w14:paraId="10BC872D" w14:textId="40FC4C2F" w:rsidR="00625AAE" w:rsidRPr="00042C7A" w:rsidRDefault="00625AAE" w:rsidP="00625AAE">
            <w:pPr>
              <w:pStyle w:val="TableCen"/>
            </w:pPr>
            <w:r w:rsidRPr="00625AAE">
              <w:t>MRTS91</w:t>
            </w:r>
          </w:p>
        </w:tc>
        <w:tc>
          <w:tcPr>
            <w:tcW w:w="2976" w:type="dxa"/>
            <w:vAlign w:val="center"/>
          </w:tcPr>
          <w:p w14:paraId="2B9A9421" w14:textId="4EBCEDD1" w:rsidR="00625AAE" w:rsidRPr="00042C7A" w:rsidRDefault="00625AAE" w:rsidP="00625AAE">
            <w:pPr>
              <w:pStyle w:val="Table"/>
            </w:pPr>
            <w:r w:rsidRPr="00625AAE">
              <w:t>Conduits and Pits</w:t>
            </w:r>
          </w:p>
        </w:tc>
      </w:tr>
      <w:tr w:rsidR="00625AAE" w:rsidRPr="002B1076" w14:paraId="4352988B" w14:textId="77777777" w:rsidTr="00817308">
        <w:trPr>
          <w:trHeight w:val="340"/>
        </w:trPr>
        <w:tc>
          <w:tcPr>
            <w:tcW w:w="2410" w:type="dxa"/>
            <w:vAlign w:val="center"/>
          </w:tcPr>
          <w:p w14:paraId="4162020F" w14:textId="70A696F4" w:rsidR="00625AAE" w:rsidRPr="00B12FF4" w:rsidRDefault="00625AAE" w:rsidP="00625AAE">
            <w:pPr>
              <w:pStyle w:val="Table"/>
            </w:pPr>
            <w:r w:rsidRPr="00B12FF4">
              <w:t>Queensland Department of Transport and Main Roads</w:t>
            </w:r>
          </w:p>
        </w:tc>
        <w:tc>
          <w:tcPr>
            <w:tcW w:w="1417" w:type="dxa"/>
            <w:vAlign w:val="center"/>
          </w:tcPr>
          <w:p w14:paraId="67F5C041" w14:textId="41FA07E0" w:rsidR="00625AAE" w:rsidRPr="00922263" w:rsidRDefault="00625AAE" w:rsidP="00625AAE">
            <w:pPr>
              <w:pStyle w:val="TableCen"/>
            </w:pPr>
            <w:r w:rsidRPr="00922263">
              <w:t>Technical Specification</w:t>
            </w:r>
          </w:p>
        </w:tc>
        <w:tc>
          <w:tcPr>
            <w:tcW w:w="1560" w:type="dxa"/>
            <w:vAlign w:val="center"/>
          </w:tcPr>
          <w:p w14:paraId="59DD7067" w14:textId="4C7005FD" w:rsidR="00625AAE" w:rsidRPr="00922263" w:rsidRDefault="00625AAE" w:rsidP="00625AAE">
            <w:pPr>
              <w:pStyle w:val="TableCen"/>
            </w:pPr>
            <w:r w:rsidRPr="00042C7A">
              <w:t>MRTS92</w:t>
            </w:r>
          </w:p>
        </w:tc>
        <w:tc>
          <w:tcPr>
            <w:tcW w:w="2976" w:type="dxa"/>
            <w:vAlign w:val="center"/>
          </w:tcPr>
          <w:p w14:paraId="1F2E03C0" w14:textId="6681430E" w:rsidR="00625AAE" w:rsidRPr="00922263" w:rsidRDefault="00625AAE" w:rsidP="00625AAE">
            <w:pPr>
              <w:pStyle w:val="Table"/>
            </w:pPr>
            <w:r w:rsidRPr="00042C7A">
              <w:t>Traffic Signal and Road Lighting Footings</w:t>
            </w:r>
          </w:p>
        </w:tc>
      </w:tr>
      <w:tr w:rsidR="00625AAE" w:rsidRPr="002B1076" w14:paraId="672A897F" w14:textId="77777777" w:rsidTr="00817308">
        <w:trPr>
          <w:trHeight w:val="340"/>
        </w:trPr>
        <w:tc>
          <w:tcPr>
            <w:tcW w:w="2410" w:type="dxa"/>
            <w:vAlign w:val="center"/>
          </w:tcPr>
          <w:p w14:paraId="23349D29" w14:textId="77777777" w:rsidR="00625AAE" w:rsidRPr="00B12FF4" w:rsidRDefault="00625AAE" w:rsidP="00625AAE">
            <w:pPr>
              <w:pStyle w:val="Table"/>
            </w:pPr>
            <w:r w:rsidRPr="00B12FF4">
              <w:t>Queensland Department of Transport and Main Roads</w:t>
            </w:r>
          </w:p>
        </w:tc>
        <w:tc>
          <w:tcPr>
            <w:tcW w:w="1417" w:type="dxa"/>
            <w:vAlign w:val="center"/>
          </w:tcPr>
          <w:p w14:paraId="347DF2C1" w14:textId="77504D06" w:rsidR="00625AAE" w:rsidRPr="002B1076" w:rsidRDefault="00625AAE" w:rsidP="00625AAE">
            <w:pPr>
              <w:pStyle w:val="TableCen"/>
            </w:pPr>
            <w:r w:rsidRPr="00922263">
              <w:t>Technical Specification</w:t>
            </w:r>
          </w:p>
        </w:tc>
        <w:tc>
          <w:tcPr>
            <w:tcW w:w="1560" w:type="dxa"/>
            <w:vAlign w:val="center"/>
          </w:tcPr>
          <w:p w14:paraId="5ED6AD2E" w14:textId="05EACE84" w:rsidR="00625AAE" w:rsidRPr="002B1076" w:rsidRDefault="00625AAE" w:rsidP="00625AAE">
            <w:pPr>
              <w:pStyle w:val="TableCen"/>
            </w:pPr>
            <w:r w:rsidRPr="00922263">
              <w:t>MRTS94</w:t>
            </w:r>
          </w:p>
        </w:tc>
        <w:tc>
          <w:tcPr>
            <w:tcW w:w="2976" w:type="dxa"/>
            <w:vAlign w:val="center"/>
          </w:tcPr>
          <w:p w14:paraId="6CBE9A18" w14:textId="1C014D3C" w:rsidR="00625AAE" w:rsidRPr="002B1076" w:rsidRDefault="00625AAE" w:rsidP="00625AAE">
            <w:pPr>
              <w:pStyle w:val="Table"/>
            </w:pPr>
            <w:r w:rsidRPr="00922263">
              <w:t xml:space="preserve">Road Lighting </w:t>
            </w:r>
            <w:r>
              <w:t>(</w:t>
            </w:r>
            <w:r w:rsidRPr="00922263">
              <w:t>or any amended version</w:t>
            </w:r>
            <w:r>
              <w:t>)</w:t>
            </w:r>
          </w:p>
        </w:tc>
      </w:tr>
      <w:tr w:rsidR="00625AAE" w:rsidRPr="002B1076" w14:paraId="09E6D9CE" w14:textId="77777777" w:rsidTr="00817308">
        <w:trPr>
          <w:trHeight w:val="340"/>
        </w:trPr>
        <w:tc>
          <w:tcPr>
            <w:tcW w:w="2410" w:type="dxa"/>
            <w:vAlign w:val="center"/>
          </w:tcPr>
          <w:p w14:paraId="4912BFBF" w14:textId="2A192199" w:rsidR="00625AAE" w:rsidRPr="00B12FF4" w:rsidRDefault="00625AAE" w:rsidP="00625AAE">
            <w:pPr>
              <w:pStyle w:val="Table"/>
            </w:pPr>
            <w:r w:rsidRPr="00B12FF4">
              <w:t>Queensland Department of Transport and Main Roads</w:t>
            </w:r>
          </w:p>
        </w:tc>
        <w:tc>
          <w:tcPr>
            <w:tcW w:w="1417" w:type="dxa"/>
            <w:vAlign w:val="center"/>
          </w:tcPr>
          <w:p w14:paraId="6F52D6C1" w14:textId="212AB07E" w:rsidR="00625AAE" w:rsidRPr="001964A0" w:rsidRDefault="00625AAE" w:rsidP="00625AAE">
            <w:pPr>
              <w:pStyle w:val="TableCen"/>
            </w:pPr>
            <w:r w:rsidRPr="00922263">
              <w:t>Technical Specification</w:t>
            </w:r>
          </w:p>
        </w:tc>
        <w:tc>
          <w:tcPr>
            <w:tcW w:w="1560" w:type="dxa"/>
            <w:vAlign w:val="center"/>
          </w:tcPr>
          <w:p w14:paraId="5805982F" w14:textId="69451254" w:rsidR="00625AAE" w:rsidRDefault="00625AAE" w:rsidP="00625AAE">
            <w:pPr>
              <w:pStyle w:val="TableCen"/>
            </w:pPr>
            <w:r>
              <w:t>MRTS210</w:t>
            </w:r>
          </w:p>
        </w:tc>
        <w:tc>
          <w:tcPr>
            <w:tcW w:w="2976" w:type="dxa"/>
            <w:vAlign w:val="center"/>
          </w:tcPr>
          <w:p w14:paraId="69AC1678" w14:textId="51603523" w:rsidR="00625AAE" w:rsidRDefault="00625AAE" w:rsidP="00625AAE">
            <w:pPr>
              <w:pStyle w:val="Table"/>
            </w:pPr>
            <w:r>
              <w:t>Provision of Mains Power</w:t>
            </w:r>
          </w:p>
        </w:tc>
      </w:tr>
      <w:tr w:rsidR="00625AAE" w:rsidRPr="002B1076" w14:paraId="564641BE" w14:textId="77777777" w:rsidTr="00817308">
        <w:trPr>
          <w:trHeight w:val="340"/>
        </w:trPr>
        <w:tc>
          <w:tcPr>
            <w:tcW w:w="2410" w:type="dxa"/>
            <w:vAlign w:val="center"/>
          </w:tcPr>
          <w:p w14:paraId="783E7000" w14:textId="2C5EA73D" w:rsidR="00625AAE" w:rsidRPr="00B12FF4" w:rsidRDefault="00625AAE" w:rsidP="00625AAE">
            <w:pPr>
              <w:pStyle w:val="Table"/>
            </w:pPr>
            <w:r w:rsidRPr="00B12FF4">
              <w:t>Queensland Department of Transport and Main Roads</w:t>
            </w:r>
          </w:p>
        </w:tc>
        <w:tc>
          <w:tcPr>
            <w:tcW w:w="1417" w:type="dxa"/>
            <w:vAlign w:val="center"/>
          </w:tcPr>
          <w:p w14:paraId="0E5BAABC" w14:textId="4642A601" w:rsidR="00625AAE" w:rsidRPr="001964A0" w:rsidRDefault="00625AAE" w:rsidP="00625AAE">
            <w:pPr>
              <w:pStyle w:val="TableCen"/>
            </w:pPr>
            <w:r w:rsidRPr="00922263">
              <w:t>Technical Specification</w:t>
            </w:r>
          </w:p>
        </w:tc>
        <w:tc>
          <w:tcPr>
            <w:tcW w:w="1560" w:type="dxa"/>
            <w:vAlign w:val="center"/>
          </w:tcPr>
          <w:p w14:paraId="6DB1B627" w14:textId="2C167B48" w:rsidR="00625AAE" w:rsidRDefault="00625AAE" w:rsidP="00625AAE">
            <w:pPr>
              <w:pStyle w:val="TableCen"/>
            </w:pPr>
            <w:r>
              <w:t>MRTS228</w:t>
            </w:r>
          </w:p>
        </w:tc>
        <w:tc>
          <w:tcPr>
            <w:tcW w:w="2976" w:type="dxa"/>
            <w:vAlign w:val="center"/>
          </w:tcPr>
          <w:p w14:paraId="55A5D76D" w14:textId="602E562B" w:rsidR="00625AAE" w:rsidRDefault="00625AAE" w:rsidP="00625AAE">
            <w:pPr>
              <w:pStyle w:val="Table"/>
            </w:pPr>
            <w:r>
              <w:t>Electrical Switchboards</w:t>
            </w:r>
          </w:p>
        </w:tc>
      </w:tr>
      <w:tr w:rsidR="00625AAE" w:rsidRPr="002B1076" w14:paraId="530F485E" w14:textId="77777777" w:rsidTr="00817308">
        <w:trPr>
          <w:trHeight w:val="340"/>
        </w:trPr>
        <w:tc>
          <w:tcPr>
            <w:tcW w:w="2410" w:type="dxa"/>
            <w:vAlign w:val="center"/>
          </w:tcPr>
          <w:p w14:paraId="4FDE60A3" w14:textId="02A8DA12" w:rsidR="00625AAE" w:rsidRPr="00B12FF4" w:rsidRDefault="00625AAE" w:rsidP="00625AAE">
            <w:pPr>
              <w:pStyle w:val="Table"/>
            </w:pPr>
            <w:r w:rsidRPr="00B12FF4">
              <w:t>Queensland Department of Transport and Main Roads</w:t>
            </w:r>
          </w:p>
        </w:tc>
        <w:tc>
          <w:tcPr>
            <w:tcW w:w="1417" w:type="dxa"/>
            <w:vAlign w:val="center"/>
          </w:tcPr>
          <w:p w14:paraId="212E2D0D" w14:textId="22C2A667" w:rsidR="00625AAE" w:rsidRPr="00922263" w:rsidRDefault="00625AAE" w:rsidP="00625AAE">
            <w:pPr>
              <w:pStyle w:val="TableCen"/>
            </w:pPr>
            <w:r w:rsidRPr="00922263">
              <w:t>Technical Specification</w:t>
            </w:r>
          </w:p>
        </w:tc>
        <w:tc>
          <w:tcPr>
            <w:tcW w:w="1560" w:type="dxa"/>
            <w:vAlign w:val="center"/>
          </w:tcPr>
          <w:p w14:paraId="038316E1" w14:textId="66BA1870" w:rsidR="00625AAE" w:rsidRDefault="00625AAE" w:rsidP="00625AAE">
            <w:pPr>
              <w:pStyle w:val="TableCen"/>
            </w:pPr>
            <w:r w:rsidRPr="008F6190">
              <w:t>MRTS256</w:t>
            </w:r>
          </w:p>
        </w:tc>
        <w:tc>
          <w:tcPr>
            <w:tcW w:w="2976" w:type="dxa"/>
            <w:vAlign w:val="center"/>
          </w:tcPr>
          <w:p w14:paraId="57117055" w14:textId="6D6D7A2D" w:rsidR="00625AAE" w:rsidRDefault="00625AAE" w:rsidP="00625AAE">
            <w:pPr>
              <w:pStyle w:val="Table"/>
            </w:pPr>
            <w:r w:rsidRPr="008F6190">
              <w:t>Power Cables</w:t>
            </w:r>
          </w:p>
        </w:tc>
      </w:tr>
      <w:tr w:rsidR="00625AAE" w:rsidRPr="002B1076" w14:paraId="1D8C70D4" w14:textId="77777777" w:rsidTr="00817308">
        <w:trPr>
          <w:trHeight w:val="340"/>
        </w:trPr>
        <w:tc>
          <w:tcPr>
            <w:tcW w:w="2410" w:type="dxa"/>
            <w:vAlign w:val="center"/>
          </w:tcPr>
          <w:p w14:paraId="5FFBCB29" w14:textId="78BE8C74" w:rsidR="00625AAE" w:rsidRPr="00B12FF4" w:rsidRDefault="00625AAE" w:rsidP="00625AAE">
            <w:pPr>
              <w:pStyle w:val="Table"/>
            </w:pPr>
            <w:r w:rsidRPr="00B12FF4">
              <w:t>Queensland Department of Transport and Main Roads</w:t>
            </w:r>
          </w:p>
        </w:tc>
        <w:tc>
          <w:tcPr>
            <w:tcW w:w="1417" w:type="dxa"/>
            <w:vAlign w:val="center"/>
          </w:tcPr>
          <w:p w14:paraId="59ADD58F" w14:textId="5DF8D730" w:rsidR="00625AAE" w:rsidRPr="00922263" w:rsidRDefault="00625AAE" w:rsidP="00625AAE">
            <w:pPr>
              <w:pStyle w:val="TableCen"/>
            </w:pPr>
            <w:r w:rsidRPr="001964A0">
              <w:t>Traffic and Road Use Management Manual</w:t>
            </w:r>
          </w:p>
        </w:tc>
        <w:tc>
          <w:tcPr>
            <w:tcW w:w="1560" w:type="dxa"/>
            <w:vAlign w:val="center"/>
          </w:tcPr>
          <w:p w14:paraId="7CE6BDD7" w14:textId="58733939" w:rsidR="00625AAE" w:rsidRPr="00922263" w:rsidRDefault="00625AAE" w:rsidP="00625AAE">
            <w:pPr>
              <w:pStyle w:val="TableCen"/>
            </w:pPr>
            <w:r>
              <w:t>Volume 4, Part 3</w:t>
            </w:r>
          </w:p>
        </w:tc>
        <w:tc>
          <w:tcPr>
            <w:tcW w:w="2976" w:type="dxa"/>
            <w:vAlign w:val="center"/>
          </w:tcPr>
          <w:p w14:paraId="16D12917" w14:textId="77777777" w:rsidR="00625AAE" w:rsidRDefault="00625AAE" w:rsidP="00625AAE">
            <w:pPr>
              <w:pStyle w:val="Table"/>
            </w:pPr>
            <w:r>
              <w:t>Electrical Design for Roadside Devices</w:t>
            </w:r>
          </w:p>
          <w:p w14:paraId="3B0DDAB7" w14:textId="5AD6EBBB" w:rsidR="00625AAE" w:rsidRPr="00922263" w:rsidRDefault="00625AAE" w:rsidP="00625AAE">
            <w:pPr>
              <w:pStyle w:val="Table"/>
            </w:pPr>
            <w:r>
              <w:t>(DTMR reticulate their infrastructure differently to Brisbane City Council)</w:t>
            </w:r>
          </w:p>
        </w:tc>
      </w:tr>
      <w:tr w:rsidR="00625AAE" w:rsidRPr="002B1076" w14:paraId="328D6E47" w14:textId="77777777" w:rsidTr="00817308">
        <w:trPr>
          <w:trHeight w:val="340"/>
        </w:trPr>
        <w:tc>
          <w:tcPr>
            <w:tcW w:w="2410" w:type="dxa"/>
            <w:vAlign w:val="center"/>
          </w:tcPr>
          <w:p w14:paraId="2FD14065" w14:textId="2919760C" w:rsidR="00625AAE" w:rsidRPr="00B12FF4" w:rsidRDefault="00625AAE" w:rsidP="00625AAE">
            <w:pPr>
              <w:pStyle w:val="Table"/>
            </w:pPr>
            <w:r w:rsidRPr="00B12FF4">
              <w:t>Queensland Department of Transport and Main Roads</w:t>
            </w:r>
          </w:p>
        </w:tc>
        <w:tc>
          <w:tcPr>
            <w:tcW w:w="1417" w:type="dxa"/>
            <w:vAlign w:val="center"/>
          </w:tcPr>
          <w:p w14:paraId="09A03232" w14:textId="29BCE462" w:rsidR="00625AAE" w:rsidRPr="00922263" w:rsidRDefault="00625AAE" w:rsidP="00625AAE">
            <w:pPr>
              <w:pStyle w:val="TableCen"/>
            </w:pPr>
            <w:r>
              <w:t>Technical Note</w:t>
            </w:r>
          </w:p>
        </w:tc>
        <w:tc>
          <w:tcPr>
            <w:tcW w:w="1560" w:type="dxa"/>
            <w:vAlign w:val="center"/>
          </w:tcPr>
          <w:p w14:paraId="61B250EC" w14:textId="526DB917" w:rsidR="00625AAE" w:rsidRPr="00922263" w:rsidRDefault="00625AAE" w:rsidP="00625AAE">
            <w:pPr>
              <w:pStyle w:val="TableCen"/>
            </w:pPr>
            <w:r w:rsidRPr="00922263">
              <w:t>TN158</w:t>
            </w:r>
          </w:p>
        </w:tc>
        <w:tc>
          <w:tcPr>
            <w:tcW w:w="2976" w:type="dxa"/>
            <w:vAlign w:val="center"/>
          </w:tcPr>
          <w:p w14:paraId="10D766BF" w14:textId="7232D1FE" w:rsidR="00625AAE" w:rsidRPr="00922263" w:rsidRDefault="00625AAE" w:rsidP="00625AAE">
            <w:pPr>
              <w:pStyle w:val="Table"/>
            </w:pPr>
            <w:r w:rsidRPr="00817386">
              <w:t>Guide to the Use of LED Road Lighting Luminaire (</w:t>
            </w:r>
            <w:r w:rsidRPr="00922263">
              <w:t>or any amended version</w:t>
            </w:r>
            <w:r>
              <w:t>)</w:t>
            </w:r>
          </w:p>
        </w:tc>
      </w:tr>
      <w:tr w:rsidR="00625AAE" w:rsidRPr="002B1076" w14:paraId="5DB772DC" w14:textId="77777777" w:rsidTr="00817308">
        <w:trPr>
          <w:trHeight w:val="340"/>
        </w:trPr>
        <w:tc>
          <w:tcPr>
            <w:tcW w:w="2410" w:type="dxa"/>
            <w:vAlign w:val="center"/>
          </w:tcPr>
          <w:p w14:paraId="38BF8A6A" w14:textId="4802F3F1" w:rsidR="00625AAE" w:rsidRPr="00B12FF4" w:rsidRDefault="00625AAE" w:rsidP="00625AAE">
            <w:pPr>
              <w:pStyle w:val="Table"/>
            </w:pPr>
            <w:r w:rsidRPr="00B12FF4">
              <w:t>Queensland Department of Transport and Main Roads</w:t>
            </w:r>
          </w:p>
        </w:tc>
        <w:tc>
          <w:tcPr>
            <w:tcW w:w="1417" w:type="dxa"/>
            <w:vAlign w:val="center"/>
          </w:tcPr>
          <w:p w14:paraId="272DE70A" w14:textId="78F34B85" w:rsidR="00625AAE" w:rsidRDefault="00625AAE" w:rsidP="00625AAE">
            <w:pPr>
              <w:pStyle w:val="TableCen"/>
            </w:pPr>
            <w:r>
              <w:t>Standard Drawings</w:t>
            </w:r>
          </w:p>
        </w:tc>
        <w:tc>
          <w:tcPr>
            <w:tcW w:w="1560" w:type="dxa"/>
            <w:vAlign w:val="center"/>
          </w:tcPr>
          <w:p w14:paraId="27053F01" w14:textId="77777777" w:rsidR="00625AAE" w:rsidRPr="00922263" w:rsidRDefault="00625AAE" w:rsidP="00625AAE">
            <w:pPr>
              <w:pStyle w:val="TableCen"/>
            </w:pPr>
          </w:p>
        </w:tc>
        <w:tc>
          <w:tcPr>
            <w:tcW w:w="2976" w:type="dxa"/>
            <w:vAlign w:val="center"/>
          </w:tcPr>
          <w:p w14:paraId="0F4ED113" w14:textId="08C4C813" w:rsidR="00625AAE" w:rsidRPr="00817386" w:rsidRDefault="00625AAE" w:rsidP="00625AAE">
            <w:pPr>
              <w:pStyle w:val="Table"/>
            </w:pPr>
            <w:r>
              <w:t xml:space="preserve">DTMR Standard Drawings </w:t>
            </w:r>
            <w:r w:rsidR="001972BA">
              <w:t>–</w:t>
            </w:r>
            <w:r>
              <w:t xml:space="preserve"> Various</w:t>
            </w:r>
            <w:r w:rsidR="001972BA">
              <w:t xml:space="preserve"> (As Listed)</w:t>
            </w:r>
          </w:p>
        </w:tc>
      </w:tr>
    </w:tbl>
    <w:p w14:paraId="25718EB4" w14:textId="1D268A45" w:rsidR="00974BCE" w:rsidRDefault="00974BCE" w:rsidP="00817308">
      <w:pPr>
        <w:pStyle w:val="Heading3"/>
      </w:pPr>
      <w:bookmarkStart w:id="14" w:name="_Toc52953507"/>
      <w:r w:rsidRPr="008843FC">
        <w:t>References</w:t>
      </w:r>
      <w:bookmarkEnd w:id="14"/>
    </w:p>
    <w:tbl>
      <w:tblPr>
        <w:tblStyle w:val="TableGrid"/>
        <w:tblW w:w="8368" w:type="dxa"/>
        <w:tblInd w:w="704" w:type="dxa"/>
        <w:tblLook w:val="04A0" w:firstRow="1" w:lastRow="0" w:firstColumn="1" w:lastColumn="0" w:noHBand="0" w:noVBand="1"/>
      </w:tblPr>
      <w:tblGrid>
        <w:gridCol w:w="2835"/>
        <w:gridCol w:w="5533"/>
      </w:tblGrid>
      <w:tr w:rsidR="00F83942" w14:paraId="0B06E5D9" w14:textId="77777777" w:rsidTr="001972BA">
        <w:trPr>
          <w:trHeight w:val="397"/>
          <w:tblHeader/>
        </w:trPr>
        <w:tc>
          <w:tcPr>
            <w:tcW w:w="8368" w:type="dxa"/>
            <w:gridSpan w:val="2"/>
            <w:tcBorders>
              <w:top w:val="single" w:sz="12" w:space="0" w:color="auto"/>
              <w:left w:val="nil"/>
              <w:bottom w:val="single" w:sz="12" w:space="0" w:color="auto"/>
              <w:right w:val="nil"/>
            </w:tcBorders>
            <w:shd w:val="clear" w:color="auto" w:fill="E7E6E6" w:themeFill="background2"/>
            <w:vAlign w:val="center"/>
          </w:tcPr>
          <w:p w14:paraId="49E8FCFE" w14:textId="3818074F" w:rsidR="00F83942" w:rsidRDefault="00F83942" w:rsidP="00817386">
            <w:pPr>
              <w:pStyle w:val="TableHeadCen"/>
            </w:pPr>
            <w:r>
              <w:t xml:space="preserve">Table </w:t>
            </w:r>
            <w:r w:rsidR="00817386">
              <w:t xml:space="preserve">of </w:t>
            </w:r>
            <w:r>
              <w:t xml:space="preserve">Technical Specification </w:t>
            </w:r>
            <w:r w:rsidR="00817386">
              <w:t xml:space="preserve">for Providing </w:t>
            </w:r>
            <w:r w:rsidR="00720AB7" w:rsidRPr="00720AB7">
              <w:t>NPL </w:t>
            </w:r>
            <w:r w:rsidR="00817386">
              <w:t>3 or Metered Lights</w:t>
            </w:r>
          </w:p>
        </w:tc>
      </w:tr>
      <w:tr w:rsidR="008003C2" w14:paraId="4F147D95" w14:textId="77777777" w:rsidTr="001972BA">
        <w:trPr>
          <w:trHeight w:val="397"/>
          <w:tblHeader/>
        </w:trPr>
        <w:tc>
          <w:tcPr>
            <w:tcW w:w="2835" w:type="dxa"/>
            <w:tcBorders>
              <w:top w:val="single" w:sz="12" w:space="0" w:color="auto"/>
              <w:left w:val="nil"/>
              <w:bottom w:val="single" w:sz="12" w:space="0" w:color="auto"/>
            </w:tcBorders>
            <w:shd w:val="clear" w:color="auto" w:fill="E7E6E6" w:themeFill="background2"/>
            <w:vAlign w:val="center"/>
          </w:tcPr>
          <w:p w14:paraId="1AC00FF4" w14:textId="77777777" w:rsidR="008003C2" w:rsidRDefault="008003C2" w:rsidP="00817386">
            <w:pPr>
              <w:pStyle w:val="TableHead"/>
            </w:pPr>
            <w:r>
              <w:t>Component</w:t>
            </w:r>
          </w:p>
        </w:tc>
        <w:tc>
          <w:tcPr>
            <w:tcW w:w="5533" w:type="dxa"/>
            <w:tcBorders>
              <w:top w:val="single" w:sz="12" w:space="0" w:color="auto"/>
              <w:bottom w:val="single" w:sz="12" w:space="0" w:color="auto"/>
              <w:right w:val="nil"/>
            </w:tcBorders>
            <w:shd w:val="clear" w:color="auto" w:fill="E7E6E6" w:themeFill="background2"/>
            <w:vAlign w:val="center"/>
          </w:tcPr>
          <w:p w14:paraId="5530BC6F" w14:textId="77777777" w:rsidR="008003C2" w:rsidRDefault="008003C2" w:rsidP="00817386">
            <w:pPr>
              <w:pStyle w:val="TableHead"/>
            </w:pPr>
            <w:r>
              <w:t>Reference specification</w:t>
            </w:r>
          </w:p>
        </w:tc>
      </w:tr>
      <w:tr w:rsidR="008003C2" w14:paraId="11924FBC" w14:textId="77777777" w:rsidTr="00C62273">
        <w:tc>
          <w:tcPr>
            <w:tcW w:w="2835" w:type="dxa"/>
            <w:tcBorders>
              <w:top w:val="single" w:sz="12" w:space="0" w:color="auto"/>
              <w:left w:val="nil"/>
              <w:bottom w:val="single" w:sz="2" w:space="0" w:color="auto"/>
              <w:right w:val="single" w:sz="2" w:space="0" w:color="auto"/>
            </w:tcBorders>
          </w:tcPr>
          <w:p w14:paraId="60229B76" w14:textId="77777777" w:rsidR="008003C2" w:rsidRDefault="008003C2" w:rsidP="00C62273">
            <w:pPr>
              <w:pStyle w:val="Table"/>
            </w:pPr>
            <w:r>
              <w:t>Point of Supply</w:t>
            </w:r>
          </w:p>
        </w:tc>
        <w:tc>
          <w:tcPr>
            <w:tcW w:w="5533" w:type="dxa"/>
            <w:tcBorders>
              <w:top w:val="single" w:sz="12" w:space="0" w:color="auto"/>
              <w:left w:val="single" w:sz="2" w:space="0" w:color="auto"/>
              <w:bottom w:val="single" w:sz="2" w:space="0" w:color="auto"/>
              <w:right w:val="nil"/>
            </w:tcBorders>
            <w:vAlign w:val="center"/>
          </w:tcPr>
          <w:p w14:paraId="17B03626" w14:textId="449C07CD" w:rsidR="00225BBD" w:rsidRPr="009F0058" w:rsidRDefault="00225BBD" w:rsidP="00817386">
            <w:pPr>
              <w:pStyle w:val="TableDot"/>
            </w:pPr>
            <w:r w:rsidRPr="009F0058">
              <w:t>Energex Lighting Construction Manual</w:t>
            </w:r>
            <w:r w:rsidR="008508D1" w:rsidRPr="009F0058">
              <w:t>.</w:t>
            </w:r>
          </w:p>
          <w:p w14:paraId="57B81A64" w14:textId="2FDEBE55" w:rsidR="00817386" w:rsidRPr="009F0058" w:rsidRDefault="00817386" w:rsidP="00817386">
            <w:pPr>
              <w:pStyle w:val="TableDot"/>
            </w:pPr>
            <w:r w:rsidRPr="009F0058">
              <w:t xml:space="preserve">DTMR </w:t>
            </w:r>
            <w:r w:rsidR="0043216C" w:rsidRPr="009F0058">
              <w:t xml:space="preserve">Specification </w:t>
            </w:r>
            <w:r w:rsidR="001E5E77" w:rsidRPr="009F0058">
              <w:t>MRTS210 Provision of Mains Power.</w:t>
            </w:r>
          </w:p>
          <w:p w14:paraId="2AB2F202" w14:textId="30E41EBD" w:rsidR="00225BBD" w:rsidRPr="009F0058" w:rsidRDefault="00817386" w:rsidP="00817386">
            <w:pPr>
              <w:pStyle w:val="TableDot"/>
            </w:pPr>
            <w:r w:rsidRPr="009F0058">
              <w:t>D</w:t>
            </w:r>
            <w:r w:rsidR="00225BBD" w:rsidRPr="009F0058">
              <w:t>TMR Standard Drawing</w:t>
            </w:r>
            <w:r w:rsidR="0021439B" w:rsidRPr="009F0058">
              <w:t xml:space="preserve"> </w:t>
            </w:r>
            <w:r w:rsidR="001E5E77" w:rsidRPr="009F0058">
              <w:t>SD1327 – Traffic Signals/Road Lighting – Mains Connections</w:t>
            </w:r>
            <w:r w:rsidR="008508D1" w:rsidRPr="009F0058">
              <w:t>.</w:t>
            </w:r>
          </w:p>
        </w:tc>
      </w:tr>
      <w:tr w:rsidR="008003C2" w14:paraId="7F30CA1B" w14:textId="77777777" w:rsidTr="00C62273">
        <w:tc>
          <w:tcPr>
            <w:tcW w:w="2835" w:type="dxa"/>
            <w:tcBorders>
              <w:top w:val="single" w:sz="2" w:space="0" w:color="auto"/>
              <w:left w:val="nil"/>
              <w:bottom w:val="single" w:sz="2" w:space="0" w:color="auto"/>
              <w:right w:val="single" w:sz="2" w:space="0" w:color="auto"/>
            </w:tcBorders>
          </w:tcPr>
          <w:p w14:paraId="35099F23" w14:textId="77777777" w:rsidR="008003C2" w:rsidRDefault="008003C2" w:rsidP="00C62273">
            <w:pPr>
              <w:pStyle w:val="Table"/>
            </w:pPr>
            <w:r>
              <w:t>Switchboard</w:t>
            </w:r>
          </w:p>
          <w:p w14:paraId="4D2AD243" w14:textId="77777777" w:rsidR="008003C2" w:rsidRDefault="008003C2" w:rsidP="00C62273">
            <w:pPr>
              <w:pStyle w:val="Table"/>
            </w:pPr>
            <w:r>
              <w:t>Switch board protection</w:t>
            </w:r>
          </w:p>
          <w:p w14:paraId="7ED1384A" w14:textId="128B7DD2" w:rsidR="008003C2" w:rsidRDefault="008003C2" w:rsidP="00C62273">
            <w:pPr>
              <w:pStyle w:val="Table"/>
            </w:pPr>
            <w:r>
              <w:t>Fuses/Circuit breakers</w:t>
            </w:r>
          </w:p>
        </w:tc>
        <w:tc>
          <w:tcPr>
            <w:tcW w:w="5533" w:type="dxa"/>
            <w:tcBorders>
              <w:top w:val="single" w:sz="2" w:space="0" w:color="auto"/>
              <w:left w:val="single" w:sz="2" w:space="0" w:color="auto"/>
              <w:bottom w:val="single" w:sz="2" w:space="0" w:color="auto"/>
              <w:right w:val="nil"/>
            </w:tcBorders>
            <w:vAlign w:val="center"/>
          </w:tcPr>
          <w:p w14:paraId="589D9C4E" w14:textId="753537A8" w:rsidR="008003C2" w:rsidRPr="009F0058" w:rsidRDefault="0043216C" w:rsidP="00817386">
            <w:pPr>
              <w:pStyle w:val="TableDot"/>
            </w:pPr>
            <w:r w:rsidRPr="009F0058">
              <w:t xml:space="preserve">Standard Drawing </w:t>
            </w:r>
            <w:r w:rsidR="008003C2" w:rsidRPr="009F0058">
              <w:t xml:space="preserve">BSD-4002 Mains </w:t>
            </w:r>
            <w:r w:rsidR="00C62273" w:rsidRPr="009F0058">
              <w:t>connection to Energex equipment</w:t>
            </w:r>
            <w:r w:rsidR="008508D1" w:rsidRPr="009F0058">
              <w:t>.</w:t>
            </w:r>
          </w:p>
          <w:p w14:paraId="60D33BA3" w14:textId="4C3FBA71" w:rsidR="00C62273" w:rsidRPr="009F0058" w:rsidRDefault="0043216C" w:rsidP="00817386">
            <w:pPr>
              <w:pStyle w:val="TableDot"/>
            </w:pPr>
            <w:r w:rsidRPr="009F0058">
              <w:t xml:space="preserve">Standard Drawing </w:t>
            </w:r>
            <w:r w:rsidR="008003C2" w:rsidRPr="009F0058">
              <w:t>BSD-11001</w:t>
            </w:r>
            <w:r w:rsidR="00C62273" w:rsidRPr="009F0058">
              <w:t xml:space="preserve"> Pedestrian lighting main switchboard and control panel arrangement and schematic.</w:t>
            </w:r>
          </w:p>
          <w:p w14:paraId="050AE578" w14:textId="2CEA750A" w:rsidR="00C62273" w:rsidRPr="009F0058" w:rsidRDefault="00C46D63" w:rsidP="00817386">
            <w:pPr>
              <w:pStyle w:val="TableDot"/>
            </w:pPr>
            <w:r w:rsidRPr="009F0058">
              <w:t xml:space="preserve">Standard Drawing </w:t>
            </w:r>
            <w:r w:rsidR="00C62273" w:rsidRPr="009F0058">
              <w:t>BSD-11002 Pedestrian lighting control panel arrangement and schematic.</w:t>
            </w:r>
          </w:p>
          <w:p w14:paraId="6C8780F5" w14:textId="1808C932" w:rsidR="008003C2" w:rsidRPr="009F0058" w:rsidRDefault="0043216C" w:rsidP="00817386">
            <w:pPr>
              <w:pStyle w:val="TableDot"/>
            </w:pPr>
            <w:r w:rsidRPr="009F0058">
              <w:t xml:space="preserve">Standard Drawing </w:t>
            </w:r>
            <w:r w:rsidR="008003C2" w:rsidRPr="009F0058">
              <w:t>BSD-11003</w:t>
            </w:r>
            <w:r w:rsidR="001E5E77" w:rsidRPr="009F0058">
              <w:t xml:space="preserve"> </w:t>
            </w:r>
            <w:r w:rsidR="00C62273" w:rsidRPr="009F0058">
              <w:t>Pedestrian lighting M6 earthing stud detail and light sire component schedule</w:t>
            </w:r>
            <w:r w:rsidR="008508D1" w:rsidRPr="009F0058">
              <w:t>.</w:t>
            </w:r>
          </w:p>
          <w:p w14:paraId="6915C35C" w14:textId="630B7446" w:rsidR="008003C2" w:rsidRPr="009F0058" w:rsidRDefault="0043216C" w:rsidP="00817386">
            <w:pPr>
              <w:pStyle w:val="TableDot"/>
            </w:pPr>
            <w:r w:rsidRPr="009F0058">
              <w:t xml:space="preserve">Standard Drawing </w:t>
            </w:r>
            <w:r w:rsidR="00225BBD" w:rsidRPr="009F0058">
              <w:t>BSD</w:t>
            </w:r>
            <w:r w:rsidR="008508D1" w:rsidRPr="009F0058">
              <w:t>-11101</w:t>
            </w:r>
            <w:r w:rsidR="00225BBD" w:rsidRPr="009F0058">
              <w:t xml:space="preserve"> Parks </w:t>
            </w:r>
            <w:r w:rsidR="00C62273" w:rsidRPr="009F0058">
              <w:t>switchboard</w:t>
            </w:r>
            <w:r w:rsidR="001E5E77" w:rsidRPr="009F0058">
              <w:t>.</w:t>
            </w:r>
          </w:p>
          <w:p w14:paraId="6AC1034C" w14:textId="248C5BBE" w:rsidR="00FB7D34" w:rsidRPr="009F0058" w:rsidRDefault="00FB7D34" w:rsidP="00FB7D34">
            <w:pPr>
              <w:pStyle w:val="TableDot"/>
            </w:pPr>
            <w:r w:rsidRPr="009F0058">
              <w:t xml:space="preserve">DTMR </w:t>
            </w:r>
            <w:r w:rsidR="0043216C" w:rsidRPr="009F0058">
              <w:t xml:space="preserve">Specification </w:t>
            </w:r>
            <w:r w:rsidRPr="009F0058">
              <w:t>MRTS210 Provision of Mains Power.</w:t>
            </w:r>
          </w:p>
          <w:p w14:paraId="256B162A" w14:textId="76FB0BFC" w:rsidR="00FB7D34" w:rsidRPr="009F0058" w:rsidRDefault="00FB7D34" w:rsidP="00FB7D34">
            <w:pPr>
              <w:pStyle w:val="TableDot"/>
            </w:pPr>
            <w:r w:rsidRPr="009F0058">
              <w:t xml:space="preserve">DTMR </w:t>
            </w:r>
            <w:r w:rsidR="0043216C" w:rsidRPr="009F0058">
              <w:t xml:space="preserve">Specification </w:t>
            </w:r>
            <w:r w:rsidRPr="009F0058">
              <w:t>MRTS228 Electrical Switchboards.</w:t>
            </w:r>
          </w:p>
        </w:tc>
      </w:tr>
      <w:tr w:rsidR="008003C2" w14:paraId="2C95A5D0" w14:textId="77777777" w:rsidTr="00C62273">
        <w:tc>
          <w:tcPr>
            <w:tcW w:w="2835" w:type="dxa"/>
            <w:tcBorders>
              <w:top w:val="single" w:sz="2" w:space="0" w:color="auto"/>
              <w:left w:val="nil"/>
              <w:bottom w:val="single" w:sz="2" w:space="0" w:color="auto"/>
              <w:right w:val="single" w:sz="2" w:space="0" w:color="auto"/>
            </w:tcBorders>
          </w:tcPr>
          <w:p w14:paraId="0DC65E34" w14:textId="3A36599C" w:rsidR="008003C2" w:rsidRDefault="008003C2" w:rsidP="00C62273">
            <w:pPr>
              <w:pStyle w:val="Table"/>
            </w:pPr>
            <w:r>
              <w:t>Cables</w:t>
            </w:r>
          </w:p>
        </w:tc>
        <w:tc>
          <w:tcPr>
            <w:tcW w:w="5533" w:type="dxa"/>
            <w:tcBorders>
              <w:top w:val="single" w:sz="2" w:space="0" w:color="auto"/>
              <w:left w:val="single" w:sz="2" w:space="0" w:color="auto"/>
              <w:bottom w:val="single" w:sz="2" w:space="0" w:color="auto"/>
              <w:right w:val="nil"/>
            </w:tcBorders>
            <w:vAlign w:val="center"/>
          </w:tcPr>
          <w:p w14:paraId="0E18B60E" w14:textId="56669ECB" w:rsidR="004128DA" w:rsidRPr="009F0058" w:rsidRDefault="008508D1" w:rsidP="008508D1">
            <w:pPr>
              <w:pStyle w:val="TableDot"/>
            </w:pPr>
            <w:r w:rsidRPr="009F0058">
              <w:t xml:space="preserve">DTMR </w:t>
            </w:r>
            <w:r w:rsidR="0043216C" w:rsidRPr="009F0058">
              <w:t xml:space="preserve">Specification </w:t>
            </w:r>
            <w:r w:rsidRPr="009F0058">
              <w:t>MRTS256 Power Cables (</w:t>
            </w:r>
            <w:r w:rsidR="004128DA" w:rsidRPr="009F0058">
              <w:t>Refer to Table 3 in MRTS256</w:t>
            </w:r>
            <w:r w:rsidRPr="009F0058">
              <w:t>).</w:t>
            </w:r>
          </w:p>
        </w:tc>
      </w:tr>
      <w:tr w:rsidR="008003C2" w14:paraId="7900E518" w14:textId="77777777" w:rsidTr="00C62273">
        <w:tc>
          <w:tcPr>
            <w:tcW w:w="2835" w:type="dxa"/>
            <w:tcBorders>
              <w:top w:val="single" w:sz="2" w:space="0" w:color="auto"/>
              <w:left w:val="nil"/>
              <w:bottom w:val="single" w:sz="2" w:space="0" w:color="auto"/>
              <w:right w:val="single" w:sz="2" w:space="0" w:color="auto"/>
            </w:tcBorders>
          </w:tcPr>
          <w:p w14:paraId="1958A867" w14:textId="3227C17B" w:rsidR="008003C2" w:rsidRDefault="008003C2" w:rsidP="00C62273">
            <w:pPr>
              <w:pStyle w:val="Table"/>
            </w:pPr>
            <w:r>
              <w:t>Luminaires</w:t>
            </w:r>
          </w:p>
        </w:tc>
        <w:tc>
          <w:tcPr>
            <w:tcW w:w="5533" w:type="dxa"/>
            <w:tcBorders>
              <w:top w:val="single" w:sz="2" w:space="0" w:color="auto"/>
              <w:left w:val="single" w:sz="2" w:space="0" w:color="auto"/>
              <w:bottom w:val="single" w:sz="2" w:space="0" w:color="auto"/>
              <w:right w:val="nil"/>
            </w:tcBorders>
            <w:vAlign w:val="center"/>
          </w:tcPr>
          <w:p w14:paraId="64794B4C" w14:textId="3223E77E" w:rsidR="008508D1" w:rsidRPr="009F0058" w:rsidRDefault="008508D1" w:rsidP="00817386">
            <w:pPr>
              <w:pStyle w:val="TableDot"/>
            </w:pPr>
            <w:r w:rsidRPr="009F0058">
              <w:t xml:space="preserve">DTMR </w:t>
            </w:r>
            <w:r w:rsidR="0043216C" w:rsidRPr="009F0058">
              <w:t xml:space="preserve">Specification </w:t>
            </w:r>
            <w:r w:rsidRPr="009F0058">
              <w:t>MRTS94 Road Lighting.</w:t>
            </w:r>
          </w:p>
          <w:p w14:paraId="7289372F" w14:textId="3142A46E" w:rsidR="008508D1" w:rsidRPr="009F0058" w:rsidRDefault="008508D1" w:rsidP="00817386">
            <w:pPr>
              <w:pStyle w:val="TableDot"/>
            </w:pPr>
            <w:r w:rsidRPr="009F0058">
              <w:t xml:space="preserve">DTMR </w:t>
            </w:r>
            <w:r w:rsidR="00C46D63" w:rsidRPr="009F0058">
              <w:t xml:space="preserve">Technical Note </w:t>
            </w:r>
            <w:r w:rsidRPr="009F0058">
              <w:t>TN158</w:t>
            </w:r>
            <w:r w:rsidR="00527115" w:rsidRPr="009F0058">
              <w:t xml:space="preserve"> </w:t>
            </w:r>
            <w:r w:rsidRPr="009F0058">
              <w:t>Guide to the Use of LED Road Lighting Luminaire.</w:t>
            </w:r>
          </w:p>
          <w:p w14:paraId="7941469D" w14:textId="3DBCDDB2" w:rsidR="008003C2" w:rsidRPr="009F0058" w:rsidRDefault="009F7A6A" w:rsidP="008508D1">
            <w:pPr>
              <w:pStyle w:val="TableDot"/>
              <w:numPr>
                <w:ilvl w:val="0"/>
                <w:numId w:val="0"/>
              </w:numPr>
              <w:ind w:left="284"/>
            </w:pPr>
            <w:r w:rsidRPr="009F0058">
              <w:t>(</w:t>
            </w:r>
            <w:r w:rsidR="008508D1" w:rsidRPr="009F0058">
              <w:t>F</w:t>
            </w:r>
            <w:r w:rsidRPr="009F0058">
              <w:t xml:space="preserve">or </w:t>
            </w:r>
            <w:r w:rsidR="008508D1" w:rsidRPr="009F0058">
              <w:t xml:space="preserve">major </w:t>
            </w:r>
            <w:r w:rsidRPr="009F0058">
              <w:t>roads</w:t>
            </w:r>
            <w:r w:rsidR="00E055BF" w:rsidRPr="009F0058">
              <w:t>,</w:t>
            </w:r>
            <w:r w:rsidRPr="009F0058">
              <w:t xml:space="preserve"> </w:t>
            </w:r>
            <w:r w:rsidRPr="00013984">
              <w:rPr>
                <w:u w:val="single"/>
              </w:rPr>
              <w:t>not</w:t>
            </w:r>
            <w:r w:rsidRPr="009F0058">
              <w:t xml:space="preserve"> parks and bikeways)</w:t>
            </w:r>
          </w:p>
        </w:tc>
      </w:tr>
      <w:tr w:rsidR="008003C2" w14:paraId="7B9D45E3" w14:textId="77777777" w:rsidTr="00C62273">
        <w:tc>
          <w:tcPr>
            <w:tcW w:w="2835" w:type="dxa"/>
            <w:tcBorders>
              <w:top w:val="single" w:sz="2" w:space="0" w:color="auto"/>
              <w:left w:val="nil"/>
              <w:bottom w:val="single" w:sz="2" w:space="0" w:color="auto"/>
              <w:right w:val="single" w:sz="2" w:space="0" w:color="auto"/>
            </w:tcBorders>
          </w:tcPr>
          <w:p w14:paraId="3261BD30" w14:textId="77777777" w:rsidR="008003C2" w:rsidRDefault="008003C2" w:rsidP="00C62273">
            <w:pPr>
              <w:pStyle w:val="Table"/>
            </w:pPr>
            <w:r>
              <w:t>General – Traffic and Road Use Management Manual</w:t>
            </w:r>
          </w:p>
        </w:tc>
        <w:tc>
          <w:tcPr>
            <w:tcW w:w="5533" w:type="dxa"/>
            <w:tcBorders>
              <w:top w:val="single" w:sz="2" w:space="0" w:color="auto"/>
              <w:left w:val="single" w:sz="2" w:space="0" w:color="auto"/>
              <w:bottom w:val="single" w:sz="2" w:space="0" w:color="auto"/>
              <w:right w:val="nil"/>
            </w:tcBorders>
            <w:vAlign w:val="center"/>
          </w:tcPr>
          <w:p w14:paraId="340C5B12" w14:textId="15F49D6C" w:rsidR="008508D1" w:rsidRPr="009F0058" w:rsidRDefault="008508D1" w:rsidP="00817386">
            <w:pPr>
              <w:pStyle w:val="TableDot"/>
            </w:pPr>
            <w:r w:rsidRPr="009F0058">
              <w:t>DTMR Traffic and Road Use Management Manual</w:t>
            </w:r>
            <w:r w:rsidRPr="009F0058" w:rsidDel="008508D1">
              <w:t xml:space="preserve"> </w:t>
            </w:r>
            <w:r w:rsidRPr="009F0058">
              <w:t>(</w:t>
            </w:r>
            <w:r w:rsidR="008003C2" w:rsidRPr="009F0058">
              <w:t>TRUM</w:t>
            </w:r>
            <w:r w:rsidRPr="009F0058">
              <w:t>)</w:t>
            </w:r>
            <w:r w:rsidR="008003C2" w:rsidRPr="009F0058">
              <w:t xml:space="preserve"> Vol</w:t>
            </w:r>
            <w:r w:rsidRPr="009F0058">
              <w:t>ume 4</w:t>
            </w:r>
            <w:r w:rsidR="00EC6AC7" w:rsidRPr="009F0058">
              <w:t>:</w:t>
            </w:r>
          </w:p>
          <w:p w14:paraId="77A78811" w14:textId="71AD589E" w:rsidR="008508D1" w:rsidRPr="009F0058" w:rsidRDefault="008508D1" w:rsidP="008508D1">
            <w:pPr>
              <w:pStyle w:val="TableDot2"/>
            </w:pPr>
            <w:r w:rsidRPr="009F0058">
              <w:lastRenderedPageBreak/>
              <w:t>Part 2 Road Lighting Maintenance.</w:t>
            </w:r>
          </w:p>
          <w:p w14:paraId="711BDFEC" w14:textId="5DD91187" w:rsidR="008508D1" w:rsidRPr="009F0058" w:rsidRDefault="008508D1" w:rsidP="008508D1">
            <w:pPr>
              <w:pStyle w:val="TableDot2"/>
            </w:pPr>
            <w:r w:rsidRPr="009F0058">
              <w:t>Part 3 Electrical Design for Roadside Devices.</w:t>
            </w:r>
          </w:p>
          <w:p w14:paraId="2FD748F6" w14:textId="77777777" w:rsidR="008508D1" w:rsidRPr="009F0058" w:rsidRDefault="008508D1" w:rsidP="008508D1">
            <w:pPr>
              <w:pStyle w:val="TableDot2"/>
            </w:pPr>
            <w:r w:rsidRPr="009F0058">
              <w:t>Part 4 Road Lighting Dome Junction Box Assembly</w:t>
            </w:r>
          </w:p>
          <w:p w14:paraId="6AA3A164" w14:textId="74759853" w:rsidR="008003C2" w:rsidRPr="009F0058" w:rsidRDefault="008508D1" w:rsidP="008508D1">
            <w:pPr>
              <w:pStyle w:val="TableDot2"/>
            </w:pPr>
            <w:r w:rsidRPr="009F0058">
              <w:t>Part 8 Electrical Verification Requirements for New or Altered Roadside Installations.</w:t>
            </w:r>
          </w:p>
        </w:tc>
      </w:tr>
      <w:tr w:rsidR="008003C2" w14:paraId="6CA42839" w14:textId="77777777" w:rsidTr="00C62273">
        <w:tc>
          <w:tcPr>
            <w:tcW w:w="2835" w:type="dxa"/>
            <w:tcBorders>
              <w:top w:val="single" w:sz="2" w:space="0" w:color="auto"/>
              <w:left w:val="nil"/>
              <w:bottom w:val="single" w:sz="2" w:space="0" w:color="auto"/>
              <w:right w:val="single" w:sz="2" w:space="0" w:color="auto"/>
            </w:tcBorders>
          </w:tcPr>
          <w:p w14:paraId="5B8F0CAD" w14:textId="77777777" w:rsidR="008003C2" w:rsidRDefault="008003C2" w:rsidP="00C62273">
            <w:pPr>
              <w:pStyle w:val="Table"/>
            </w:pPr>
            <w:r>
              <w:lastRenderedPageBreak/>
              <w:t>General – Road Planning Design Manual</w:t>
            </w:r>
          </w:p>
        </w:tc>
        <w:tc>
          <w:tcPr>
            <w:tcW w:w="5533" w:type="dxa"/>
            <w:tcBorders>
              <w:top w:val="single" w:sz="2" w:space="0" w:color="auto"/>
              <w:left w:val="single" w:sz="2" w:space="0" w:color="auto"/>
              <w:bottom w:val="single" w:sz="2" w:space="0" w:color="auto"/>
              <w:right w:val="nil"/>
            </w:tcBorders>
            <w:vAlign w:val="center"/>
          </w:tcPr>
          <w:p w14:paraId="19E62264" w14:textId="2CFEF671" w:rsidR="008003C2" w:rsidRPr="009F0058" w:rsidRDefault="008508D1" w:rsidP="00817386">
            <w:pPr>
              <w:pStyle w:val="TableDot"/>
            </w:pPr>
            <w:r w:rsidRPr="009F0058">
              <w:t xml:space="preserve">DTMR </w:t>
            </w:r>
            <w:r w:rsidR="008003C2" w:rsidRPr="009F0058">
              <w:t>R</w:t>
            </w:r>
            <w:r w:rsidRPr="009F0058">
              <w:t xml:space="preserve">oad </w:t>
            </w:r>
            <w:r w:rsidR="008003C2" w:rsidRPr="009F0058">
              <w:t>P</w:t>
            </w:r>
            <w:r w:rsidRPr="009F0058">
              <w:t xml:space="preserve">lanning and </w:t>
            </w:r>
            <w:r w:rsidR="008003C2" w:rsidRPr="009F0058">
              <w:t>D</w:t>
            </w:r>
            <w:r w:rsidRPr="009F0058">
              <w:t xml:space="preserve">esign </w:t>
            </w:r>
            <w:r w:rsidR="008003C2" w:rsidRPr="009F0058">
              <w:t>M</w:t>
            </w:r>
            <w:r w:rsidRPr="009F0058">
              <w:t>anual</w:t>
            </w:r>
            <w:r w:rsidR="008003C2" w:rsidRPr="009F0058">
              <w:t xml:space="preserve"> </w:t>
            </w:r>
            <w:r w:rsidRPr="009F0058">
              <w:t xml:space="preserve">(RPDM) </w:t>
            </w:r>
            <w:r w:rsidR="008003C2" w:rsidRPr="009F0058">
              <w:t>2</w:t>
            </w:r>
            <w:r w:rsidR="008003C2" w:rsidRPr="009F0058">
              <w:rPr>
                <w:vertAlign w:val="superscript"/>
              </w:rPr>
              <w:t>nd</w:t>
            </w:r>
            <w:r w:rsidR="008003C2" w:rsidRPr="009F0058">
              <w:t xml:space="preserve"> Edition </w:t>
            </w:r>
            <w:r w:rsidRPr="009F0058">
              <w:t>Volume 6: Lighting</w:t>
            </w:r>
          </w:p>
        </w:tc>
      </w:tr>
      <w:tr w:rsidR="008003C2" w14:paraId="588673B3" w14:textId="77777777" w:rsidTr="00C62273">
        <w:tc>
          <w:tcPr>
            <w:tcW w:w="2835" w:type="dxa"/>
            <w:tcBorders>
              <w:top w:val="single" w:sz="2" w:space="0" w:color="auto"/>
              <w:left w:val="nil"/>
              <w:bottom w:val="single" w:sz="2" w:space="0" w:color="auto"/>
              <w:right w:val="single" w:sz="2" w:space="0" w:color="auto"/>
            </w:tcBorders>
          </w:tcPr>
          <w:p w14:paraId="24D5D180" w14:textId="3A679141" w:rsidR="008003C2" w:rsidRDefault="008003C2" w:rsidP="00C62273">
            <w:pPr>
              <w:pStyle w:val="Table"/>
            </w:pPr>
            <w:r>
              <w:t>Rag bolts</w:t>
            </w:r>
          </w:p>
        </w:tc>
        <w:tc>
          <w:tcPr>
            <w:tcW w:w="5533" w:type="dxa"/>
            <w:tcBorders>
              <w:top w:val="single" w:sz="2" w:space="0" w:color="auto"/>
              <w:left w:val="single" w:sz="2" w:space="0" w:color="auto"/>
              <w:bottom w:val="single" w:sz="2" w:space="0" w:color="auto"/>
              <w:right w:val="nil"/>
            </w:tcBorders>
            <w:vAlign w:val="center"/>
          </w:tcPr>
          <w:p w14:paraId="5255F96B" w14:textId="5C2CB8EA" w:rsidR="00FB7D34" w:rsidRPr="009F0058" w:rsidRDefault="00C46D63" w:rsidP="00FB7D34">
            <w:pPr>
              <w:pStyle w:val="TableDot"/>
            </w:pPr>
            <w:r w:rsidRPr="009F0058">
              <w:t xml:space="preserve">Standard Drawing </w:t>
            </w:r>
            <w:r w:rsidR="00FB7D34" w:rsidRPr="009F0058">
              <w:t>BSD-4154 Rag bolt assemblies mast arm.</w:t>
            </w:r>
          </w:p>
          <w:p w14:paraId="312702E1" w14:textId="1DCC9B40" w:rsidR="00FB7D34" w:rsidRPr="009F0058" w:rsidRDefault="00C46D63" w:rsidP="00FB7D34">
            <w:pPr>
              <w:pStyle w:val="TableDot"/>
            </w:pPr>
            <w:r w:rsidRPr="009F0058">
              <w:t>Reference Specification</w:t>
            </w:r>
            <w:r w:rsidR="001B699D" w:rsidRPr="009F0058">
              <w:t>s</w:t>
            </w:r>
            <w:r w:rsidRPr="009F0058">
              <w:t xml:space="preserve"> for Engineering Work </w:t>
            </w:r>
            <w:r w:rsidR="00FB7D34" w:rsidRPr="009F0058">
              <w:t>S607 Traffic signals – Rag bolts.</w:t>
            </w:r>
          </w:p>
          <w:p w14:paraId="39D2DFAF" w14:textId="024F9777" w:rsidR="004128DA" w:rsidRPr="009F0058" w:rsidRDefault="008508D1" w:rsidP="00FB7D34">
            <w:pPr>
              <w:pStyle w:val="TableDot"/>
            </w:pPr>
            <w:r w:rsidRPr="009F0058">
              <w:t xml:space="preserve">DTMR </w:t>
            </w:r>
            <w:r w:rsidR="0043216C" w:rsidRPr="009F0058">
              <w:t xml:space="preserve">Specification </w:t>
            </w:r>
            <w:r w:rsidRPr="009F0058">
              <w:t>MRTS92 Traffic Signal and Road Lighting Footings</w:t>
            </w:r>
            <w:r w:rsidR="00042C7A" w:rsidRPr="009F0058">
              <w:t>.</w:t>
            </w:r>
          </w:p>
        </w:tc>
      </w:tr>
      <w:tr w:rsidR="008003C2" w14:paraId="71E12867" w14:textId="77777777" w:rsidTr="00C62273">
        <w:tc>
          <w:tcPr>
            <w:tcW w:w="2835" w:type="dxa"/>
            <w:tcBorders>
              <w:top w:val="single" w:sz="2" w:space="0" w:color="auto"/>
              <w:left w:val="nil"/>
              <w:bottom w:val="single" w:sz="2" w:space="0" w:color="auto"/>
              <w:right w:val="single" w:sz="2" w:space="0" w:color="auto"/>
            </w:tcBorders>
          </w:tcPr>
          <w:p w14:paraId="75CA8CA1" w14:textId="77777777" w:rsidR="008003C2" w:rsidRDefault="008003C2" w:rsidP="00C62273">
            <w:pPr>
              <w:pStyle w:val="Table"/>
            </w:pPr>
            <w:r>
              <w:t>Conduits</w:t>
            </w:r>
          </w:p>
          <w:p w14:paraId="7681EA1B" w14:textId="77777777" w:rsidR="008003C2" w:rsidRDefault="008003C2" w:rsidP="00C62273">
            <w:pPr>
              <w:pStyle w:val="Table"/>
            </w:pPr>
            <w:r>
              <w:t>Pits</w:t>
            </w:r>
          </w:p>
          <w:p w14:paraId="4A4B03F8" w14:textId="70FF041E" w:rsidR="008003C2" w:rsidRDefault="008003C2" w:rsidP="00C62273">
            <w:pPr>
              <w:pStyle w:val="Table"/>
            </w:pPr>
            <w:r>
              <w:t>Lids</w:t>
            </w:r>
          </w:p>
        </w:tc>
        <w:tc>
          <w:tcPr>
            <w:tcW w:w="5533" w:type="dxa"/>
            <w:tcBorders>
              <w:top w:val="single" w:sz="2" w:space="0" w:color="auto"/>
              <w:left w:val="single" w:sz="2" w:space="0" w:color="auto"/>
              <w:bottom w:val="single" w:sz="2" w:space="0" w:color="auto"/>
              <w:right w:val="nil"/>
            </w:tcBorders>
            <w:vAlign w:val="center"/>
          </w:tcPr>
          <w:p w14:paraId="02600A9D" w14:textId="2AF7F82C" w:rsidR="008003C2" w:rsidRPr="009F0058" w:rsidRDefault="008003C2" w:rsidP="008508D1">
            <w:pPr>
              <w:pStyle w:val="TableDot"/>
            </w:pPr>
            <w:r w:rsidRPr="009F0058">
              <w:t xml:space="preserve">BSD-1011 </w:t>
            </w:r>
            <w:r w:rsidR="00FB7D34" w:rsidRPr="009F0058">
              <w:t xml:space="preserve">Cable </w:t>
            </w:r>
            <w:r w:rsidR="00C62273" w:rsidRPr="009F0058">
              <w:t>pit rectangular type</w:t>
            </w:r>
            <w:r w:rsidRPr="009F0058">
              <w:t>.</w:t>
            </w:r>
          </w:p>
          <w:p w14:paraId="3983C8A8" w14:textId="278D7AB4" w:rsidR="008003C2" w:rsidRPr="009F0058" w:rsidRDefault="008003C2" w:rsidP="008508D1">
            <w:pPr>
              <w:pStyle w:val="TableDot"/>
            </w:pPr>
            <w:r w:rsidRPr="009F0058">
              <w:t xml:space="preserve">BSD-1012 </w:t>
            </w:r>
            <w:r w:rsidR="00FB7D34" w:rsidRPr="009F0058">
              <w:t xml:space="preserve">Cable </w:t>
            </w:r>
            <w:r w:rsidR="00C62273" w:rsidRPr="009F0058">
              <w:t>pit rectangular type lids</w:t>
            </w:r>
            <w:r w:rsidRPr="009F0058">
              <w:t>.</w:t>
            </w:r>
          </w:p>
          <w:p w14:paraId="3AEA6C23" w14:textId="77502FD2" w:rsidR="00FB7D34" w:rsidRPr="009F0058" w:rsidRDefault="008003C2" w:rsidP="00FB7D34">
            <w:pPr>
              <w:pStyle w:val="TableDot"/>
            </w:pPr>
            <w:r w:rsidRPr="009F0058">
              <w:t xml:space="preserve">BSD-1013 Public </w:t>
            </w:r>
            <w:r w:rsidR="00C62273" w:rsidRPr="009F0058">
              <w:t>utility corridors and alignments (4.25m wide verge).</w:t>
            </w:r>
          </w:p>
          <w:p w14:paraId="495688D8" w14:textId="60C4B110" w:rsidR="00FB7D34" w:rsidRPr="009F0058" w:rsidRDefault="00FB7D34" w:rsidP="00FB7D34">
            <w:pPr>
              <w:pStyle w:val="TableDot"/>
            </w:pPr>
            <w:r w:rsidRPr="009F0058">
              <w:t xml:space="preserve">BSD-1014 Public </w:t>
            </w:r>
            <w:r w:rsidR="00C62273" w:rsidRPr="009F0058">
              <w:t>utility conduit sections (4.25m wide verge</w:t>
            </w:r>
            <w:r w:rsidRPr="009F0058">
              <w:t>).</w:t>
            </w:r>
          </w:p>
          <w:p w14:paraId="4038014E" w14:textId="21EC0F64" w:rsidR="00FB7D34" w:rsidRPr="009F0058" w:rsidRDefault="00FB7D34" w:rsidP="00FB7D34">
            <w:pPr>
              <w:pStyle w:val="TableDot"/>
            </w:pPr>
            <w:r w:rsidRPr="009F0058">
              <w:t xml:space="preserve">BSD-1015 Public </w:t>
            </w:r>
            <w:r w:rsidR="00C62273" w:rsidRPr="009F0058">
              <w:t>utility corridors and alignments (3.75m wide ver</w:t>
            </w:r>
            <w:r w:rsidRPr="009F0058">
              <w:t>ge).</w:t>
            </w:r>
          </w:p>
          <w:p w14:paraId="2EEF8C57" w14:textId="2FBAEFAA" w:rsidR="00FB7D34" w:rsidRPr="009F0058" w:rsidRDefault="00FB7D34" w:rsidP="00FB7D34">
            <w:pPr>
              <w:pStyle w:val="TableDot"/>
            </w:pPr>
            <w:r w:rsidRPr="009F0058">
              <w:t xml:space="preserve">BSD-1016 Public </w:t>
            </w:r>
            <w:r w:rsidR="00C62273" w:rsidRPr="009F0058">
              <w:t>utility conduit sections (3.75m wide verge</w:t>
            </w:r>
            <w:r w:rsidRPr="009F0058">
              <w:t>)</w:t>
            </w:r>
          </w:p>
          <w:p w14:paraId="4B6E4346" w14:textId="14A271CC" w:rsidR="00FB7D34" w:rsidRPr="009F0058" w:rsidRDefault="00FB7D34" w:rsidP="00FB7D34">
            <w:pPr>
              <w:pStyle w:val="TableDot"/>
            </w:pPr>
            <w:r w:rsidRPr="009F0058">
              <w:t>Standard Drawing BSD-4001 Electrical cable clearances.</w:t>
            </w:r>
          </w:p>
          <w:p w14:paraId="325064FF" w14:textId="45642FE8" w:rsidR="00E4456C" w:rsidRPr="009F0058" w:rsidRDefault="00FB7D34" w:rsidP="001379E6">
            <w:pPr>
              <w:pStyle w:val="TableDot"/>
            </w:pPr>
            <w:r w:rsidRPr="009F0058">
              <w:t xml:space="preserve">Standard Drawing BSD-4032 </w:t>
            </w:r>
            <w:r w:rsidR="0031000D" w:rsidRPr="009F0058">
              <w:t xml:space="preserve">Circular </w:t>
            </w:r>
            <w:r w:rsidR="00C62273" w:rsidRPr="009F0058">
              <w:t>cable jointing pit 600 dia</w:t>
            </w:r>
            <w:r w:rsidR="0031000D" w:rsidRPr="009F0058">
              <w:t xml:space="preserve">meter </w:t>
            </w:r>
            <w:r w:rsidR="00E4456C" w:rsidRPr="009F0058">
              <w:t>–</w:t>
            </w:r>
            <w:r w:rsidR="0031000D" w:rsidRPr="009F0058">
              <w:t xml:space="preserve"> Collar</w:t>
            </w:r>
            <w:r w:rsidR="00E4456C" w:rsidRPr="009F0058">
              <w:t>.</w:t>
            </w:r>
          </w:p>
          <w:p w14:paraId="6646599E" w14:textId="5EE8A681" w:rsidR="00FB7D34" w:rsidRPr="009F0058" w:rsidRDefault="00FB7D34" w:rsidP="001379E6">
            <w:pPr>
              <w:pStyle w:val="TableDot"/>
            </w:pPr>
            <w:r w:rsidRPr="009F0058">
              <w:t xml:space="preserve">Standard Drawing BSD-4033 </w:t>
            </w:r>
            <w:r w:rsidR="0031000D" w:rsidRPr="009F0058">
              <w:t>Circular C</w:t>
            </w:r>
            <w:r w:rsidR="00C62273" w:rsidRPr="009F0058">
              <w:t>able jointing pit 600 dia</w:t>
            </w:r>
            <w:r w:rsidR="0031000D" w:rsidRPr="009F0058">
              <w:t xml:space="preserve">meter </w:t>
            </w:r>
            <w:r w:rsidR="00E4456C" w:rsidRPr="009F0058">
              <w:t>–</w:t>
            </w:r>
            <w:r w:rsidR="0031000D" w:rsidRPr="009F0058">
              <w:t xml:space="preserve"> Cover</w:t>
            </w:r>
            <w:r w:rsidR="00E4456C" w:rsidRPr="009F0058">
              <w:t>.</w:t>
            </w:r>
          </w:p>
          <w:p w14:paraId="1161B046" w14:textId="5D679480" w:rsidR="00E4456C" w:rsidRPr="009F0058" w:rsidRDefault="00E4456C" w:rsidP="00E4456C">
            <w:pPr>
              <w:pStyle w:val="TableDot"/>
            </w:pPr>
            <w:r w:rsidRPr="009F0058">
              <w:t>Reference Specifications for Engineering Work S605 Traffic Signals Hardware Pits and Lids.</w:t>
            </w:r>
          </w:p>
          <w:p w14:paraId="14A46F19" w14:textId="27910653" w:rsidR="00746B30" w:rsidRPr="009F0058" w:rsidRDefault="00FB7D34" w:rsidP="00FB7D34">
            <w:pPr>
              <w:pStyle w:val="TableDot"/>
            </w:pPr>
            <w:r w:rsidRPr="009F0058">
              <w:t xml:space="preserve">DTMR </w:t>
            </w:r>
            <w:r w:rsidR="0043216C" w:rsidRPr="009F0058">
              <w:t xml:space="preserve">Specifications </w:t>
            </w:r>
            <w:r w:rsidRPr="009F0058">
              <w:t>MRTS91 Conduits and Pits.</w:t>
            </w:r>
          </w:p>
          <w:p w14:paraId="3AE40E6C" w14:textId="7E44BADC" w:rsidR="0031000D" w:rsidRPr="009F0058" w:rsidRDefault="0031000D" w:rsidP="0031000D">
            <w:pPr>
              <w:pStyle w:val="TableDot"/>
            </w:pPr>
            <w:r w:rsidRPr="009F0058">
              <w:t xml:space="preserve">DTMR Standard Drawing </w:t>
            </w:r>
            <w:r w:rsidR="00C46D63" w:rsidRPr="009F0058">
              <w:t>SD</w:t>
            </w:r>
            <w:r w:rsidRPr="009F0058">
              <w:t xml:space="preserve">1415 Traffic Signals/Road Lighting </w:t>
            </w:r>
            <w:r w:rsidR="00696B19" w:rsidRPr="009F0058">
              <w:t>–</w:t>
            </w:r>
            <w:r w:rsidRPr="009F0058">
              <w:t xml:space="preserve"> Cable Jointing Pit Type 60.</w:t>
            </w:r>
          </w:p>
        </w:tc>
      </w:tr>
      <w:tr w:rsidR="008003C2" w14:paraId="1FAEA609" w14:textId="77777777" w:rsidTr="00817386">
        <w:tc>
          <w:tcPr>
            <w:tcW w:w="2835" w:type="dxa"/>
            <w:tcBorders>
              <w:top w:val="single" w:sz="2" w:space="0" w:color="auto"/>
              <w:left w:val="nil"/>
              <w:bottom w:val="single" w:sz="12" w:space="0" w:color="auto"/>
              <w:right w:val="single" w:sz="2" w:space="0" w:color="auto"/>
            </w:tcBorders>
          </w:tcPr>
          <w:p w14:paraId="0A247952" w14:textId="77777777" w:rsidR="008003C2" w:rsidRDefault="008003C2" w:rsidP="00817386">
            <w:pPr>
              <w:pStyle w:val="Table"/>
            </w:pPr>
            <w:r>
              <w:t>Poles</w:t>
            </w:r>
          </w:p>
          <w:p w14:paraId="344EEE4B" w14:textId="77777777" w:rsidR="008003C2" w:rsidRDefault="008003C2" w:rsidP="00817386">
            <w:pPr>
              <w:pStyle w:val="Table"/>
            </w:pPr>
            <w:r>
              <w:t>Outreach</w:t>
            </w:r>
          </w:p>
          <w:p w14:paraId="2697F3CF" w14:textId="5318933A" w:rsidR="008003C2" w:rsidRDefault="008003C2" w:rsidP="00817386">
            <w:pPr>
              <w:pStyle w:val="Table"/>
            </w:pPr>
            <w:r>
              <w:t>Bracket</w:t>
            </w:r>
          </w:p>
        </w:tc>
        <w:tc>
          <w:tcPr>
            <w:tcW w:w="5533" w:type="dxa"/>
            <w:tcBorders>
              <w:top w:val="single" w:sz="2" w:space="0" w:color="auto"/>
              <w:left w:val="single" w:sz="2" w:space="0" w:color="auto"/>
              <w:bottom w:val="single" w:sz="12" w:space="0" w:color="auto"/>
              <w:right w:val="nil"/>
            </w:tcBorders>
          </w:tcPr>
          <w:p w14:paraId="0374DDBC" w14:textId="56F640CD" w:rsidR="008003C2" w:rsidRPr="009F0058" w:rsidRDefault="00FB7D34" w:rsidP="00817386">
            <w:pPr>
              <w:pStyle w:val="TableDot"/>
            </w:pPr>
            <w:r w:rsidRPr="009F0058">
              <w:t xml:space="preserve">Standard Drawing </w:t>
            </w:r>
            <w:r w:rsidR="00263BB2" w:rsidRPr="009F0058">
              <w:t>BSD-11004 3m Pedestrian light-pole</w:t>
            </w:r>
            <w:r w:rsidR="008F1587" w:rsidRPr="009F0058">
              <w:t>.</w:t>
            </w:r>
          </w:p>
          <w:p w14:paraId="4020D53C" w14:textId="6832A735" w:rsidR="009B76AE" w:rsidRPr="009F0058" w:rsidRDefault="009B76AE" w:rsidP="00817386">
            <w:pPr>
              <w:pStyle w:val="TableDot"/>
            </w:pPr>
            <w:r w:rsidRPr="009F0058">
              <w:t>Standard Drawing BSD-11005 5m Pedestrian light-pole.</w:t>
            </w:r>
          </w:p>
          <w:p w14:paraId="356B33CA" w14:textId="26FBF178" w:rsidR="008003C2" w:rsidRPr="009F0058" w:rsidRDefault="00FB7D34" w:rsidP="00817386">
            <w:pPr>
              <w:pStyle w:val="TableDot"/>
            </w:pPr>
            <w:r w:rsidRPr="009F0058">
              <w:t xml:space="preserve">Standard Drawing </w:t>
            </w:r>
            <w:r w:rsidR="008003C2" w:rsidRPr="009F0058">
              <w:t>BSD</w:t>
            </w:r>
            <w:r w:rsidR="008F1587" w:rsidRPr="009F0058">
              <w:t>-1</w:t>
            </w:r>
            <w:r w:rsidR="008003C2" w:rsidRPr="009F0058">
              <w:t xml:space="preserve">1031 </w:t>
            </w:r>
            <w:r w:rsidR="008F1587" w:rsidRPr="009F0058">
              <w:t xml:space="preserve">Typical </w:t>
            </w:r>
            <w:r w:rsidR="00C62273" w:rsidRPr="009F0058">
              <w:t>requirements for lighting of off-road shared bicycle pa</w:t>
            </w:r>
            <w:r w:rsidR="008F1587" w:rsidRPr="009F0058">
              <w:t>ths</w:t>
            </w:r>
          </w:p>
          <w:p w14:paraId="6CAE9297" w14:textId="6B89DC6A" w:rsidR="008003C2" w:rsidRPr="009F0058" w:rsidRDefault="00FB7D34" w:rsidP="00817386">
            <w:pPr>
              <w:pStyle w:val="TableDot"/>
            </w:pPr>
            <w:r w:rsidRPr="009F0058">
              <w:t xml:space="preserve">Standard Drawing </w:t>
            </w:r>
            <w:r w:rsidR="008003C2" w:rsidRPr="009F0058">
              <w:t xml:space="preserve">BSD-4123 to BSD- 4128 Joint use column details </w:t>
            </w:r>
            <w:r w:rsidR="00E4456C" w:rsidRPr="009F0058">
              <w:t xml:space="preserve">– </w:t>
            </w:r>
            <w:r w:rsidR="008003C2" w:rsidRPr="009F0058">
              <w:t>Council type.</w:t>
            </w:r>
          </w:p>
          <w:p w14:paraId="003A8C44" w14:textId="29735912" w:rsidR="008003C2" w:rsidRPr="009F0058" w:rsidRDefault="00FB7D34" w:rsidP="00817386">
            <w:pPr>
              <w:pStyle w:val="TableDot"/>
            </w:pPr>
            <w:r w:rsidRPr="009F0058">
              <w:t>Reference Specification</w:t>
            </w:r>
            <w:r w:rsidR="001B699D" w:rsidRPr="009F0058">
              <w:t>s</w:t>
            </w:r>
            <w:r w:rsidRPr="009F0058">
              <w:t xml:space="preserve"> </w:t>
            </w:r>
            <w:r w:rsidR="00E4456C" w:rsidRPr="009F0058">
              <w:t xml:space="preserve">for Engineering Work </w:t>
            </w:r>
            <w:r w:rsidR="008003C2" w:rsidRPr="009F0058">
              <w:t>S606 Traffic signals</w:t>
            </w:r>
            <w:r w:rsidR="00E4456C" w:rsidRPr="009F0058">
              <w:t xml:space="preserve"> –</w:t>
            </w:r>
            <w:r w:rsidR="008003C2" w:rsidRPr="009F0058">
              <w:t xml:space="preserve"> </w:t>
            </w:r>
            <w:r w:rsidR="00E4456C" w:rsidRPr="009F0058">
              <w:t>Poles</w:t>
            </w:r>
            <w:r w:rsidR="008003C2" w:rsidRPr="009F0058">
              <w:t>.</w:t>
            </w:r>
          </w:p>
          <w:p w14:paraId="10307D05" w14:textId="492CDE4E" w:rsidR="0031000D" w:rsidRPr="009F0058" w:rsidRDefault="00FB7D34" w:rsidP="0031000D">
            <w:pPr>
              <w:pStyle w:val="TableDot"/>
            </w:pPr>
            <w:r w:rsidRPr="009F0058">
              <w:t>Reference Specification</w:t>
            </w:r>
            <w:r w:rsidR="001B699D" w:rsidRPr="009F0058">
              <w:t>s</w:t>
            </w:r>
            <w:r w:rsidRPr="009F0058">
              <w:t xml:space="preserve"> </w:t>
            </w:r>
            <w:r w:rsidR="00E4456C" w:rsidRPr="009F0058">
              <w:t xml:space="preserve">for Engineering Work </w:t>
            </w:r>
            <w:r w:rsidR="008003C2" w:rsidRPr="009F0058">
              <w:t>S607 Traffic signals – Rag bolts.</w:t>
            </w:r>
          </w:p>
          <w:p w14:paraId="2E71012D" w14:textId="52BE4650" w:rsidR="00746B30" w:rsidRPr="009F0058" w:rsidRDefault="0031000D" w:rsidP="008F1587">
            <w:pPr>
              <w:pStyle w:val="TableDot"/>
            </w:pPr>
            <w:r w:rsidRPr="009F0058">
              <w:t xml:space="preserve">DTMR </w:t>
            </w:r>
            <w:r w:rsidR="001B699D" w:rsidRPr="009F0058">
              <w:t xml:space="preserve">Specification </w:t>
            </w:r>
            <w:r w:rsidR="008F1587" w:rsidRPr="009F0058">
              <w:t>MRTS94 Road Lighting.</w:t>
            </w:r>
          </w:p>
        </w:tc>
      </w:tr>
    </w:tbl>
    <w:p w14:paraId="62E24646" w14:textId="77777777" w:rsidR="00EB68B1" w:rsidRDefault="00EB68B1" w:rsidP="00BF3035">
      <w:pPr>
        <w:pStyle w:val="BodyTextIndent"/>
      </w:pPr>
      <w:bookmarkStart w:id="15" w:name="_Toc52953508"/>
    </w:p>
    <w:p w14:paraId="54FDD7CC" w14:textId="77777777" w:rsidR="00EB68B1" w:rsidRPr="00E6089C" w:rsidRDefault="00EB68B1" w:rsidP="00E6089C">
      <w:pPr>
        <w:pStyle w:val="BodyText"/>
      </w:pPr>
      <w:r>
        <w:br w:type="page"/>
      </w:r>
    </w:p>
    <w:p w14:paraId="7AEA4663" w14:textId="1DAEC665" w:rsidR="00974BCE" w:rsidRDefault="00974BCE" w:rsidP="00817308">
      <w:pPr>
        <w:pStyle w:val="Heading3"/>
      </w:pPr>
      <w:r w:rsidRPr="00D26944">
        <w:lastRenderedPageBreak/>
        <w:t>Definitions</w:t>
      </w:r>
      <w:bookmarkEnd w:id="15"/>
    </w:p>
    <w:tbl>
      <w:tblPr>
        <w:tblStyle w:val="TableGrid"/>
        <w:tblW w:w="8368" w:type="dxa"/>
        <w:tblInd w:w="704" w:type="dxa"/>
        <w:tblBorders>
          <w:top w:val="single" w:sz="12" w:space="0" w:color="auto"/>
          <w:left w:val="none" w:sz="0" w:space="0" w:color="auto"/>
          <w:bottom w:val="single" w:sz="12" w:space="0" w:color="auto"/>
          <w:right w:val="none" w:sz="0" w:space="0" w:color="auto"/>
          <w:insideH w:val="single" w:sz="2" w:space="0" w:color="auto"/>
          <w:insideV w:val="none" w:sz="0" w:space="0" w:color="auto"/>
        </w:tblBorders>
        <w:tblLook w:val="0400" w:firstRow="0" w:lastRow="0" w:firstColumn="0" w:lastColumn="0" w:noHBand="0" w:noVBand="1"/>
      </w:tblPr>
      <w:tblGrid>
        <w:gridCol w:w="2552"/>
        <w:gridCol w:w="5816"/>
      </w:tblGrid>
      <w:tr w:rsidR="008F1587" w14:paraId="37FF1A10" w14:textId="77777777" w:rsidTr="00817308">
        <w:trPr>
          <w:trHeight w:val="340"/>
        </w:trPr>
        <w:tc>
          <w:tcPr>
            <w:tcW w:w="2552" w:type="dxa"/>
            <w:vAlign w:val="center"/>
          </w:tcPr>
          <w:p w14:paraId="6A502CEF" w14:textId="3D341EFD" w:rsidR="006E3722" w:rsidRPr="008F1587" w:rsidRDefault="008F1587" w:rsidP="00C710C3">
            <w:pPr>
              <w:pStyle w:val="TableBold"/>
            </w:pPr>
            <w:r w:rsidRPr="008F1587">
              <w:t>Major roads luminaires</w:t>
            </w:r>
          </w:p>
        </w:tc>
        <w:tc>
          <w:tcPr>
            <w:tcW w:w="5816" w:type="dxa"/>
            <w:vAlign w:val="center"/>
          </w:tcPr>
          <w:p w14:paraId="20D8CB61" w14:textId="29B1D7A6" w:rsidR="008F1587" w:rsidRDefault="008F1587" w:rsidP="00C710C3">
            <w:pPr>
              <w:pStyle w:val="Table"/>
            </w:pPr>
            <w:r>
              <w:t>Luminaires used to illuminate arterial</w:t>
            </w:r>
            <w:r w:rsidRPr="007D3572">
              <w:t xml:space="preserve"> </w:t>
            </w:r>
            <w:r>
              <w:t>roads</w:t>
            </w:r>
            <w:r w:rsidRPr="007D3572">
              <w:t xml:space="preserve">, suburban </w:t>
            </w:r>
            <w:r>
              <w:t>roads</w:t>
            </w:r>
            <w:r w:rsidRPr="007D3572">
              <w:t xml:space="preserve">, district </w:t>
            </w:r>
            <w:r>
              <w:t>road</w:t>
            </w:r>
            <w:r w:rsidRPr="007D3572">
              <w:t>s,</w:t>
            </w:r>
            <w:r>
              <w:t xml:space="preserve"> primary freight routes, primary freight accesses (Category V).</w:t>
            </w:r>
          </w:p>
        </w:tc>
      </w:tr>
      <w:tr w:rsidR="008F1587" w14:paraId="665F004B" w14:textId="77777777" w:rsidTr="00817308">
        <w:trPr>
          <w:trHeight w:val="340"/>
        </w:trPr>
        <w:tc>
          <w:tcPr>
            <w:tcW w:w="2552" w:type="dxa"/>
            <w:vAlign w:val="center"/>
          </w:tcPr>
          <w:p w14:paraId="509798C6" w14:textId="094846A6" w:rsidR="008F1587" w:rsidRPr="008F1587" w:rsidRDefault="008F1587" w:rsidP="00C710C3">
            <w:pPr>
              <w:pStyle w:val="TableBold"/>
            </w:pPr>
            <w:r w:rsidRPr="008F1587">
              <w:t>Minor roads luminaires</w:t>
            </w:r>
          </w:p>
        </w:tc>
        <w:tc>
          <w:tcPr>
            <w:tcW w:w="5816" w:type="dxa"/>
            <w:vAlign w:val="center"/>
          </w:tcPr>
          <w:p w14:paraId="62CCD046" w14:textId="132DF05B" w:rsidR="008F1587" w:rsidRDefault="008F1587" w:rsidP="00C710C3">
            <w:pPr>
              <w:pStyle w:val="Table"/>
            </w:pPr>
            <w:r>
              <w:rPr>
                <w:rFonts w:cs="Arial"/>
              </w:rPr>
              <w:t xml:space="preserve">Luminaires used to illuminate neighbourhood roads lights for </w:t>
            </w:r>
            <w:r w:rsidRPr="007D3572">
              <w:rPr>
                <w:rFonts w:cs="Arial"/>
              </w:rPr>
              <w:t xml:space="preserve">local </w:t>
            </w:r>
            <w:r>
              <w:rPr>
                <w:rFonts w:cs="Arial"/>
              </w:rPr>
              <w:t>streets</w:t>
            </w:r>
            <w:r w:rsidRPr="007D3572">
              <w:rPr>
                <w:rFonts w:cs="Arial"/>
              </w:rPr>
              <w:t xml:space="preserve"> and </w:t>
            </w:r>
            <w:r>
              <w:rPr>
                <w:rFonts w:cs="Arial"/>
              </w:rPr>
              <w:t>laneways and other pedestrian dominated areas (Category P).</w:t>
            </w:r>
          </w:p>
        </w:tc>
      </w:tr>
      <w:tr w:rsidR="008F1587" w14:paraId="22254BAD" w14:textId="77777777" w:rsidTr="00817308">
        <w:trPr>
          <w:trHeight w:val="340"/>
        </w:trPr>
        <w:tc>
          <w:tcPr>
            <w:tcW w:w="2552" w:type="dxa"/>
            <w:vAlign w:val="center"/>
          </w:tcPr>
          <w:p w14:paraId="659B288B" w14:textId="3805C6C2" w:rsidR="008F1587" w:rsidRDefault="008F1587" w:rsidP="00C710C3">
            <w:pPr>
              <w:pStyle w:val="TableBold"/>
            </w:pPr>
            <w:r w:rsidRPr="00C97017">
              <w:rPr>
                <w:rFonts w:cs="Arial"/>
              </w:rPr>
              <w:t>AEMO</w:t>
            </w:r>
          </w:p>
        </w:tc>
        <w:tc>
          <w:tcPr>
            <w:tcW w:w="5816" w:type="dxa"/>
            <w:vAlign w:val="center"/>
          </w:tcPr>
          <w:p w14:paraId="0C6F3A89" w14:textId="0A5EE27E" w:rsidR="008F1587" w:rsidRDefault="008F1587" w:rsidP="00C710C3">
            <w:pPr>
              <w:pStyle w:val="Table"/>
            </w:pPr>
            <w:r w:rsidRPr="00C97017">
              <w:rPr>
                <w:rFonts w:cs="Arial"/>
              </w:rPr>
              <w:t>Australian Energy Market Operator</w:t>
            </w:r>
            <w:r w:rsidR="00F80A61">
              <w:rPr>
                <w:rFonts w:cs="Arial"/>
              </w:rPr>
              <w:t>.  R</w:t>
            </w:r>
            <w:r w:rsidRPr="00C97017">
              <w:rPr>
                <w:rFonts w:cs="Arial"/>
              </w:rPr>
              <w:t>esponsible for the administration and operation of the National Electricity Market (NEM)</w:t>
            </w:r>
          </w:p>
        </w:tc>
      </w:tr>
      <w:tr w:rsidR="00F80A61" w14:paraId="151BEFD3" w14:textId="77777777" w:rsidTr="00817308">
        <w:trPr>
          <w:trHeight w:val="340"/>
        </w:trPr>
        <w:tc>
          <w:tcPr>
            <w:tcW w:w="2552" w:type="dxa"/>
            <w:vAlign w:val="center"/>
          </w:tcPr>
          <w:p w14:paraId="74FACCF6" w14:textId="249BC96C" w:rsidR="00F80A61" w:rsidRDefault="00F80A61" w:rsidP="00C710C3">
            <w:pPr>
              <w:pStyle w:val="TableBold"/>
              <w:rPr>
                <w:rFonts w:cs="Arial"/>
              </w:rPr>
            </w:pPr>
            <w:r w:rsidRPr="00F80A61">
              <w:rPr>
                <w:rFonts w:cs="Arial"/>
              </w:rPr>
              <w:t>AER</w:t>
            </w:r>
          </w:p>
        </w:tc>
        <w:tc>
          <w:tcPr>
            <w:tcW w:w="5816" w:type="dxa"/>
            <w:vAlign w:val="center"/>
          </w:tcPr>
          <w:p w14:paraId="5495E26A" w14:textId="5F4FE2E3" w:rsidR="00F80A61" w:rsidRPr="000A0EAD" w:rsidRDefault="00F80A61" w:rsidP="00C710C3">
            <w:pPr>
              <w:pStyle w:val="Table"/>
              <w:rPr>
                <w:rFonts w:cs="Arial"/>
              </w:rPr>
            </w:pPr>
            <w:r w:rsidRPr="00F80A61">
              <w:rPr>
                <w:rFonts w:cs="Arial"/>
              </w:rPr>
              <w:t>Australian Energy Regulator</w:t>
            </w:r>
          </w:p>
        </w:tc>
      </w:tr>
      <w:tr w:rsidR="000A0EAD" w14:paraId="38B8E002" w14:textId="77777777" w:rsidTr="00817308">
        <w:trPr>
          <w:trHeight w:val="340"/>
        </w:trPr>
        <w:tc>
          <w:tcPr>
            <w:tcW w:w="2552" w:type="dxa"/>
            <w:vAlign w:val="center"/>
          </w:tcPr>
          <w:p w14:paraId="719F7AF0" w14:textId="779C41D0" w:rsidR="000A0EAD" w:rsidRPr="00C97017" w:rsidRDefault="000A0EAD" w:rsidP="00C710C3">
            <w:pPr>
              <w:pStyle w:val="TableBold"/>
              <w:rPr>
                <w:rFonts w:cs="Arial"/>
              </w:rPr>
            </w:pPr>
            <w:r>
              <w:rPr>
                <w:rFonts w:cs="Arial"/>
              </w:rPr>
              <w:t>ANSI</w:t>
            </w:r>
          </w:p>
        </w:tc>
        <w:tc>
          <w:tcPr>
            <w:tcW w:w="5816" w:type="dxa"/>
            <w:vAlign w:val="center"/>
          </w:tcPr>
          <w:p w14:paraId="0E3C41E6" w14:textId="3EC226E5" w:rsidR="000A0EAD" w:rsidRDefault="000A0EAD" w:rsidP="00C710C3">
            <w:pPr>
              <w:pStyle w:val="Table"/>
              <w:rPr>
                <w:rFonts w:cs="Arial"/>
              </w:rPr>
            </w:pPr>
            <w:r w:rsidRPr="000A0EAD">
              <w:rPr>
                <w:rFonts w:cs="Arial"/>
              </w:rPr>
              <w:t>American National Standards Institute</w:t>
            </w:r>
            <w:r>
              <w:rPr>
                <w:rFonts w:cs="Arial"/>
              </w:rPr>
              <w:t xml:space="preserve"> </w:t>
            </w:r>
            <w:r w:rsidRPr="000A0EAD">
              <w:rPr>
                <w:rFonts w:cs="Arial"/>
              </w:rPr>
              <w:t>(U.S.A)</w:t>
            </w:r>
          </w:p>
        </w:tc>
      </w:tr>
      <w:tr w:rsidR="00EC4F57" w14:paraId="629EC26F" w14:textId="77777777" w:rsidTr="00817308">
        <w:trPr>
          <w:trHeight w:val="340"/>
        </w:trPr>
        <w:tc>
          <w:tcPr>
            <w:tcW w:w="2552" w:type="dxa"/>
            <w:vAlign w:val="center"/>
          </w:tcPr>
          <w:p w14:paraId="02321083" w14:textId="716E2882" w:rsidR="00EC4F57" w:rsidRPr="00C97017" w:rsidRDefault="00EC4F57" w:rsidP="00C710C3">
            <w:pPr>
              <w:pStyle w:val="TableBold"/>
              <w:rPr>
                <w:rFonts w:cs="Arial"/>
              </w:rPr>
            </w:pPr>
            <w:r>
              <w:rPr>
                <w:rFonts w:cs="Arial"/>
              </w:rPr>
              <w:t>BSI</w:t>
            </w:r>
          </w:p>
        </w:tc>
        <w:tc>
          <w:tcPr>
            <w:tcW w:w="5816" w:type="dxa"/>
            <w:vAlign w:val="center"/>
          </w:tcPr>
          <w:p w14:paraId="55B02C42" w14:textId="1C382145" w:rsidR="00EC4F57" w:rsidRDefault="00EC4F57" w:rsidP="00C710C3">
            <w:pPr>
              <w:pStyle w:val="Table"/>
              <w:rPr>
                <w:rFonts w:cs="Arial"/>
              </w:rPr>
            </w:pPr>
            <w:r w:rsidRPr="00EC4F57">
              <w:rPr>
                <w:rFonts w:cs="Arial"/>
              </w:rPr>
              <w:t>British Standards Institution</w:t>
            </w:r>
            <w:r>
              <w:rPr>
                <w:rFonts w:cs="Arial"/>
              </w:rPr>
              <w:t xml:space="preserve"> (U.K.)</w:t>
            </w:r>
          </w:p>
        </w:tc>
      </w:tr>
      <w:tr w:rsidR="008F1587" w14:paraId="7EEB6192" w14:textId="77777777" w:rsidTr="00817308">
        <w:trPr>
          <w:trHeight w:val="340"/>
        </w:trPr>
        <w:tc>
          <w:tcPr>
            <w:tcW w:w="2552" w:type="dxa"/>
            <w:vAlign w:val="center"/>
          </w:tcPr>
          <w:p w14:paraId="0BD4DE47" w14:textId="5CF4B68B" w:rsidR="008F1587" w:rsidRDefault="008F1587" w:rsidP="00C710C3">
            <w:pPr>
              <w:pStyle w:val="TableBold"/>
            </w:pPr>
            <w:r w:rsidRPr="00C97017">
              <w:rPr>
                <w:rFonts w:cs="Arial"/>
              </w:rPr>
              <w:t>Colour Rendering Index (CRI)</w:t>
            </w:r>
          </w:p>
        </w:tc>
        <w:tc>
          <w:tcPr>
            <w:tcW w:w="5816" w:type="dxa"/>
            <w:vAlign w:val="center"/>
          </w:tcPr>
          <w:p w14:paraId="006006A4" w14:textId="61AC5F0E" w:rsidR="008F1587" w:rsidRDefault="008F1587" w:rsidP="00C710C3">
            <w:pPr>
              <w:pStyle w:val="Table"/>
            </w:pPr>
            <w:r>
              <w:rPr>
                <w:rFonts w:cs="Arial"/>
              </w:rPr>
              <w:t>A</w:t>
            </w:r>
            <w:r w:rsidRPr="00C97017">
              <w:rPr>
                <w:rFonts w:cs="Arial"/>
              </w:rPr>
              <w:t xml:space="preserve"> measure of how well the light source renders colours.</w:t>
            </w:r>
            <w:r>
              <w:rPr>
                <w:rFonts w:cs="Arial"/>
              </w:rPr>
              <w:t xml:space="preserve"> </w:t>
            </w:r>
            <w:r w:rsidRPr="00C97017">
              <w:rPr>
                <w:rFonts w:cs="Arial"/>
              </w:rPr>
              <w:t xml:space="preserve"> The index ranges from 0-100 with 100 being full and accurate colour rendition</w:t>
            </w:r>
            <w:r>
              <w:rPr>
                <w:rFonts w:cs="Arial"/>
              </w:rPr>
              <w:t>.</w:t>
            </w:r>
          </w:p>
        </w:tc>
      </w:tr>
      <w:tr w:rsidR="008F1587" w14:paraId="0F69E754" w14:textId="77777777" w:rsidTr="00817308">
        <w:trPr>
          <w:trHeight w:val="340"/>
        </w:trPr>
        <w:tc>
          <w:tcPr>
            <w:tcW w:w="2552" w:type="dxa"/>
            <w:vAlign w:val="center"/>
          </w:tcPr>
          <w:p w14:paraId="270B0D63" w14:textId="115ED135" w:rsidR="008F1587" w:rsidRDefault="008F1587" w:rsidP="00C710C3">
            <w:pPr>
              <w:pStyle w:val="TableBold"/>
            </w:pPr>
            <w:r w:rsidRPr="00C97017">
              <w:rPr>
                <w:rFonts w:cs="Arial"/>
              </w:rPr>
              <w:t>Correlated Colour Temperature (CCT)</w:t>
            </w:r>
          </w:p>
        </w:tc>
        <w:tc>
          <w:tcPr>
            <w:tcW w:w="5816" w:type="dxa"/>
            <w:vAlign w:val="center"/>
          </w:tcPr>
          <w:p w14:paraId="6E0D4DAD" w14:textId="11B2B002" w:rsidR="008F1587" w:rsidRDefault="008F1587" w:rsidP="00C710C3">
            <w:pPr>
              <w:pStyle w:val="Table"/>
            </w:pPr>
            <w:r>
              <w:rPr>
                <w:rFonts w:cs="Arial"/>
              </w:rPr>
              <w:t>M</w:t>
            </w:r>
            <w:r w:rsidRPr="00C97017">
              <w:rPr>
                <w:rFonts w:cs="Arial"/>
              </w:rPr>
              <w:t>easures the colour temperature of light. Colour temperature is measured in Kelvins (K).  Lighting is described as warm (lower Kelvins) to cooler (higher Kelvins)</w:t>
            </w:r>
          </w:p>
        </w:tc>
      </w:tr>
      <w:tr w:rsidR="000A0EAD" w14:paraId="335C72DD" w14:textId="77777777" w:rsidTr="00817308">
        <w:trPr>
          <w:trHeight w:val="340"/>
        </w:trPr>
        <w:tc>
          <w:tcPr>
            <w:tcW w:w="2552" w:type="dxa"/>
            <w:vAlign w:val="center"/>
          </w:tcPr>
          <w:p w14:paraId="590F77A6" w14:textId="4C734262" w:rsidR="000A0EAD" w:rsidRPr="00C97017" w:rsidRDefault="000A0EAD" w:rsidP="00C710C3">
            <w:pPr>
              <w:pStyle w:val="TableBold"/>
              <w:rPr>
                <w:rFonts w:cs="Arial"/>
              </w:rPr>
            </w:pPr>
            <w:r>
              <w:rPr>
                <w:rFonts w:cs="Arial"/>
              </w:rPr>
              <w:t>DTMR</w:t>
            </w:r>
          </w:p>
        </w:tc>
        <w:tc>
          <w:tcPr>
            <w:tcW w:w="5816" w:type="dxa"/>
            <w:vAlign w:val="center"/>
          </w:tcPr>
          <w:p w14:paraId="416DFBAA" w14:textId="0A6DA2E2" w:rsidR="000A0EAD" w:rsidRPr="00C97017" w:rsidRDefault="000A0EAD" w:rsidP="00C710C3">
            <w:pPr>
              <w:pStyle w:val="Table"/>
              <w:rPr>
                <w:rFonts w:cs="Arial"/>
              </w:rPr>
            </w:pPr>
            <w:r w:rsidRPr="000A0EAD">
              <w:rPr>
                <w:rFonts w:cs="Arial"/>
              </w:rPr>
              <w:t>Queensland Department of Transport and Main Roads</w:t>
            </w:r>
          </w:p>
        </w:tc>
      </w:tr>
      <w:tr w:rsidR="00C710C3" w14:paraId="32C44CF0" w14:textId="77777777" w:rsidTr="00817308">
        <w:trPr>
          <w:trHeight w:val="340"/>
        </w:trPr>
        <w:tc>
          <w:tcPr>
            <w:tcW w:w="2552" w:type="dxa"/>
            <w:vAlign w:val="center"/>
          </w:tcPr>
          <w:p w14:paraId="34E377A1" w14:textId="4BC7F4C6" w:rsidR="00C710C3" w:rsidRDefault="00C710C3" w:rsidP="00C710C3">
            <w:pPr>
              <w:pStyle w:val="TableBold"/>
              <w:rPr>
                <w:rFonts w:cs="Arial"/>
              </w:rPr>
            </w:pPr>
            <w:r w:rsidRPr="00C710C3">
              <w:rPr>
                <w:rFonts w:cs="Arial"/>
              </w:rPr>
              <w:t>IEC</w:t>
            </w:r>
          </w:p>
        </w:tc>
        <w:tc>
          <w:tcPr>
            <w:tcW w:w="5816" w:type="dxa"/>
            <w:vAlign w:val="center"/>
          </w:tcPr>
          <w:p w14:paraId="28DE4770" w14:textId="77777777" w:rsidR="00C710C3" w:rsidRDefault="00C710C3" w:rsidP="00C710C3">
            <w:pPr>
              <w:pStyle w:val="Table"/>
              <w:rPr>
                <w:rFonts w:cs="Arial"/>
              </w:rPr>
            </w:pPr>
            <w:r w:rsidRPr="00C710C3">
              <w:rPr>
                <w:rFonts w:cs="Arial"/>
              </w:rPr>
              <w:t>International Electrotechnical Commission</w:t>
            </w:r>
            <w:r>
              <w:rPr>
                <w:rFonts w:cs="Arial"/>
              </w:rPr>
              <w:t xml:space="preserve"> (Switzerland)</w:t>
            </w:r>
          </w:p>
          <w:p w14:paraId="15713328" w14:textId="18FB633F" w:rsidR="00C710C3" w:rsidRPr="00C710C3" w:rsidRDefault="00C710C3" w:rsidP="00C710C3">
            <w:pPr>
              <w:pStyle w:val="Table"/>
              <w:rPr>
                <w:rFonts w:cs="Arial"/>
              </w:rPr>
            </w:pPr>
            <w:r>
              <w:rPr>
                <w:rFonts w:cs="Arial"/>
              </w:rPr>
              <w:t xml:space="preserve">(also known as </w:t>
            </w:r>
            <w:r w:rsidRPr="00C710C3">
              <w:rPr>
                <w:rFonts w:cs="Arial"/>
              </w:rPr>
              <w:t xml:space="preserve">Commission </w:t>
            </w:r>
            <w:r>
              <w:rPr>
                <w:rFonts w:cs="Arial"/>
              </w:rPr>
              <w:t>É</w:t>
            </w:r>
            <w:r w:rsidRPr="00C710C3">
              <w:rPr>
                <w:rFonts w:cs="Arial"/>
              </w:rPr>
              <w:t xml:space="preserve">lectrotechnique </w:t>
            </w:r>
            <w:r>
              <w:rPr>
                <w:rFonts w:cs="Arial"/>
              </w:rPr>
              <w:t>I</w:t>
            </w:r>
            <w:r w:rsidRPr="00C710C3">
              <w:rPr>
                <w:rFonts w:cs="Arial"/>
              </w:rPr>
              <w:t>nternationale)</w:t>
            </w:r>
          </w:p>
        </w:tc>
      </w:tr>
      <w:tr w:rsidR="00C710C3" w14:paraId="39D65214" w14:textId="77777777" w:rsidTr="00817308">
        <w:trPr>
          <w:trHeight w:val="340"/>
        </w:trPr>
        <w:tc>
          <w:tcPr>
            <w:tcW w:w="2552" w:type="dxa"/>
            <w:vAlign w:val="center"/>
          </w:tcPr>
          <w:p w14:paraId="36BEF454" w14:textId="75EDCA39" w:rsidR="00C710C3" w:rsidRDefault="00C710C3" w:rsidP="00C710C3">
            <w:pPr>
              <w:pStyle w:val="TableBold"/>
              <w:rPr>
                <w:rFonts w:cs="Arial"/>
              </w:rPr>
            </w:pPr>
            <w:r w:rsidRPr="00C710C3">
              <w:rPr>
                <w:rFonts w:cs="Arial"/>
              </w:rPr>
              <w:t>ILAC</w:t>
            </w:r>
          </w:p>
        </w:tc>
        <w:tc>
          <w:tcPr>
            <w:tcW w:w="5816" w:type="dxa"/>
            <w:vAlign w:val="center"/>
          </w:tcPr>
          <w:p w14:paraId="56B005AB" w14:textId="19BED250" w:rsidR="00C710C3" w:rsidRPr="00C710C3" w:rsidRDefault="00C710C3" w:rsidP="00C710C3">
            <w:pPr>
              <w:pStyle w:val="Table"/>
              <w:rPr>
                <w:rFonts w:cs="Arial"/>
              </w:rPr>
            </w:pPr>
            <w:r w:rsidRPr="00C710C3">
              <w:rPr>
                <w:rFonts w:cs="Arial"/>
              </w:rPr>
              <w:t>International Laboratory Accreditation Corporation</w:t>
            </w:r>
          </w:p>
        </w:tc>
      </w:tr>
      <w:tr w:rsidR="00C710C3" w14:paraId="22D1FCE5" w14:textId="77777777" w:rsidTr="00817308">
        <w:trPr>
          <w:trHeight w:val="340"/>
        </w:trPr>
        <w:tc>
          <w:tcPr>
            <w:tcW w:w="2552" w:type="dxa"/>
            <w:vAlign w:val="center"/>
          </w:tcPr>
          <w:p w14:paraId="31D7CB81" w14:textId="7898A9FB" w:rsidR="00C710C3" w:rsidRPr="00C97017" w:rsidRDefault="00C710C3" w:rsidP="00C710C3">
            <w:pPr>
              <w:pStyle w:val="TableBold"/>
              <w:rPr>
                <w:rFonts w:cs="Arial"/>
              </w:rPr>
            </w:pPr>
            <w:r>
              <w:rPr>
                <w:rFonts w:cs="Arial"/>
              </w:rPr>
              <w:t>ISO</w:t>
            </w:r>
          </w:p>
        </w:tc>
        <w:tc>
          <w:tcPr>
            <w:tcW w:w="5816" w:type="dxa"/>
            <w:vAlign w:val="center"/>
          </w:tcPr>
          <w:p w14:paraId="3EA6DF51" w14:textId="1E9198A0" w:rsidR="00C710C3" w:rsidRPr="00C97017" w:rsidRDefault="00C710C3" w:rsidP="00C710C3">
            <w:pPr>
              <w:pStyle w:val="Table"/>
              <w:rPr>
                <w:rFonts w:cs="Arial"/>
              </w:rPr>
            </w:pPr>
            <w:r w:rsidRPr="00C710C3">
              <w:rPr>
                <w:rFonts w:cs="Arial"/>
              </w:rPr>
              <w:t>International Organization for Standardization</w:t>
            </w:r>
          </w:p>
        </w:tc>
      </w:tr>
      <w:tr w:rsidR="008F1587" w14:paraId="4FC13573" w14:textId="77777777" w:rsidTr="00817308">
        <w:trPr>
          <w:trHeight w:val="340"/>
        </w:trPr>
        <w:tc>
          <w:tcPr>
            <w:tcW w:w="2552" w:type="dxa"/>
            <w:vAlign w:val="center"/>
          </w:tcPr>
          <w:p w14:paraId="6CDC3032" w14:textId="3467646C" w:rsidR="008F1587" w:rsidRDefault="008F1587" w:rsidP="00C710C3">
            <w:pPr>
              <w:pStyle w:val="TableBold"/>
            </w:pPr>
            <w:r w:rsidRPr="00C97017">
              <w:rPr>
                <w:rFonts w:cs="Arial"/>
              </w:rPr>
              <w:t>Lumens (lm)</w:t>
            </w:r>
          </w:p>
        </w:tc>
        <w:tc>
          <w:tcPr>
            <w:tcW w:w="5816" w:type="dxa"/>
            <w:vAlign w:val="center"/>
          </w:tcPr>
          <w:p w14:paraId="5631CE39" w14:textId="41DF1387" w:rsidR="008F1587" w:rsidRDefault="00C710C3" w:rsidP="00C710C3">
            <w:pPr>
              <w:pStyle w:val="Table"/>
            </w:pPr>
            <w:r>
              <w:rPr>
                <w:rFonts w:cs="Arial"/>
              </w:rPr>
              <w:t>M</w:t>
            </w:r>
            <w:r w:rsidR="008F1587" w:rsidRPr="00C97017">
              <w:rPr>
                <w:rFonts w:cs="Arial"/>
              </w:rPr>
              <w:t>easure of the total amount of visible light (to the human eye) from a lamp or light source</w:t>
            </w:r>
          </w:p>
        </w:tc>
      </w:tr>
      <w:tr w:rsidR="008F1587" w14:paraId="4BCF728C" w14:textId="77777777" w:rsidTr="00817308">
        <w:trPr>
          <w:trHeight w:val="340"/>
        </w:trPr>
        <w:tc>
          <w:tcPr>
            <w:tcW w:w="2552" w:type="dxa"/>
            <w:vAlign w:val="center"/>
          </w:tcPr>
          <w:p w14:paraId="422C6753" w14:textId="0B2F8FD2" w:rsidR="008F1587" w:rsidRDefault="008F1587" w:rsidP="00C710C3">
            <w:pPr>
              <w:pStyle w:val="TableBold"/>
            </w:pPr>
            <w:r w:rsidRPr="00C97017">
              <w:rPr>
                <w:rFonts w:cs="Arial"/>
              </w:rPr>
              <w:t xml:space="preserve">Luminous </w:t>
            </w:r>
            <w:r w:rsidR="004D5011">
              <w:rPr>
                <w:rFonts w:cs="Arial"/>
              </w:rPr>
              <w:t>e</w:t>
            </w:r>
            <w:r w:rsidRPr="00C97017">
              <w:rPr>
                <w:rFonts w:cs="Arial"/>
              </w:rPr>
              <w:t>fficacy</w:t>
            </w:r>
          </w:p>
        </w:tc>
        <w:tc>
          <w:tcPr>
            <w:tcW w:w="5816" w:type="dxa"/>
            <w:vAlign w:val="center"/>
          </w:tcPr>
          <w:p w14:paraId="3C84C03B" w14:textId="4ACDA052" w:rsidR="008F1587" w:rsidRDefault="008F1587" w:rsidP="00C710C3">
            <w:pPr>
              <w:pStyle w:val="Table"/>
            </w:pPr>
            <w:r w:rsidRPr="00C97017">
              <w:rPr>
                <w:rFonts w:cs="Arial"/>
              </w:rPr>
              <w:t>Energy efficiency of light sources is typically measured in lumens per watt (lm/W), meaning the amount of light produced for each watt of electricity consumed by the light source.</w:t>
            </w:r>
          </w:p>
        </w:tc>
      </w:tr>
      <w:tr w:rsidR="09A97922" w14:paraId="62E192EB" w14:textId="77777777" w:rsidTr="00817308">
        <w:trPr>
          <w:trHeight w:val="340"/>
        </w:trPr>
        <w:tc>
          <w:tcPr>
            <w:tcW w:w="2552" w:type="dxa"/>
            <w:vAlign w:val="center"/>
          </w:tcPr>
          <w:p w14:paraId="352A5092" w14:textId="5A1D13FD" w:rsidR="3BEA1B0E" w:rsidRDefault="3BEA1B0E" w:rsidP="00DC6DE4">
            <w:pPr>
              <w:pStyle w:val="TableBold"/>
              <w:rPr>
                <w:rFonts w:cs="Arial"/>
              </w:rPr>
            </w:pPr>
            <w:r w:rsidRPr="09A97922">
              <w:rPr>
                <w:rFonts w:cs="Arial"/>
              </w:rPr>
              <w:t>On pole warranty</w:t>
            </w:r>
          </w:p>
        </w:tc>
        <w:tc>
          <w:tcPr>
            <w:tcW w:w="5816" w:type="dxa"/>
            <w:vAlign w:val="center"/>
          </w:tcPr>
          <w:p w14:paraId="15A2C4E6" w14:textId="77777777" w:rsidR="00170D4E" w:rsidRDefault="00DC6DE4" w:rsidP="00DC6DE4">
            <w:pPr>
              <w:pStyle w:val="Table"/>
              <w:rPr>
                <w:rFonts w:cs="Arial"/>
              </w:rPr>
            </w:pPr>
            <w:r w:rsidRPr="00DC6DE4">
              <w:rPr>
                <w:rFonts w:cs="Arial"/>
              </w:rPr>
              <w:t xml:space="preserve">A warranty shall be provided for either repair or replacement of the defective parts of the luminaire once installed in the operational location on a suitable pole. </w:t>
            </w:r>
          </w:p>
          <w:p w14:paraId="5682BD7B" w14:textId="1AEC0D05" w:rsidR="09A97922" w:rsidRDefault="00170D4E" w:rsidP="0041174F">
            <w:pPr>
              <w:pStyle w:val="Table"/>
              <w:rPr>
                <w:rFonts w:cs="Arial"/>
              </w:rPr>
            </w:pPr>
            <w:r w:rsidRPr="00170D4E">
              <w:rPr>
                <w:rFonts w:cs="Arial"/>
              </w:rPr>
              <w:t>The warranty is to include the total cost the repair of a luminaire during the warranty period, including the identification of the fault and the return of the luminaire to normal operations, including but not limited to replacement luminaire &amp;/or parts, labour and traffic control, if required.</w:t>
            </w:r>
          </w:p>
        </w:tc>
      </w:tr>
      <w:tr w:rsidR="00C710C3" w14:paraId="3E7C7591" w14:textId="77777777" w:rsidTr="00817308">
        <w:trPr>
          <w:trHeight w:val="340"/>
        </w:trPr>
        <w:tc>
          <w:tcPr>
            <w:tcW w:w="2552" w:type="dxa"/>
            <w:vMerge w:val="restart"/>
            <w:vAlign w:val="center"/>
          </w:tcPr>
          <w:p w14:paraId="706A39E6" w14:textId="2009054A" w:rsidR="00C710C3" w:rsidRDefault="00C710C3" w:rsidP="00C710C3">
            <w:pPr>
              <w:pStyle w:val="TableBold"/>
            </w:pPr>
            <w:r w:rsidRPr="00C97017">
              <w:rPr>
                <w:rFonts w:cs="Arial"/>
              </w:rPr>
              <w:t xml:space="preserve">Public </w:t>
            </w:r>
            <w:r w:rsidR="004D5011">
              <w:rPr>
                <w:rFonts w:cs="Arial"/>
              </w:rPr>
              <w:t>l</w:t>
            </w:r>
            <w:r w:rsidRPr="00C97017">
              <w:rPr>
                <w:rFonts w:cs="Arial"/>
              </w:rPr>
              <w:t>ighting</w:t>
            </w:r>
          </w:p>
        </w:tc>
        <w:tc>
          <w:tcPr>
            <w:tcW w:w="5816" w:type="dxa"/>
            <w:vAlign w:val="center"/>
          </w:tcPr>
          <w:p w14:paraId="363C32FA" w14:textId="10A15EB3" w:rsidR="00C710C3" w:rsidRDefault="00C710C3" w:rsidP="00C710C3">
            <w:pPr>
              <w:pStyle w:val="Table"/>
            </w:pPr>
            <w:r w:rsidRPr="00C97017">
              <w:rPr>
                <w:rFonts w:cs="Arial"/>
              </w:rPr>
              <w:t>Lighting for any roadway, pathway or dedicated public thoroughfare, park or precinct (Lighting provided in accordance with the AS/NZS</w:t>
            </w:r>
            <w:r>
              <w:rPr>
                <w:rFonts w:cs="Arial"/>
              </w:rPr>
              <w:t> </w:t>
            </w:r>
            <w:r w:rsidRPr="00C97017">
              <w:rPr>
                <w:rFonts w:cs="Arial"/>
              </w:rPr>
              <w:t>1158 series)</w:t>
            </w:r>
          </w:p>
        </w:tc>
      </w:tr>
      <w:tr w:rsidR="00C710C3" w14:paraId="7B89D973" w14:textId="77777777" w:rsidTr="00817308">
        <w:trPr>
          <w:trHeight w:val="340"/>
        </w:trPr>
        <w:tc>
          <w:tcPr>
            <w:tcW w:w="2552" w:type="dxa"/>
            <w:vMerge/>
            <w:vAlign w:val="center"/>
          </w:tcPr>
          <w:p w14:paraId="107CAA26" w14:textId="77777777" w:rsidR="00C710C3" w:rsidRDefault="00C710C3">
            <w:pPr>
              <w:pStyle w:val="TableBold"/>
            </w:pPr>
          </w:p>
        </w:tc>
        <w:tc>
          <w:tcPr>
            <w:tcW w:w="5816" w:type="dxa"/>
            <w:vAlign w:val="center"/>
          </w:tcPr>
          <w:p w14:paraId="1FA39B0C" w14:textId="77777777" w:rsidR="00C710C3" w:rsidRPr="00C97017" w:rsidRDefault="00C710C3" w:rsidP="00C710C3">
            <w:pPr>
              <w:pStyle w:val="Table"/>
            </w:pPr>
            <w:r w:rsidRPr="00C97017">
              <w:t>Public Lighting can be divided into two broad categories: -</w:t>
            </w:r>
          </w:p>
          <w:p w14:paraId="4BC4AD4E" w14:textId="77777777" w:rsidR="00C710C3" w:rsidRPr="00C97017" w:rsidRDefault="00C710C3" w:rsidP="00C710C3">
            <w:pPr>
              <w:pStyle w:val="TableDot"/>
            </w:pPr>
            <w:r w:rsidRPr="00C97017">
              <w:t>Category V (Vehicle) lighting, lighting that is applicable to roads on which the visual requirements of motorists are dominant</w:t>
            </w:r>
          </w:p>
          <w:p w14:paraId="19981C7E" w14:textId="33FE0480" w:rsidR="00C710C3" w:rsidRDefault="00C710C3" w:rsidP="00C710C3">
            <w:pPr>
              <w:pStyle w:val="TableDot"/>
            </w:pPr>
            <w:r w:rsidRPr="00C97017">
              <w:t>Category P (Pedestrian) lighting, lighting that is applicable to roads and other outdoor public spaces on which the visual requirements of pedestrians are dominant.</w:t>
            </w:r>
          </w:p>
        </w:tc>
      </w:tr>
      <w:tr w:rsidR="008F1587" w14:paraId="4FE4134A" w14:textId="77777777" w:rsidTr="00817308">
        <w:trPr>
          <w:trHeight w:val="340"/>
        </w:trPr>
        <w:tc>
          <w:tcPr>
            <w:tcW w:w="2552" w:type="dxa"/>
            <w:vAlign w:val="center"/>
          </w:tcPr>
          <w:p w14:paraId="7267FC26" w14:textId="404C64EF" w:rsidR="008F1587" w:rsidRDefault="000C6B01" w:rsidP="00C710C3">
            <w:pPr>
              <w:pStyle w:val="TableBold"/>
            </w:pPr>
            <w:r w:rsidRPr="00C97017">
              <w:rPr>
                <w:rFonts w:cs="Arial"/>
              </w:rPr>
              <w:t>NEMA</w:t>
            </w:r>
          </w:p>
        </w:tc>
        <w:tc>
          <w:tcPr>
            <w:tcW w:w="5816" w:type="dxa"/>
            <w:vAlign w:val="center"/>
          </w:tcPr>
          <w:p w14:paraId="1A4122E3" w14:textId="0E28DCAD" w:rsidR="008F1587" w:rsidRDefault="000C6B01" w:rsidP="00C710C3">
            <w:pPr>
              <w:pStyle w:val="Table"/>
            </w:pPr>
            <w:r w:rsidRPr="00C97017">
              <w:rPr>
                <w:rFonts w:cs="Arial"/>
              </w:rPr>
              <w:t>National Electrical Manufacturers Association (U.S.A)</w:t>
            </w:r>
          </w:p>
        </w:tc>
      </w:tr>
      <w:tr w:rsidR="008F1587" w14:paraId="64A68108" w14:textId="77777777" w:rsidTr="00817308">
        <w:trPr>
          <w:trHeight w:val="340"/>
        </w:trPr>
        <w:tc>
          <w:tcPr>
            <w:tcW w:w="2552" w:type="dxa"/>
            <w:vAlign w:val="center"/>
          </w:tcPr>
          <w:p w14:paraId="7BC4D9E4" w14:textId="07AE9102" w:rsidR="008F1587" w:rsidRDefault="000C6B01" w:rsidP="00C710C3">
            <w:pPr>
              <w:pStyle w:val="TableBold"/>
            </w:pPr>
            <w:r w:rsidRPr="00C97017">
              <w:rPr>
                <w:rFonts w:cs="Arial"/>
              </w:rPr>
              <w:t>NEMA 7</w:t>
            </w:r>
            <w:r w:rsidR="00A3211E">
              <w:t> </w:t>
            </w:r>
            <w:r w:rsidRPr="00C97017">
              <w:rPr>
                <w:rFonts w:cs="Arial"/>
              </w:rPr>
              <w:t xml:space="preserve">PIN </w:t>
            </w:r>
            <w:r w:rsidR="004D5011">
              <w:rPr>
                <w:rFonts w:cs="Arial"/>
              </w:rPr>
              <w:t>r</w:t>
            </w:r>
            <w:r w:rsidRPr="00C97017">
              <w:rPr>
                <w:rFonts w:cs="Arial"/>
              </w:rPr>
              <w:t>eceptacle</w:t>
            </w:r>
          </w:p>
        </w:tc>
        <w:tc>
          <w:tcPr>
            <w:tcW w:w="5816" w:type="dxa"/>
            <w:vAlign w:val="center"/>
          </w:tcPr>
          <w:p w14:paraId="49E80221" w14:textId="4DC44D1C" w:rsidR="008F1587" w:rsidRDefault="000C6B01" w:rsidP="00C710C3">
            <w:pPr>
              <w:pStyle w:val="Table"/>
            </w:pPr>
            <w:r w:rsidRPr="00C97017">
              <w:rPr>
                <w:rFonts w:cs="Arial"/>
              </w:rPr>
              <w:t>NEMA approved photoelectric control receptacle (base only) pre-wired into luminaire</w:t>
            </w:r>
          </w:p>
        </w:tc>
      </w:tr>
      <w:tr w:rsidR="008F1587" w14:paraId="50A36BC3" w14:textId="77777777" w:rsidTr="00817308">
        <w:trPr>
          <w:trHeight w:val="340"/>
        </w:trPr>
        <w:tc>
          <w:tcPr>
            <w:tcW w:w="2552" w:type="dxa"/>
            <w:vAlign w:val="center"/>
          </w:tcPr>
          <w:p w14:paraId="62B0EFF6" w14:textId="75C4EBBB" w:rsidR="008F1587" w:rsidRDefault="000C6B01" w:rsidP="00C710C3">
            <w:pPr>
              <w:pStyle w:val="TableBold"/>
            </w:pPr>
            <w:r>
              <w:t xml:space="preserve">Lighting </w:t>
            </w:r>
            <w:r w:rsidR="004D5011">
              <w:t>t</w:t>
            </w:r>
            <w:r>
              <w:t>ariffs</w:t>
            </w:r>
          </w:p>
        </w:tc>
        <w:tc>
          <w:tcPr>
            <w:tcW w:w="5816" w:type="dxa"/>
            <w:vAlign w:val="center"/>
          </w:tcPr>
          <w:p w14:paraId="38F2AB53" w14:textId="0ADCBFE0" w:rsidR="008F1587" w:rsidRDefault="000C6B01" w:rsidP="00C710C3">
            <w:pPr>
              <w:pStyle w:val="Table"/>
            </w:pPr>
            <w:r w:rsidRPr="00C97017">
              <w:t>Types electricity tariffs for Public Lighting installations:</w:t>
            </w:r>
          </w:p>
        </w:tc>
      </w:tr>
      <w:tr w:rsidR="000C6B01" w14:paraId="7EC6500F" w14:textId="77777777" w:rsidTr="00817308">
        <w:trPr>
          <w:trHeight w:val="340"/>
        </w:trPr>
        <w:tc>
          <w:tcPr>
            <w:tcW w:w="2552" w:type="dxa"/>
            <w:vAlign w:val="center"/>
          </w:tcPr>
          <w:p w14:paraId="286A0529" w14:textId="3FBE9E79" w:rsidR="000C6B01" w:rsidRDefault="32D4FE83" w:rsidP="00C710C3">
            <w:pPr>
              <w:pStyle w:val="TableDot"/>
            </w:pPr>
            <w:r>
              <w:t>NPL</w:t>
            </w:r>
            <w:r w:rsidR="00924846">
              <w:t> </w:t>
            </w:r>
            <w:r w:rsidR="421EC823">
              <w:t>1</w:t>
            </w:r>
          </w:p>
        </w:tc>
        <w:tc>
          <w:tcPr>
            <w:tcW w:w="5816" w:type="dxa"/>
            <w:vAlign w:val="center"/>
          </w:tcPr>
          <w:p w14:paraId="0654D043" w14:textId="7B8F293B" w:rsidR="000C6B01" w:rsidRDefault="000C6B01" w:rsidP="00C710C3">
            <w:pPr>
              <w:pStyle w:val="Table"/>
            </w:pPr>
            <w:r w:rsidRPr="00C97017">
              <w:t xml:space="preserve">Unmetered Lighting (non-contributory) - Public lighting supplied, installed, owned and maintained by the Energex. </w:t>
            </w:r>
            <w:r>
              <w:t xml:space="preserve"> </w:t>
            </w:r>
            <w:r w:rsidRPr="00C97017">
              <w:t>Council pays a tariff that includes components supply, maintenance and amortisation of installation costs.</w:t>
            </w:r>
          </w:p>
        </w:tc>
      </w:tr>
      <w:tr w:rsidR="000C6B01" w14:paraId="2475B566" w14:textId="77777777" w:rsidTr="00817308">
        <w:trPr>
          <w:trHeight w:val="340"/>
        </w:trPr>
        <w:tc>
          <w:tcPr>
            <w:tcW w:w="2552" w:type="dxa"/>
            <w:vAlign w:val="center"/>
          </w:tcPr>
          <w:p w14:paraId="338354EA" w14:textId="31E21AE7" w:rsidR="000C6B01" w:rsidRDefault="39894E47" w:rsidP="00C710C3">
            <w:pPr>
              <w:pStyle w:val="TableDot"/>
            </w:pPr>
            <w:r>
              <w:t>NPL</w:t>
            </w:r>
            <w:r w:rsidR="00924846">
              <w:t> </w:t>
            </w:r>
            <w:r w:rsidR="00DD3CEF">
              <w:t>2</w:t>
            </w:r>
          </w:p>
        </w:tc>
        <w:tc>
          <w:tcPr>
            <w:tcW w:w="5816" w:type="dxa"/>
            <w:vAlign w:val="center"/>
          </w:tcPr>
          <w:p w14:paraId="276D3ACE" w14:textId="50D5E9F8" w:rsidR="000C6B01" w:rsidRPr="00C97017" w:rsidRDefault="000C6B01" w:rsidP="00C710C3">
            <w:pPr>
              <w:pStyle w:val="Table"/>
            </w:pPr>
            <w:r w:rsidRPr="00C97017">
              <w:t>Unmetered Lighting (contributory) - Public lighting for which all supply and installation costs are funded by the Public Body or Developer and then ownership is vested in Energex on completion of the installation. Energex then assumes responsibility for maintenance of the installation. Council pays a tariff that includes components supply and maintenance.</w:t>
            </w:r>
          </w:p>
        </w:tc>
      </w:tr>
      <w:tr w:rsidR="00CE3DFA" w14:paraId="5EBE3CE2" w14:textId="77777777" w:rsidTr="00817308">
        <w:trPr>
          <w:trHeight w:val="340"/>
        </w:trPr>
        <w:tc>
          <w:tcPr>
            <w:tcW w:w="2552" w:type="dxa"/>
            <w:vAlign w:val="center"/>
          </w:tcPr>
          <w:p w14:paraId="3385AE30" w14:textId="77697DB2" w:rsidR="00CE3DFA" w:rsidRPr="00C97017" w:rsidRDefault="64030166" w:rsidP="00C710C3">
            <w:pPr>
              <w:pStyle w:val="TableDot"/>
            </w:pPr>
            <w:r>
              <w:lastRenderedPageBreak/>
              <w:t>NPL</w:t>
            </w:r>
            <w:r w:rsidR="00DD3CEF">
              <w:t> </w:t>
            </w:r>
            <w:r w:rsidR="00CE3DFA">
              <w:t>3</w:t>
            </w:r>
          </w:p>
        </w:tc>
        <w:tc>
          <w:tcPr>
            <w:tcW w:w="5816" w:type="dxa"/>
            <w:vAlign w:val="center"/>
          </w:tcPr>
          <w:p w14:paraId="2C30F58A" w14:textId="77777777" w:rsidR="00F80A61" w:rsidRDefault="00F80A61" w:rsidP="00C710C3">
            <w:pPr>
              <w:pStyle w:val="Table"/>
            </w:pPr>
            <w:r>
              <w:t>U</w:t>
            </w:r>
            <w:r w:rsidRPr="00F80A61">
              <w:t xml:space="preserve">nmetered lights </w:t>
            </w:r>
            <w:r>
              <w:t xml:space="preserve">that </w:t>
            </w:r>
            <w:r w:rsidRPr="00F80A61">
              <w:t xml:space="preserve">are owned, operated and maintained by </w:t>
            </w:r>
            <w:r>
              <w:t xml:space="preserve">Brisbane City </w:t>
            </w:r>
            <w:r w:rsidRPr="00F80A61">
              <w:t xml:space="preserve">Council. Council is responsible for these lights and their ongoing maintenance. Installation costs are borne by Council or </w:t>
            </w:r>
            <w:r>
              <w:t xml:space="preserve">the </w:t>
            </w:r>
            <w:r w:rsidRPr="00F80A61">
              <w:t>developer.</w:t>
            </w:r>
            <w:r>
              <w:t xml:space="preserve">  </w:t>
            </w:r>
            <w:r w:rsidRPr="00F80A61">
              <w:t>These lights include public lighting installed in parks, bikeways and Council roads.</w:t>
            </w:r>
          </w:p>
          <w:p w14:paraId="2A7828B4" w14:textId="7F5CDB87" w:rsidR="00CE3DFA" w:rsidRPr="00C97017" w:rsidRDefault="00F80A61" w:rsidP="00C710C3">
            <w:pPr>
              <w:pStyle w:val="Table"/>
            </w:pPr>
            <w:r w:rsidRPr="00F80A61">
              <w:t xml:space="preserve">Any light sources listed in the AEMO Public Lighting </w:t>
            </w:r>
            <w:r w:rsidRPr="00F80A61">
              <w:rPr>
                <w:i/>
                <w:iCs/>
              </w:rPr>
              <w:t>National Electricity Market Load Tables for Unmetered Connection Points</w:t>
            </w:r>
            <w:r w:rsidRPr="00F80A61">
              <w:t>’ Report (“Load Tables”) may be used (i.e. non-Energex standard light</w:t>
            </w:r>
            <w:r>
              <w:t>s</w:t>
            </w:r>
            <w:r w:rsidRPr="00F80A61">
              <w:t>) and may be installed by either Council or a private contractor.</w:t>
            </w:r>
          </w:p>
        </w:tc>
      </w:tr>
      <w:tr w:rsidR="4ED89C43" w14:paraId="490E80E4" w14:textId="77777777" w:rsidTr="00817308">
        <w:trPr>
          <w:trHeight w:val="340"/>
        </w:trPr>
        <w:tc>
          <w:tcPr>
            <w:tcW w:w="2552" w:type="dxa"/>
            <w:vAlign w:val="center"/>
          </w:tcPr>
          <w:p w14:paraId="46CA2AD9" w14:textId="59ECE0F9" w:rsidR="18C33765" w:rsidRDefault="18C33765" w:rsidP="00C26C2D">
            <w:pPr>
              <w:pStyle w:val="TableDot"/>
            </w:pPr>
            <w:r>
              <w:t>NPL</w:t>
            </w:r>
            <w:r w:rsidR="00490671">
              <w:t> </w:t>
            </w:r>
            <w:r>
              <w:t>4</w:t>
            </w:r>
          </w:p>
        </w:tc>
        <w:tc>
          <w:tcPr>
            <w:tcW w:w="5816" w:type="dxa"/>
            <w:vAlign w:val="center"/>
          </w:tcPr>
          <w:p w14:paraId="3F29245C" w14:textId="75D1F428" w:rsidR="18C33765" w:rsidRDefault="18C33765" w:rsidP="4ED89C43">
            <w:pPr>
              <w:pStyle w:val="Table"/>
            </w:pPr>
            <w:r>
              <w:t xml:space="preserve">Unmetered Lighting (non-contributory) </w:t>
            </w:r>
            <w:r w:rsidR="00490671">
              <w:t>–</w:t>
            </w:r>
            <w:r>
              <w:t xml:space="preserve"> Public lighting </w:t>
            </w:r>
            <w:r w:rsidR="20357ACE">
              <w:t xml:space="preserve">originally </w:t>
            </w:r>
            <w:r>
              <w:t>supplied, installed, owned and maintained by the Energex</w:t>
            </w:r>
            <w:r w:rsidR="536BFE3D">
              <w:t xml:space="preserve"> (NPL</w:t>
            </w:r>
            <w:r w:rsidR="00D50075">
              <w:t> </w:t>
            </w:r>
            <w:r w:rsidR="536BFE3D">
              <w:t>1) and the luminaire is converted to LED at Council’s cost</w:t>
            </w:r>
            <w:r>
              <w:t>.  Council pays a tariff that includes components supply, maintenance and amortisation of installation costs.</w:t>
            </w:r>
          </w:p>
        </w:tc>
      </w:tr>
      <w:tr w:rsidR="00CE3DFA" w14:paraId="77415A82" w14:textId="77777777" w:rsidTr="00817308">
        <w:trPr>
          <w:trHeight w:val="340"/>
        </w:trPr>
        <w:tc>
          <w:tcPr>
            <w:tcW w:w="2552" w:type="dxa"/>
            <w:vAlign w:val="center"/>
          </w:tcPr>
          <w:p w14:paraId="52BB7424" w14:textId="0B0E3B1F" w:rsidR="00CE3DFA" w:rsidRDefault="00CE3DFA" w:rsidP="00C710C3">
            <w:pPr>
              <w:pStyle w:val="TableDot"/>
            </w:pPr>
            <w:r w:rsidRPr="00C97017">
              <w:t xml:space="preserve">Metered Lighting </w:t>
            </w:r>
          </w:p>
        </w:tc>
        <w:tc>
          <w:tcPr>
            <w:tcW w:w="5816" w:type="dxa"/>
            <w:vAlign w:val="center"/>
          </w:tcPr>
          <w:p w14:paraId="0CDC3747" w14:textId="677DC8A1" w:rsidR="00CE3DFA" w:rsidRPr="00C97017" w:rsidRDefault="00CE3DFA" w:rsidP="00C710C3">
            <w:pPr>
              <w:pStyle w:val="Table"/>
            </w:pPr>
            <w:r w:rsidRPr="00C97017">
              <w:t>Electrical installation, where a Metering device, approved by AEMO, is installed for the measurement of electricity consumed. Equipment is installed, owned and maintained by Council.</w:t>
            </w:r>
          </w:p>
        </w:tc>
      </w:tr>
      <w:tr w:rsidR="00CE3DFA" w14:paraId="22130A06" w14:textId="77777777" w:rsidTr="00817308">
        <w:trPr>
          <w:trHeight w:val="340"/>
        </w:trPr>
        <w:tc>
          <w:tcPr>
            <w:tcW w:w="2552" w:type="dxa"/>
            <w:vAlign w:val="center"/>
          </w:tcPr>
          <w:p w14:paraId="31D338F3" w14:textId="43782C48" w:rsidR="00CE3DFA" w:rsidRDefault="00CE3DFA" w:rsidP="00C710C3">
            <w:pPr>
              <w:pStyle w:val="TableDot"/>
            </w:pPr>
            <w:r w:rsidRPr="00C97017">
              <w:t>Tariff</w:t>
            </w:r>
            <w:r w:rsidR="0019715F">
              <w:t> </w:t>
            </w:r>
            <w:r w:rsidRPr="00C97017">
              <w:t>91 (previously known as Tariff</w:t>
            </w:r>
            <w:r w:rsidR="00F114FA">
              <w:t> </w:t>
            </w:r>
            <w:r w:rsidRPr="00C97017">
              <w:t>81)</w:t>
            </w:r>
          </w:p>
        </w:tc>
        <w:tc>
          <w:tcPr>
            <w:tcW w:w="5816" w:type="dxa"/>
            <w:vAlign w:val="center"/>
          </w:tcPr>
          <w:p w14:paraId="0F3C9454" w14:textId="27E75571" w:rsidR="00CE3DFA" w:rsidRPr="00C97017" w:rsidRDefault="00CE3DFA" w:rsidP="00C710C3">
            <w:pPr>
              <w:pStyle w:val="Table"/>
            </w:pPr>
            <w:r w:rsidRPr="00C97017">
              <w:t>Unmetered electricity supply is available to other small loads, as approved by the Energex &amp; Tier</w:t>
            </w:r>
            <w:r w:rsidR="00F114FA">
              <w:t> </w:t>
            </w:r>
            <w:r w:rsidRPr="00C97017">
              <w:t>1 Electricity Retailer. Equipment is installed, owned and maintained by Council.</w:t>
            </w:r>
          </w:p>
        </w:tc>
      </w:tr>
      <w:tr w:rsidR="00CE3DFA" w14:paraId="250856D1" w14:textId="77777777" w:rsidTr="00817308">
        <w:trPr>
          <w:trHeight w:val="340"/>
        </w:trPr>
        <w:tc>
          <w:tcPr>
            <w:tcW w:w="2552" w:type="dxa"/>
            <w:vAlign w:val="center"/>
          </w:tcPr>
          <w:p w14:paraId="4F7441CD" w14:textId="7447AED4" w:rsidR="00CE3DFA" w:rsidRDefault="00CE3DFA" w:rsidP="00C710C3">
            <w:pPr>
              <w:pStyle w:val="TableDot"/>
            </w:pPr>
            <w:r w:rsidRPr="00C97017">
              <w:rPr>
                <w:rFonts w:cs="Arial"/>
              </w:rPr>
              <w:t>Watchman Service Lighting (Tariff</w:t>
            </w:r>
            <w:r w:rsidR="00F114FA">
              <w:t> </w:t>
            </w:r>
            <w:r w:rsidRPr="00C97017">
              <w:rPr>
                <w:rFonts w:cs="Arial"/>
              </w:rPr>
              <w:t>91)</w:t>
            </w:r>
          </w:p>
        </w:tc>
        <w:tc>
          <w:tcPr>
            <w:tcW w:w="5816" w:type="dxa"/>
            <w:vAlign w:val="center"/>
          </w:tcPr>
          <w:p w14:paraId="3A0D2319" w14:textId="680A41C1" w:rsidR="00CE3DFA" w:rsidRPr="00C97017" w:rsidRDefault="00CE3DFA" w:rsidP="00C710C3">
            <w:pPr>
              <w:pStyle w:val="Table"/>
            </w:pPr>
            <w:r w:rsidRPr="00C97017">
              <w:rPr>
                <w:rFonts w:cs="Arial"/>
              </w:rPr>
              <w:t>Unmetered electricity supply for watchman security lights. Lighting supplied, installed, owned and maintained by Energex.</w:t>
            </w:r>
          </w:p>
        </w:tc>
      </w:tr>
      <w:tr w:rsidR="09A97922" w14:paraId="16CCAE02" w14:textId="77777777" w:rsidTr="00817308">
        <w:trPr>
          <w:trHeight w:val="340"/>
        </w:trPr>
        <w:tc>
          <w:tcPr>
            <w:tcW w:w="2552" w:type="dxa"/>
            <w:vAlign w:val="center"/>
          </w:tcPr>
          <w:p w14:paraId="0FCAFEF8" w14:textId="201D1ADF" w:rsidR="6BF55A26" w:rsidRDefault="6BF55A26" w:rsidP="00A1522B">
            <w:pPr>
              <w:pStyle w:val="TableBold"/>
            </w:pPr>
            <w:r w:rsidRPr="09A97922">
              <w:t>Warranty</w:t>
            </w:r>
          </w:p>
        </w:tc>
        <w:tc>
          <w:tcPr>
            <w:tcW w:w="5816" w:type="dxa"/>
            <w:vAlign w:val="center"/>
          </w:tcPr>
          <w:p w14:paraId="5D237294" w14:textId="2906EA83" w:rsidR="65F3ABE2" w:rsidRDefault="65F3ABE2" w:rsidP="00C26C2D">
            <w:pPr>
              <w:pStyle w:val="Table"/>
            </w:pPr>
            <w:r w:rsidRPr="09A97922">
              <w:t>The warranty shall provide for either repair or replacement of the defective parts. The warranty is void if a luminaire defect has resulted from improper installation, improper handling, vandalism or vehicular accident. Delivery costs associated with repair or replacement of the luminaire under this warranty shall be borne by the manufacturer/supplier.</w:t>
            </w:r>
          </w:p>
        </w:tc>
      </w:tr>
      <w:tr w:rsidR="00CE3DFA" w14:paraId="27BCF4F5" w14:textId="77777777" w:rsidTr="00817308">
        <w:trPr>
          <w:trHeight w:val="340"/>
        </w:trPr>
        <w:tc>
          <w:tcPr>
            <w:tcW w:w="2552" w:type="dxa"/>
            <w:vAlign w:val="center"/>
          </w:tcPr>
          <w:p w14:paraId="17A7E757" w14:textId="3CF60D1A" w:rsidR="00CE3DFA" w:rsidRDefault="00CE3DFA" w:rsidP="00A1522B">
            <w:pPr>
              <w:pStyle w:val="TableBold"/>
            </w:pPr>
            <w:r w:rsidRPr="00C97017">
              <w:t xml:space="preserve">Solar </w:t>
            </w:r>
            <w:r w:rsidR="004D5011">
              <w:t>l</w:t>
            </w:r>
            <w:permStart w:id="593577568" w:edGrp="everyone"/>
            <w:permEnd w:id="593577568"/>
            <w:r w:rsidRPr="00C97017">
              <w:t>ighting</w:t>
            </w:r>
          </w:p>
        </w:tc>
        <w:tc>
          <w:tcPr>
            <w:tcW w:w="5816" w:type="dxa"/>
            <w:vAlign w:val="center"/>
          </w:tcPr>
          <w:p w14:paraId="1F62AE14" w14:textId="608E7EA5" w:rsidR="00CE3DFA" w:rsidRPr="00C97017" w:rsidRDefault="00CE3DFA" w:rsidP="00C710C3">
            <w:pPr>
              <w:pStyle w:val="Table"/>
            </w:pPr>
            <w:r w:rsidRPr="00C97017">
              <w:t>Lighting supplied, installed, owned and maintained by Council. Supply is created from photovoltaic panels and is generally standalone (not connected to the Electricity Network)</w:t>
            </w:r>
            <w:r>
              <w:t>.</w:t>
            </w:r>
          </w:p>
        </w:tc>
      </w:tr>
    </w:tbl>
    <w:p w14:paraId="545D17E2" w14:textId="77777777" w:rsidR="00974BCE" w:rsidRDefault="00974BCE" w:rsidP="00817308">
      <w:pPr>
        <w:pStyle w:val="Heading3"/>
      </w:pPr>
      <w:bookmarkStart w:id="16" w:name="_Toc52953509"/>
      <w:r>
        <w:t>Traffic Control</w:t>
      </w:r>
      <w:bookmarkEnd w:id="16"/>
    </w:p>
    <w:p w14:paraId="126A242D" w14:textId="77777777" w:rsidR="00974BCE" w:rsidRDefault="00974BCE" w:rsidP="00974BCE">
      <w:pPr>
        <w:pStyle w:val="BodyTextIndent"/>
      </w:pPr>
      <w:r>
        <w:t>General: Traffic control shall be undertaken in accordance with the approved Traffic Management Plans and Permits.</w:t>
      </w:r>
    </w:p>
    <w:p w14:paraId="0CFA9B7B" w14:textId="2BC944F7" w:rsidR="00974BCE" w:rsidRDefault="00974BCE" w:rsidP="00974BCE">
      <w:pPr>
        <w:pStyle w:val="BodyTextIndent"/>
      </w:pPr>
      <w:r>
        <w:t xml:space="preserve">Method: Provide for traffic while undertaking the works in accordance with the requirements of </w:t>
      </w:r>
      <w:r w:rsidR="00FC18FB">
        <w:t xml:space="preserve">the </w:t>
      </w:r>
      <w:r w:rsidR="00FC18FB" w:rsidRPr="00355B1F">
        <w:rPr>
          <w:i/>
          <w:iCs/>
        </w:rPr>
        <w:t>Queensland Guide to Temporary Traffic Management</w:t>
      </w:r>
      <w:r w:rsidR="001D3555" w:rsidRPr="00355B1F">
        <w:rPr>
          <w:i/>
          <w:iCs/>
        </w:rPr>
        <w:t xml:space="preserve"> (Harmonised)</w:t>
      </w:r>
      <w:r w:rsidR="001D3555">
        <w:t>.</w:t>
      </w:r>
    </w:p>
    <w:p w14:paraId="703EF0F1" w14:textId="461D99EA" w:rsidR="006070F3" w:rsidRPr="006070F3" w:rsidRDefault="00A14019" w:rsidP="00817308">
      <w:pPr>
        <w:pStyle w:val="Heading2"/>
      </w:pPr>
      <w:bookmarkStart w:id="17" w:name="_Toc52953510"/>
      <w:r w:rsidRPr="006070F3">
        <w:rPr>
          <w:caps w:val="0"/>
        </w:rPr>
        <w:t xml:space="preserve">TECHNICAL SPECIFICATION OF </w:t>
      </w:r>
      <w:proofErr w:type="gramStart"/>
      <w:r>
        <w:rPr>
          <w:caps w:val="0"/>
        </w:rPr>
        <w:t>SOLID STATE</w:t>
      </w:r>
      <w:proofErr w:type="gramEnd"/>
      <w:r>
        <w:rPr>
          <w:caps w:val="0"/>
        </w:rPr>
        <w:t xml:space="preserve"> LIGHTING (SSL) </w:t>
      </w:r>
      <w:r w:rsidRPr="006070F3">
        <w:rPr>
          <w:caps w:val="0"/>
        </w:rPr>
        <w:t>LUMINAIRE</w:t>
      </w:r>
      <w:r>
        <w:rPr>
          <w:caps w:val="0"/>
        </w:rPr>
        <w:t>S</w:t>
      </w:r>
      <w:bookmarkEnd w:id="17"/>
    </w:p>
    <w:p w14:paraId="130BBDF8" w14:textId="5E6E9232" w:rsidR="006070F3" w:rsidRPr="00136E75" w:rsidRDefault="006070F3" w:rsidP="008F1587">
      <w:pPr>
        <w:pStyle w:val="BodyTextIndentDot"/>
      </w:pPr>
      <w:r w:rsidRPr="00136E75">
        <w:t xml:space="preserve">All equipment and material, where not otherwise specified, shall be in accordance with the appropriate Australian Standard </w:t>
      </w:r>
      <w:r w:rsidR="000A0EAD">
        <w:t>s</w:t>
      </w:r>
      <w:r w:rsidR="000A0EAD" w:rsidRPr="00136E75">
        <w:t>pecifications</w:t>
      </w:r>
      <w:r w:rsidRPr="00136E75">
        <w:t>, where such exist, and in their absence, with BSI, IEC or ISO Specifications.</w:t>
      </w:r>
    </w:p>
    <w:p w14:paraId="03E58B31" w14:textId="4D1316B8" w:rsidR="006070F3" w:rsidRPr="00B4067E" w:rsidRDefault="006070F3" w:rsidP="001D4923">
      <w:pPr>
        <w:pStyle w:val="BodyTextIndentDot2"/>
        <w:rPr>
          <w:i/>
          <w:iCs/>
        </w:rPr>
      </w:pPr>
      <w:r w:rsidRPr="00B4067E">
        <w:rPr>
          <w:i/>
          <w:iCs/>
        </w:rPr>
        <w:t>AS</w:t>
      </w:r>
      <w:r w:rsidR="001D4923" w:rsidRPr="00B4067E">
        <w:rPr>
          <w:i/>
          <w:iCs/>
        </w:rPr>
        <w:t> </w:t>
      </w:r>
      <w:r w:rsidRPr="00B4067E">
        <w:rPr>
          <w:i/>
          <w:iCs/>
        </w:rPr>
        <w:t>1798 Lighting poles and brackets arms – Recommended dimensions</w:t>
      </w:r>
      <w:r w:rsidR="00EC6AC7" w:rsidRPr="00B4067E">
        <w:rPr>
          <w:i/>
          <w:iCs/>
        </w:rPr>
        <w:t>.</w:t>
      </w:r>
    </w:p>
    <w:p w14:paraId="18197E5E" w14:textId="46DEA1BD" w:rsidR="006070F3" w:rsidRPr="00B4067E" w:rsidRDefault="006070F3" w:rsidP="001D4923">
      <w:pPr>
        <w:pStyle w:val="BodyTextIndentDot2"/>
        <w:rPr>
          <w:i/>
          <w:iCs/>
        </w:rPr>
      </w:pPr>
      <w:r w:rsidRPr="00B4067E">
        <w:rPr>
          <w:i/>
          <w:iCs/>
        </w:rPr>
        <w:t>SA/</w:t>
      </w:r>
      <w:r w:rsidR="00CE3DFA" w:rsidRPr="00B4067E">
        <w:rPr>
          <w:i/>
          <w:iCs/>
        </w:rPr>
        <w:t>SNZ </w:t>
      </w:r>
      <w:r w:rsidRPr="00B4067E">
        <w:rPr>
          <w:i/>
          <w:iCs/>
        </w:rPr>
        <w:t>TS</w:t>
      </w:r>
      <w:r w:rsidR="00D71A1B">
        <w:t> </w:t>
      </w:r>
      <w:r w:rsidRPr="00B4067E">
        <w:rPr>
          <w:i/>
          <w:iCs/>
        </w:rPr>
        <w:t>1158</w:t>
      </w:r>
      <w:r w:rsidR="00CE3DFA" w:rsidRPr="00B4067E">
        <w:rPr>
          <w:i/>
          <w:iCs/>
        </w:rPr>
        <w:t>.</w:t>
      </w:r>
      <w:r w:rsidRPr="00B4067E">
        <w:rPr>
          <w:i/>
          <w:iCs/>
        </w:rPr>
        <w:t xml:space="preserve">6 </w:t>
      </w:r>
      <w:r w:rsidR="00C62273" w:rsidRPr="00B4067E">
        <w:rPr>
          <w:i/>
          <w:iCs/>
        </w:rPr>
        <w:t>Lighting for roads and public spaces Luminaires – Performance.</w:t>
      </w:r>
    </w:p>
    <w:p w14:paraId="25118C08" w14:textId="705B5CD2" w:rsidR="006070F3" w:rsidRPr="00B4067E" w:rsidRDefault="006070F3" w:rsidP="001D4923">
      <w:pPr>
        <w:pStyle w:val="BodyTextIndentDot2"/>
        <w:rPr>
          <w:i/>
          <w:iCs/>
        </w:rPr>
      </w:pPr>
      <w:r w:rsidRPr="00B4067E">
        <w:rPr>
          <w:i/>
          <w:iCs/>
        </w:rPr>
        <w:t>AS/</w:t>
      </w:r>
      <w:r w:rsidR="001D4923" w:rsidRPr="00B4067E">
        <w:rPr>
          <w:i/>
          <w:iCs/>
        </w:rPr>
        <w:t>NZS </w:t>
      </w:r>
      <w:r w:rsidRPr="00B4067E">
        <w:rPr>
          <w:i/>
          <w:iCs/>
        </w:rPr>
        <w:t>60598.1 Luminaires – General requirements and tests</w:t>
      </w:r>
      <w:r w:rsidR="00EC6AC7" w:rsidRPr="00B4067E">
        <w:rPr>
          <w:i/>
          <w:iCs/>
        </w:rPr>
        <w:t>.</w:t>
      </w:r>
    </w:p>
    <w:p w14:paraId="2D35C502" w14:textId="79E158FC" w:rsidR="006070F3" w:rsidRPr="00B4067E" w:rsidRDefault="006070F3" w:rsidP="001D4923">
      <w:pPr>
        <w:pStyle w:val="BodyTextIndentDot2"/>
        <w:rPr>
          <w:i/>
          <w:iCs/>
        </w:rPr>
      </w:pPr>
      <w:r w:rsidRPr="00B4067E">
        <w:rPr>
          <w:i/>
          <w:iCs/>
        </w:rPr>
        <w:t>AS/</w:t>
      </w:r>
      <w:r w:rsidR="001D4923" w:rsidRPr="00B4067E">
        <w:rPr>
          <w:i/>
          <w:iCs/>
        </w:rPr>
        <w:t>NZS </w:t>
      </w:r>
      <w:r w:rsidRPr="00B4067E">
        <w:rPr>
          <w:i/>
          <w:iCs/>
        </w:rPr>
        <w:t>60598.2.3 Luminaires –</w:t>
      </w:r>
      <w:r w:rsidR="00C710C3" w:rsidRPr="00B4067E">
        <w:rPr>
          <w:i/>
          <w:iCs/>
        </w:rPr>
        <w:t xml:space="preserve"> </w:t>
      </w:r>
      <w:r w:rsidRPr="00B4067E">
        <w:rPr>
          <w:i/>
          <w:iCs/>
        </w:rPr>
        <w:t xml:space="preserve">Particular requirements – Luminaires for </w:t>
      </w:r>
      <w:r w:rsidR="00CE3DFA" w:rsidRPr="00B4067E">
        <w:rPr>
          <w:i/>
          <w:iCs/>
        </w:rPr>
        <w:t>road and street lighting.</w:t>
      </w:r>
    </w:p>
    <w:p w14:paraId="02D396C0" w14:textId="7C04C52B" w:rsidR="006070F3" w:rsidRPr="00B4067E" w:rsidRDefault="006070F3" w:rsidP="001D4923">
      <w:pPr>
        <w:pStyle w:val="BodyTextIndentDot2"/>
        <w:rPr>
          <w:i/>
          <w:iCs/>
        </w:rPr>
      </w:pPr>
      <w:r w:rsidRPr="00B4067E">
        <w:rPr>
          <w:i/>
          <w:iCs/>
        </w:rPr>
        <w:t>AS/</w:t>
      </w:r>
      <w:r w:rsidR="001D4923" w:rsidRPr="00B4067E">
        <w:rPr>
          <w:i/>
          <w:iCs/>
        </w:rPr>
        <w:t>NZS </w:t>
      </w:r>
      <w:r w:rsidRPr="00B4067E">
        <w:rPr>
          <w:i/>
          <w:iCs/>
        </w:rPr>
        <w:t>60598.2.5 Luminaires –</w:t>
      </w:r>
      <w:r w:rsidR="00CE3DFA" w:rsidRPr="00B4067E">
        <w:rPr>
          <w:i/>
          <w:iCs/>
        </w:rPr>
        <w:t xml:space="preserve"> </w:t>
      </w:r>
      <w:r w:rsidRPr="00B4067E">
        <w:rPr>
          <w:i/>
          <w:iCs/>
        </w:rPr>
        <w:t>Particular requirements – Floodlights</w:t>
      </w:r>
      <w:r w:rsidR="00EC6AC7" w:rsidRPr="00B4067E">
        <w:rPr>
          <w:i/>
          <w:iCs/>
        </w:rPr>
        <w:t>.</w:t>
      </w:r>
    </w:p>
    <w:p w14:paraId="3E98DF0F" w14:textId="5372E5A9" w:rsidR="00746B30" w:rsidRPr="00B4067E" w:rsidRDefault="00746B30" w:rsidP="001D4923">
      <w:pPr>
        <w:pStyle w:val="BodyTextIndentDot2"/>
        <w:rPr>
          <w:i/>
          <w:iCs/>
        </w:rPr>
      </w:pPr>
      <w:r w:rsidRPr="00B4067E">
        <w:rPr>
          <w:i/>
          <w:iCs/>
        </w:rPr>
        <w:t>AS/</w:t>
      </w:r>
      <w:r w:rsidR="001D4923" w:rsidRPr="00B4067E">
        <w:rPr>
          <w:i/>
          <w:iCs/>
        </w:rPr>
        <w:t>NZS </w:t>
      </w:r>
      <w:r w:rsidRPr="00B4067E">
        <w:rPr>
          <w:i/>
          <w:iCs/>
        </w:rPr>
        <w:t>61000.3.2</w:t>
      </w:r>
      <w:r w:rsidR="00DA40BE" w:rsidRPr="00B4067E">
        <w:rPr>
          <w:i/>
          <w:iCs/>
        </w:rPr>
        <w:t xml:space="preserve"> Electromagnetic </w:t>
      </w:r>
      <w:r w:rsidR="00CE3DFA" w:rsidRPr="00B4067E">
        <w:rPr>
          <w:i/>
          <w:iCs/>
        </w:rPr>
        <w:t>compatibility</w:t>
      </w:r>
      <w:r w:rsidR="00C710C3" w:rsidRPr="00B4067E">
        <w:rPr>
          <w:i/>
          <w:iCs/>
        </w:rPr>
        <w:t xml:space="preserve"> </w:t>
      </w:r>
      <w:r w:rsidR="00DA40BE" w:rsidRPr="00B4067E">
        <w:rPr>
          <w:i/>
          <w:iCs/>
        </w:rPr>
        <w:t>(EMC)</w:t>
      </w:r>
      <w:r w:rsidR="00EC6AC7" w:rsidRPr="00B4067E">
        <w:rPr>
          <w:i/>
          <w:iCs/>
        </w:rPr>
        <w:t>.</w:t>
      </w:r>
    </w:p>
    <w:p w14:paraId="7A4B8E9C" w14:textId="46D3F963" w:rsidR="006070F3" w:rsidRPr="00136E75" w:rsidRDefault="006070F3" w:rsidP="001D4923">
      <w:pPr>
        <w:pStyle w:val="BodyTextIndentDot"/>
      </w:pPr>
      <w:r w:rsidRPr="00136E75">
        <w:t>All photometric data provided must be supported by an independent test report from a laboratory which is endorsed by an accreditation body which is a signatory to the International Laboratory Accreditation Corporation (ILAC) through the Mutual Recognition Agreement (MRA)</w:t>
      </w:r>
      <w:r w:rsidR="00EC6AC7">
        <w:t>.</w:t>
      </w:r>
    </w:p>
    <w:p w14:paraId="1CEA23D2" w14:textId="4355596D" w:rsidR="006070F3" w:rsidRPr="00136E75" w:rsidRDefault="006070F3" w:rsidP="001D4923">
      <w:pPr>
        <w:pStyle w:val="BodyTextIndentDot"/>
      </w:pPr>
      <w:r w:rsidRPr="00136E75">
        <w:t>Luminaires shall comply with the relevant spigot fixing sizes detailed in Clause</w:t>
      </w:r>
      <w:r w:rsidR="00B4067E">
        <w:t> </w:t>
      </w:r>
      <w:r w:rsidRPr="00136E75">
        <w:t xml:space="preserve">4.1 of </w:t>
      </w:r>
      <w:r w:rsidR="00C62273" w:rsidRPr="00F35572">
        <w:rPr>
          <w:i/>
          <w:iCs/>
        </w:rPr>
        <w:t>AS </w:t>
      </w:r>
      <w:r w:rsidRPr="00F35572">
        <w:rPr>
          <w:i/>
          <w:iCs/>
        </w:rPr>
        <w:t>1798</w:t>
      </w:r>
      <w:r w:rsidRPr="00136E75">
        <w:t xml:space="preserve">. </w:t>
      </w:r>
      <w:r w:rsidR="00C710C3">
        <w:t xml:space="preserve"> </w:t>
      </w:r>
      <w:r w:rsidRPr="00136E75">
        <w:t>The depth of the spigot entry shall be as specified in Clause</w:t>
      </w:r>
      <w:r w:rsidR="00B4067E">
        <w:t> </w:t>
      </w:r>
      <w:r w:rsidRPr="00136E75">
        <w:t xml:space="preserve">2.9 of </w:t>
      </w:r>
      <w:r w:rsidRPr="00F35572">
        <w:rPr>
          <w:i/>
          <w:iCs/>
        </w:rPr>
        <w:t>SA/SNZ</w:t>
      </w:r>
      <w:r w:rsidR="0091712F" w:rsidRPr="00F35572">
        <w:rPr>
          <w:i/>
          <w:iCs/>
        </w:rPr>
        <w:t> </w:t>
      </w:r>
      <w:r w:rsidR="00CE3DFA" w:rsidRPr="00F35572">
        <w:rPr>
          <w:i/>
          <w:iCs/>
        </w:rPr>
        <w:t>TS </w:t>
      </w:r>
      <w:r w:rsidRPr="00F35572">
        <w:rPr>
          <w:i/>
          <w:iCs/>
        </w:rPr>
        <w:t>1158.6</w:t>
      </w:r>
      <w:r w:rsidR="0091712F">
        <w:t>.</w:t>
      </w:r>
    </w:p>
    <w:p w14:paraId="3580A829" w14:textId="669F7ED3" w:rsidR="006070F3" w:rsidRPr="00136E75" w:rsidRDefault="006070F3" w:rsidP="001D4923">
      <w:pPr>
        <w:pStyle w:val="BodyTextIndentDot"/>
      </w:pPr>
      <w:r w:rsidRPr="00136E75">
        <w:t>Side-entry Luminaires shall have a sail area no greater than 0.17</w:t>
      </w:r>
      <w:r w:rsidR="007E0EB2">
        <w:t> </w:t>
      </w:r>
      <w:r w:rsidRPr="00136E75">
        <w:t>m</w:t>
      </w:r>
      <w:r w:rsidR="00EC6AC7" w:rsidRPr="00EC6AC7">
        <w:rPr>
          <w:vertAlign w:val="superscript"/>
        </w:rPr>
        <w:t>2</w:t>
      </w:r>
      <w:r w:rsidR="00EC6AC7" w:rsidRPr="00136E75">
        <w:t xml:space="preserve"> </w:t>
      </w:r>
      <w:r w:rsidRPr="00136E75">
        <w:t>(Major Road) and 0.1</w:t>
      </w:r>
      <w:r w:rsidR="00286909">
        <w:t> </w:t>
      </w:r>
      <w:r w:rsidRPr="00136E75">
        <w:t>m</w:t>
      </w:r>
      <w:r w:rsidR="00EC6AC7" w:rsidRPr="00EC6AC7">
        <w:rPr>
          <w:vertAlign w:val="superscript"/>
        </w:rPr>
        <w:t>2</w:t>
      </w:r>
      <w:r w:rsidRPr="00136E75">
        <w:t xml:space="preserve"> (Minor Road) and a mass in accordance with </w:t>
      </w:r>
      <w:r w:rsidRPr="007E0EB2">
        <w:rPr>
          <w:i/>
          <w:iCs/>
        </w:rPr>
        <w:t>Clause</w:t>
      </w:r>
      <w:r w:rsidR="007E0EB2" w:rsidRPr="007E0EB2">
        <w:rPr>
          <w:i/>
          <w:iCs/>
        </w:rPr>
        <w:t> </w:t>
      </w:r>
      <w:r w:rsidRPr="007E0EB2">
        <w:rPr>
          <w:i/>
          <w:iCs/>
        </w:rPr>
        <w:t>2.9</w:t>
      </w:r>
      <w:r w:rsidRPr="00136E75">
        <w:t xml:space="preserve"> of </w:t>
      </w:r>
      <w:r w:rsidR="0091712F" w:rsidRPr="00F35572">
        <w:rPr>
          <w:i/>
          <w:iCs/>
        </w:rPr>
        <w:t>SA/SNZ TS 1158</w:t>
      </w:r>
      <w:r w:rsidR="0091712F">
        <w:t>.</w:t>
      </w:r>
    </w:p>
    <w:p w14:paraId="17455DB0" w14:textId="3D51915E" w:rsidR="006070F3" w:rsidRPr="00136E75" w:rsidRDefault="006070F3" w:rsidP="001D4923">
      <w:pPr>
        <w:pStyle w:val="BodyTextIndentDot"/>
      </w:pPr>
      <w:r>
        <w:t>The luminaire on-board circuitry shall include surge protection devices to withstand high repetition transients as a result of line switching, nearby lighting strikes and other interference.</w:t>
      </w:r>
      <w:r w:rsidR="00C710C3">
        <w:t xml:space="preserve"> </w:t>
      </w:r>
      <w:r>
        <w:t xml:space="preserve"> </w:t>
      </w:r>
      <w:r>
        <w:lastRenderedPageBreak/>
        <w:t>The luminaire as a minimum shall be fitted with Metal Oxide Varistor (MOV) type surge suppressor with a minimum energy absorption capacity of 320</w:t>
      </w:r>
      <w:r w:rsidR="007E0EB2">
        <w:t> </w:t>
      </w:r>
      <w:r>
        <w:t xml:space="preserve">joules or </w:t>
      </w:r>
      <w:r w:rsidR="214D5540">
        <w:t>greater.</w:t>
      </w:r>
    </w:p>
    <w:p w14:paraId="274D517F" w14:textId="4FFA6128" w:rsidR="006070F3" w:rsidRPr="00136E75" w:rsidRDefault="006070F3" w:rsidP="001D4923">
      <w:pPr>
        <w:pStyle w:val="BodyTextIndentDot"/>
      </w:pPr>
      <w:r w:rsidRPr="00136E75">
        <w:t xml:space="preserve">The luminaire shall be provided with at least the following degrees of protection when tested in accordance with </w:t>
      </w:r>
      <w:r w:rsidRPr="00995F92">
        <w:rPr>
          <w:i/>
          <w:iCs/>
        </w:rPr>
        <w:t>AS/</w:t>
      </w:r>
      <w:r w:rsidR="0091712F" w:rsidRPr="00995F92">
        <w:rPr>
          <w:i/>
          <w:iCs/>
        </w:rPr>
        <w:t>NZS </w:t>
      </w:r>
      <w:r w:rsidRPr="00995F92">
        <w:rPr>
          <w:i/>
          <w:iCs/>
        </w:rPr>
        <w:t>60598.1</w:t>
      </w:r>
      <w:r w:rsidRPr="00136E75">
        <w:t>:</w:t>
      </w:r>
    </w:p>
    <w:p w14:paraId="5C3C30A1" w14:textId="44A087DE" w:rsidR="006070F3" w:rsidRPr="00136E75" w:rsidRDefault="006070F3" w:rsidP="001D4923">
      <w:pPr>
        <w:pStyle w:val="BodyTextIndentDot2"/>
      </w:pPr>
      <w:r w:rsidRPr="00136E75">
        <w:t>LED Chamber – IP65</w:t>
      </w:r>
      <w:r w:rsidR="00696B19">
        <w:t>;</w:t>
      </w:r>
      <w:r w:rsidRPr="00136E75">
        <w:t xml:space="preserve"> and</w:t>
      </w:r>
    </w:p>
    <w:p w14:paraId="0C2272DF" w14:textId="5D893639" w:rsidR="006070F3" w:rsidRPr="00136E75" w:rsidRDefault="006070F3" w:rsidP="001D4923">
      <w:pPr>
        <w:pStyle w:val="BodyTextIndentDot2"/>
      </w:pPr>
      <w:r w:rsidRPr="00136E75">
        <w:t>Control Gear Chamber – IP65 or where the LED driver unit has an IP65 rating the control gear chamber may be IP24.</w:t>
      </w:r>
    </w:p>
    <w:p w14:paraId="209D9B72" w14:textId="5E9C231D" w:rsidR="006070F3" w:rsidRPr="00D2568E" w:rsidRDefault="006070F3" w:rsidP="001D4923">
      <w:pPr>
        <w:pStyle w:val="BodyTextIndentDot"/>
      </w:pPr>
      <w:r w:rsidRPr="00D2568E">
        <w:t xml:space="preserve">The luminaire must be capable of being monitored and controlled </w:t>
      </w:r>
      <w:r w:rsidR="00EF48EE">
        <w:t>remotely</w:t>
      </w:r>
      <w:r w:rsidRPr="00D2568E">
        <w:t xml:space="preserve">. </w:t>
      </w:r>
      <w:r w:rsidR="00D54CBF">
        <w:t xml:space="preserve"> </w:t>
      </w:r>
      <w:r w:rsidRPr="00D2568E">
        <w:t>If only a proprietary product to the offered luminaire can be used for monitoring and control</w:t>
      </w:r>
      <w:r w:rsidR="00734D5B">
        <w:t>,</w:t>
      </w:r>
      <w:r w:rsidRPr="00D2568E">
        <w:t xml:space="preserve"> then </w:t>
      </w:r>
      <w:r w:rsidR="00D54CBF">
        <w:t>Council</w:t>
      </w:r>
      <w:r w:rsidR="004D4175">
        <w:t xml:space="preserve"> </w:t>
      </w:r>
      <w:r w:rsidRPr="00D2568E">
        <w:t>shall be made aware of this at the time of tendering.</w:t>
      </w:r>
    </w:p>
    <w:p w14:paraId="0122A65C" w14:textId="73F21C18" w:rsidR="006070F3" w:rsidRDefault="006070F3" w:rsidP="001D4923">
      <w:pPr>
        <w:pStyle w:val="BodyTextIndentDot"/>
      </w:pPr>
      <w:r w:rsidRPr="00136E75">
        <w:t xml:space="preserve">Luminaire to be fitted with a “NEMA” 7 contact pattern photocell socket complying with </w:t>
      </w:r>
      <w:r w:rsidR="0091712F" w:rsidRPr="00995F92">
        <w:rPr>
          <w:i/>
          <w:iCs/>
        </w:rPr>
        <w:t>ANSI </w:t>
      </w:r>
      <w:r w:rsidRPr="00995F92">
        <w:rPr>
          <w:i/>
          <w:iCs/>
        </w:rPr>
        <w:t>C136.41</w:t>
      </w:r>
      <w:r w:rsidRPr="00136E75">
        <w:t xml:space="preserve"> and a matching shorting plug</w:t>
      </w:r>
      <w:r w:rsidR="00FE7DD3">
        <w:t>.</w:t>
      </w:r>
    </w:p>
    <w:p w14:paraId="35EFE01B" w14:textId="3FAAC655" w:rsidR="006070F3" w:rsidRDefault="006070F3" w:rsidP="001D4923">
      <w:pPr>
        <w:pStyle w:val="BodyTextIndentDot"/>
      </w:pPr>
      <w:r w:rsidRPr="00136E75">
        <w:t xml:space="preserve">Electronic control gear shall comply with </w:t>
      </w:r>
      <w:r w:rsidRPr="00995F92">
        <w:rPr>
          <w:i/>
          <w:iCs/>
        </w:rPr>
        <w:t>SA/</w:t>
      </w:r>
      <w:r w:rsidR="0091712F" w:rsidRPr="00995F92">
        <w:rPr>
          <w:i/>
          <w:iCs/>
        </w:rPr>
        <w:t>SNZ TS </w:t>
      </w:r>
      <w:r w:rsidRPr="00995F92">
        <w:rPr>
          <w:i/>
          <w:iCs/>
        </w:rPr>
        <w:t>1158.6</w:t>
      </w:r>
      <w:r w:rsidR="00286909">
        <w:rPr>
          <w:i/>
          <w:iCs/>
        </w:rPr>
        <w:t>;</w:t>
      </w:r>
      <w:r w:rsidRPr="00995F92">
        <w:rPr>
          <w:i/>
          <w:iCs/>
        </w:rPr>
        <w:t xml:space="preserve"> Clause</w:t>
      </w:r>
      <w:r w:rsidR="00286909" w:rsidRPr="00995F92">
        <w:rPr>
          <w:i/>
          <w:iCs/>
        </w:rPr>
        <w:t> </w:t>
      </w:r>
      <w:r w:rsidRPr="00995F92">
        <w:rPr>
          <w:i/>
          <w:iCs/>
        </w:rPr>
        <w:t>3.2.4</w:t>
      </w:r>
      <w:r w:rsidRPr="00136E75">
        <w:t xml:space="preserve"> except that the power factor shall be not less than 0.9</w:t>
      </w:r>
    </w:p>
    <w:p w14:paraId="4E75478F" w14:textId="77777777" w:rsidR="006070F3" w:rsidRPr="00136E75" w:rsidRDefault="006070F3" w:rsidP="001D4923">
      <w:pPr>
        <w:pStyle w:val="BodyTextIndentDot"/>
      </w:pPr>
      <w:r w:rsidRPr="00136E75">
        <w:t xml:space="preserve">Manufacturer/supplier shall detail mechanism for arresting any flicker mode for individual LED units. This must take into account dimming levels of 25%, 50%, 75% as well as 100% operating power. </w:t>
      </w:r>
    </w:p>
    <w:p w14:paraId="3532C65C" w14:textId="2A2CBA6F" w:rsidR="006070F3" w:rsidRPr="00136E75" w:rsidRDefault="006070F3" w:rsidP="001D4923">
      <w:pPr>
        <w:pStyle w:val="BodyTextIndentDot"/>
      </w:pPr>
      <w:r w:rsidRPr="00136E75">
        <w:t>Nominal correlated colour temperature (CCT) shall be 4000</w:t>
      </w:r>
      <w:r w:rsidR="009607D4">
        <w:t> </w:t>
      </w:r>
      <w:r w:rsidRPr="00136E75">
        <w:t>K</w:t>
      </w:r>
      <w:r w:rsidR="00EF48EE">
        <w:t>, unless authorised in writing by Council</w:t>
      </w:r>
      <w:r w:rsidRPr="00136E75">
        <w:t xml:space="preserve">. </w:t>
      </w:r>
      <w:r w:rsidR="00C710C3">
        <w:t xml:space="preserve"> </w:t>
      </w:r>
      <w:r w:rsidRPr="00136E75">
        <w:t xml:space="preserve">There shall be no variation between individual LED units comprising a complete luminaire. </w:t>
      </w:r>
      <w:r w:rsidR="00C710C3">
        <w:t xml:space="preserve"> </w:t>
      </w:r>
      <w:r w:rsidRPr="00136E75">
        <w:t>Chromaticity tolerance shall be, CCT tolerance 3985</w:t>
      </w:r>
      <w:r w:rsidR="00777BD0">
        <w:t> </w:t>
      </w:r>
      <w:r w:rsidRPr="00136E75">
        <w:t>±</w:t>
      </w:r>
      <w:r w:rsidR="00777BD0">
        <w:t> </w:t>
      </w:r>
      <w:r w:rsidR="0091712F" w:rsidRPr="00136E75">
        <w:t>275</w:t>
      </w:r>
      <w:r w:rsidR="0091712F">
        <w:t> </w:t>
      </w:r>
      <w:r w:rsidRPr="00136E75">
        <w:t>K and Duv</w:t>
      </w:r>
      <w:r w:rsidR="00734D5B">
        <w:t> </w:t>
      </w:r>
      <w:r w:rsidRPr="00136E75">
        <w:t>0.</w:t>
      </w:r>
      <w:r w:rsidR="0091712F" w:rsidRPr="00136E75">
        <w:t>0009</w:t>
      </w:r>
      <w:r w:rsidR="0091712F">
        <w:t> </w:t>
      </w:r>
      <w:r w:rsidR="0091712F" w:rsidRPr="00136E75">
        <w:t>±</w:t>
      </w:r>
      <w:r w:rsidR="0091712F">
        <w:t> </w:t>
      </w:r>
      <w:r w:rsidRPr="00136E75">
        <w:t xml:space="preserve">0.0006. </w:t>
      </w:r>
    </w:p>
    <w:p w14:paraId="5F83913B" w14:textId="148FE7C9" w:rsidR="006070F3" w:rsidRPr="00136E75" w:rsidRDefault="00EF48EE" w:rsidP="001D4923">
      <w:pPr>
        <w:pStyle w:val="BodyTextIndentDot"/>
      </w:pPr>
      <w:r>
        <w:t xml:space="preserve">The </w:t>
      </w:r>
      <w:r w:rsidRPr="00136E75">
        <w:t xml:space="preserve">colour rendering index (CRI) of </w:t>
      </w:r>
      <w:r>
        <w:t>l</w:t>
      </w:r>
      <w:r w:rsidR="006070F3" w:rsidRPr="00136E75">
        <w:t xml:space="preserve">uminaires shall </w:t>
      </w:r>
      <w:r w:rsidRPr="00EF48EE">
        <w:t>be the maximum available, but not less than 70.</w:t>
      </w:r>
    </w:p>
    <w:p w14:paraId="7BE2DAB7" w14:textId="34DCA0FC" w:rsidR="006070F3" w:rsidRPr="00136E75" w:rsidRDefault="006070F3" w:rsidP="001D4923">
      <w:pPr>
        <w:pStyle w:val="BodyTextIndentDot"/>
      </w:pPr>
      <w:r w:rsidRPr="00136E75">
        <w:t>Cooling system for the LED</w:t>
      </w:r>
      <w:r w:rsidR="004E3B75">
        <w:t xml:space="preserve"> </w:t>
      </w:r>
      <w:r w:rsidR="001E3F38">
        <w:t>luminaires</w:t>
      </w:r>
      <w:r w:rsidRPr="00136E75">
        <w:t xml:space="preserve"> shall consist of a heat sink only with no fans, pumps or liquids and shall be resistant to debris build up to maintain the heat dissipation performance.</w:t>
      </w:r>
    </w:p>
    <w:p w14:paraId="5F5AAC68" w14:textId="20D3C3C9" w:rsidR="006070F3" w:rsidRPr="00136E75" w:rsidRDefault="006070F3" w:rsidP="001D4923">
      <w:pPr>
        <w:pStyle w:val="BodyTextIndentDot"/>
      </w:pPr>
      <w:r>
        <w:t xml:space="preserve">Standard lighting outreach spigot has a 5-degree upcast. </w:t>
      </w:r>
      <w:r w:rsidR="00C710C3">
        <w:t xml:space="preserve"> </w:t>
      </w:r>
      <w:r>
        <w:t>The luminaire spigot entry shall have</w:t>
      </w:r>
      <w:r w:rsidR="001E3F38">
        <w:t xml:space="preserve"> the option of</w:t>
      </w:r>
      <w:r>
        <w:t xml:space="preserve"> an integral system in place </w:t>
      </w:r>
      <w:r w:rsidR="0012019F">
        <w:t>for the luminaire to have a final upcast of</w:t>
      </w:r>
      <w:r>
        <w:t xml:space="preserve"> 0</w:t>
      </w:r>
      <w:r w:rsidR="00777BD0">
        <w:t> </w:t>
      </w:r>
      <w:r>
        <w:t>degrees.</w:t>
      </w:r>
    </w:p>
    <w:p w14:paraId="0CBCAB92" w14:textId="05672CE6" w:rsidR="7FA6B2DA" w:rsidRDefault="7FA6B2DA" w:rsidP="09A97922">
      <w:pPr>
        <w:pStyle w:val="BodyTextIndentDot"/>
        <w:rPr>
          <w:rFonts w:asciiTheme="minorHAnsi" w:eastAsiaTheme="minorEastAsia" w:hAnsiTheme="minorHAnsi" w:cstheme="minorBidi"/>
        </w:rPr>
      </w:pPr>
      <w:r>
        <w:t xml:space="preserve">A warranty must be provided for the full replacement of the luminaire, due to any failure, for a minimum of 10 years. </w:t>
      </w:r>
      <w:r w:rsidR="00D50075">
        <w:t xml:space="preserve"> </w:t>
      </w:r>
      <w:r>
        <w:t>This includes the LED light engine and power supply/drivers.</w:t>
      </w:r>
    </w:p>
    <w:p w14:paraId="482899C2" w14:textId="04E1363A" w:rsidR="0A04298B" w:rsidRDefault="0A04298B" w:rsidP="09A97922">
      <w:pPr>
        <w:pStyle w:val="BodyTextIndentDot"/>
      </w:pPr>
      <w:r>
        <w:t>On pole warranty</w:t>
      </w:r>
      <w:r w:rsidR="4B74ADD1">
        <w:t xml:space="preserve"> for P Category </w:t>
      </w:r>
      <w:r w:rsidR="48B747D6">
        <w:t xml:space="preserve">LED </w:t>
      </w:r>
      <w:r w:rsidR="4B74ADD1">
        <w:t>luminaires is encouraged</w:t>
      </w:r>
      <w:r w:rsidR="43FA4443">
        <w:t>.</w:t>
      </w:r>
    </w:p>
    <w:p w14:paraId="59B78CCB" w14:textId="3453D72F" w:rsidR="003D24C4" w:rsidRPr="00924459" w:rsidRDefault="00A14019" w:rsidP="00817308">
      <w:pPr>
        <w:pStyle w:val="Heading2"/>
      </w:pPr>
      <w:bookmarkStart w:id="18" w:name="_Toc52953511"/>
      <w:r w:rsidRPr="00924459">
        <w:rPr>
          <w:caps w:val="0"/>
        </w:rPr>
        <w:t>NEW ITEMS</w:t>
      </w:r>
      <w:bookmarkEnd w:id="18"/>
    </w:p>
    <w:p w14:paraId="4B4F2526" w14:textId="316CBB05" w:rsidR="004A5115" w:rsidRDefault="004A5115" w:rsidP="001D4923">
      <w:pPr>
        <w:pStyle w:val="BodyTextIndentBoldUnderline"/>
        <w:rPr>
          <w:rFonts w:ascii="Calibri" w:hAnsi="Calibri"/>
        </w:rPr>
      </w:pPr>
      <w:r>
        <w:t xml:space="preserve">Load Table for </w:t>
      </w:r>
      <w:r w:rsidR="00F80A61">
        <w:t xml:space="preserve">Unmetered </w:t>
      </w:r>
      <w:r>
        <w:t>Loads</w:t>
      </w:r>
    </w:p>
    <w:p w14:paraId="365100EA" w14:textId="720351BF" w:rsidR="004A5115" w:rsidRDefault="004A5115" w:rsidP="001D4923">
      <w:pPr>
        <w:pStyle w:val="BodyTextIndent"/>
      </w:pPr>
      <w:r>
        <w:t>High Intensity Discharge (HID) Lamps (</w:t>
      </w:r>
      <w:r w:rsidR="0091712F">
        <w:t>such as</w:t>
      </w:r>
      <w:r>
        <w:t xml:space="preserve"> Mercury Vapour, High Pressure Sodium, Metal Halide, etc) are a light source that </w:t>
      </w:r>
      <w:r w:rsidR="00EC6AC7">
        <w:t xml:space="preserve">have </w:t>
      </w:r>
      <w:r>
        <w:t>been</w:t>
      </w:r>
      <w:r w:rsidR="00EC6AC7">
        <w:t xml:space="preserve"> typically</w:t>
      </w:r>
      <w:r>
        <w:t xml:space="preserve"> used in conventional luminaires. </w:t>
      </w:r>
      <w:r w:rsidR="00EC6AC7">
        <w:t xml:space="preserve"> These lights sources</w:t>
      </w:r>
      <w:r>
        <w:t xml:space="preserve"> are no</w:t>
      </w:r>
      <w:r w:rsidR="00EC6AC7">
        <w:t xml:space="preserve">n-proprietary and </w:t>
      </w:r>
      <w:r>
        <w:t xml:space="preserve">have been tested and approved by AEMO. </w:t>
      </w:r>
    </w:p>
    <w:p w14:paraId="0BB94F32" w14:textId="289A60A9" w:rsidR="004A5115" w:rsidRDefault="004A5115" w:rsidP="001D4923">
      <w:pPr>
        <w:pStyle w:val="BodyTextIndent"/>
      </w:pPr>
      <w:r>
        <w:t xml:space="preserve">However, LED Luminaires have a different level of complexity &amp; assembly. </w:t>
      </w:r>
      <w:r w:rsidR="001D4923">
        <w:t xml:space="preserve"> T</w:t>
      </w:r>
      <w:r>
        <w:t>o be connected to an Unmetered Load (</w:t>
      </w:r>
      <w:r w:rsidR="5D58B9F2">
        <w:t>NPL</w:t>
      </w:r>
      <w:r w:rsidR="009F0058">
        <w:t> </w:t>
      </w:r>
      <w:r>
        <w:t>1, 2</w:t>
      </w:r>
      <w:r w:rsidR="2419373F">
        <w:t>,</w:t>
      </w:r>
      <w:r>
        <w:t xml:space="preserve"> 3</w:t>
      </w:r>
      <w:r w:rsidR="299AFBD7">
        <w:t xml:space="preserve"> or 4</w:t>
      </w:r>
      <w:r>
        <w:t xml:space="preserve">) the individual LED luminaire (Make &amp; Model) must first be approved for use by </w:t>
      </w:r>
      <w:hyperlink r:id="rId16">
        <w:r w:rsidRPr="4ED89C43">
          <w:rPr>
            <w:rStyle w:val="Hyperlink"/>
          </w:rPr>
          <w:t>AEMO</w:t>
        </w:r>
      </w:hyperlink>
      <w:r>
        <w:t xml:space="preserve">. </w:t>
      </w:r>
      <w:r w:rsidR="001D4923">
        <w:t xml:space="preserve"> </w:t>
      </w:r>
      <w:r>
        <w:t>The list of luminaires is published in</w:t>
      </w:r>
      <w:r w:rsidR="00EC6AC7">
        <w:t xml:space="preserve"> the</w:t>
      </w:r>
      <w:r>
        <w:t xml:space="preserve"> ‘</w:t>
      </w:r>
      <w:r w:rsidRPr="4ED89C43">
        <w:rPr>
          <w:i/>
          <w:iCs/>
        </w:rPr>
        <w:t>National Electricity Market Load Tables for Unmetered Connection Points</w:t>
      </w:r>
      <w:r>
        <w:t>’ Report (commonly known as the “Load Tables”).</w:t>
      </w:r>
      <w:r w:rsidR="001D4923">
        <w:t xml:space="preserve"> </w:t>
      </w:r>
      <w:r>
        <w:t xml:space="preserve"> The Load Tables </w:t>
      </w:r>
      <w:r w:rsidR="0091712F">
        <w:t xml:space="preserve">are </w:t>
      </w:r>
      <w:r>
        <w:t>available on the AEMO website and is regularly updated.</w:t>
      </w:r>
    </w:p>
    <w:p w14:paraId="4E3AA2DF" w14:textId="25AE88A0" w:rsidR="00FA57A5" w:rsidRDefault="00A14019" w:rsidP="001D4923">
      <w:pPr>
        <w:pStyle w:val="BodyTextIndent"/>
      </w:pPr>
      <w:hyperlink r:id="rId17" w:history="1">
        <w:r w:rsidR="00FA57A5">
          <w:rPr>
            <w:rStyle w:val="Hyperlink"/>
          </w:rPr>
          <w:t>https://www.aemo.com.au/-/media/Files/Electricity/NEM/Retail_and_Metering/Metering-Procedures/NEM-Load-Tables-For-Unmetered-Connection-Points.pdf</w:t>
        </w:r>
      </w:hyperlink>
    </w:p>
    <w:p w14:paraId="1F93A746" w14:textId="77777777" w:rsidR="00FD4A2B" w:rsidRDefault="00FD4A2B" w:rsidP="001D4923">
      <w:pPr>
        <w:pStyle w:val="BodyTextIndent"/>
      </w:pPr>
    </w:p>
    <w:sectPr w:rsidR="00FD4A2B" w:rsidSect="00B75756">
      <w:footerReference w:type="default" r:id="rId18"/>
      <w:pgSz w:w="11906" w:h="16838" w:code="9"/>
      <w:pgMar w:top="1134" w:right="1134" w:bottom="992" w:left="1418" w:header="1134" w:footer="851"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6C484" w14:textId="77777777" w:rsidR="004D1E3E" w:rsidRDefault="004D1E3E" w:rsidP="00974BCE">
      <w:r>
        <w:separator/>
      </w:r>
    </w:p>
  </w:endnote>
  <w:endnote w:type="continuationSeparator" w:id="0">
    <w:p w14:paraId="43A692FB" w14:textId="77777777" w:rsidR="004D1E3E" w:rsidRDefault="004D1E3E" w:rsidP="00974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MarkingPenHeavy">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C83E1" w14:textId="509CED14" w:rsidR="008F1587" w:rsidRPr="00B75756" w:rsidRDefault="00B75756" w:rsidP="00B75756">
    <w:pPr>
      <w:pStyle w:val="Footer"/>
    </w:pPr>
    <w:r>
      <w:rPr>
        <w:noProof/>
      </w:rPr>
      <mc:AlternateContent>
        <mc:Choice Requires="wps">
          <w:drawing>
            <wp:anchor distT="0" distB="0" distL="114300" distR="114300" simplePos="0" relativeHeight="251673600" behindDoc="0" locked="0" layoutInCell="0" allowOverlap="1" wp14:anchorId="17109E31" wp14:editId="73918461">
              <wp:simplePos x="0" y="0"/>
              <wp:positionH relativeFrom="page">
                <wp:posOffset>4962612</wp:posOffset>
              </wp:positionH>
              <wp:positionV relativeFrom="margin">
                <wp:posOffset>6704648</wp:posOffset>
              </wp:positionV>
              <wp:extent cx="4320000" cy="273600"/>
              <wp:effectExtent l="0" t="0" r="0" b="0"/>
              <wp:wrapNone/>
              <wp:docPr id="11" name="WordArt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179034">
                        <a:off x="0" y="0"/>
                        <a:ext cx="4320000" cy="273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6EA7E2D" w14:textId="77777777" w:rsidR="00B75756" w:rsidRPr="00A0276C" w:rsidRDefault="00B75756" w:rsidP="00B75756">
                          <w:pPr>
                            <w:pStyle w:val="NormalWeb"/>
                            <w:spacing w:before="0" w:beforeAutospacing="0" w:after="0" w:afterAutospacing="0"/>
                            <w:jc w:val="center"/>
                          </w:pPr>
                          <w:r w:rsidRPr="00A0276C">
                            <w:rPr>
                              <w:rFonts w:ascii="Arial" w:hAnsi="Arial" w:cs="Arial"/>
                              <w:b/>
                              <w:bCs/>
                              <w:i/>
                              <w:iCs/>
                            </w:rPr>
                            <w:t>S710 Solid State Lighting (SSL) Luminaire Installation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7109E31" id="_x0000_t202" coordsize="21600,21600" o:spt="202" path="m,l,21600r21600,l21600,xe">
              <v:stroke joinstyle="miter"/>
              <v:path gradientshapeok="t" o:connecttype="rect"/>
            </v:shapetype>
            <v:shape id="WordArt 45" o:spid="_x0000_s1027" type="#_x0000_t202" style="position:absolute;left:0;text-align:left;margin-left:390.75pt;margin-top:527.95pt;width:340.15pt;height:21.55pt;rotation:-5921140fd;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" o:allowincell="f" filled="f" stroked="f">
              <v:stroke joinstyle="round"/>
              <o:lock v:ext="edit" shapetype="t"/>
              <v:textbox style="mso-fit-shape-to-text:t">
                <w:txbxContent>
                  <w:p w14:paraId="36EA7E2D" w14:textId="77777777" w:rsidR="00B75756" w:rsidRPr="00A0276C" w:rsidRDefault="00B75756" w:rsidP="00B75756">
                    <w:pPr>
                      <w:pStyle w:val="NormalWeb"/>
                      <w:spacing w:before="0" w:beforeAutospacing="0" w:after="0" w:afterAutospacing="0"/>
                      <w:jc w:val="center"/>
                    </w:pPr>
                    <w:r w:rsidRPr="00A0276C">
                      <w:rPr>
                        <w:rFonts w:ascii="Arial" w:hAnsi="Arial" w:cs="Arial"/>
                        <w:b/>
                        <w:bCs/>
                        <w:i/>
                        <w:iCs/>
                      </w:rPr>
                      <w:t>S710 Solid State Lighting (SSL) Luminaire Installation</w:t>
                    </w:r>
                  </w:p>
                </w:txbxContent>
              </v:textbox>
              <w10:wrap anchorx="page" anchory="margin"/>
            </v:shape>
          </w:pict>
        </mc:Fallback>
      </mc:AlternateContent>
    </w:r>
    <w:r>
      <w:t>Revision 1</w:t>
    </w:r>
    <w:r w:rsidRPr="008D195E">
      <w:rPr>
        <w:rFonts w:ascii="Arial Bold" w:hAnsi="Arial Bold"/>
      </w:rPr>
      <w:t xml:space="preserve">.0 </w:t>
    </w:r>
    <w:r>
      <w:t xml:space="preserve">– </w:t>
    </w:r>
    <w:r>
      <w:rPr>
        <w:noProof/>
      </w:rPr>
      <w:t>March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0DE8C" w14:textId="09963246" w:rsidR="008F1587" w:rsidRDefault="008F1587" w:rsidP="00FD4A2B">
    <w:pPr>
      <w:pStyle w:val="Footer"/>
    </w:pPr>
    <w:r>
      <w:rPr>
        <w:noProof/>
      </w:rPr>
      <mc:AlternateContent>
        <mc:Choice Requires="wps">
          <w:drawing>
            <wp:anchor distT="0" distB="0" distL="114300" distR="114300" simplePos="0" relativeHeight="251663360" behindDoc="0" locked="0" layoutInCell="0" allowOverlap="1" wp14:anchorId="242C71EB" wp14:editId="7FD3E149">
              <wp:simplePos x="0" y="0"/>
              <wp:positionH relativeFrom="page">
                <wp:posOffset>4962612</wp:posOffset>
              </wp:positionH>
              <wp:positionV relativeFrom="margin">
                <wp:posOffset>6704648</wp:posOffset>
              </wp:positionV>
              <wp:extent cx="4320000" cy="273600"/>
              <wp:effectExtent l="0" t="0" r="0" b="0"/>
              <wp:wrapNone/>
              <wp:docPr id="1" name="WordArt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179034">
                        <a:off x="0" y="0"/>
                        <a:ext cx="4320000" cy="273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16EA885" w14:textId="6600C7A5" w:rsidR="008F1587" w:rsidRPr="00A0276C" w:rsidRDefault="008F1587" w:rsidP="00FC5E2F">
                          <w:pPr>
                            <w:pStyle w:val="NormalWeb"/>
                            <w:spacing w:before="0" w:beforeAutospacing="0" w:after="0" w:afterAutospacing="0"/>
                            <w:jc w:val="center"/>
                          </w:pPr>
                          <w:r w:rsidRPr="00A0276C">
                            <w:rPr>
                              <w:rFonts w:ascii="Arial" w:hAnsi="Arial" w:cs="Arial"/>
                              <w:b/>
                              <w:bCs/>
                              <w:i/>
                              <w:iCs/>
                            </w:rPr>
                            <w:t>S710 Solid State Lighting (SSL) Luminaire Installation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42C71EB" id="_x0000_t202" coordsize="21600,21600" o:spt="202" path="m,l,21600r21600,l21600,xe">
              <v:stroke joinstyle="miter"/>
              <v:path gradientshapeok="t" o:connecttype="rect"/>
            </v:shapetype>
            <v:shape id="_x0000_s1028" type="#_x0000_t202" style="position:absolute;left:0;text-align:left;margin-left:390.75pt;margin-top:527.95pt;width:340.15pt;height:21.55pt;rotation:-5921140fd;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" o:allowincell="f" filled="f" stroked="f">
              <v:stroke joinstyle="round"/>
              <o:lock v:ext="edit" shapetype="t"/>
              <v:textbox style="mso-fit-shape-to-text:t">
                <w:txbxContent>
                  <w:p w14:paraId="316EA885" w14:textId="6600C7A5" w:rsidR="008F1587" w:rsidRPr="00A0276C" w:rsidRDefault="008F1587" w:rsidP="00FC5E2F">
                    <w:pPr>
                      <w:pStyle w:val="NormalWeb"/>
                      <w:spacing w:before="0" w:beforeAutospacing="0" w:after="0" w:afterAutospacing="0"/>
                      <w:jc w:val="center"/>
                    </w:pPr>
                    <w:r w:rsidRPr="00A0276C">
                      <w:rPr>
                        <w:rFonts w:ascii="Arial" w:hAnsi="Arial" w:cs="Arial"/>
                        <w:b/>
                        <w:bCs/>
                        <w:i/>
                        <w:iCs/>
                      </w:rPr>
                      <w:t>S710 Solid State Lighting (SSL) Luminaire Installation</w:t>
                    </w:r>
                  </w:p>
                </w:txbxContent>
              </v:textbox>
              <w10:wrap anchorx="page" anchory="margin"/>
            </v:shape>
          </w:pict>
        </mc:Fallback>
      </mc:AlternateContent>
    </w:r>
    <w:r>
      <w:t>Revision 1</w:t>
    </w:r>
    <w:r w:rsidRPr="008D195E">
      <w:rPr>
        <w:rFonts w:ascii="Arial Bold" w:hAnsi="Arial Bold"/>
      </w:rPr>
      <w:t xml:space="preserve">.0 </w:t>
    </w:r>
    <w:r>
      <w:t xml:space="preserve">– </w:t>
    </w:r>
    <w:r w:rsidR="00E54C83">
      <w:rPr>
        <w:noProof/>
      </w:rPr>
      <w:t>March 2021</w:t>
    </w:r>
    <w:r w:rsidR="00A0276C">
      <w:rPr>
        <w:noProof/>
      </w:rPr>
      <w:tab/>
    </w:r>
    <w:r>
      <w:fldChar w:fldCharType="begin"/>
    </w:r>
    <w:r>
      <w:instrText xml:space="preserve"> PAGE  \* roman  \* MERGEFORMAT </w:instrText>
    </w:r>
    <w:r>
      <w:fldChar w:fldCharType="separate"/>
    </w:r>
    <w:r w:rsidR="00696B19">
      <w:rPr>
        <w:noProof/>
      </w:rPr>
      <w:t>i</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914AF" w14:textId="01E6458A" w:rsidR="00A0276C" w:rsidRDefault="00A0276C" w:rsidP="00FD4A2B">
    <w:pPr>
      <w:pStyle w:val="Footer"/>
    </w:pPr>
    <w:r>
      <w:rPr>
        <w:noProof/>
      </w:rPr>
      <mc:AlternateContent>
        <mc:Choice Requires="wps">
          <w:drawing>
            <wp:anchor distT="0" distB="0" distL="114300" distR="114300" simplePos="0" relativeHeight="251671552" behindDoc="0" locked="0" layoutInCell="0" allowOverlap="1" wp14:anchorId="4BFB5936" wp14:editId="049A4C14">
              <wp:simplePos x="0" y="0"/>
              <wp:positionH relativeFrom="page">
                <wp:posOffset>4962612</wp:posOffset>
              </wp:positionH>
              <wp:positionV relativeFrom="margin">
                <wp:posOffset>6704648</wp:posOffset>
              </wp:positionV>
              <wp:extent cx="4320000" cy="273600"/>
              <wp:effectExtent l="0" t="0" r="0" b="0"/>
              <wp:wrapNone/>
              <wp:docPr id="10" name="WordArt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179034">
                        <a:off x="0" y="0"/>
                        <a:ext cx="4320000" cy="273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E2F4E1" w14:textId="77777777" w:rsidR="00A0276C" w:rsidRPr="00A0276C" w:rsidRDefault="00A0276C" w:rsidP="00FC5E2F">
                          <w:pPr>
                            <w:pStyle w:val="NormalWeb"/>
                            <w:spacing w:before="0" w:beforeAutospacing="0" w:after="0" w:afterAutospacing="0"/>
                            <w:jc w:val="center"/>
                          </w:pPr>
                          <w:r w:rsidRPr="00A0276C">
                            <w:rPr>
                              <w:rFonts w:ascii="Arial" w:hAnsi="Arial" w:cs="Arial"/>
                              <w:b/>
                              <w:bCs/>
                              <w:i/>
                              <w:iCs/>
                            </w:rPr>
                            <w:t>S710 Solid State Lighting (SSL) Luminaire Installation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BFB5936" id="_x0000_t202" coordsize="21600,21600" o:spt="202" path="m,l,21600r21600,l21600,xe">
              <v:stroke joinstyle="miter"/>
              <v:path gradientshapeok="t" o:connecttype="rect"/>
            </v:shapetype>
            <v:shape id="_x0000_s1029" type="#_x0000_t202" style="position:absolute;left:0;text-align:left;margin-left:390.75pt;margin-top:527.95pt;width:340.15pt;height:21.55pt;rotation:-5921140fd;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" o:allowincell="f" filled="f" stroked="f">
              <v:stroke joinstyle="round"/>
              <o:lock v:ext="edit" shapetype="t"/>
              <v:textbox style="mso-fit-shape-to-text:t">
                <w:txbxContent>
                  <w:p w14:paraId="20E2F4E1" w14:textId="77777777" w:rsidR="00A0276C" w:rsidRPr="00A0276C" w:rsidRDefault="00A0276C" w:rsidP="00FC5E2F">
                    <w:pPr>
                      <w:pStyle w:val="NormalWeb"/>
                      <w:spacing w:before="0" w:beforeAutospacing="0" w:after="0" w:afterAutospacing="0"/>
                      <w:jc w:val="center"/>
                    </w:pPr>
                    <w:r w:rsidRPr="00A0276C">
                      <w:rPr>
                        <w:rFonts w:ascii="Arial" w:hAnsi="Arial" w:cs="Arial"/>
                        <w:b/>
                        <w:bCs/>
                        <w:i/>
                        <w:iCs/>
                      </w:rPr>
                      <w:t>S710 Solid State Lighting (SSL) Luminaire Installation</w:t>
                    </w:r>
                  </w:p>
                </w:txbxContent>
              </v:textbox>
              <w10:wrap anchorx="page" anchory="margin"/>
            </v:shape>
          </w:pict>
        </mc:Fallback>
      </mc:AlternateContent>
    </w:r>
    <w:r>
      <w:t>Revision 1</w:t>
    </w:r>
    <w:r w:rsidRPr="008D195E">
      <w:rPr>
        <w:rFonts w:ascii="Arial Bold" w:hAnsi="Arial Bold"/>
      </w:rPr>
      <w:t xml:space="preserve">.0 </w:t>
    </w:r>
    <w:r>
      <w:t xml:space="preserve">– </w:t>
    </w:r>
    <w:r>
      <w:rPr>
        <w:noProof/>
      </w:rPr>
      <w:t>March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05F7E" w14:textId="38734C24" w:rsidR="005923A4" w:rsidRDefault="005923A4" w:rsidP="00FD4A2B">
    <w:pPr>
      <w:pStyle w:val="Footer"/>
    </w:pPr>
    <w:r>
      <w:rPr>
        <w:noProof/>
      </w:rPr>
      <mc:AlternateContent>
        <mc:Choice Requires="wps">
          <w:drawing>
            <wp:anchor distT="0" distB="0" distL="114300" distR="114300" simplePos="0" relativeHeight="251669504" behindDoc="0" locked="0" layoutInCell="0" allowOverlap="1" wp14:anchorId="31A8F06A" wp14:editId="05FD7C30">
              <wp:simplePos x="0" y="0"/>
              <wp:positionH relativeFrom="page">
                <wp:posOffset>4976974</wp:posOffset>
              </wp:positionH>
              <wp:positionV relativeFrom="margin">
                <wp:posOffset>6674169</wp:posOffset>
              </wp:positionV>
              <wp:extent cx="4320000" cy="273600"/>
              <wp:effectExtent l="0" t="0" r="0" b="0"/>
              <wp:wrapNone/>
              <wp:docPr id="13" name="WordArt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7020966">
                        <a:off x="0" y="0"/>
                        <a:ext cx="4320000" cy="273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DE3E212" w14:textId="77777777" w:rsidR="005923A4" w:rsidRPr="00855856" w:rsidRDefault="005923A4" w:rsidP="00FC5E2F">
                          <w:pPr>
                            <w:pStyle w:val="NormalWeb"/>
                            <w:spacing w:before="0" w:beforeAutospacing="0" w:after="0" w:afterAutospacing="0"/>
                            <w:jc w:val="center"/>
                          </w:pPr>
                          <w:r w:rsidRPr="00855856">
                            <w:rPr>
                              <w:rFonts w:ascii="Arial" w:hAnsi="Arial" w:cs="Arial"/>
                              <w:b/>
                              <w:bCs/>
                              <w:i/>
                              <w:iCs/>
                            </w:rPr>
                            <w:t>S710 Solid State Lighting (SSL) Luminaire Installation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1A8F06A" id="_x0000_t202" coordsize="21600,21600" o:spt="202" path="m,l,21600r21600,l21600,xe">
              <v:stroke joinstyle="miter"/>
              <v:path gradientshapeok="t" o:connecttype="rect"/>
            </v:shapetype>
            <v:shape id="_x0000_s1030" type="#_x0000_t202" style="position:absolute;left:0;text-align:left;margin-left:391.9pt;margin-top:525.55pt;width:340.15pt;height:21.55pt;rotation:-5921140fd;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" o:allowincell="f" filled="f" stroked="f">
              <v:stroke joinstyle="round"/>
              <o:lock v:ext="edit" shapetype="t"/>
              <v:textbox style="mso-fit-shape-to-text:t">
                <w:txbxContent>
                  <w:p w14:paraId="3DE3E212" w14:textId="77777777" w:rsidR="005923A4" w:rsidRPr="00855856" w:rsidRDefault="005923A4" w:rsidP="00FC5E2F">
                    <w:pPr>
                      <w:pStyle w:val="NormalWeb"/>
                      <w:spacing w:before="0" w:beforeAutospacing="0" w:after="0" w:afterAutospacing="0"/>
                      <w:jc w:val="center"/>
                    </w:pPr>
                    <w:r w:rsidRPr="00855856">
                      <w:rPr>
                        <w:rFonts w:ascii="Arial" w:hAnsi="Arial" w:cs="Arial"/>
                        <w:b/>
                        <w:bCs/>
                        <w:i/>
                        <w:iCs/>
                      </w:rPr>
                      <w:t>S710 Solid State Lighting (SSL) Luminaire Installation</w:t>
                    </w:r>
                  </w:p>
                </w:txbxContent>
              </v:textbox>
              <w10:wrap anchorx="page" anchory="margin"/>
            </v:shape>
          </w:pict>
        </mc:Fallback>
      </mc:AlternateContent>
    </w:r>
    <w:r>
      <w:t>Revision 1</w:t>
    </w:r>
    <w:r w:rsidRPr="008D195E">
      <w:rPr>
        <w:rFonts w:ascii="Arial Bold" w:hAnsi="Arial Bold"/>
      </w:rPr>
      <w:t xml:space="preserve">.0 </w:t>
    </w:r>
    <w:r>
      <w:t xml:space="preserve">– </w:t>
    </w:r>
    <w:r w:rsidR="00C26C2D">
      <w:rPr>
        <w:noProof/>
      </w:rPr>
      <w:t>Mar</w:t>
    </w:r>
    <w:r w:rsidR="00777E72">
      <w:rPr>
        <w:noProof/>
      </w:rPr>
      <w:t>ch</w:t>
    </w:r>
    <w:r w:rsidRPr="000F4F54">
      <w:rPr>
        <w:noProof/>
      </w:rPr>
      <w:t xml:space="preserve"> 202</w:t>
    </w:r>
    <w:r w:rsidR="00777E72">
      <w:rPr>
        <w:noProof/>
      </w:rPr>
      <w:t>1</w:t>
    </w:r>
    <w:r w:rsidR="00855856">
      <w:rPr>
        <w:noProof/>
      </w:rPr>
      <w:tab/>
    </w:r>
    <w:r w:rsidR="00881C43">
      <w:fldChar w:fldCharType="begin"/>
    </w:r>
    <w:r w:rsidR="00881C43">
      <w:instrText xml:space="preserve"> PAGE   \* MERGEFORMAT </w:instrText>
    </w:r>
    <w:r w:rsidR="00881C43">
      <w:fldChar w:fldCharType="separate"/>
    </w:r>
    <w:r w:rsidR="00881C43">
      <w:rPr>
        <w:noProof/>
      </w:rPr>
      <w:t>1</w:t>
    </w:r>
    <w:r w:rsidR="00881C4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FD920" w14:textId="77777777" w:rsidR="004D1E3E" w:rsidRDefault="004D1E3E" w:rsidP="00974BCE">
      <w:r>
        <w:separator/>
      </w:r>
    </w:p>
  </w:footnote>
  <w:footnote w:type="continuationSeparator" w:id="0">
    <w:p w14:paraId="1DA146AB" w14:textId="77777777" w:rsidR="004D1E3E" w:rsidRDefault="004D1E3E" w:rsidP="00974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BB5C7" w14:textId="77777777" w:rsidR="008F1587" w:rsidRDefault="008F1587">
    <w:pPr>
      <w:pStyle w:val="Header"/>
    </w:pPr>
    <w:r>
      <w:rPr>
        <w:noProof/>
      </w:rPr>
      <mc:AlternateContent>
        <mc:Choice Requires="wps">
          <w:drawing>
            <wp:anchor distT="0" distB="0" distL="114300" distR="114300" simplePos="0" relativeHeight="251659264" behindDoc="0" locked="0" layoutInCell="0" allowOverlap="1" wp14:anchorId="2E100154" wp14:editId="370FC9AF">
              <wp:simplePos x="0" y="0"/>
              <wp:positionH relativeFrom="column">
                <wp:posOffset>3848100</wp:posOffset>
              </wp:positionH>
              <wp:positionV relativeFrom="paragraph">
                <wp:posOffset>3780790</wp:posOffset>
              </wp:positionV>
              <wp:extent cx="419100" cy="542925"/>
              <wp:effectExtent l="13970" t="13970" r="5080" b="5080"/>
              <wp:wrapNone/>
              <wp:docPr id="2"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419100" cy="542925"/>
                      </a:xfrm>
                      <a:prstGeom prst="rect">
                        <a:avLst/>
                      </a:prstGeom>
                      <a:extLst>
                        <a:ext uri="{AF507438-7753-43E0-B8FC-AC1667EBCBE1}">
                          <a14:hiddenEffects xmlns:a14="http://schemas.microsoft.com/office/drawing/2010/main">
                            <a:effectLst/>
                          </a14:hiddenEffects>
                        </a:ext>
                      </a:extLst>
                    </wps:spPr>
                    <wps:txbx>
                      <w:txbxContent>
                        <w:p w14:paraId="2650FC72" w14:textId="77777777" w:rsidR="008F1587" w:rsidRDefault="008F1587" w:rsidP="00FD4A2B">
                          <w:pPr>
                            <w:pStyle w:val="NormalWeb"/>
                            <w:spacing w:before="0" w:beforeAutospacing="0" w:after="0" w:afterAutospacing="0"/>
                            <w:jc w:val="center"/>
                          </w:pPr>
                          <w:r>
                            <w:rPr>
                              <w:rFonts w:ascii="Arial Narrow" w:hAnsi="Arial Narrow"/>
                              <w:color w:val="000000"/>
                              <w:sz w:val="72"/>
                              <w:szCs w:val="72"/>
                              <w14:textOutline w14:w="9525" w14:cap="flat" w14:cmpd="sng" w14:algn="ctr">
                                <w14:solidFill>
                                  <w14:srgbClr w14:val="000000"/>
                                </w14:solidFill>
                                <w14:prstDash w14:val="solid"/>
                                <w14:round/>
                              </w14:textOutline>
                            </w:rPr>
                            <w:t>14</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E100154" id="_x0000_t202" coordsize="21600,21600" o:spt="202" path="m,l,21600r21600,l21600,xe">
              <v:stroke joinstyle="miter"/>
              <v:path gradientshapeok="t" o:connecttype="rect"/>
            </v:shapetype>
            <v:shape id="WordArt 7" o:spid="_x0000_s1026" type="#_x0000_t202" style="position:absolute;left:0;text-align:left;margin-left:303pt;margin-top:297.7pt;width:33pt;height:42.7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" o:allowincell="f" filled="f" stroked="f">
              <o:lock v:ext="edit" shapetype="t"/>
              <v:textbox style="mso-fit-shape-to-text:t">
                <w:txbxContent>
                  <w:p w14:paraId="2650FC72" w14:textId="77777777" w:rsidR="008F1587" w:rsidRDefault="008F1587" w:rsidP="00FD4A2B">
                    <w:pPr>
                      <w:pStyle w:val="NormalWeb"/>
                      <w:spacing w:before="0" w:beforeAutospacing="0" w:after="0" w:afterAutospacing="0"/>
                      <w:jc w:val="center"/>
                    </w:pPr>
                    <w:r>
                      <w:rPr>
                        <w:rFonts w:ascii="Arial Narrow" w:hAnsi="Arial Narrow"/>
                        <w:color w:val="000000"/>
                        <w:sz w:val="72"/>
                        <w:szCs w:val="72"/>
                        <w14:textOutline w14:w="9525" w14:cap="flat" w14:cmpd="sng" w14:algn="ctr">
                          <w14:solidFill>
                            <w14:srgbClr w14:val="000000"/>
                          </w14:solidFill>
                          <w14:prstDash w14:val="solid"/>
                          <w14:round/>
                        </w14:textOutline>
                      </w:rPr>
                      <w:t>14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47892" w14:textId="573947DE" w:rsidR="008F1587" w:rsidRPr="000E643B" w:rsidRDefault="008F1587" w:rsidP="00817308">
    <w:pPr>
      <w:pStyle w:val="Header"/>
    </w:pPr>
    <w:r>
      <w:rPr>
        <w:noProof/>
      </w:rPr>
      <w:drawing>
        <wp:inline distT="0" distB="0" distL="0" distR="0" wp14:anchorId="73B91411" wp14:editId="7F29EAD2">
          <wp:extent cx="1384069" cy="720000"/>
          <wp:effectExtent l="0" t="0" r="6985" b="4445"/>
          <wp:docPr id="9" name="Picture 9" descr="BCC Logo (Colour)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CC Logo (Colour) 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069" cy="72000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F32D9" w14:textId="5D535FA3" w:rsidR="00185087" w:rsidRPr="000E643B" w:rsidRDefault="00185087" w:rsidP="00FD4A2B">
    <w:pPr>
      <w:pStyle w:val="Header"/>
    </w:pPr>
    <w:r w:rsidRPr="000E643B">
      <w:t xml:space="preserve">Brisbane </w:t>
    </w:r>
    <w:r w:rsidR="009130B3">
      <w:t>City Council</w:t>
    </w:r>
    <w:r w:rsidR="0032669F">
      <w:tab/>
    </w:r>
    <w:r w:rsidRPr="000E643B">
      <w:t>Reference Specifications for Engineering Work</w:t>
    </w:r>
    <w:r w:rsidR="0032669F">
      <w:t xml:space="preserve"> </w:t>
    </w:r>
    <w:r>
      <w:t>S710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716A2"/>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6731BF9"/>
    <w:multiLevelType w:val="hybridMultilevel"/>
    <w:tmpl w:val="BB4A8972"/>
    <w:lvl w:ilvl="0" w:tplc="9D46F2AA">
      <w:start w:val="6"/>
      <w:numFmt w:val="bullet"/>
      <w:pStyle w:val="BodyTextIndentDot2"/>
      <w:lvlText w:val="-"/>
      <w:lvlJc w:val="left"/>
      <w:pPr>
        <w:ind w:left="1429" w:hanging="360"/>
      </w:pPr>
      <w:rPr>
        <w:rFonts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 w15:restartNumberingAfterBreak="0">
    <w:nsid w:val="086833ED"/>
    <w:multiLevelType w:val="hybridMultilevel"/>
    <w:tmpl w:val="3B4C337A"/>
    <w:lvl w:ilvl="0" w:tplc="7AB26730">
      <w:start w:val="40"/>
      <w:numFmt w:val="bullet"/>
      <w:lvlText w:val=""/>
      <w:lvlJc w:val="left"/>
      <w:pPr>
        <w:tabs>
          <w:tab w:val="num" w:pos="1069"/>
        </w:tabs>
        <w:ind w:left="1069" w:hanging="360"/>
      </w:pPr>
      <w:rPr>
        <w:rFonts w:ascii="Symbol" w:eastAsia="Times New Roman" w:hAnsi="Symbol" w:cs="Times New Roman" w:hint="default"/>
      </w:rPr>
    </w:lvl>
    <w:lvl w:ilvl="1" w:tplc="0C090003" w:tentative="1">
      <w:start w:val="1"/>
      <w:numFmt w:val="bullet"/>
      <w:lvlText w:val="o"/>
      <w:lvlJc w:val="left"/>
      <w:pPr>
        <w:tabs>
          <w:tab w:val="num" w:pos="1789"/>
        </w:tabs>
        <w:ind w:left="1789" w:hanging="360"/>
      </w:pPr>
      <w:rPr>
        <w:rFonts w:ascii="Courier New" w:hAnsi="Courier New" w:cs="Courier New" w:hint="default"/>
      </w:rPr>
    </w:lvl>
    <w:lvl w:ilvl="2" w:tplc="0C090005" w:tentative="1">
      <w:start w:val="1"/>
      <w:numFmt w:val="bullet"/>
      <w:lvlText w:val=""/>
      <w:lvlJc w:val="left"/>
      <w:pPr>
        <w:tabs>
          <w:tab w:val="num" w:pos="2509"/>
        </w:tabs>
        <w:ind w:left="2509" w:hanging="360"/>
      </w:pPr>
      <w:rPr>
        <w:rFonts w:ascii="Wingdings" w:hAnsi="Wingdings" w:hint="default"/>
      </w:rPr>
    </w:lvl>
    <w:lvl w:ilvl="3" w:tplc="0C090001" w:tentative="1">
      <w:start w:val="1"/>
      <w:numFmt w:val="bullet"/>
      <w:lvlText w:val=""/>
      <w:lvlJc w:val="left"/>
      <w:pPr>
        <w:tabs>
          <w:tab w:val="num" w:pos="3229"/>
        </w:tabs>
        <w:ind w:left="3229" w:hanging="360"/>
      </w:pPr>
      <w:rPr>
        <w:rFonts w:ascii="Symbol" w:hAnsi="Symbol" w:hint="default"/>
      </w:rPr>
    </w:lvl>
    <w:lvl w:ilvl="4" w:tplc="0C090003" w:tentative="1">
      <w:start w:val="1"/>
      <w:numFmt w:val="bullet"/>
      <w:lvlText w:val="o"/>
      <w:lvlJc w:val="left"/>
      <w:pPr>
        <w:tabs>
          <w:tab w:val="num" w:pos="3949"/>
        </w:tabs>
        <w:ind w:left="3949" w:hanging="360"/>
      </w:pPr>
      <w:rPr>
        <w:rFonts w:ascii="Courier New" w:hAnsi="Courier New" w:cs="Courier New" w:hint="default"/>
      </w:rPr>
    </w:lvl>
    <w:lvl w:ilvl="5" w:tplc="0C090005" w:tentative="1">
      <w:start w:val="1"/>
      <w:numFmt w:val="bullet"/>
      <w:lvlText w:val=""/>
      <w:lvlJc w:val="left"/>
      <w:pPr>
        <w:tabs>
          <w:tab w:val="num" w:pos="4669"/>
        </w:tabs>
        <w:ind w:left="4669" w:hanging="360"/>
      </w:pPr>
      <w:rPr>
        <w:rFonts w:ascii="Wingdings" w:hAnsi="Wingdings" w:hint="default"/>
      </w:rPr>
    </w:lvl>
    <w:lvl w:ilvl="6" w:tplc="0C090001" w:tentative="1">
      <w:start w:val="1"/>
      <w:numFmt w:val="bullet"/>
      <w:lvlText w:val=""/>
      <w:lvlJc w:val="left"/>
      <w:pPr>
        <w:tabs>
          <w:tab w:val="num" w:pos="5389"/>
        </w:tabs>
        <w:ind w:left="5389" w:hanging="360"/>
      </w:pPr>
      <w:rPr>
        <w:rFonts w:ascii="Symbol" w:hAnsi="Symbol" w:hint="default"/>
      </w:rPr>
    </w:lvl>
    <w:lvl w:ilvl="7" w:tplc="0C090003" w:tentative="1">
      <w:start w:val="1"/>
      <w:numFmt w:val="bullet"/>
      <w:lvlText w:val="o"/>
      <w:lvlJc w:val="left"/>
      <w:pPr>
        <w:tabs>
          <w:tab w:val="num" w:pos="6109"/>
        </w:tabs>
        <w:ind w:left="6109" w:hanging="360"/>
      </w:pPr>
      <w:rPr>
        <w:rFonts w:ascii="Courier New" w:hAnsi="Courier New" w:cs="Courier New" w:hint="default"/>
      </w:rPr>
    </w:lvl>
    <w:lvl w:ilvl="8" w:tplc="0C090005"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0BD06151"/>
    <w:multiLevelType w:val="hybridMultilevel"/>
    <w:tmpl w:val="AB94E1D0"/>
    <w:lvl w:ilvl="0" w:tplc="8EB2C3CA">
      <w:start w:val="1"/>
      <w:numFmt w:val="decimal"/>
      <w:lvlText w:val="%1."/>
      <w:lvlJc w:val="left"/>
      <w:pPr>
        <w:tabs>
          <w:tab w:val="num" w:pos="1418"/>
        </w:tabs>
        <w:ind w:left="1418" w:hanging="709"/>
      </w:pPr>
      <w:rPr>
        <w:rFonts w:ascii="Arial" w:hAnsi="Arial" w:hint="default"/>
        <w:b w:val="0"/>
        <w:i w:val="0"/>
        <w:strike w:val="0"/>
        <w:dstrike w:val="0"/>
        <w:color w:val="auto"/>
        <w:sz w:val="18"/>
        <w:u w:val="none"/>
      </w:rPr>
    </w:lvl>
    <w:lvl w:ilvl="1" w:tplc="BCA474F0">
      <w:start w:val="1"/>
      <w:numFmt w:val="lowerLetter"/>
      <w:lvlText w:val="%2."/>
      <w:lvlJc w:val="left"/>
      <w:pPr>
        <w:tabs>
          <w:tab w:val="num" w:pos="1440"/>
        </w:tabs>
        <w:ind w:left="1440" w:hanging="360"/>
      </w:pPr>
    </w:lvl>
    <w:lvl w:ilvl="2" w:tplc="9F9489E2">
      <w:start w:val="1"/>
      <w:numFmt w:val="lowerRoman"/>
      <w:lvlText w:val="%3."/>
      <w:lvlJc w:val="right"/>
      <w:pPr>
        <w:tabs>
          <w:tab w:val="num" w:pos="2160"/>
        </w:tabs>
        <w:ind w:left="2160" w:hanging="180"/>
      </w:pPr>
    </w:lvl>
    <w:lvl w:ilvl="3" w:tplc="3DCE57A4">
      <w:start w:val="1"/>
      <w:numFmt w:val="decimal"/>
      <w:lvlText w:val="%4."/>
      <w:lvlJc w:val="left"/>
      <w:pPr>
        <w:tabs>
          <w:tab w:val="num" w:pos="2880"/>
        </w:tabs>
        <w:ind w:left="2880" w:hanging="360"/>
      </w:pPr>
    </w:lvl>
    <w:lvl w:ilvl="4" w:tplc="C5F25012">
      <w:start w:val="1"/>
      <w:numFmt w:val="lowerLetter"/>
      <w:lvlText w:val="%5."/>
      <w:lvlJc w:val="left"/>
      <w:pPr>
        <w:tabs>
          <w:tab w:val="num" w:pos="3600"/>
        </w:tabs>
        <w:ind w:left="3600" w:hanging="360"/>
      </w:pPr>
    </w:lvl>
    <w:lvl w:ilvl="5" w:tplc="48A2CA98">
      <w:start w:val="1"/>
      <w:numFmt w:val="lowerRoman"/>
      <w:lvlText w:val="%6."/>
      <w:lvlJc w:val="right"/>
      <w:pPr>
        <w:tabs>
          <w:tab w:val="num" w:pos="4320"/>
        </w:tabs>
        <w:ind w:left="4320" w:hanging="180"/>
      </w:pPr>
    </w:lvl>
    <w:lvl w:ilvl="6" w:tplc="DFD0CE4A">
      <w:start w:val="1"/>
      <w:numFmt w:val="decimal"/>
      <w:lvlText w:val="%7."/>
      <w:lvlJc w:val="left"/>
      <w:pPr>
        <w:tabs>
          <w:tab w:val="num" w:pos="5040"/>
        </w:tabs>
        <w:ind w:left="5040" w:hanging="360"/>
      </w:pPr>
    </w:lvl>
    <w:lvl w:ilvl="7" w:tplc="69509766">
      <w:start w:val="1"/>
      <w:numFmt w:val="lowerLetter"/>
      <w:lvlText w:val="%8."/>
      <w:lvlJc w:val="left"/>
      <w:pPr>
        <w:tabs>
          <w:tab w:val="num" w:pos="5760"/>
        </w:tabs>
        <w:ind w:left="5760" w:hanging="360"/>
      </w:pPr>
    </w:lvl>
    <w:lvl w:ilvl="8" w:tplc="CF9054EA">
      <w:start w:val="1"/>
      <w:numFmt w:val="lowerRoman"/>
      <w:lvlText w:val="%9."/>
      <w:lvlJc w:val="right"/>
      <w:pPr>
        <w:tabs>
          <w:tab w:val="num" w:pos="6480"/>
        </w:tabs>
        <w:ind w:left="6480" w:hanging="180"/>
      </w:pPr>
    </w:lvl>
  </w:abstractNum>
  <w:abstractNum w:abstractNumId="4" w15:restartNumberingAfterBreak="0">
    <w:nsid w:val="14BF0AE4"/>
    <w:multiLevelType w:val="multilevel"/>
    <w:tmpl w:val="F676A102"/>
    <w:lvl w:ilvl="0">
      <w:numFmt w:val="bullet"/>
      <w:lvlText w:val="-"/>
      <w:lvlJc w:val="left"/>
      <w:pPr>
        <w:tabs>
          <w:tab w:val="num" w:pos="425"/>
        </w:tabs>
        <w:ind w:left="425" w:hanging="425"/>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C513E9"/>
    <w:multiLevelType w:val="hybridMultilevel"/>
    <w:tmpl w:val="0C090005"/>
    <w:lvl w:ilvl="0" w:tplc="319A5CF4">
      <w:start w:val="1"/>
      <w:numFmt w:val="bullet"/>
      <w:lvlText w:val=""/>
      <w:lvlJc w:val="left"/>
      <w:pPr>
        <w:tabs>
          <w:tab w:val="num" w:pos="360"/>
        </w:tabs>
        <w:ind w:left="360" w:hanging="360"/>
      </w:pPr>
      <w:rPr>
        <w:rFonts w:ascii="Wingdings" w:hAnsi="Wingdings" w:hint="default"/>
      </w:rPr>
    </w:lvl>
    <w:lvl w:ilvl="1" w:tplc="7242E246">
      <w:numFmt w:val="decimal"/>
      <w:lvlText w:val=""/>
      <w:lvlJc w:val="left"/>
    </w:lvl>
    <w:lvl w:ilvl="2" w:tplc="1C5086AC">
      <w:numFmt w:val="decimal"/>
      <w:lvlText w:val=""/>
      <w:lvlJc w:val="left"/>
    </w:lvl>
    <w:lvl w:ilvl="3" w:tplc="16FAC32C">
      <w:numFmt w:val="decimal"/>
      <w:lvlText w:val=""/>
      <w:lvlJc w:val="left"/>
    </w:lvl>
    <w:lvl w:ilvl="4" w:tplc="2A0EAE80">
      <w:numFmt w:val="decimal"/>
      <w:lvlText w:val=""/>
      <w:lvlJc w:val="left"/>
    </w:lvl>
    <w:lvl w:ilvl="5" w:tplc="0518B582">
      <w:numFmt w:val="decimal"/>
      <w:lvlText w:val=""/>
      <w:lvlJc w:val="left"/>
    </w:lvl>
    <w:lvl w:ilvl="6" w:tplc="F5566B1A">
      <w:numFmt w:val="decimal"/>
      <w:lvlText w:val=""/>
      <w:lvlJc w:val="left"/>
    </w:lvl>
    <w:lvl w:ilvl="7" w:tplc="4AC2432A">
      <w:numFmt w:val="decimal"/>
      <w:lvlText w:val=""/>
      <w:lvlJc w:val="left"/>
    </w:lvl>
    <w:lvl w:ilvl="8" w:tplc="ECC00A14">
      <w:numFmt w:val="decimal"/>
      <w:lvlText w:val=""/>
      <w:lvlJc w:val="left"/>
    </w:lvl>
  </w:abstractNum>
  <w:abstractNum w:abstractNumId="6" w15:restartNumberingAfterBreak="0">
    <w:nsid w:val="1C800826"/>
    <w:multiLevelType w:val="hybridMultilevel"/>
    <w:tmpl w:val="A24E03A4"/>
    <w:lvl w:ilvl="0" w:tplc="F4F8822C">
      <w:start w:val="1"/>
      <w:numFmt w:val="bullet"/>
      <w:lvlText w:val=""/>
      <w:lvlJc w:val="left"/>
      <w:pPr>
        <w:tabs>
          <w:tab w:val="num" w:pos="1344"/>
        </w:tabs>
        <w:ind w:left="1344" w:hanging="510"/>
      </w:pPr>
      <w:rPr>
        <w:rFonts w:ascii="Symbol" w:hAnsi="Symbol" w:hint="default"/>
      </w:rPr>
    </w:lvl>
    <w:lvl w:ilvl="1" w:tplc="0C090003" w:tentative="1">
      <w:start w:val="1"/>
      <w:numFmt w:val="bullet"/>
      <w:lvlText w:val="o"/>
      <w:lvlJc w:val="left"/>
      <w:pPr>
        <w:tabs>
          <w:tab w:val="num" w:pos="2217"/>
        </w:tabs>
        <w:ind w:left="2217" w:hanging="360"/>
      </w:pPr>
      <w:rPr>
        <w:rFonts w:ascii="Courier New" w:hAnsi="Courier New" w:cs="Courier New" w:hint="default"/>
      </w:rPr>
    </w:lvl>
    <w:lvl w:ilvl="2" w:tplc="0C090005" w:tentative="1">
      <w:start w:val="1"/>
      <w:numFmt w:val="bullet"/>
      <w:lvlText w:val=""/>
      <w:lvlJc w:val="left"/>
      <w:pPr>
        <w:tabs>
          <w:tab w:val="num" w:pos="2937"/>
        </w:tabs>
        <w:ind w:left="2937" w:hanging="360"/>
      </w:pPr>
      <w:rPr>
        <w:rFonts w:ascii="Wingdings" w:hAnsi="Wingdings" w:hint="default"/>
      </w:rPr>
    </w:lvl>
    <w:lvl w:ilvl="3" w:tplc="0C090001" w:tentative="1">
      <w:start w:val="1"/>
      <w:numFmt w:val="bullet"/>
      <w:lvlText w:val=""/>
      <w:lvlJc w:val="left"/>
      <w:pPr>
        <w:tabs>
          <w:tab w:val="num" w:pos="3657"/>
        </w:tabs>
        <w:ind w:left="3657" w:hanging="360"/>
      </w:pPr>
      <w:rPr>
        <w:rFonts w:ascii="Symbol" w:hAnsi="Symbol" w:hint="default"/>
      </w:rPr>
    </w:lvl>
    <w:lvl w:ilvl="4" w:tplc="0C090003" w:tentative="1">
      <w:start w:val="1"/>
      <w:numFmt w:val="bullet"/>
      <w:lvlText w:val="o"/>
      <w:lvlJc w:val="left"/>
      <w:pPr>
        <w:tabs>
          <w:tab w:val="num" w:pos="4377"/>
        </w:tabs>
        <w:ind w:left="4377" w:hanging="360"/>
      </w:pPr>
      <w:rPr>
        <w:rFonts w:ascii="Courier New" w:hAnsi="Courier New" w:cs="Courier New" w:hint="default"/>
      </w:rPr>
    </w:lvl>
    <w:lvl w:ilvl="5" w:tplc="0C090005" w:tentative="1">
      <w:start w:val="1"/>
      <w:numFmt w:val="bullet"/>
      <w:lvlText w:val=""/>
      <w:lvlJc w:val="left"/>
      <w:pPr>
        <w:tabs>
          <w:tab w:val="num" w:pos="5097"/>
        </w:tabs>
        <w:ind w:left="5097" w:hanging="360"/>
      </w:pPr>
      <w:rPr>
        <w:rFonts w:ascii="Wingdings" w:hAnsi="Wingdings" w:hint="default"/>
      </w:rPr>
    </w:lvl>
    <w:lvl w:ilvl="6" w:tplc="0C090001" w:tentative="1">
      <w:start w:val="1"/>
      <w:numFmt w:val="bullet"/>
      <w:lvlText w:val=""/>
      <w:lvlJc w:val="left"/>
      <w:pPr>
        <w:tabs>
          <w:tab w:val="num" w:pos="5817"/>
        </w:tabs>
        <w:ind w:left="5817" w:hanging="360"/>
      </w:pPr>
      <w:rPr>
        <w:rFonts w:ascii="Symbol" w:hAnsi="Symbol" w:hint="default"/>
      </w:rPr>
    </w:lvl>
    <w:lvl w:ilvl="7" w:tplc="0C090003" w:tentative="1">
      <w:start w:val="1"/>
      <w:numFmt w:val="bullet"/>
      <w:lvlText w:val="o"/>
      <w:lvlJc w:val="left"/>
      <w:pPr>
        <w:tabs>
          <w:tab w:val="num" w:pos="6537"/>
        </w:tabs>
        <w:ind w:left="6537" w:hanging="360"/>
      </w:pPr>
      <w:rPr>
        <w:rFonts w:ascii="Courier New" w:hAnsi="Courier New" w:cs="Courier New" w:hint="default"/>
      </w:rPr>
    </w:lvl>
    <w:lvl w:ilvl="8" w:tplc="0C090005" w:tentative="1">
      <w:start w:val="1"/>
      <w:numFmt w:val="bullet"/>
      <w:lvlText w:val=""/>
      <w:lvlJc w:val="left"/>
      <w:pPr>
        <w:tabs>
          <w:tab w:val="num" w:pos="7257"/>
        </w:tabs>
        <w:ind w:left="7257" w:hanging="360"/>
      </w:pPr>
      <w:rPr>
        <w:rFonts w:ascii="Wingdings" w:hAnsi="Wingdings" w:hint="default"/>
      </w:rPr>
    </w:lvl>
  </w:abstractNum>
  <w:abstractNum w:abstractNumId="7" w15:restartNumberingAfterBreak="0">
    <w:nsid w:val="1C841EC8"/>
    <w:multiLevelType w:val="multilevel"/>
    <w:tmpl w:val="FD00A318"/>
    <w:lvl w:ilvl="0">
      <w:start w:val="1"/>
      <w:numFmt w:val="decimal"/>
      <w:pStyle w:val="Heading2"/>
      <w:lvlText w:val="%1.0"/>
      <w:lvlJc w:val="left"/>
      <w:pPr>
        <w:tabs>
          <w:tab w:val="num" w:pos="720"/>
        </w:tabs>
        <w:ind w:left="720" w:hanging="720"/>
      </w:pPr>
      <w:rPr>
        <w:rFonts w:hint="default"/>
      </w:rPr>
    </w:lvl>
    <w:lvl w:ilvl="1">
      <w:start w:val="1"/>
      <w:numFmt w:val="decimal"/>
      <w:pStyle w:val="Heading3"/>
      <w:lvlText w:val="%1.%2"/>
      <w:lvlJc w:val="left"/>
      <w:pPr>
        <w:tabs>
          <w:tab w:val="num" w:pos="1004"/>
        </w:tabs>
        <w:ind w:left="1004"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1E6E1D04"/>
    <w:multiLevelType w:val="hybridMultilevel"/>
    <w:tmpl w:val="B396F3B6"/>
    <w:lvl w:ilvl="0" w:tplc="F4F8822C">
      <w:start w:val="1"/>
      <w:numFmt w:val="bullet"/>
      <w:lvlText w:val=""/>
      <w:lvlJc w:val="left"/>
      <w:pPr>
        <w:tabs>
          <w:tab w:val="num" w:pos="1287"/>
        </w:tabs>
        <w:ind w:left="1287" w:hanging="51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27801AC"/>
    <w:multiLevelType w:val="hybridMultilevel"/>
    <w:tmpl w:val="85D4A3D0"/>
    <w:lvl w:ilvl="0" w:tplc="8C869552">
      <w:start w:val="6"/>
      <w:numFmt w:val="bullet"/>
      <w:lvlText w:val="-"/>
      <w:lvlJc w:val="left"/>
      <w:pPr>
        <w:tabs>
          <w:tab w:val="num" w:pos="360"/>
        </w:tabs>
        <w:ind w:left="340" w:hanging="340"/>
      </w:pPr>
      <w:rPr>
        <w:rFonts w:hint="default"/>
      </w:rPr>
    </w:lvl>
    <w:lvl w:ilvl="1" w:tplc="DD522A5E">
      <w:numFmt w:val="decimal"/>
      <w:lvlText w:val=""/>
      <w:lvlJc w:val="left"/>
    </w:lvl>
    <w:lvl w:ilvl="2" w:tplc="E258E7D2">
      <w:numFmt w:val="decimal"/>
      <w:lvlText w:val=""/>
      <w:lvlJc w:val="left"/>
    </w:lvl>
    <w:lvl w:ilvl="3" w:tplc="19260828">
      <w:numFmt w:val="decimal"/>
      <w:lvlText w:val=""/>
      <w:lvlJc w:val="left"/>
    </w:lvl>
    <w:lvl w:ilvl="4" w:tplc="4F2837A6">
      <w:numFmt w:val="decimal"/>
      <w:lvlText w:val=""/>
      <w:lvlJc w:val="left"/>
    </w:lvl>
    <w:lvl w:ilvl="5" w:tplc="32184444">
      <w:numFmt w:val="decimal"/>
      <w:lvlText w:val=""/>
      <w:lvlJc w:val="left"/>
    </w:lvl>
    <w:lvl w:ilvl="6" w:tplc="52840EDA">
      <w:numFmt w:val="decimal"/>
      <w:lvlText w:val=""/>
      <w:lvlJc w:val="left"/>
    </w:lvl>
    <w:lvl w:ilvl="7" w:tplc="FCDC41AA">
      <w:numFmt w:val="decimal"/>
      <w:lvlText w:val=""/>
      <w:lvlJc w:val="left"/>
    </w:lvl>
    <w:lvl w:ilvl="8" w:tplc="755A7E54">
      <w:numFmt w:val="decimal"/>
      <w:lvlText w:val=""/>
      <w:lvlJc w:val="left"/>
    </w:lvl>
  </w:abstractNum>
  <w:abstractNum w:abstractNumId="10" w15:restartNumberingAfterBreak="0">
    <w:nsid w:val="23D73373"/>
    <w:multiLevelType w:val="hybridMultilevel"/>
    <w:tmpl w:val="13948570"/>
    <w:lvl w:ilvl="0" w:tplc="F4F8822C">
      <w:start w:val="1"/>
      <w:numFmt w:val="bullet"/>
      <w:lvlText w:val=""/>
      <w:lvlJc w:val="left"/>
      <w:pPr>
        <w:tabs>
          <w:tab w:val="num" w:pos="510"/>
        </w:tabs>
        <w:ind w:left="510" w:hanging="510"/>
      </w:pPr>
      <w:rPr>
        <w:rFonts w:ascii="Symbol" w:hAnsi="Symbol" w:hint="default"/>
      </w:rPr>
    </w:lvl>
    <w:lvl w:ilvl="1" w:tplc="0C090003" w:tentative="1">
      <w:start w:val="1"/>
      <w:numFmt w:val="bullet"/>
      <w:lvlText w:val="o"/>
      <w:lvlJc w:val="left"/>
      <w:pPr>
        <w:tabs>
          <w:tab w:val="num" w:pos="1383"/>
        </w:tabs>
        <w:ind w:left="1383" w:hanging="360"/>
      </w:pPr>
      <w:rPr>
        <w:rFonts w:ascii="Courier New" w:hAnsi="Courier New" w:cs="Courier New" w:hint="default"/>
      </w:rPr>
    </w:lvl>
    <w:lvl w:ilvl="2" w:tplc="0C090005" w:tentative="1">
      <w:start w:val="1"/>
      <w:numFmt w:val="bullet"/>
      <w:lvlText w:val=""/>
      <w:lvlJc w:val="left"/>
      <w:pPr>
        <w:tabs>
          <w:tab w:val="num" w:pos="2103"/>
        </w:tabs>
        <w:ind w:left="2103" w:hanging="360"/>
      </w:pPr>
      <w:rPr>
        <w:rFonts w:ascii="Wingdings" w:hAnsi="Wingdings" w:hint="default"/>
      </w:rPr>
    </w:lvl>
    <w:lvl w:ilvl="3" w:tplc="0C090001" w:tentative="1">
      <w:start w:val="1"/>
      <w:numFmt w:val="bullet"/>
      <w:lvlText w:val=""/>
      <w:lvlJc w:val="left"/>
      <w:pPr>
        <w:tabs>
          <w:tab w:val="num" w:pos="2823"/>
        </w:tabs>
        <w:ind w:left="2823" w:hanging="360"/>
      </w:pPr>
      <w:rPr>
        <w:rFonts w:ascii="Symbol" w:hAnsi="Symbol" w:hint="default"/>
      </w:rPr>
    </w:lvl>
    <w:lvl w:ilvl="4" w:tplc="0C090003" w:tentative="1">
      <w:start w:val="1"/>
      <w:numFmt w:val="bullet"/>
      <w:lvlText w:val="o"/>
      <w:lvlJc w:val="left"/>
      <w:pPr>
        <w:tabs>
          <w:tab w:val="num" w:pos="3543"/>
        </w:tabs>
        <w:ind w:left="3543" w:hanging="360"/>
      </w:pPr>
      <w:rPr>
        <w:rFonts w:ascii="Courier New" w:hAnsi="Courier New" w:cs="Courier New" w:hint="default"/>
      </w:rPr>
    </w:lvl>
    <w:lvl w:ilvl="5" w:tplc="0C090005" w:tentative="1">
      <w:start w:val="1"/>
      <w:numFmt w:val="bullet"/>
      <w:lvlText w:val=""/>
      <w:lvlJc w:val="left"/>
      <w:pPr>
        <w:tabs>
          <w:tab w:val="num" w:pos="4263"/>
        </w:tabs>
        <w:ind w:left="4263" w:hanging="360"/>
      </w:pPr>
      <w:rPr>
        <w:rFonts w:ascii="Wingdings" w:hAnsi="Wingdings" w:hint="default"/>
      </w:rPr>
    </w:lvl>
    <w:lvl w:ilvl="6" w:tplc="0C090001" w:tentative="1">
      <w:start w:val="1"/>
      <w:numFmt w:val="bullet"/>
      <w:lvlText w:val=""/>
      <w:lvlJc w:val="left"/>
      <w:pPr>
        <w:tabs>
          <w:tab w:val="num" w:pos="4983"/>
        </w:tabs>
        <w:ind w:left="4983" w:hanging="360"/>
      </w:pPr>
      <w:rPr>
        <w:rFonts w:ascii="Symbol" w:hAnsi="Symbol" w:hint="default"/>
      </w:rPr>
    </w:lvl>
    <w:lvl w:ilvl="7" w:tplc="0C090003" w:tentative="1">
      <w:start w:val="1"/>
      <w:numFmt w:val="bullet"/>
      <w:lvlText w:val="o"/>
      <w:lvlJc w:val="left"/>
      <w:pPr>
        <w:tabs>
          <w:tab w:val="num" w:pos="5703"/>
        </w:tabs>
        <w:ind w:left="5703" w:hanging="360"/>
      </w:pPr>
      <w:rPr>
        <w:rFonts w:ascii="Courier New" w:hAnsi="Courier New" w:cs="Courier New" w:hint="default"/>
      </w:rPr>
    </w:lvl>
    <w:lvl w:ilvl="8" w:tplc="0C090005" w:tentative="1">
      <w:start w:val="1"/>
      <w:numFmt w:val="bullet"/>
      <w:lvlText w:val=""/>
      <w:lvlJc w:val="left"/>
      <w:pPr>
        <w:tabs>
          <w:tab w:val="num" w:pos="6423"/>
        </w:tabs>
        <w:ind w:left="6423" w:hanging="360"/>
      </w:pPr>
      <w:rPr>
        <w:rFonts w:ascii="Wingdings" w:hAnsi="Wingdings" w:hint="default"/>
      </w:rPr>
    </w:lvl>
  </w:abstractNum>
  <w:abstractNum w:abstractNumId="11" w15:restartNumberingAfterBreak="0">
    <w:nsid w:val="266D580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684414B"/>
    <w:multiLevelType w:val="multilevel"/>
    <w:tmpl w:val="85D4A3D0"/>
    <w:lvl w:ilvl="0">
      <w:start w:val="6"/>
      <w:numFmt w:val="bullet"/>
      <w:lvlText w:val="-"/>
      <w:lvlJc w:val="left"/>
      <w:pPr>
        <w:tabs>
          <w:tab w:val="num" w:pos="360"/>
        </w:tabs>
        <w:ind w:left="340" w:hanging="34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680CB5"/>
    <w:multiLevelType w:val="hybridMultilevel"/>
    <w:tmpl w:val="2F308E22"/>
    <w:lvl w:ilvl="0" w:tplc="17CEB5DA">
      <w:start w:val="1"/>
      <w:numFmt w:val="lowerLetter"/>
      <w:lvlText w:val="%1)"/>
      <w:lvlJc w:val="left"/>
      <w:pPr>
        <w:ind w:left="1069" w:hanging="360"/>
      </w:pPr>
      <w:rPr>
        <w:rFonts w:ascii="Arial" w:eastAsia="Times New Roman" w:hAnsi="Arial" w:cs="Times New Roman"/>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4" w15:restartNumberingAfterBreak="0">
    <w:nsid w:val="2A6F1AF5"/>
    <w:multiLevelType w:val="multilevel"/>
    <w:tmpl w:val="85D4A3D0"/>
    <w:lvl w:ilvl="0">
      <w:start w:val="6"/>
      <w:numFmt w:val="bullet"/>
      <w:lvlText w:val="-"/>
      <w:lvlJc w:val="left"/>
      <w:pPr>
        <w:tabs>
          <w:tab w:val="num" w:pos="360"/>
        </w:tabs>
        <w:ind w:left="340" w:hanging="34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A61736"/>
    <w:multiLevelType w:val="hybridMultilevel"/>
    <w:tmpl w:val="4E30E1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48171E9"/>
    <w:multiLevelType w:val="hybridMultilevel"/>
    <w:tmpl w:val="4D5AF94C"/>
    <w:lvl w:ilvl="0" w:tplc="7C2AD28E">
      <w:numFmt w:val="bullet"/>
      <w:pStyle w:val="TableDot"/>
      <w:lvlText w:val="-"/>
      <w:lvlJc w:val="left"/>
      <w:pPr>
        <w:tabs>
          <w:tab w:val="num" w:pos="284"/>
        </w:tabs>
        <w:ind w:left="284" w:hanging="284"/>
      </w:pPr>
      <w:rPr>
        <w:rFonts w:ascii="Arial" w:eastAsia="Times New Roman" w:hAnsi="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E74F90"/>
    <w:multiLevelType w:val="hybridMultilevel"/>
    <w:tmpl w:val="E20C70BE"/>
    <w:lvl w:ilvl="0" w:tplc="AC502B64">
      <w:start w:val="1"/>
      <w:numFmt w:val="decimal"/>
      <w:lvlText w:val="%1."/>
      <w:lvlJc w:val="left"/>
      <w:pPr>
        <w:tabs>
          <w:tab w:val="num" w:pos="1418"/>
        </w:tabs>
        <w:ind w:left="1418" w:hanging="709"/>
      </w:pPr>
      <w:rPr>
        <w:rFonts w:hint="default"/>
      </w:rPr>
    </w:lvl>
    <w:lvl w:ilvl="1" w:tplc="20D87002">
      <w:start w:val="1"/>
      <w:numFmt w:val="lowerLetter"/>
      <w:lvlText w:val="%2."/>
      <w:lvlJc w:val="left"/>
      <w:pPr>
        <w:tabs>
          <w:tab w:val="num" w:pos="1440"/>
        </w:tabs>
        <w:ind w:left="1440" w:hanging="360"/>
      </w:pPr>
    </w:lvl>
    <w:lvl w:ilvl="2" w:tplc="8BB0611A">
      <w:start w:val="1"/>
      <w:numFmt w:val="lowerRoman"/>
      <w:lvlText w:val="%3."/>
      <w:lvlJc w:val="right"/>
      <w:pPr>
        <w:tabs>
          <w:tab w:val="num" w:pos="2160"/>
        </w:tabs>
        <w:ind w:left="2160" w:hanging="180"/>
      </w:pPr>
    </w:lvl>
    <w:lvl w:ilvl="3" w:tplc="966084CC">
      <w:start w:val="1"/>
      <w:numFmt w:val="decimal"/>
      <w:lvlText w:val="%4."/>
      <w:lvlJc w:val="left"/>
      <w:pPr>
        <w:tabs>
          <w:tab w:val="num" w:pos="2880"/>
        </w:tabs>
        <w:ind w:left="2880" w:hanging="360"/>
      </w:pPr>
    </w:lvl>
    <w:lvl w:ilvl="4" w:tplc="F502E52C">
      <w:start w:val="1"/>
      <w:numFmt w:val="lowerLetter"/>
      <w:lvlText w:val="%5."/>
      <w:lvlJc w:val="left"/>
      <w:pPr>
        <w:tabs>
          <w:tab w:val="num" w:pos="3600"/>
        </w:tabs>
        <w:ind w:left="3600" w:hanging="360"/>
      </w:pPr>
    </w:lvl>
    <w:lvl w:ilvl="5" w:tplc="63BEC86C">
      <w:start w:val="1"/>
      <w:numFmt w:val="lowerRoman"/>
      <w:lvlText w:val="%6."/>
      <w:lvlJc w:val="right"/>
      <w:pPr>
        <w:tabs>
          <w:tab w:val="num" w:pos="4320"/>
        </w:tabs>
        <w:ind w:left="4320" w:hanging="180"/>
      </w:pPr>
    </w:lvl>
    <w:lvl w:ilvl="6" w:tplc="8974930A">
      <w:start w:val="1"/>
      <w:numFmt w:val="decimal"/>
      <w:lvlText w:val="%7."/>
      <w:lvlJc w:val="left"/>
      <w:pPr>
        <w:tabs>
          <w:tab w:val="num" w:pos="5040"/>
        </w:tabs>
        <w:ind w:left="5040" w:hanging="360"/>
      </w:pPr>
    </w:lvl>
    <w:lvl w:ilvl="7" w:tplc="7430E6F6">
      <w:start w:val="1"/>
      <w:numFmt w:val="lowerLetter"/>
      <w:lvlText w:val="%8."/>
      <w:lvlJc w:val="left"/>
      <w:pPr>
        <w:tabs>
          <w:tab w:val="num" w:pos="5760"/>
        </w:tabs>
        <w:ind w:left="5760" w:hanging="360"/>
      </w:pPr>
    </w:lvl>
    <w:lvl w:ilvl="8" w:tplc="F8E4EFC2">
      <w:start w:val="1"/>
      <w:numFmt w:val="lowerRoman"/>
      <w:lvlText w:val="%9."/>
      <w:lvlJc w:val="right"/>
      <w:pPr>
        <w:tabs>
          <w:tab w:val="num" w:pos="6480"/>
        </w:tabs>
        <w:ind w:left="6480" w:hanging="180"/>
      </w:pPr>
    </w:lvl>
  </w:abstractNum>
  <w:abstractNum w:abstractNumId="18" w15:restartNumberingAfterBreak="0">
    <w:nsid w:val="38D50937"/>
    <w:multiLevelType w:val="hybridMultilevel"/>
    <w:tmpl w:val="835011C4"/>
    <w:lvl w:ilvl="0" w:tplc="278C9CE4">
      <w:start w:val="1"/>
      <w:numFmt w:val="bullet"/>
      <w:lvlText w:val=""/>
      <w:lvlJc w:val="left"/>
      <w:pPr>
        <w:tabs>
          <w:tab w:val="num" w:pos="1400"/>
        </w:tabs>
        <w:ind w:left="680" w:firstLine="0"/>
      </w:pPr>
      <w:rPr>
        <w:rFonts w:ascii="Symbol" w:hAnsi="Symbol" w:hint="default"/>
      </w:rPr>
    </w:lvl>
    <w:lvl w:ilvl="1" w:tplc="0C090003" w:tentative="1">
      <w:start w:val="1"/>
      <w:numFmt w:val="bullet"/>
      <w:lvlText w:val="o"/>
      <w:lvlJc w:val="left"/>
      <w:pPr>
        <w:tabs>
          <w:tab w:val="num" w:pos="2120"/>
        </w:tabs>
        <w:ind w:left="2120" w:hanging="360"/>
      </w:pPr>
      <w:rPr>
        <w:rFonts w:ascii="Courier New" w:hAnsi="Courier New" w:cs="Courier New" w:hint="default"/>
      </w:rPr>
    </w:lvl>
    <w:lvl w:ilvl="2" w:tplc="0C090005" w:tentative="1">
      <w:start w:val="1"/>
      <w:numFmt w:val="bullet"/>
      <w:lvlText w:val=""/>
      <w:lvlJc w:val="left"/>
      <w:pPr>
        <w:tabs>
          <w:tab w:val="num" w:pos="2840"/>
        </w:tabs>
        <w:ind w:left="2840" w:hanging="360"/>
      </w:pPr>
      <w:rPr>
        <w:rFonts w:ascii="Wingdings" w:hAnsi="Wingdings" w:hint="default"/>
      </w:rPr>
    </w:lvl>
    <w:lvl w:ilvl="3" w:tplc="0C090001" w:tentative="1">
      <w:start w:val="1"/>
      <w:numFmt w:val="bullet"/>
      <w:lvlText w:val=""/>
      <w:lvlJc w:val="left"/>
      <w:pPr>
        <w:tabs>
          <w:tab w:val="num" w:pos="3560"/>
        </w:tabs>
        <w:ind w:left="3560" w:hanging="360"/>
      </w:pPr>
      <w:rPr>
        <w:rFonts w:ascii="Symbol" w:hAnsi="Symbol" w:hint="default"/>
      </w:rPr>
    </w:lvl>
    <w:lvl w:ilvl="4" w:tplc="0C090003" w:tentative="1">
      <w:start w:val="1"/>
      <w:numFmt w:val="bullet"/>
      <w:lvlText w:val="o"/>
      <w:lvlJc w:val="left"/>
      <w:pPr>
        <w:tabs>
          <w:tab w:val="num" w:pos="4280"/>
        </w:tabs>
        <w:ind w:left="4280" w:hanging="360"/>
      </w:pPr>
      <w:rPr>
        <w:rFonts w:ascii="Courier New" w:hAnsi="Courier New" w:cs="Courier New" w:hint="default"/>
      </w:rPr>
    </w:lvl>
    <w:lvl w:ilvl="5" w:tplc="0C090005" w:tentative="1">
      <w:start w:val="1"/>
      <w:numFmt w:val="bullet"/>
      <w:lvlText w:val=""/>
      <w:lvlJc w:val="left"/>
      <w:pPr>
        <w:tabs>
          <w:tab w:val="num" w:pos="5000"/>
        </w:tabs>
        <w:ind w:left="5000" w:hanging="360"/>
      </w:pPr>
      <w:rPr>
        <w:rFonts w:ascii="Wingdings" w:hAnsi="Wingdings" w:hint="default"/>
      </w:rPr>
    </w:lvl>
    <w:lvl w:ilvl="6" w:tplc="0C090001" w:tentative="1">
      <w:start w:val="1"/>
      <w:numFmt w:val="bullet"/>
      <w:lvlText w:val=""/>
      <w:lvlJc w:val="left"/>
      <w:pPr>
        <w:tabs>
          <w:tab w:val="num" w:pos="5720"/>
        </w:tabs>
        <w:ind w:left="5720" w:hanging="360"/>
      </w:pPr>
      <w:rPr>
        <w:rFonts w:ascii="Symbol" w:hAnsi="Symbol" w:hint="default"/>
      </w:rPr>
    </w:lvl>
    <w:lvl w:ilvl="7" w:tplc="0C090003" w:tentative="1">
      <w:start w:val="1"/>
      <w:numFmt w:val="bullet"/>
      <w:lvlText w:val="o"/>
      <w:lvlJc w:val="left"/>
      <w:pPr>
        <w:tabs>
          <w:tab w:val="num" w:pos="6440"/>
        </w:tabs>
        <w:ind w:left="6440" w:hanging="360"/>
      </w:pPr>
      <w:rPr>
        <w:rFonts w:ascii="Courier New" w:hAnsi="Courier New" w:cs="Courier New" w:hint="default"/>
      </w:rPr>
    </w:lvl>
    <w:lvl w:ilvl="8" w:tplc="0C090005" w:tentative="1">
      <w:start w:val="1"/>
      <w:numFmt w:val="bullet"/>
      <w:lvlText w:val=""/>
      <w:lvlJc w:val="left"/>
      <w:pPr>
        <w:tabs>
          <w:tab w:val="num" w:pos="7160"/>
        </w:tabs>
        <w:ind w:left="7160" w:hanging="360"/>
      </w:pPr>
      <w:rPr>
        <w:rFonts w:ascii="Wingdings" w:hAnsi="Wingdings" w:hint="default"/>
      </w:rPr>
    </w:lvl>
  </w:abstractNum>
  <w:abstractNum w:abstractNumId="19" w15:restartNumberingAfterBreak="0">
    <w:nsid w:val="3E4938D3"/>
    <w:multiLevelType w:val="hybridMultilevel"/>
    <w:tmpl w:val="5D283D02"/>
    <w:lvl w:ilvl="0" w:tplc="8BEC4B6C">
      <w:start w:val="1"/>
      <w:numFmt w:val="lowerLetter"/>
      <w:lvlText w:val="(%1)"/>
      <w:lvlJc w:val="left"/>
      <w:pPr>
        <w:ind w:left="360" w:hanging="360"/>
      </w:pPr>
      <w:rPr>
        <w:rFonts w:hint="default"/>
      </w:rPr>
    </w:lvl>
    <w:lvl w:ilvl="1" w:tplc="D584B528">
      <w:numFmt w:val="decimal"/>
      <w:lvlText w:val=""/>
      <w:lvlJc w:val="left"/>
    </w:lvl>
    <w:lvl w:ilvl="2" w:tplc="4EA6C5DA">
      <w:numFmt w:val="decimal"/>
      <w:lvlText w:val=""/>
      <w:lvlJc w:val="left"/>
    </w:lvl>
    <w:lvl w:ilvl="3" w:tplc="BDDC4988">
      <w:numFmt w:val="decimal"/>
      <w:lvlText w:val=""/>
      <w:lvlJc w:val="left"/>
    </w:lvl>
    <w:lvl w:ilvl="4" w:tplc="363AA1A0">
      <w:numFmt w:val="decimal"/>
      <w:lvlText w:val=""/>
      <w:lvlJc w:val="left"/>
    </w:lvl>
    <w:lvl w:ilvl="5" w:tplc="F00ECE8C">
      <w:numFmt w:val="decimal"/>
      <w:lvlText w:val=""/>
      <w:lvlJc w:val="left"/>
    </w:lvl>
    <w:lvl w:ilvl="6" w:tplc="69D2F81E">
      <w:numFmt w:val="decimal"/>
      <w:lvlText w:val=""/>
      <w:lvlJc w:val="left"/>
    </w:lvl>
    <w:lvl w:ilvl="7" w:tplc="301CF374">
      <w:numFmt w:val="decimal"/>
      <w:lvlText w:val=""/>
      <w:lvlJc w:val="left"/>
    </w:lvl>
    <w:lvl w:ilvl="8" w:tplc="2DE29BB2">
      <w:numFmt w:val="decimal"/>
      <w:lvlText w:val=""/>
      <w:lvlJc w:val="left"/>
    </w:lvl>
  </w:abstractNum>
  <w:abstractNum w:abstractNumId="20" w15:restartNumberingAfterBreak="0">
    <w:nsid w:val="49922F14"/>
    <w:multiLevelType w:val="hybridMultilevel"/>
    <w:tmpl w:val="12384B26"/>
    <w:lvl w:ilvl="0" w:tplc="3E326DF0">
      <w:start w:val="1"/>
      <w:numFmt w:val="decimal"/>
      <w:lvlText w:val="%1."/>
      <w:lvlJc w:val="left"/>
      <w:pPr>
        <w:tabs>
          <w:tab w:val="num" w:pos="1134"/>
        </w:tabs>
        <w:ind w:left="1134" w:hanging="425"/>
      </w:pPr>
      <w:rPr>
        <w:rFonts w:ascii="Arial" w:hAnsi="Arial" w:hint="default"/>
        <w:b w:val="0"/>
        <w:i w:val="0"/>
        <w:caps w:val="0"/>
        <w:strike w:val="0"/>
        <w:dstrike w:val="0"/>
        <w:vanish w:val="0"/>
        <w:color w:val="auto"/>
        <w:sz w:val="18"/>
        <w:u w:val="none"/>
        <w:vertAlign w:val="superscript"/>
        <w14:shadow w14:blurRad="0" w14:dist="0" w14:dir="0" w14:sx="0" w14:sy="0" w14:kx="0" w14:ky="0" w14:algn="none">
          <w14:srgbClr w14:val="000000"/>
        </w14:shadow>
        <w14:textOutline w14:w="0" w14:cap="rnd" w14:cmpd="sng" w14:algn="ctr">
          <w14:noFill/>
          <w14:prstDash w14:val="solid"/>
          <w14:bevel/>
        </w14:textOutline>
      </w:rPr>
    </w:lvl>
    <w:lvl w:ilvl="1" w:tplc="19541C0E">
      <w:start w:val="1"/>
      <w:numFmt w:val="lowerLetter"/>
      <w:lvlText w:val="%2."/>
      <w:lvlJc w:val="left"/>
      <w:pPr>
        <w:tabs>
          <w:tab w:val="num" w:pos="1440"/>
        </w:tabs>
        <w:ind w:left="1440" w:hanging="360"/>
      </w:pPr>
    </w:lvl>
    <w:lvl w:ilvl="2" w:tplc="CD326C68">
      <w:start w:val="1"/>
      <w:numFmt w:val="lowerRoman"/>
      <w:lvlText w:val="%3."/>
      <w:lvlJc w:val="right"/>
      <w:pPr>
        <w:tabs>
          <w:tab w:val="num" w:pos="2160"/>
        </w:tabs>
        <w:ind w:left="2160" w:hanging="180"/>
      </w:pPr>
    </w:lvl>
    <w:lvl w:ilvl="3" w:tplc="31AA9DC0">
      <w:start w:val="1"/>
      <w:numFmt w:val="decimal"/>
      <w:lvlText w:val="%4."/>
      <w:lvlJc w:val="left"/>
      <w:pPr>
        <w:tabs>
          <w:tab w:val="num" w:pos="2880"/>
        </w:tabs>
        <w:ind w:left="2880" w:hanging="360"/>
      </w:pPr>
    </w:lvl>
    <w:lvl w:ilvl="4" w:tplc="5B26555C">
      <w:start w:val="1"/>
      <w:numFmt w:val="lowerLetter"/>
      <w:lvlText w:val="%5."/>
      <w:lvlJc w:val="left"/>
      <w:pPr>
        <w:tabs>
          <w:tab w:val="num" w:pos="3600"/>
        </w:tabs>
        <w:ind w:left="3600" w:hanging="360"/>
      </w:pPr>
    </w:lvl>
    <w:lvl w:ilvl="5" w:tplc="1B806D58">
      <w:start w:val="1"/>
      <w:numFmt w:val="lowerRoman"/>
      <w:lvlText w:val="%6."/>
      <w:lvlJc w:val="right"/>
      <w:pPr>
        <w:tabs>
          <w:tab w:val="num" w:pos="4320"/>
        </w:tabs>
        <w:ind w:left="4320" w:hanging="180"/>
      </w:pPr>
    </w:lvl>
    <w:lvl w:ilvl="6" w:tplc="574EE4E6">
      <w:start w:val="1"/>
      <w:numFmt w:val="decimal"/>
      <w:lvlText w:val="%7."/>
      <w:lvlJc w:val="left"/>
      <w:pPr>
        <w:tabs>
          <w:tab w:val="num" w:pos="5040"/>
        </w:tabs>
        <w:ind w:left="5040" w:hanging="360"/>
      </w:pPr>
    </w:lvl>
    <w:lvl w:ilvl="7" w:tplc="D6C01DC0">
      <w:start w:val="1"/>
      <w:numFmt w:val="lowerLetter"/>
      <w:lvlText w:val="%8."/>
      <w:lvlJc w:val="left"/>
      <w:pPr>
        <w:tabs>
          <w:tab w:val="num" w:pos="5760"/>
        </w:tabs>
        <w:ind w:left="5760" w:hanging="360"/>
      </w:pPr>
    </w:lvl>
    <w:lvl w:ilvl="8" w:tplc="BA84E4BA">
      <w:start w:val="1"/>
      <w:numFmt w:val="lowerRoman"/>
      <w:lvlText w:val="%9."/>
      <w:lvlJc w:val="right"/>
      <w:pPr>
        <w:tabs>
          <w:tab w:val="num" w:pos="6480"/>
        </w:tabs>
        <w:ind w:left="6480" w:hanging="180"/>
      </w:pPr>
    </w:lvl>
  </w:abstractNum>
  <w:abstractNum w:abstractNumId="21" w15:restartNumberingAfterBreak="0">
    <w:nsid w:val="4A4467D6"/>
    <w:multiLevelType w:val="multilevel"/>
    <w:tmpl w:val="EE8AA2CC"/>
    <w:lvl w:ilvl="0">
      <w:start w:val="1"/>
      <w:numFmt w:val="decimal"/>
      <w:lvlText w:val="%1."/>
      <w:lvlJc w:val="left"/>
      <w:pPr>
        <w:ind w:left="720" w:hanging="360"/>
      </w:pPr>
      <w:rPr>
        <w:rFonts w:hint="default"/>
        <w:b/>
        <w:i w:val="0"/>
      </w:rPr>
    </w:lvl>
    <w:lvl w:ilvl="1">
      <w:start w:val="1"/>
      <w:numFmt w:val="decimal"/>
      <w:isLgl/>
      <w:lvlText w:val="%1.%2"/>
      <w:lvlJc w:val="left"/>
      <w:pPr>
        <w:ind w:left="1084"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0EF3075"/>
    <w:multiLevelType w:val="hybridMultilevel"/>
    <w:tmpl w:val="85D4A3D0"/>
    <w:lvl w:ilvl="0" w:tplc="13B6A4FC">
      <w:start w:val="6"/>
      <w:numFmt w:val="bullet"/>
      <w:lvlText w:val="-"/>
      <w:lvlJc w:val="left"/>
      <w:pPr>
        <w:tabs>
          <w:tab w:val="num" w:pos="360"/>
        </w:tabs>
        <w:ind w:left="340" w:hanging="340"/>
      </w:pPr>
      <w:rPr>
        <w:rFonts w:hint="default"/>
      </w:rPr>
    </w:lvl>
    <w:lvl w:ilvl="1" w:tplc="09D47ADC">
      <w:numFmt w:val="decimal"/>
      <w:lvlText w:val=""/>
      <w:lvlJc w:val="left"/>
    </w:lvl>
    <w:lvl w:ilvl="2" w:tplc="D416D98E">
      <w:numFmt w:val="decimal"/>
      <w:lvlText w:val=""/>
      <w:lvlJc w:val="left"/>
    </w:lvl>
    <w:lvl w:ilvl="3" w:tplc="B48C0662">
      <w:numFmt w:val="decimal"/>
      <w:lvlText w:val=""/>
      <w:lvlJc w:val="left"/>
    </w:lvl>
    <w:lvl w:ilvl="4" w:tplc="26724E8A">
      <w:numFmt w:val="decimal"/>
      <w:lvlText w:val=""/>
      <w:lvlJc w:val="left"/>
    </w:lvl>
    <w:lvl w:ilvl="5" w:tplc="7DEA047E">
      <w:numFmt w:val="decimal"/>
      <w:lvlText w:val=""/>
      <w:lvlJc w:val="left"/>
    </w:lvl>
    <w:lvl w:ilvl="6" w:tplc="D23AB208">
      <w:numFmt w:val="decimal"/>
      <w:lvlText w:val=""/>
      <w:lvlJc w:val="left"/>
    </w:lvl>
    <w:lvl w:ilvl="7" w:tplc="7C96ED60">
      <w:numFmt w:val="decimal"/>
      <w:lvlText w:val=""/>
      <w:lvlJc w:val="left"/>
    </w:lvl>
    <w:lvl w:ilvl="8" w:tplc="01BE2EEE">
      <w:numFmt w:val="decimal"/>
      <w:lvlText w:val=""/>
      <w:lvlJc w:val="left"/>
    </w:lvl>
  </w:abstractNum>
  <w:abstractNum w:abstractNumId="23" w15:restartNumberingAfterBreak="0">
    <w:nsid w:val="562476C0"/>
    <w:multiLevelType w:val="hybridMultilevel"/>
    <w:tmpl w:val="0C090005"/>
    <w:lvl w:ilvl="0" w:tplc="CA7801D8">
      <w:start w:val="1"/>
      <w:numFmt w:val="bullet"/>
      <w:lvlText w:val=""/>
      <w:lvlJc w:val="left"/>
      <w:pPr>
        <w:tabs>
          <w:tab w:val="num" w:pos="360"/>
        </w:tabs>
        <w:ind w:left="360" w:hanging="360"/>
      </w:pPr>
      <w:rPr>
        <w:rFonts w:ascii="Wingdings" w:hAnsi="Wingdings" w:hint="default"/>
      </w:rPr>
    </w:lvl>
    <w:lvl w:ilvl="1" w:tplc="31D2C6EA">
      <w:numFmt w:val="decimal"/>
      <w:lvlText w:val=""/>
      <w:lvlJc w:val="left"/>
    </w:lvl>
    <w:lvl w:ilvl="2" w:tplc="87D69DA4">
      <w:numFmt w:val="decimal"/>
      <w:lvlText w:val=""/>
      <w:lvlJc w:val="left"/>
    </w:lvl>
    <w:lvl w:ilvl="3" w:tplc="2D16035E">
      <w:numFmt w:val="decimal"/>
      <w:lvlText w:val=""/>
      <w:lvlJc w:val="left"/>
    </w:lvl>
    <w:lvl w:ilvl="4" w:tplc="759683A2">
      <w:numFmt w:val="decimal"/>
      <w:lvlText w:val=""/>
      <w:lvlJc w:val="left"/>
    </w:lvl>
    <w:lvl w:ilvl="5" w:tplc="7C008042">
      <w:numFmt w:val="decimal"/>
      <w:lvlText w:val=""/>
      <w:lvlJc w:val="left"/>
    </w:lvl>
    <w:lvl w:ilvl="6" w:tplc="FC920CE4">
      <w:numFmt w:val="decimal"/>
      <w:lvlText w:val=""/>
      <w:lvlJc w:val="left"/>
    </w:lvl>
    <w:lvl w:ilvl="7" w:tplc="CF08DFC4">
      <w:numFmt w:val="decimal"/>
      <w:lvlText w:val=""/>
      <w:lvlJc w:val="left"/>
    </w:lvl>
    <w:lvl w:ilvl="8" w:tplc="F4ECC584">
      <w:numFmt w:val="decimal"/>
      <w:lvlText w:val=""/>
      <w:lvlJc w:val="left"/>
    </w:lvl>
  </w:abstractNum>
  <w:abstractNum w:abstractNumId="24" w15:restartNumberingAfterBreak="0">
    <w:nsid w:val="59985E3B"/>
    <w:multiLevelType w:val="hybridMultilevel"/>
    <w:tmpl w:val="85D4A3D0"/>
    <w:lvl w:ilvl="0" w:tplc="8F5087DE">
      <w:start w:val="6"/>
      <w:numFmt w:val="bullet"/>
      <w:lvlText w:val="-"/>
      <w:lvlJc w:val="left"/>
      <w:pPr>
        <w:tabs>
          <w:tab w:val="num" w:pos="360"/>
        </w:tabs>
        <w:ind w:left="340" w:hanging="340"/>
      </w:pPr>
      <w:rPr>
        <w:rFonts w:hint="default"/>
      </w:rPr>
    </w:lvl>
    <w:lvl w:ilvl="1" w:tplc="EEC46798">
      <w:numFmt w:val="decimal"/>
      <w:lvlText w:val=""/>
      <w:lvlJc w:val="left"/>
    </w:lvl>
    <w:lvl w:ilvl="2" w:tplc="95045DDE">
      <w:numFmt w:val="decimal"/>
      <w:lvlText w:val=""/>
      <w:lvlJc w:val="left"/>
    </w:lvl>
    <w:lvl w:ilvl="3" w:tplc="A274E3D8">
      <w:numFmt w:val="decimal"/>
      <w:lvlText w:val=""/>
      <w:lvlJc w:val="left"/>
    </w:lvl>
    <w:lvl w:ilvl="4" w:tplc="950C58F4">
      <w:numFmt w:val="decimal"/>
      <w:lvlText w:val=""/>
      <w:lvlJc w:val="left"/>
    </w:lvl>
    <w:lvl w:ilvl="5" w:tplc="10D8816A">
      <w:numFmt w:val="decimal"/>
      <w:lvlText w:val=""/>
      <w:lvlJc w:val="left"/>
    </w:lvl>
    <w:lvl w:ilvl="6" w:tplc="23F6ECA2">
      <w:numFmt w:val="decimal"/>
      <w:lvlText w:val=""/>
      <w:lvlJc w:val="left"/>
    </w:lvl>
    <w:lvl w:ilvl="7" w:tplc="A38256AA">
      <w:numFmt w:val="decimal"/>
      <w:lvlText w:val=""/>
      <w:lvlJc w:val="left"/>
    </w:lvl>
    <w:lvl w:ilvl="8" w:tplc="33628506">
      <w:numFmt w:val="decimal"/>
      <w:lvlText w:val=""/>
      <w:lvlJc w:val="left"/>
    </w:lvl>
  </w:abstractNum>
  <w:abstractNum w:abstractNumId="25" w15:restartNumberingAfterBreak="0">
    <w:nsid w:val="5A23426D"/>
    <w:multiLevelType w:val="hybridMultilevel"/>
    <w:tmpl w:val="7748853A"/>
    <w:lvl w:ilvl="0" w:tplc="F4F8822C">
      <w:start w:val="1"/>
      <w:numFmt w:val="bullet"/>
      <w:lvlText w:val=""/>
      <w:lvlJc w:val="left"/>
      <w:pPr>
        <w:tabs>
          <w:tab w:val="num" w:pos="1276"/>
        </w:tabs>
        <w:ind w:left="1276" w:hanging="510"/>
      </w:pPr>
      <w:rPr>
        <w:rFonts w:ascii="Symbol" w:hAnsi="Symbol" w:hint="default"/>
      </w:rPr>
    </w:lvl>
    <w:lvl w:ilvl="1" w:tplc="0C090003" w:tentative="1">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5AA81DE7"/>
    <w:multiLevelType w:val="hybridMultilevel"/>
    <w:tmpl w:val="1CC62F76"/>
    <w:lvl w:ilvl="0" w:tplc="7A1E4C44">
      <w:start w:val="1"/>
      <w:numFmt w:val="bullet"/>
      <w:pStyle w:val="BodyTextIndentDot"/>
      <w:lvlText w:val=""/>
      <w:lvlJc w:val="left"/>
      <w:pPr>
        <w:tabs>
          <w:tab w:val="num" w:pos="1134"/>
        </w:tabs>
        <w:ind w:left="1134" w:hanging="425"/>
      </w:pPr>
      <w:rPr>
        <w:rFonts w:ascii="Wingdings" w:hAnsi="Wingdings" w:hint="default"/>
      </w:rPr>
    </w:lvl>
    <w:lvl w:ilvl="1" w:tplc="4AE8249A">
      <w:numFmt w:val="decimal"/>
      <w:lvlText w:val=""/>
      <w:lvlJc w:val="left"/>
    </w:lvl>
    <w:lvl w:ilvl="2" w:tplc="8682AA44">
      <w:numFmt w:val="decimal"/>
      <w:lvlText w:val=""/>
      <w:lvlJc w:val="left"/>
    </w:lvl>
    <w:lvl w:ilvl="3" w:tplc="9BAA6ACA">
      <w:numFmt w:val="decimal"/>
      <w:lvlText w:val=""/>
      <w:lvlJc w:val="left"/>
    </w:lvl>
    <w:lvl w:ilvl="4" w:tplc="3ED49F3C">
      <w:numFmt w:val="decimal"/>
      <w:lvlText w:val=""/>
      <w:lvlJc w:val="left"/>
    </w:lvl>
    <w:lvl w:ilvl="5" w:tplc="2D683BE0">
      <w:numFmt w:val="decimal"/>
      <w:lvlText w:val=""/>
      <w:lvlJc w:val="left"/>
    </w:lvl>
    <w:lvl w:ilvl="6" w:tplc="62B04DE2">
      <w:numFmt w:val="decimal"/>
      <w:lvlText w:val=""/>
      <w:lvlJc w:val="left"/>
    </w:lvl>
    <w:lvl w:ilvl="7" w:tplc="5C86E8BE">
      <w:numFmt w:val="decimal"/>
      <w:lvlText w:val=""/>
      <w:lvlJc w:val="left"/>
    </w:lvl>
    <w:lvl w:ilvl="8" w:tplc="7A30F6DC">
      <w:numFmt w:val="decimal"/>
      <w:lvlText w:val=""/>
      <w:lvlJc w:val="left"/>
    </w:lvl>
  </w:abstractNum>
  <w:abstractNum w:abstractNumId="27" w15:restartNumberingAfterBreak="0">
    <w:nsid w:val="5F74236C"/>
    <w:multiLevelType w:val="multilevel"/>
    <w:tmpl w:val="A634C920"/>
    <w:lvl w:ilvl="0">
      <w:start w:val="1"/>
      <w:numFmt w:val="bullet"/>
      <w:pStyle w:val="bullets"/>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0241AC3"/>
    <w:multiLevelType w:val="multilevel"/>
    <w:tmpl w:val="6E566030"/>
    <w:lvl w:ilvl="0">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CC3738"/>
    <w:multiLevelType w:val="hybridMultilevel"/>
    <w:tmpl w:val="0C090005"/>
    <w:lvl w:ilvl="0" w:tplc="7C9E56EE">
      <w:start w:val="1"/>
      <w:numFmt w:val="bullet"/>
      <w:lvlText w:val=""/>
      <w:lvlJc w:val="left"/>
      <w:pPr>
        <w:tabs>
          <w:tab w:val="num" w:pos="360"/>
        </w:tabs>
        <w:ind w:left="360" w:hanging="360"/>
      </w:pPr>
      <w:rPr>
        <w:rFonts w:ascii="Wingdings" w:hAnsi="Wingdings" w:hint="default"/>
      </w:rPr>
    </w:lvl>
    <w:lvl w:ilvl="1" w:tplc="3A82FF54">
      <w:numFmt w:val="decimal"/>
      <w:lvlText w:val=""/>
      <w:lvlJc w:val="left"/>
    </w:lvl>
    <w:lvl w:ilvl="2" w:tplc="CFB88690">
      <w:numFmt w:val="decimal"/>
      <w:lvlText w:val=""/>
      <w:lvlJc w:val="left"/>
    </w:lvl>
    <w:lvl w:ilvl="3" w:tplc="AA680CB8">
      <w:numFmt w:val="decimal"/>
      <w:lvlText w:val=""/>
      <w:lvlJc w:val="left"/>
    </w:lvl>
    <w:lvl w:ilvl="4" w:tplc="3766C040">
      <w:numFmt w:val="decimal"/>
      <w:lvlText w:val=""/>
      <w:lvlJc w:val="left"/>
    </w:lvl>
    <w:lvl w:ilvl="5" w:tplc="E2821D32">
      <w:numFmt w:val="decimal"/>
      <w:lvlText w:val=""/>
      <w:lvlJc w:val="left"/>
    </w:lvl>
    <w:lvl w:ilvl="6" w:tplc="8D9AC454">
      <w:numFmt w:val="decimal"/>
      <w:lvlText w:val=""/>
      <w:lvlJc w:val="left"/>
    </w:lvl>
    <w:lvl w:ilvl="7" w:tplc="4C2453B8">
      <w:numFmt w:val="decimal"/>
      <w:lvlText w:val=""/>
      <w:lvlJc w:val="left"/>
    </w:lvl>
    <w:lvl w:ilvl="8" w:tplc="2B54AC22">
      <w:numFmt w:val="decimal"/>
      <w:lvlText w:val=""/>
      <w:lvlJc w:val="left"/>
    </w:lvl>
  </w:abstractNum>
  <w:abstractNum w:abstractNumId="30" w15:restartNumberingAfterBreak="0">
    <w:nsid w:val="66A21769"/>
    <w:multiLevelType w:val="hybridMultilevel"/>
    <w:tmpl w:val="67CA4A0C"/>
    <w:lvl w:ilvl="0" w:tplc="87DC67F8">
      <w:start w:val="1"/>
      <w:numFmt w:val="decimal"/>
      <w:lvlText w:val="%1."/>
      <w:lvlJc w:val="left"/>
      <w:pPr>
        <w:tabs>
          <w:tab w:val="num" w:pos="1418"/>
        </w:tabs>
        <w:ind w:left="1418" w:hanging="709"/>
      </w:pPr>
      <w:rPr>
        <w:rFonts w:ascii="Arial" w:hAnsi="Arial" w:hint="default"/>
        <w:b w:val="0"/>
        <w:i w:val="0"/>
        <w:caps w:val="0"/>
        <w:strike w:val="0"/>
        <w:dstrike w:val="0"/>
        <w:vanish w:val="0"/>
        <w:color w:val="auto"/>
        <w:sz w:val="18"/>
        <w:u w:val="none"/>
        <w:vertAlign w:val="superscript"/>
        <w14:shadow w14:blurRad="0" w14:dist="0" w14:dir="0" w14:sx="0" w14:sy="0" w14:kx="0" w14:ky="0" w14:algn="none">
          <w14:srgbClr w14:val="000000"/>
        </w14:shadow>
        <w14:textOutline w14:w="0" w14:cap="rnd" w14:cmpd="sng" w14:algn="ctr">
          <w14:noFill/>
          <w14:prstDash w14:val="solid"/>
          <w14:bevel/>
        </w14:textOutline>
      </w:rPr>
    </w:lvl>
    <w:lvl w:ilvl="1" w:tplc="ECB2FCFE">
      <w:start w:val="1"/>
      <w:numFmt w:val="lowerLetter"/>
      <w:lvlText w:val="%2."/>
      <w:lvlJc w:val="left"/>
      <w:pPr>
        <w:tabs>
          <w:tab w:val="num" w:pos="1440"/>
        </w:tabs>
        <w:ind w:left="1440" w:hanging="360"/>
      </w:pPr>
    </w:lvl>
    <w:lvl w:ilvl="2" w:tplc="3FB6895C">
      <w:start w:val="1"/>
      <w:numFmt w:val="lowerRoman"/>
      <w:lvlText w:val="%3."/>
      <w:lvlJc w:val="right"/>
      <w:pPr>
        <w:tabs>
          <w:tab w:val="num" w:pos="2160"/>
        </w:tabs>
        <w:ind w:left="2160" w:hanging="180"/>
      </w:pPr>
    </w:lvl>
    <w:lvl w:ilvl="3" w:tplc="068EB406">
      <w:start w:val="1"/>
      <w:numFmt w:val="decimal"/>
      <w:lvlText w:val="%4."/>
      <w:lvlJc w:val="left"/>
      <w:pPr>
        <w:tabs>
          <w:tab w:val="num" w:pos="2880"/>
        </w:tabs>
        <w:ind w:left="2880" w:hanging="360"/>
      </w:pPr>
    </w:lvl>
    <w:lvl w:ilvl="4" w:tplc="C83AE41E">
      <w:start w:val="1"/>
      <w:numFmt w:val="lowerLetter"/>
      <w:lvlText w:val="%5."/>
      <w:lvlJc w:val="left"/>
      <w:pPr>
        <w:tabs>
          <w:tab w:val="num" w:pos="3600"/>
        </w:tabs>
        <w:ind w:left="3600" w:hanging="360"/>
      </w:pPr>
    </w:lvl>
    <w:lvl w:ilvl="5" w:tplc="FA38DB34">
      <w:start w:val="1"/>
      <w:numFmt w:val="lowerRoman"/>
      <w:lvlText w:val="%6."/>
      <w:lvlJc w:val="right"/>
      <w:pPr>
        <w:tabs>
          <w:tab w:val="num" w:pos="4320"/>
        </w:tabs>
        <w:ind w:left="4320" w:hanging="180"/>
      </w:pPr>
    </w:lvl>
    <w:lvl w:ilvl="6" w:tplc="EFAEA47A">
      <w:start w:val="1"/>
      <w:numFmt w:val="decimal"/>
      <w:lvlText w:val="%7."/>
      <w:lvlJc w:val="left"/>
      <w:pPr>
        <w:tabs>
          <w:tab w:val="num" w:pos="5040"/>
        </w:tabs>
        <w:ind w:left="5040" w:hanging="360"/>
      </w:pPr>
    </w:lvl>
    <w:lvl w:ilvl="7" w:tplc="50843B9E">
      <w:start w:val="1"/>
      <w:numFmt w:val="lowerLetter"/>
      <w:lvlText w:val="%8."/>
      <w:lvlJc w:val="left"/>
      <w:pPr>
        <w:tabs>
          <w:tab w:val="num" w:pos="5760"/>
        </w:tabs>
        <w:ind w:left="5760" w:hanging="360"/>
      </w:pPr>
    </w:lvl>
    <w:lvl w:ilvl="8" w:tplc="829AEF86">
      <w:start w:val="1"/>
      <w:numFmt w:val="lowerRoman"/>
      <w:lvlText w:val="%9."/>
      <w:lvlJc w:val="right"/>
      <w:pPr>
        <w:tabs>
          <w:tab w:val="num" w:pos="6480"/>
        </w:tabs>
        <w:ind w:left="6480" w:hanging="180"/>
      </w:pPr>
    </w:lvl>
  </w:abstractNum>
  <w:abstractNum w:abstractNumId="31" w15:restartNumberingAfterBreak="0">
    <w:nsid w:val="673520B0"/>
    <w:multiLevelType w:val="hybridMultilevel"/>
    <w:tmpl w:val="63201900"/>
    <w:lvl w:ilvl="0" w:tplc="ADCA9970">
      <w:start w:val="1"/>
      <w:numFmt w:val="decimal"/>
      <w:lvlText w:val="%1."/>
      <w:lvlJc w:val="left"/>
      <w:pPr>
        <w:tabs>
          <w:tab w:val="num" w:pos="1418"/>
        </w:tabs>
        <w:ind w:left="1418" w:hanging="709"/>
      </w:pPr>
      <w:rPr>
        <w:rFonts w:ascii="Arial" w:hAnsi="Arial" w:hint="default"/>
        <w:b w:val="0"/>
        <w:i w:val="0"/>
        <w:strike w:val="0"/>
        <w:dstrike w:val="0"/>
        <w:color w:val="auto"/>
        <w:sz w:val="18"/>
        <w:u w:val="none"/>
      </w:rPr>
    </w:lvl>
    <w:lvl w:ilvl="1" w:tplc="D3EA63EA">
      <w:start w:val="1"/>
      <w:numFmt w:val="lowerLetter"/>
      <w:lvlText w:val="%2."/>
      <w:lvlJc w:val="left"/>
      <w:pPr>
        <w:tabs>
          <w:tab w:val="num" w:pos="1440"/>
        </w:tabs>
        <w:ind w:left="1440" w:hanging="360"/>
      </w:pPr>
    </w:lvl>
    <w:lvl w:ilvl="2" w:tplc="6D887E30">
      <w:start w:val="1"/>
      <w:numFmt w:val="lowerRoman"/>
      <w:lvlText w:val="%3."/>
      <w:lvlJc w:val="right"/>
      <w:pPr>
        <w:tabs>
          <w:tab w:val="num" w:pos="2160"/>
        </w:tabs>
        <w:ind w:left="2160" w:hanging="180"/>
      </w:pPr>
    </w:lvl>
    <w:lvl w:ilvl="3" w:tplc="9CAE4530">
      <w:start w:val="1"/>
      <w:numFmt w:val="decimal"/>
      <w:lvlText w:val="%4."/>
      <w:lvlJc w:val="left"/>
      <w:pPr>
        <w:tabs>
          <w:tab w:val="num" w:pos="2880"/>
        </w:tabs>
        <w:ind w:left="2880" w:hanging="360"/>
      </w:pPr>
    </w:lvl>
    <w:lvl w:ilvl="4" w:tplc="C00076EA">
      <w:start w:val="1"/>
      <w:numFmt w:val="lowerLetter"/>
      <w:lvlText w:val="%5."/>
      <w:lvlJc w:val="left"/>
      <w:pPr>
        <w:tabs>
          <w:tab w:val="num" w:pos="3600"/>
        </w:tabs>
        <w:ind w:left="3600" w:hanging="360"/>
      </w:pPr>
    </w:lvl>
    <w:lvl w:ilvl="5" w:tplc="6AFE080C">
      <w:start w:val="1"/>
      <w:numFmt w:val="lowerRoman"/>
      <w:lvlText w:val="%6."/>
      <w:lvlJc w:val="right"/>
      <w:pPr>
        <w:tabs>
          <w:tab w:val="num" w:pos="4320"/>
        </w:tabs>
        <w:ind w:left="4320" w:hanging="180"/>
      </w:pPr>
    </w:lvl>
    <w:lvl w:ilvl="6" w:tplc="261AF5C4">
      <w:start w:val="1"/>
      <w:numFmt w:val="decimal"/>
      <w:lvlText w:val="%7."/>
      <w:lvlJc w:val="left"/>
      <w:pPr>
        <w:tabs>
          <w:tab w:val="num" w:pos="5040"/>
        </w:tabs>
        <w:ind w:left="5040" w:hanging="360"/>
      </w:pPr>
    </w:lvl>
    <w:lvl w:ilvl="7" w:tplc="06AC3470">
      <w:start w:val="1"/>
      <w:numFmt w:val="lowerLetter"/>
      <w:lvlText w:val="%8."/>
      <w:lvlJc w:val="left"/>
      <w:pPr>
        <w:tabs>
          <w:tab w:val="num" w:pos="5760"/>
        </w:tabs>
        <w:ind w:left="5760" w:hanging="360"/>
      </w:pPr>
    </w:lvl>
    <w:lvl w:ilvl="8" w:tplc="0B2844DE">
      <w:start w:val="1"/>
      <w:numFmt w:val="lowerRoman"/>
      <w:lvlText w:val="%9."/>
      <w:lvlJc w:val="right"/>
      <w:pPr>
        <w:tabs>
          <w:tab w:val="num" w:pos="6480"/>
        </w:tabs>
        <w:ind w:left="6480" w:hanging="180"/>
      </w:pPr>
    </w:lvl>
  </w:abstractNum>
  <w:abstractNum w:abstractNumId="32" w15:restartNumberingAfterBreak="0">
    <w:nsid w:val="6A0F0ACE"/>
    <w:multiLevelType w:val="hybridMultilevel"/>
    <w:tmpl w:val="05E0BEE8"/>
    <w:lvl w:ilvl="0" w:tplc="E8548320">
      <w:start w:val="1"/>
      <w:numFmt w:val="decimal"/>
      <w:lvlText w:val="(%1)."/>
      <w:lvlJc w:val="left"/>
      <w:pPr>
        <w:tabs>
          <w:tab w:val="num" w:pos="1134"/>
        </w:tabs>
        <w:ind w:left="1134" w:hanging="425"/>
      </w:pPr>
      <w:rPr>
        <w:rFonts w:ascii="Arial" w:hAnsi="Arial" w:hint="default"/>
        <w:b w:val="0"/>
        <w:i w:val="0"/>
        <w:caps w:val="0"/>
        <w:strike w:val="0"/>
        <w:dstrike w:val="0"/>
        <w:vanish w:val="0"/>
        <w:color w:val="auto"/>
        <w:sz w:val="18"/>
        <w:u w:val="none"/>
        <w:vertAlign w:val="superscript"/>
        <w14:shadow w14:blurRad="0" w14:dist="0" w14:dir="0" w14:sx="0" w14:sy="0" w14:kx="0" w14:ky="0" w14:algn="none">
          <w14:srgbClr w14:val="000000"/>
        </w14:shadow>
        <w14:textOutline w14:w="0" w14:cap="rnd" w14:cmpd="sng" w14:algn="ctr">
          <w14:noFill/>
          <w14:prstDash w14:val="solid"/>
          <w14:bevel/>
        </w14:textOutline>
      </w:rPr>
    </w:lvl>
    <w:lvl w:ilvl="1" w:tplc="D6CE33D2">
      <w:start w:val="1"/>
      <w:numFmt w:val="lowerLetter"/>
      <w:lvlText w:val="%2."/>
      <w:lvlJc w:val="left"/>
      <w:pPr>
        <w:tabs>
          <w:tab w:val="num" w:pos="1440"/>
        </w:tabs>
        <w:ind w:left="1440" w:hanging="360"/>
      </w:pPr>
    </w:lvl>
    <w:lvl w:ilvl="2" w:tplc="55F64F8C">
      <w:start w:val="1"/>
      <w:numFmt w:val="lowerRoman"/>
      <w:lvlText w:val="%3."/>
      <w:lvlJc w:val="right"/>
      <w:pPr>
        <w:tabs>
          <w:tab w:val="num" w:pos="2160"/>
        </w:tabs>
        <w:ind w:left="2160" w:hanging="180"/>
      </w:pPr>
    </w:lvl>
    <w:lvl w:ilvl="3" w:tplc="01D81132">
      <w:start w:val="1"/>
      <w:numFmt w:val="decimal"/>
      <w:lvlText w:val="%4."/>
      <w:lvlJc w:val="left"/>
      <w:pPr>
        <w:tabs>
          <w:tab w:val="num" w:pos="2880"/>
        </w:tabs>
        <w:ind w:left="2880" w:hanging="360"/>
      </w:pPr>
    </w:lvl>
    <w:lvl w:ilvl="4" w:tplc="F216CE50">
      <w:start w:val="1"/>
      <w:numFmt w:val="lowerLetter"/>
      <w:lvlText w:val="%5."/>
      <w:lvlJc w:val="left"/>
      <w:pPr>
        <w:tabs>
          <w:tab w:val="num" w:pos="3600"/>
        </w:tabs>
        <w:ind w:left="3600" w:hanging="360"/>
      </w:pPr>
    </w:lvl>
    <w:lvl w:ilvl="5" w:tplc="730E5F78">
      <w:start w:val="1"/>
      <w:numFmt w:val="lowerRoman"/>
      <w:lvlText w:val="%6."/>
      <w:lvlJc w:val="right"/>
      <w:pPr>
        <w:tabs>
          <w:tab w:val="num" w:pos="4320"/>
        </w:tabs>
        <w:ind w:left="4320" w:hanging="180"/>
      </w:pPr>
    </w:lvl>
    <w:lvl w:ilvl="6" w:tplc="0712B0E8">
      <w:start w:val="1"/>
      <w:numFmt w:val="decimal"/>
      <w:lvlText w:val="%7."/>
      <w:lvlJc w:val="left"/>
      <w:pPr>
        <w:tabs>
          <w:tab w:val="num" w:pos="5040"/>
        </w:tabs>
        <w:ind w:left="5040" w:hanging="360"/>
      </w:pPr>
    </w:lvl>
    <w:lvl w:ilvl="7" w:tplc="512EBB36">
      <w:start w:val="1"/>
      <w:numFmt w:val="lowerLetter"/>
      <w:lvlText w:val="%8."/>
      <w:lvlJc w:val="left"/>
      <w:pPr>
        <w:tabs>
          <w:tab w:val="num" w:pos="5760"/>
        </w:tabs>
        <w:ind w:left="5760" w:hanging="360"/>
      </w:pPr>
    </w:lvl>
    <w:lvl w:ilvl="8" w:tplc="B4687A76">
      <w:start w:val="1"/>
      <w:numFmt w:val="lowerRoman"/>
      <w:lvlText w:val="%9."/>
      <w:lvlJc w:val="right"/>
      <w:pPr>
        <w:tabs>
          <w:tab w:val="num" w:pos="6480"/>
        </w:tabs>
        <w:ind w:left="6480" w:hanging="180"/>
      </w:pPr>
    </w:lvl>
  </w:abstractNum>
  <w:abstractNum w:abstractNumId="33" w15:restartNumberingAfterBreak="0">
    <w:nsid w:val="6F015527"/>
    <w:multiLevelType w:val="hybridMultilevel"/>
    <w:tmpl w:val="B23AF1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F0A1263"/>
    <w:multiLevelType w:val="hybridMultilevel"/>
    <w:tmpl w:val="0C09000F"/>
    <w:lvl w:ilvl="0" w:tplc="3850ADE2">
      <w:start w:val="1"/>
      <w:numFmt w:val="decimal"/>
      <w:lvlText w:val="%1."/>
      <w:lvlJc w:val="left"/>
      <w:pPr>
        <w:tabs>
          <w:tab w:val="num" w:pos="360"/>
        </w:tabs>
        <w:ind w:left="360" w:hanging="360"/>
      </w:pPr>
    </w:lvl>
    <w:lvl w:ilvl="1" w:tplc="38DA5338">
      <w:numFmt w:val="decimal"/>
      <w:lvlText w:val=""/>
      <w:lvlJc w:val="left"/>
    </w:lvl>
    <w:lvl w:ilvl="2" w:tplc="EEDC030E">
      <w:numFmt w:val="decimal"/>
      <w:lvlText w:val=""/>
      <w:lvlJc w:val="left"/>
    </w:lvl>
    <w:lvl w:ilvl="3" w:tplc="840C5152">
      <w:numFmt w:val="decimal"/>
      <w:lvlText w:val=""/>
      <w:lvlJc w:val="left"/>
    </w:lvl>
    <w:lvl w:ilvl="4" w:tplc="18388AA0">
      <w:numFmt w:val="decimal"/>
      <w:lvlText w:val=""/>
      <w:lvlJc w:val="left"/>
    </w:lvl>
    <w:lvl w:ilvl="5" w:tplc="BA18B892">
      <w:numFmt w:val="decimal"/>
      <w:lvlText w:val=""/>
      <w:lvlJc w:val="left"/>
    </w:lvl>
    <w:lvl w:ilvl="6" w:tplc="6E308D84">
      <w:numFmt w:val="decimal"/>
      <w:lvlText w:val=""/>
      <w:lvlJc w:val="left"/>
    </w:lvl>
    <w:lvl w:ilvl="7" w:tplc="98B020D6">
      <w:numFmt w:val="decimal"/>
      <w:lvlText w:val=""/>
      <w:lvlJc w:val="left"/>
    </w:lvl>
    <w:lvl w:ilvl="8" w:tplc="16C83CC2">
      <w:numFmt w:val="decimal"/>
      <w:lvlText w:val=""/>
      <w:lvlJc w:val="left"/>
    </w:lvl>
  </w:abstractNum>
  <w:abstractNum w:abstractNumId="35" w15:restartNumberingAfterBreak="0">
    <w:nsid w:val="713543A1"/>
    <w:multiLevelType w:val="hybridMultilevel"/>
    <w:tmpl w:val="220A51E0"/>
    <w:lvl w:ilvl="0" w:tplc="5C8AB6D8">
      <w:start w:val="1"/>
      <w:numFmt w:val="decimal"/>
      <w:pStyle w:val="BodyTextIndentNum"/>
      <w:lvlText w:val="%1."/>
      <w:lvlJc w:val="left"/>
      <w:pPr>
        <w:tabs>
          <w:tab w:val="num" w:pos="720"/>
        </w:tabs>
        <w:ind w:left="720" w:hanging="360"/>
      </w:pPr>
    </w:lvl>
    <w:lvl w:ilvl="1" w:tplc="2ED62B7C">
      <w:numFmt w:val="decimal"/>
      <w:lvlText w:val=""/>
      <w:lvlJc w:val="left"/>
    </w:lvl>
    <w:lvl w:ilvl="2" w:tplc="92C646E2">
      <w:numFmt w:val="decimal"/>
      <w:lvlText w:val=""/>
      <w:lvlJc w:val="left"/>
    </w:lvl>
    <w:lvl w:ilvl="3" w:tplc="BD26EBFC">
      <w:numFmt w:val="decimal"/>
      <w:lvlText w:val=""/>
      <w:lvlJc w:val="left"/>
    </w:lvl>
    <w:lvl w:ilvl="4" w:tplc="A9861A6C">
      <w:numFmt w:val="decimal"/>
      <w:lvlText w:val=""/>
      <w:lvlJc w:val="left"/>
    </w:lvl>
    <w:lvl w:ilvl="5" w:tplc="043E2F6E">
      <w:numFmt w:val="decimal"/>
      <w:lvlText w:val=""/>
      <w:lvlJc w:val="left"/>
    </w:lvl>
    <w:lvl w:ilvl="6" w:tplc="09A4221E">
      <w:numFmt w:val="decimal"/>
      <w:lvlText w:val=""/>
      <w:lvlJc w:val="left"/>
    </w:lvl>
    <w:lvl w:ilvl="7" w:tplc="507ADA40">
      <w:numFmt w:val="decimal"/>
      <w:lvlText w:val=""/>
      <w:lvlJc w:val="left"/>
    </w:lvl>
    <w:lvl w:ilvl="8" w:tplc="7958B9A8">
      <w:numFmt w:val="decimal"/>
      <w:lvlText w:val=""/>
      <w:lvlJc w:val="left"/>
    </w:lvl>
  </w:abstractNum>
  <w:abstractNum w:abstractNumId="36" w15:restartNumberingAfterBreak="0">
    <w:nsid w:val="781E6D39"/>
    <w:multiLevelType w:val="hybridMultilevel"/>
    <w:tmpl w:val="7D689624"/>
    <w:lvl w:ilvl="0" w:tplc="BC8E327C">
      <w:start w:val="1"/>
      <w:numFmt w:val="decimal"/>
      <w:lvlText w:val="%1."/>
      <w:lvlJc w:val="left"/>
      <w:pPr>
        <w:tabs>
          <w:tab w:val="num" w:pos="1418"/>
        </w:tabs>
        <w:ind w:left="1418" w:hanging="709"/>
      </w:pPr>
      <w:rPr>
        <w:rFonts w:hint="default"/>
      </w:rPr>
    </w:lvl>
    <w:lvl w:ilvl="1" w:tplc="320A0C5E">
      <w:start w:val="1"/>
      <w:numFmt w:val="lowerLetter"/>
      <w:lvlText w:val="%2."/>
      <w:lvlJc w:val="left"/>
      <w:pPr>
        <w:tabs>
          <w:tab w:val="num" w:pos="1440"/>
        </w:tabs>
        <w:ind w:left="1440" w:hanging="360"/>
      </w:pPr>
    </w:lvl>
    <w:lvl w:ilvl="2" w:tplc="B7B0732E">
      <w:start w:val="1"/>
      <w:numFmt w:val="lowerRoman"/>
      <w:lvlText w:val="%3."/>
      <w:lvlJc w:val="right"/>
      <w:pPr>
        <w:tabs>
          <w:tab w:val="num" w:pos="2160"/>
        </w:tabs>
        <w:ind w:left="2160" w:hanging="180"/>
      </w:pPr>
    </w:lvl>
    <w:lvl w:ilvl="3" w:tplc="0EF2DE36">
      <w:start w:val="1"/>
      <w:numFmt w:val="decimal"/>
      <w:lvlText w:val="%4."/>
      <w:lvlJc w:val="left"/>
      <w:pPr>
        <w:tabs>
          <w:tab w:val="num" w:pos="2880"/>
        </w:tabs>
        <w:ind w:left="2880" w:hanging="360"/>
      </w:pPr>
    </w:lvl>
    <w:lvl w:ilvl="4" w:tplc="55D2DF76">
      <w:start w:val="1"/>
      <w:numFmt w:val="lowerLetter"/>
      <w:lvlText w:val="%5."/>
      <w:lvlJc w:val="left"/>
      <w:pPr>
        <w:tabs>
          <w:tab w:val="num" w:pos="3600"/>
        </w:tabs>
        <w:ind w:left="3600" w:hanging="360"/>
      </w:pPr>
    </w:lvl>
    <w:lvl w:ilvl="5" w:tplc="6D5A7C9C">
      <w:start w:val="1"/>
      <w:numFmt w:val="lowerRoman"/>
      <w:lvlText w:val="%6."/>
      <w:lvlJc w:val="right"/>
      <w:pPr>
        <w:tabs>
          <w:tab w:val="num" w:pos="4320"/>
        </w:tabs>
        <w:ind w:left="4320" w:hanging="180"/>
      </w:pPr>
    </w:lvl>
    <w:lvl w:ilvl="6" w:tplc="ED50B8E2">
      <w:start w:val="1"/>
      <w:numFmt w:val="decimal"/>
      <w:lvlText w:val="%7."/>
      <w:lvlJc w:val="left"/>
      <w:pPr>
        <w:tabs>
          <w:tab w:val="num" w:pos="5040"/>
        </w:tabs>
        <w:ind w:left="5040" w:hanging="360"/>
      </w:pPr>
    </w:lvl>
    <w:lvl w:ilvl="7" w:tplc="64B4DFAA">
      <w:start w:val="1"/>
      <w:numFmt w:val="lowerLetter"/>
      <w:lvlText w:val="%8."/>
      <w:lvlJc w:val="left"/>
      <w:pPr>
        <w:tabs>
          <w:tab w:val="num" w:pos="5760"/>
        </w:tabs>
        <w:ind w:left="5760" w:hanging="360"/>
      </w:pPr>
    </w:lvl>
    <w:lvl w:ilvl="8" w:tplc="28D03994">
      <w:start w:val="1"/>
      <w:numFmt w:val="lowerRoman"/>
      <w:lvlText w:val="%9."/>
      <w:lvlJc w:val="right"/>
      <w:pPr>
        <w:tabs>
          <w:tab w:val="num" w:pos="6480"/>
        </w:tabs>
        <w:ind w:left="6480" w:hanging="180"/>
      </w:pPr>
    </w:lvl>
  </w:abstractNum>
  <w:abstractNum w:abstractNumId="37" w15:restartNumberingAfterBreak="0">
    <w:nsid w:val="785C4344"/>
    <w:multiLevelType w:val="hybridMultilevel"/>
    <w:tmpl w:val="24426BFE"/>
    <w:lvl w:ilvl="0" w:tplc="75805110">
      <w:start w:val="1"/>
      <w:numFmt w:val="decimal"/>
      <w:pStyle w:val="BodyTextIndent9Num"/>
      <w:lvlText w:val="(%1)"/>
      <w:lvlJc w:val="left"/>
      <w:pPr>
        <w:tabs>
          <w:tab w:val="num" w:pos="1134"/>
        </w:tabs>
        <w:ind w:left="1134" w:hanging="425"/>
      </w:pPr>
      <w:rPr>
        <w:rFonts w:ascii="Arial" w:hAnsi="Arial" w:hint="default"/>
        <w:b w:val="0"/>
        <w:i w:val="0"/>
        <w:caps w:val="0"/>
        <w:strike w:val="0"/>
        <w:dstrike w:val="0"/>
        <w:vanish w:val="0"/>
        <w:color w:val="auto"/>
        <w:sz w:val="18"/>
        <w:u w:val="none"/>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7"/>
  </w:num>
  <w:num w:numId="2">
    <w:abstractNumId w:val="27"/>
  </w:num>
  <w:num w:numId="3">
    <w:abstractNumId w:val="26"/>
  </w:num>
  <w:num w:numId="4">
    <w:abstractNumId w:val="35"/>
  </w:num>
  <w:num w:numId="5">
    <w:abstractNumId w:val="29"/>
  </w:num>
  <w:num w:numId="6">
    <w:abstractNumId w:val="5"/>
  </w:num>
  <w:num w:numId="7">
    <w:abstractNumId w:val="0"/>
  </w:num>
  <w:num w:numId="8">
    <w:abstractNumId w:val="11"/>
  </w:num>
  <w:num w:numId="9">
    <w:abstractNumId w:val="23"/>
  </w:num>
  <w:num w:numId="10">
    <w:abstractNumId w:val="34"/>
  </w:num>
  <w:num w:numId="11">
    <w:abstractNumId w:val="12"/>
  </w:num>
  <w:num w:numId="12">
    <w:abstractNumId w:val="14"/>
  </w:num>
  <w:num w:numId="13">
    <w:abstractNumId w:val="24"/>
  </w:num>
  <w:num w:numId="14">
    <w:abstractNumId w:val="22"/>
  </w:num>
  <w:num w:numId="15">
    <w:abstractNumId w:val="9"/>
  </w:num>
  <w:num w:numId="16">
    <w:abstractNumId w:val="2"/>
  </w:num>
  <w:num w:numId="17">
    <w:abstractNumId w:val="18"/>
  </w:num>
  <w:num w:numId="18">
    <w:abstractNumId w:val="37"/>
  </w:num>
  <w:num w:numId="19">
    <w:abstractNumId w:val="36"/>
  </w:num>
  <w:num w:numId="20">
    <w:abstractNumId w:val="37"/>
    <w:lvlOverride w:ilvl="0">
      <w:startOverride w:val="1"/>
    </w:lvlOverride>
  </w:num>
  <w:num w:numId="21">
    <w:abstractNumId w:val="17"/>
  </w:num>
  <w:num w:numId="22">
    <w:abstractNumId w:val="3"/>
  </w:num>
  <w:num w:numId="23">
    <w:abstractNumId w:val="31"/>
  </w:num>
  <w:num w:numId="24">
    <w:abstractNumId w:val="37"/>
    <w:lvlOverride w:ilvl="0">
      <w:startOverride w:val="1"/>
    </w:lvlOverride>
  </w:num>
  <w:num w:numId="25">
    <w:abstractNumId w:val="30"/>
  </w:num>
  <w:num w:numId="26">
    <w:abstractNumId w:val="16"/>
  </w:num>
  <w:num w:numId="27">
    <w:abstractNumId w:val="28"/>
  </w:num>
  <w:num w:numId="28">
    <w:abstractNumId w:val="4"/>
  </w:num>
  <w:num w:numId="29">
    <w:abstractNumId w:val="20"/>
  </w:num>
  <w:num w:numId="30">
    <w:abstractNumId w:val="32"/>
  </w:num>
  <w:num w:numId="31">
    <w:abstractNumId w:val="8"/>
  </w:num>
  <w:num w:numId="32">
    <w:abstractNumId w:val="10"/>
  </w:num>
  <w:num w:numId="33">
    <w:abstractNumId w:val="25"/>
  </w:num>
  <w:num w:numId="34">
    <w:abstractNumId w:val="6"/>
  </w:num>
  <w:num w:numId="35">
    <w:abstractNumId w:val="19"/>
  </w:num>
  <w:num w:numId="36">
    <w:abstractNumId w:val="33"/>
  </w:num>
  <w:num w:numId="37">
    <w:abstractNumId w:val="21"/>
  </w:num>
  <w:num w:numId="38">
    <w:abstractNumId w:val="15"/>
  </w:num>
  <w:num w:numId="39">
    <w:abstractNumId w:val="7"/>
  </w:num>
  <w:num w:numId="40">
    <w:abstractNumId w:val="7"/>
  </w:num>
  <w:num w:numId="41">
    <w:abstractNumId w:val="13"/>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BCE"/>
    <w:rsid w:val="00007F30"/>
    <w:rsid w:val="00010853"/>
    <w:rsid w:val="00013984"/>
    <w:rsid w:val="00025D54"/>
    <w:rsid w:val="00042C7A"/>
    <w:rsid w:val="0004479B"/>
    <w:rsid w:val="0005690B"/>
    <w:rsid w:val="000727CE"/>
    <w:rsid w:val="0007357F"/>
    <w:rsid w:val="000A0EAD"/>
    <w:rsid w:val="000A3FF6"/>
    <w:rsid w:val="000B4BD1"/>
    <w:rsid w:val="000C6B01"/>
    <w:rsid w:val="000E27E7"/>
    <w:rsid w:val="000E7A6E"/>
    <w:rsid w:val="000F4F54"/>
    <w:rsid w:val="000F67E0"/>
    <w:rsid w:val="0011063D"/>
    <w:rsid w:val="0012019F"/>
    <w:rsid w:val="00134E7F"/>
    <w:rsid w:val="00145887"/>
    <w:rsid w:val="001458CB"/>
    <w:rsid w:val="001633D8"/>
    <w:rsid w:val="00170D4E"/>
    <w:rsid w:val="00185087"/>
    <w:rsid w:val="001964A0"/>
    <w:rsid w:val="0019715F"/>
    <w:rsid w:val="001972BA"/>
    <w:rsid w:val="001A18EF"/>
    <w:rsid w:val="001B4E34"/>
    <w:rsid w:val="001B699D"/>
    <w:rsid w:val="001C290E"/>
    <w:rsid w:val="001D3555"/>
    <w:rsid w:val="001D4923"/>
    <w:rsid w:val="001E3F38"/>
    <w:rsid w:val="001E5E77"/>
    <w:rsid w:val="001F56EA"/>
    <w:rsid w:val="001F6376"/>
    <w:rsid w:val="002120B1"/>
    <w:rsid w:val="0021439B"/>
    <w:rsid w:val="00220B58"/>
    <w:rsid w:val="00225BBD"/>
    <w:rsid w:val="0022ABFB"/>
    <w:rsid w:val="00263BB2"/>
    <w:rsid w:val="00266CD9"/>
    <w:rsid w:val="002847B9"/>
    <w:rsid w:val="00286909"/>
    <w:rsid w:val="002A7BBF"/>
    <w:rsid w:val="002B01FB"/>
    <w:rsid w:val="002C58FF"/>
    <w:rsid w:val="00300AB9"/>
    <w:rsid w:val="0031000D"/>
    <w:rsid w:val="0032669F"/>
    <w:rsid w:val="00331CCD"/>
    <w:rsid w:val="003371FF"/>
    <w:rsid w:val="003422F4"/>
    <w:rsid w:val="00355B1F"/>
    <w:rsid w:val="00377762"/>
    <w:rsid w:val="003A04F9"/>
    <w:rsid w:val="003B22B8"/>
    <w:rsid w:val="003B4023"/>
    <w:rsid w:val="003D24C4"/>
    <w:rsid w:val="003D3594"/>
    <w:rsid w:val="003D400F"/>
    <w:rsid w:val="003E6AC0"/>
    <w:rsid w:val="0041174F"/>
    <w:rsid w:val="004128DA"/>
    <w:rsid w:val="00414F04"/>
    <w:rsid w:val="004157DA"/>
    <w:rsid w:val="0043216C"/>
    <w:rsid w:val="004464DE"/>
    <w:rsid w:val="00463307"/>
    <w:rsid w:val="00480A2B"/>
    <w:rsid w:val="00490671"/>
    <w:rsid w:val="004A5115"/>
    <w:rsid w:val="004D1E3E"/>
    <w:rsid w:val="004D4175"/>
    <w:rsid w:val="004D5011"/>
    <w:rsid w:val="004E3B75"/>
    <w:rsid w:val="004F56D3"/>
    <w:rsid w:val="00505D00"/>
    <w:rsid w:val="005076A1"/>
    <w:rsid w:val="00527115"/>
    <w:rsid w:val="005317EB"/>
    <w:rsid w:val="0057724A"/>
    <w:rsid w:val="005923A4"/>
    <w:rsid w:val="005D2DAC"/>
    <w:rsid w:val="005F7367"/>
    <w:rsid w:val="00603571"/>
    <w:rsid w:val="00604464"/>
    <w:rsid w:val="006070F3"/>
    <w:rsid w:val="006163FD"/>
    <w:rsid w:val="00625AAE"/>
    <w:rsid w:val="00635351"/>
    <w:rsid w:val="00651709"/>
    <w:rsid w:val="0069640F"/>
    <w:rsid w:val="00696B19"/>
    <w:rsid w:val="006A5017"/>
    <w:rsid w:val="006A66DE"/>
    <w:rsid w:val="006B4713"/>
    <w:rsid w:val="006D723A"/>
    <w:rsid w:val="006E0240"/>
    <w:rsid w:val="006E3722"/>
    <w:rsid w:val="00720AB7"/>
    <w:rsid w:val="007322C7"/>
    <w:rsid w:val="00734D5B"/>
    <w:rsid w:val="00746B30"/>
    <w:rsid w:val="00757771"/>
    <w:rsid w:val="00777BD0"/>
    <w:rsid w:val="00777E72"/>
    <w:rsid w:val="00784842"/>
    <w:rsid w:val="007A47B1"/>
    <w:rsid w:val="007B5C9A"/>
    <w:rsid w:val="007C7D69"/>
    <w:rsid w:val="007D2673"/>
    <w:rsid w:val="007D5278"/>
    <w:rsid w:val="007E0EB2"/>
    <w:rsid w:val="008003C2"/>
    <w:rsid w:val="00807EAC"/>
    <w:rsid w:val="0081137B"/>
    <w:rsid w:val="00817308"/>
    <w:rsid w:val="00817386"/>
    <w:rsid w:val="008218B4"/>
    <w:rsid w:val="00833043"/>
    <w:rsid w:val="00835C4A"/>
    <w:rsid w:val="0083707C"/>
    <w:rsid w:val="008508D1"/>
    <w:rsid w:val="00855856"/>
    <w:rsid w:val="00867772"/>
    <w:rsid w:val="008807DA"/>
    <w:rsid w:val="00881C43"/>
    <w:rsid w:val="00886186"/>
    <w:rsid w:val="008A4948"/>
    <w:rsid w:val="008B15B7"/>
    <w:rsid w:val="008D3BE3"/>
    <w:rsid w:val="008D4909"/>
    <w:rsid w:val="008E4CE0"/>
    <w:rsid w:val="008E72FC"/>
    <w:rsid w:val="008F1587"/>
    <w:rsid w:val="008F6190"/>
    <w:rsid w:val="00910F58"/>
    <w:rsid w:val="009130B3"/>
    <w:rsid w:val="0091712F"/>
    <w:rsid w:val="00924459"/>
    <w:rsid w:val="00924846"/>
    <w:rsid w:val="009313B4"/>
    <w:rsid w:val="009607D4"/>
    <w:rsid w:val="00973355"/>
    <w:rsid w:val="00974BCE"/>
    <w:rsid w:val="0097599C"/>
    <w:rsid w:val="00977B59"/>
    <w:rsid w:val="00995F92"/>
    <w:rsid w:val="009A48D2"/>
    <w:rsid w:val="009B76AE"/>
    <w:rsid w:val="009E239F"/>
    <w:rsid w:val="009F0058"/>
    <w:rsid w:val="009F7A6A"/>
    <w:rsid w:val="00A0276C"/>
    <w:rsid w:val="00A05A1B"/>
    <w:rsid w:val="00A14019"/>
    <w:rsid w:val="00A1522B"/>
    <w:rsid w:val="00A3211E"/>
    <w:rsid w:val="00A35E5F"/>
    <w:rsid w:val="00A3644E"/>
    <w:rsid w:val="00A4227F"/>
    <w:rsid w:val="00A57DF5"/>
    <w:rsid w:val="00A67D3D"/>
    <w:rsid w:val="00A80827"/>
    <w:rsid w:val="00AC201C"/>
    <w:rsid w:val="00AE2BDD"/>
    <w:rsid w:val="00AF7EC3"/>
    <w:rsid w:val="00B10E54"/>
    <w:rsid w:val="00B4067E"/>
    <w:rsid w:val="00B56938"/>
    <w:rsid w:val="00B702F9"/>
    <w:rsid w:val="00B75756"/>
    <w:rsid w:val="00B870A2"/>
    <w:rsid w:val="00B879F4"/>
    <w:rsid w:val="00B94147"/>
    <w:rsid w:val="00BD2B8D"/>
    <w:rsid w:val="00BF3035"/>
    <w:rsid w:val="00C250C5"/>
    <w:rsid w:val="00C266B0"/>
    <w:rsid w:val="00C26C2D"/>
    <w:rsid w:val="00C3256C"/>
    <w:rsid w:val="00C46D63"/>
    <w:rsid w:val="00C62273"/>
    <w:rsid w:val="00C70022"/>
    <w:rsid w:val="00C710C3"/>
    <w:rsid w:val="00C97017"/>
    <w:rsid w:val="00CA21D3"/>
    <w:rsid w:val="00CC1B7C"/>
    <w:rsid w:val="00CC2212"/>
    <w:rsid w:val="00CE3DFA"/>
    <w:rsid w:val="00D17C30"/>
    <w:rsid w:val="00D20177"/>
    <w:rsid w:val="00D2568E"/>
    <w:rsid w:val="00D26944"/>
    <w:rsid w:val="00D32BF2"/>
    <w:rsid w:val="00D46BEC"/>
    <w:rsid w:val="00D50075"/>
    <w:rsid w:val="00D54CBF"/>
    <w:rsid w:val="00D71A1B"/>
    <w:rsid w:val="00DA3B01"/>
    <w:rsid w:val="00DA40BE"/>
    <w:rsid w:val="00DC6DE4"/>
    <w:rsid w:val="00DD35CE"/>
    <w:rsid w:val="00DD3CEF"/>
    <w:rsid w:val="00DE3139"/>
    <w:rsid w:val="00E055BF"/>
    <w:rsid w:val="00E4103F"/>
    <w:rsid w:val="00E4456C"/>
    <w:rsid w:val="00E54C83"/>
    <w:rsid w:val="00E6089C"/>
    <w:rsid w:val="00E66294"/>
    <w:rsid w:val="00E67F22"/>
    <w:rsid w:val="00E72EB0"/>
    <w:rsid w:val="00E7517F"/>
    <w:rsid w:val="00E81133"/>
    <w:rsid w:val="00EA6E64"/>
    <w:rsid w:val="00EB36DE"/>
    <w:rsid w:val="00EB68B1"/>
    <w:rsid w:val="00EB7A45"/>
    <w:rsid w:val="00EC4F57"/>
    <w:rsid w:val="00EC6AC7"/>
    <w:rsid w:val="00EF48EE"/>
    <w:rsid w:val="00F114FA"/>
    <w:rsid w:val="00F35572"/>
    <w:rsid w:val="00F36163"/>
    <w:rsid w:val="00F41825"/>
    <w:rsid w:val="00F41D65"/>
    <w:rsid w:val="00F44B18"/>
    <w:rsid w:val="00F4763F"/>
    <w:rsid w:val="00F52526"/>
    <w:rsid w:val="00F628DF"/>
    <w:rsid w:val="00F80A61"/>
    <w:rsid w:val="00F82902"/>
    <w:rsid w:val="00F83942"/>
    <w:rsid w:val="00FA535F"/>
    <w:rsid w:val="00FA57A5"/>
    <w:rsid w:val="00FB7D34"/>
    <w:rsid w:val="00FC18FB"/>
    <w:rsid w:val="00FC5467"/>
    <w:rsid w:val="00FC5E2F"/>
    <w:rsid w:val="00FD4A2B"/>
    <w:rsid w:val="00FE4A67"/>
    <w:rsid w:val="00FE7DD3"/>
    <w:rsid w:val="042B776F"/>
    <w:rsid w:val="04ABFFD5"/>
    <w:rsid w:val="0561EE1B"/>
    <w:rsid w:val="09A97922"/>
    <w:rsid w:val="0A04298B"/>
    <w:rsid w:val="0A21201F"/>
    <w:rsid w:val="0B1514E8"/>
    <w:rsid w:val="0C128ACE"/>
    <w:rsid w:val="0DFAE1E3"/>
    <w:rsid w:val="125F5415"/>
    <w:rsid w:val="14047456"/>
    <w:rsid w:val="15F91719"/>
    <w:rsid w:val="16AFFECF"/>
    <w:rsid w:val="16F5BD63"/>
    <w:rsid w:val="18C33765"/>
    <w:rsid w:val="1CA1B3DD"/>
    <w:rsid w:val="1DA87DD3"/>
    <w:rsid w:val="20357ACE"/>
    <w:rsid w:val="214D5540"/>
    <w:rsid w:val="22622292"/>
    <w:rsid w:val="2419373F"/>
    <w:rsid w:val="244634DC"/>
    <w:rsid w:val="249D6961"/>
    <w:rsid w:val="24EE15C7"/>
    <w:rsid w:val="251F888D"/>
    <w:rsid w:val="2855713F"/>
    <w:rsid w:val="299AFBD7"/>
    <w:rsid w:val="29FD1E13"/>
    <w:rsid w:val="2D0FBA05"/>
    <w:rsid w:val="2E0911F1"/>
    <w:rsid w:val="2E6C08BC"/>
    <w:rsid w:val="2E97C6B6"/>
    <w:rsid w:val="32D4FE83"/>
    <w:rsid w:val="3346765C"/>
    <w:rsid w:val="3560113F"/>
    <w:rsid w:val="3794A7FE"/>
    <w:rsid w:val="3804F919"/>
    <w:rsid w:val="39894E47"/>
    <w:rsid w:val="3B59EE11"/>
    <w:rsid w:val="3BEA1B0E"/>
    <w:rsid w:val="3D2CDCE5"/>
    <w:rsid w:val="3DBCB066"/>
    <w:rsid w:val="3FDD19B1"/>
    <w:rsid w:val="421EC823"/>
    <w:rsid w:val="42C09660"/>
    <w:rsid w:val="43FA4443"/>
    <w:rsid w:val="4461B32A"/>
    <w:rsid w:val="44CCAA45"/>
    <w:rsid w:val="465DD42B"/>
    <w:rsid w:val="48A0B297"/>
    <w:rsid w:val="48B747D6"/>
    <w:rsid w:val="4B74ADD1"/>
    <w:rsid w:val="4ED89C43"/>
    <w:rsid w:val="5114DCB4"/>
    <w:rsid w:val="536BFE3D"/>
    <w:rsid w:val="5535D8A7"/>
    <w:rsid w:val="55660D42"/>
    <w:rsid w:val="5A96CE15"/>
    <w:rsid w:val="5D58B9F2"/>
    <w:rsid w:val="5E6BCEDC"/>
    <w:rsid w:val="5FA0C32A"/>
    <w:rsid w:val="601A3A2C"/>
    <w:rsid w:val="62AD8C26"/>
    <w:rsid w:val="64030166"/>
    <w:rsid w:val="65F3ABE2"/>
    <w:rsid w:val="662CC378"/>
    <w:rsid w:val="676A010E"/>
    <w:rsid w:val="6AA24476"/>
    <w:rsid w:val="6AD531E5"/>
    <w:rsid w:val="6AE674C6"/>
    <w:rsid w:val="6BF36016"/>
    <w:rsid w:val="6BF55A26"/>
    <w:rsid w:val="6FFA177B"/>
    <w:rsid w:val="7025B08D"/>
    <w:rsid w:val="7AC1BC92"/>
    <w:rsid w:val="7CA47471"/>
    <w:rsid w:val="7CB3E9DB"/>
    <w:rsid w:val="7FA6B2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1B01A4"/>
  <w15:chartTrackingRefBased/>
  <w15:docId w15:val="{15DFE654-5082-47E5-8A76-4B72BF55D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923"/>
    <w:pPr>
      <w:spacing w:after="0" w:line="240" w:lineRule="auto"/>
    </w:pPr>
    <w:rPr>
      <w:rFonts w:ascii="Arial" w:eastAsia="Times New Roman" w:hAnsi="Arial" w:cs="Times New Roman"/>
      <w:sz w:val="20"/>
      <w:szCs w:val="20"/>
      <w:lang w:eastAsia="en-AU"/>
    </w:rPr>
  </w:style>
  <w:style w:type="paragraph" w:styleId="Heading1">
    <w:name w:val="heading 1"/>
    <w:basedOn w:val="Normal"/>
    <w:next w:val="Normal"/>
    <w:link w:val="Heading1Char"/>
    <w:qFormat/>
    <w:rsid w:val="00817308"/>
    <w:pPr>
      <w:keepNext/>
      <w:spacing w:before="200" w:after="80"/>
      <w:jc w:val="both"/>
      <w:outlineLvl w:val="0"/>
    </w:pPr>
    <w:rPr>
      <w:b/>
      <w:caps/>
      <w:kern w:val="28"/>
      <w:sz w:val="24"/>
      <w:szCs w:val="18"/>
    </w:rPr>
  </w:style>
  <w:style w:type="paragraph" w:styleId="Heading2">
    <w:name w:val="heading 2"/>
    <w:basedOn w:val="Normal"/>
    <w:next w:val="BodyTextIndent"/>
    <w:link w:val="Heading2Char"/>
    <w:qFormat/>
    <w:rsid w:val="00817308"/>
    <w:pPr>
      <w:keepNext/>
      <w:numPr>
        <w:numId w:val="1"/>
      </w:numPr>
      <w:tabs>
        <w:tab w:val="num" w:pos="1004"/>
      </w:tabs>
      <w:spacing w:before="160" w:after="60"/>
      <w:jc w:val="both"/>
      <w:outlineLvl w:val="1"/>
    </w:pPr>
    <w:rPr>
      <w:rFonts w:ascii="Arial Bold" w:hAnsi="Arial Bold"/>
      <w:b/>
      <w:caps/>
      <w:sz w:val="28"/>
      <w:szCs w:val="24"/>
    </w:rPr>
  </w:style>
  <w:style w:type="paragraph" w:styleId="Heading3">
    <w:name w:val="heading 3"/>
    <w:basedOn w:val="Heading2"/>
    <w:next w:val="Normal"/>
    <w:link w:val="Heading3Char"/>
    <w:qFormat/>
    <w:rsid w:val="00817308"/>
    <w:pPr>
      <w:numPr>
        <w:ilvl w:val="1"/>
      </w:numPr>
      <w:tabs>
        <w:tab w:val="clear" w:pos="1004"/>
        <w:tab w:val="num" w:pos="709"/>
      </w:tabs>
      <w:ind w:left="709" w:hanging="709"/>
      <w:outlineLvl w:val="2"/>
    </w:pPr>
    <w:rPr>
      <w:sz w:val="24"/>
      <w:szCs w:val="20"/>
    </w:rPr>
  </w:style>
  <w:style w:type="paragraph" w:styleId="Heading4">
    <w:name w:val="heading 4"/>
    <w:basedOn w:val="Normal"/>
    <w:next w:val="Normal"/>
    <w:link w:val="Heading4Char"/>
    <w:qFormat/>
    <w:rsid w:val="00974BCE"/>
    <w:pPr>
      <w:keepNext/>
      <w:spacing w:before="240" w:after="60"/>
      <w:outlineLvl w:val="3"/>
    </w:pPr>
    <w:rPr>
      <w:b/>
      <w:sz w:val="24"/>
    </w:rPr>
  </w:style>
  <w:style w:type="paragraph" w:styleId="Heading5">
    <w:name w:val="heading 5"/>
    <w:basedOn w:val="Normal"/>
    <w:next w:val="Normal"/>
    <w:link w:val="Heading5Char"/>
    <w:qFormat/>
    <w:rsid w:val="00974BCE"/>
    <w:pPr>
      <w:spacing w:before="240" w:after="60"/>
      <w:outlineLvl w:val="4"/>
    </w:pPr>
    <w:rPr>
      <w:sz w:val="22"/>
    </w:rPr>
  </w:style>
  <w:style w:type="paragraph" w:styleId="Heading6">
    <w:name w:val="heading 6"/>
    <w:basedOn w:val="Normal"/>
    <w:next w:val="Normal"/>
    <w:link w:val="Heading6Char"/>
    <w:qFormat/>
    <w:rsid w:val="00974BCE"/>
    <w:pPr>
      <w:spacing w:before="240" w:after="60"/>
      <w:outlineLvl w:val="5"/>
    </w:pPr>
    <w:rPr>
      <w:i/>
      <w:sz w:val="22"/>
    </w:rPr>
  </w:style>
  <w:style w:type="paragraph" w:styleId="Heading7">
    <w:name w:val="heading 7"/>
    <w:basedOn w:val="Normal"/>
    <w:next w:val="Normal"/>
    <w:link w:val="Heading7Char"/>
    <w:qFormat/>
    <w:rsid w:val="00974BCE"/>
    <w:pPr>
      <w:spacing w:before="240" w:after="60"/>
      <w:outlineLvl w:val="6"/>
    </w:pPr>
  </w:style>
  <w:style w:type="paragraph" w:styleId="Heading8">
    <w:name w:val="heading 8"/>
    <w:basedOn w:val="Normal"/>
    <w:next w:val="Normal"/>
    <w:link w:val="Heading8Char"/>
    <w:qFormat/>
    <w:rsid w:val="00974BCE"/>
    <w:pPr>
      <w:spacing w:before="240" w:after="60"/>
      <w:outlineLvl w:val="7"/>
    </w:pPr>
    <w:rPr>
      <w:i/>
    </w:rPr>
  </w:style>
  <w:style w:type="paragraph" w:styleId="Heading9">
    <w:name w:val="heading 9"/>
    <w:basedOn w:val="Normal"/>
    <w:next w:val="Normal"/>
    <w:link w:val="Heading9Char"/>
    <w:qFormat/>
    <w:rsid w:val="00974BCE"/>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7308"/>
    <w:rPr>
      <w:rFonts w:ascii="Arial" w:eastAsia="Times New Roman" w:hAnsi="Arial" w:cs="Times New Roman"/>
      <w:b/>
      <w:caps/>
      <w:kern w:val="28"/>
      <w:sz w:val="24"/>
      <w:szCs w:val="18"/>
      <w:lang w:eastAsia="en-AU"/>
    </w:rPr>
  </w:style>
  <w:style w:type="character" w:customStyle="1" w:styleId="Heading2Char">
    <w:name w:val="Heading 2 Char"/>
    <w:basedOn w:val="DefaultParagraphFont"/>
    <w:link w:val="Heading2"/>
    <w:rsid w:val="00817308"/>
    <w:rPr>
      <w:rFonts w:ascii="Arial Bold" w:eastAsia="Times New Roman" w:hAnsi="Arial Bold" w:cs="Times New Roman"/>
      <w:b/>
      <w:caps/>
      <w:sz w:val="28"/>
      <w:szCs w:val="24"/>
      <w:lang w:eastAsia="en-AU"/>
    </w:rPr>
  </w:style>
  <w:style w:type="character" w:customStyle="1" w:styleId="Heading3Char">
    <w:name w:val="Heading 3 Char"/>
    <w:basedOn w:val="DefaultParagraphFont"/>
    <w:link w:val="Heading3"/>
    <w:rsid w:val="00817308"/>
    <w:rPr>
      <w:rFonts w:ascii="Arial Bold" w:eastAsia="Times New Roman" w:hAnsi="Arial Bold" w:cs="Times New Roman"/>
      <w:b/>
      <w:caps/>
      <w:sz w:val="24"/>
      <w:szCs w:val="20"/>
      <w:lang w:eastAsia="en-AU"/>
    </w:rPr>
  </w:style>
  <w:style w:type="character" w:customStyle="1" w:styleId="Heading4Char">
    <w:name w:val="Heading 4 Char"/>
    <w:basedOn w:val="DefaultParagraphFont"/>
    <w:link w:val="Heading4"/>
    <w:rsid w:val="00974BCE"/>
    <w:rPr>
      <w:rFonts w:ascii="Arial" w:eastAsia="Times New Roman" w:hAnsi="Arial" w:cs="Times New Roman"/>
      <w:b/>
      <w:sz w:val="24"/>
      <w:szCs w:val="20"/>
      <w:lang w:eastAsia="en-AU"/>
    </w:rPr>
  </w:style>
  <w:style w:type="character" w:customStyle="1" w:styleId="Heading5Char">
    <w:name w:val="Heading 5 Char"/>
    <w:basedOn w:val="DefaultParagraphFont"/>
    <w:link w:val="Heading5"/>
    <w:rsid w:val="00974BCE"/>
    <w:rPr>
      <w:rFonts w:ascii="Arial" w:eastAsia="Times New Roman" w:hAnsi="Arial" w:cs="Times New Roman"/>
      <w:szCs w:val="20"/>
      <w:lang w:eastAsia="en-AU"/>
    </w:rPr>
  </w:style>
  <w:style w:type="character" w:customStyle="1" w:styleId="Heading6Char">
    <w:name w:val="Heading 6 Char"/>
    <w:basedOn w:val="DefaultParagraphFont"/>
    <w:link w:val="Heading6"/>
    <w:rsid w:val="00974BCE"/>
    <w:rPr>
      <w:rFonts w:ascii="Arial" w:eastAsia="Times New Roman" w:hAnsi="Arial" w:cs="Times New Roman"/>
      <w:i/>
      <w:szCs w:val="20"/>
      <w:lang w:eastAsia="en-AU"/>
    </w:rPr>
  </w:style>
  <w:style w:type="character" w:customStyle="1" w:styleId="Heading7Char">
    <w:name w:val="Heading 7 Char"/>
    <w:basedOn w:val="DefaultParagraphFont"/>
    <w:link w:val="Heading7"/>
    <w:rsid w:val="00974BCE"/>
    <w:rPr>
      <w:rFonts w:ascii="Arial" w:eastAsia="Times New Roman" w:hAnsi="Arial" w:cs="Times New Roman"/>
      <w:sz w:val="20"/>
      <w:szCs w:val="20"/>
      <w:lang w:eastAsia="en-AU"/>
    </w:rPr>
  </w:style>
  <w:style w:type="character" w:customStyle="1" w:styleId="Heading8Char">
    <w:name w:val="Heading 8 Char"/>
    <w:basedOn w:val="DefaultParagraphFont"/>
    <w:link w:val="Heading8"/>
    <w:rsid w:val="00974BCE"/>
    <w:rPr>
      <w:rFonts w:ascii="Arial" w:eastAsia="Times New Roman" w:hAnsi="Arial" w:cs="Times New Roman"/>
      <w:i/>
      <w:sz w:val="20"/>
      <w:szCs w:val="20"/>
      <w:lang w:eastAsia="en-AU"/>
    </w:rPr>
  </w:style>
  <w:style w:type="character" w:customStyle="1" w:styleId="Heading9Char">
    <w:name w:val="Heading 9 Char"/>
    <w:basedOn w:val="DefaultParagraphFont"/>
    <w:link w:val="Heading9"/>
    <w:rsid w:val="00974BCE"/>
    <w:rPr>
      <w:rFonts w:ascii="Arial" w:eastAsia="Times New Roman" w:hAnsi="Arial" w:cs="Times New Roman"/>
      <w:b/>
      <w:i/>
      <w:sz w:val="18"/>
      <w:szCs w:val="20"/>
      <w:lang w:eastAsia="en-AU"/>
    </w:rPr>
  </w:style>
  <w:style w:type="paragraph" w:styleId="PlainText">
    <w:name w:val="Plain Text"/>
    <w:basedOn w:val="Normal"/>
    <w:link w:val="PlainTextChar"/>
    <w:rsid w:val="00974BCE"/>
  </w:style>
  <w:style w:type="character" w:customStyle="1" w:styleId="PlainTextChar">
    <w:name w:val="Plain Text Char"/>
    <w:basedOn w:val="DefaultParagraphFont"/>
    <w:link w:val="PlainText"/>
    <w:rsid w:val="00974BCE"/>
    <w:rPr>
      <w:rFonts w:ascii="Arial" w:eastAsia="Times New Roman" w:hAnsi="Arial" w:cs="Times New Roman"/>
      <w:sz w:val="20"/>
      <w:szCs w:val="20"/>
      <w:lang w:eastAsia="en-AU"/>
    </w:rPr>
  </w:style>
  <w:style w:type="paragraph" w:styleId="Header">
    <w:name w:val="header"/>
    <w:basedOn w:val="Normal"/>
    <w:link w:val="HeaderChar"/>
    <w:rsid w:val="0032669F"/>
    <w:pPr>
      <w:pBdr>
        <w:bottom w:val="single" w:sz="2" w:space="5" w:color="auto"/>
      </w:pBdr>
      <w:tabs>
        <w:tab w:val="right" w:pos="9356"/>
      </w:tabs>
      <w:spacing w:before="20" w:after="20"/>
      <w:jc w:val="both"/>
    </w:pPr>
    <w:rPr>
      <w:i/>
      <w:sz w:val="16"/>
    </w:rPr>
  </w:style>
  <w:style w:type="character" w:customStyle="1" w:styleId="HeaderChar">
    <w:name w:val="Header Char"/>
    <w:basedOn w:val="DefaultParagraphFont"/>
    <w:link w:val="Header"/>
    <w:rsid w:val="0032669F"/>
    <w:rPr>
      <w:rFonts w:ascii="Arial" w:eastAsia="Times New Roman" w:hAnsi="Arial" w:cs="Times New Roman"/>
      <w:i/>
      <w:sz w:val="16"/>
      <w:szCs w:val="20"/>
      <w:lang w:eastAsia="en-AU"/>
    </w:rPr>
  </w:style>
  <w:style w:type="paragraph" w:styleId="Footer">
    <w:name w:val="footer"/>
    <w:basedOn w:val="Normal"/>
    <w:link w:val="FooterChar"/>
    <w:rsid w:val="00A0276C"/>
    <w:pPr>
      <w:pBdr>
        <w:top w:val="single" w:sz="2" w:space="4" w:color="auto"/>
      </w:pBdr>
      <w:tabs>
        <w:tab w:val="right" w:pos="9356"/>
      </w:tabs>
      <w:spacing w:before="80"/>
      <w:contextualSpacing/>
      <w:jc w:val="both"/>
    </w:pPr>
    <w:rPr>
      <w:b/>
      <w:i/>
      <w:sz w:val="16"/>
    </w:rPr>
  </w:style>
  <w:style w:type="character" w:customStyle="1" w:styleId="FooterChar">
    <w:name w:val="Footer Char"/>
    <w:basedOn w:val="DefaultParagraphFont"/>
    <w:link w:val="Footer"/>
    <w:rsid w:val="00A0276C"/>
    <w:rPr>
      <w:rFonts w:ascii="Arial" w:eastAsia="Times New Roman" w:hAnsi="Arial" w:cs="Times New Roman"/>
      <w:b/>
      <w:i/>
      <w:sz w:val="16"/>
      <w:szCs w:val="20"/>
      <w:lang w:eastAsia="en-AU"/>
    </w:rPr>
  </w:style>
  <w:style w:type="character" w:styleId="PageNumber">
    <w:name w:val="page number"/>
    <w:basedOn w:val="DefaultParagraphFont"/>
    <w:rsid w:val="00974BCE"/>
    <w:rPr>
      <w:rFonts w:ascii="Arial" w:hAnsi="Arial"/>
      <w:sz w:val="16"/>
    </w:rPr>
  </w:style>
  <w:style w:type="paragraph" w:styleId="BodyText">
    <w:name w:val="Body Text"/>
    <w:basedOn w:val="Normal"/>
    <w:link w:val="BodyTextChar"/>
    <w:rsid w:val="00974BCE"/>
    <w:pPr>
      <w:spacing w:line="302" w:lineRule="exact"/>
      <w:ind w:left="737"/>
      <w:jc w:val="both"/>
    </w:pPr>
  </w:style>
  <w:style w:type="character" w:customStyle="1" w:styleId="BodyTextChar">
    <w:name w:val="Body Text Char"/>
    <w:basedOn w:val="DefaultParagraphFont"/>
    <w:link w:val="BodyText"/>
    <w:rsid w:val="00974BCE"/>
    <w:rPr>
      <w:rFonts w:ascii="Arial" w:eastAsia="Times New Roman" w:hAnsi="Arial" w:cs="Times New Roman"/>
      <w:sz w:val="20"/>
      <w:szCs w:val="20"/>
      <w:lang w:eastAsia="en-AU"/>
    </w:rPr>
  </w:style>
  <w:style w:type="paragraph" w:styleId="Caption">
    <w:name w:val="caption"/>
    <w:basedOn w:val="Normal"/>
    <w:next w:val="Normal"/>
    <w:qFormat/>
    <w:rsid w:val="00974BCE"/>
    <w:pPr>
      <w:spacing w:before="120" w:after="120"/>
    </w:pPr>
    <w:rPr>
      <w:b/>
    </w:rPr>
  </w:style>
  <w:style w:type="paragraph" w:styleId="BodyText2">
    <w:name w:val="Body Text 2"/>
    <w:basedOn w:val="Normal"/>
    <w:link w:val="BodyText2Char"/>
    <w:rsid w:val="00974BCE"/>
    <w:pPr>
      <w:jc w:val="center"/>
    </w:pPr>
    <w:rPr>
      <w:b/>
      <w:sz w:val="24"/>
    </w:rPr>
  </w:style>
  <w:style w:type="character" w:customStyle="1" w:styleId="BodyText2Char">
    <w:name w:val="Body Text 2 Char"/>
    <w:basedOn w:val="DefaultParagraphFont"/>
    <w:link w:val="BodyText2"/>
    <w:rsid w:val="00974BCE"/>
    <w:rPr>
      <w:rFonts w:ascii="Arial" w:eastAsia="Times New Roman" w:hAnsi="Arial" w:cs="Times New Roman"/>
      <w:b/>
      <w:sz w:val="24"/>
      <w:szCs w:val="20"/>
      <w:lang w:eastAsia="en-AU"/>
    </w:rPr>
  </w:style>
  <w:style w:type="paragraph" w:styleId="BodyText3">
    <w:name w:val="Body Text 3"/>
    <w:basedOn w:val="Normal"/>
    <w:link w:val="BodyText3Char"/>
    <w:rsid w:val="00974BCE"/>
    <w:pPr>
      <w:spacing w:before="4" w:line="211" w:lineRule="exact"/>
      <w:jc w:val="both"/>
    </w:pPr>
  </w:style>
  <w:style w:type="character" w:customStyle="1" w:styleId="BodyText3Char">
    <w:name w:val="Body Text 3 Char"/>
    <w:basedOn w:val="DefaultParagraphFont"/>
    <w:link w:val="BodyText3"/>
    <w:rsid w:val="00974BCE"/>
    <w:rPr>
      <w:rFonts w:ascii="Arial" w:eastAsia="Times New Roman" w:hAnsi="Arial" w:cs="Times New Roman"/>
      <w:sz w:val="20"/>
      <w:szCs w:val="20"/>
      <w:lang w:eastAsia="en-AU"/>
    </w:rPr>
  </w:style>
  <w:style w:type="paragraph" w:styleId="BodyTextIndent">
    <w:name w:val="Body Text Indent"/>
    <w:basedOn w:val="Normal"/>
    <w:link w:val="BodyTextIndentChar"/>
    <w:rsid w:val="00974BCE"/>
    <w:pPr>
      <w:spacing w:before="60" w:after="60"/>
      <w:ind w:left="720"/>
      <w:jc w:val="both"/>
    </w:pPr>
  </w:style>
  <w:style w:type="character" w:customStyle="1" w:styleId="BodyTextIndentChar">
    <w:name w:val="Body Text Indent Char"/>
    <w:basedOn w:val="DefaultParagraphFont"/>
    <w:link w:val="BodyTextIndent"/>
    <w:rsid w:val="00974BCE"/>
    <w:rPr>
      <w:rFonts w:ascii="Arial" w:eastAsia="Times New Roman" w:hAnsi="Arial" w:cs="Times New Roman"/>
      <w:sz w:val="20"/>
      <w:szCs w:val="20"/>
      <w:lang w:eastAsia="en-AU"/>
    </w:rPr>
  </w:style>
  <w:style w:type="paragraph" w:styleId="TOC1">
    <w:name w:val="toc 1"/>
    <w:basedOn w:val="Normal"/>
    <w:next w:val="Normal"/>
    <w:autoRedefine/>
    <w:uiPriority w:val="39"/>
    <w:rsid w:val="00974BCE"/>
    <w:pPr>
      <w:tabs>
        <w:tab w:val="left" w:pos="567"/>
        <w:tab w:val="right" w:leader="dot" w:pos="9072"/>
      </w:tabs>
      <w:spacing w:before="120" w:after="60"/>
      <w:ind w:left="567" w:hanging="567"/>
    </w:pPr>
    <w:rPr>
      <w:b/>
      <w:caps/>
      <w:sz w:val="24"/>
    </w:rPr>
  </w:style>
  <w:style w:type="paragraph" w:styleId="TOC2">
    <w:name w:val="toc 2"/>
    <w:basedOn w:val="Normal"/>
    <w:next w:val="Normal"/>
    <w:autoRedefine/>
    <w:uiPriority w:val="39"/>
    <w:rsid w:val="00974BCE"/>
    <w:pPr>
      <w:tabs>
        <w:tab w:val="left" w:pos="993"/>
        <w:tab w:val="right" w:leader="dot" w:pos="9072"/>
      </w:tabs>
      <w:spacing w:before="20" w:after="20"/>
      <w:ind w:left="992" w:hanging="425"/>
      <w:contextualSpacing/>
    </w:pPr>
    <w:rPr>
      <w:b/>
      <w:smallCaps/>
      <w:sz w:val="22"/>
    </w:rPr>
  </w:style>
  <w:style w:type="paragraph" w:styleId="TOC3">
    <w:name w:val="toc 3"/>
    <w:basedOn w:val="Normal"/>
    <w:next w:val="Normal"/>
    <w:autoRedefine/>
    <w:uiPriority w:val="39"/>
    <w:rsid w:val="00974BCE"/>
    <w:pPr>
      <w:ind w:left="400"/>
    </w:pPr>
    <w:rPr>
      <w:rFonts w:ascii="Times New Roman" w:hAnsi="Times New Roman"/>
      <w:i/>
    </w:rPr>
  </w:style>
  <w:style w:type="paragraph" w:styleId="TOC4">
    <w:name w:val="toc 4"/>
    <w:basedOn w:val="Normal"/>
    <w:next w:val="Normal"/>
    <w:autoRedefine/>
    <w:semiHidden/>
    <w:rsid w:val="00974BCE"/>
    <w:pPr>
      <w:ind w:left="600"/>
    </w:pPr>
    <w:rPr>
      <w:rFonts w:ascii="Times New Roman" w:hAnsi="Times New Roman"/>
      <w:sz w:val="18"/>
    </w:rPr>
  </w:style>
  <w:style w:type="paragraph" w:styleId="TOC5">
    <w:name w:val="toc 5"/>
    <w:basedOn w:val="Normal"/>
    <w:next w:val="Normal"/>
    <w:autoRedefine/>
    <w:semiHidden/>
    <w:rsid w:val="00974BCE"/>
    <w:pPr>
      <w:ind w:left="800"/>
    </w:pPr>
    <w:rPr>
      <w:rFonts w:ascii="Times New Roman" w:hAnsi="Times New Roman"/>
      <w:sz w:val="18"/>
    </w:rPr>
  </w:style>
  <w:style w:type="paragraph" w:styleId="TOC6">
    <w:name w:val="toc 6"/>
    <w:basedOn w:val="Normal"/>
    <w:next w:val="Normal"/>
    <w:autoRedefine/>
    <w:semiHidden/>
    <w:rsid w:val="00974BCE"/>
    <w:pPr>
      <w:ind w:left="1000"/>
    </w:pPr>
    <w:rPr>
      <w:rFonts w:ascii="Times New Roman" w:hAnsi="Times New Roman"/>
      <w:sz w:val="18"/>
    </w:rPr>
  </w:style>
  <w:style w:type="paragraph" w:styleId="TOC7">
    <w:name w:val="toc 7"/>
    <w:basedOn w:val="Normal"/>
    <w:next w:val="Normal"/>
    <w:autoRedefine/>
    <w:semiHidden/>
    <w:rsid w:val="00974BCE"/>
    <w:pPr>
      <w:ind w:left="1200"/>
    </w:pPr>
    <w:rPr>
      <w:rFonts w:ascii="Times New Roman" w:hAnsi="Times New Roman"/>
      <w:sz w:val="18"/>
    </w:rPr>
  </w:style>
  <w:style w:type="paragraph" w:styleId="TOC8">
    <w:name w:val="toc 8"/>
    <w:basedOn w:val="Normal"/>
    <w:next w:val="Normal"/>
    <w:autoRedefine/>
    <w:semiHidden/>
    <w:rsid w:val="00974BCE"/>
    <w:pPr>
      <w:ind w:left="1400"/>
    </w:pPr>
    <w:rPr>
      <w:rFonts w:ascii="Times New Roman" w:hAnsi="Times New Roman"/>
      <w:sz w:val="18"/>
    </w:rPr>
  </w:style>
  <w:style w:type="paragraph" w:styleId="TOC9">
    <w:name w:val="toc 9"/>
    <w:basedOn w:val="Normal"/>
    <w:next w:val="Normal"/>
    <w:autoRedefine/>
    <w:semiHidden/>
    <w:rsid w:val="00974BCE"/>
    <w:pPr>
      <w:ind w:left="1600"/>
    </w:pPr>
    <w:rPr>
      <w:rFonts w:ascii="Times New Roman" w:hAnsi="Times New Roman"/>
      <w:sz w:val="18"/>
    </w:rPr>
  </w:style>
  <w:style w:type="paragraph" w:customStyle="1" w:styleId="hdg1">
    <w:name w:val="hdg 1"/>
    <w:basedOn w:val="Normal"/>
    <w:next w:val="hdg2"/>
    <w:rsid w:val="00974BCE"/>
    <w:pPr>
      <w:keepNext/>
      <w:keepLines/>
      <w:pageBreakBefore/>
      <w:spacing w:before="360" w:after="360"/>
    </w:pPr>
    <w:rPr>
      <w:rFonts w:ascii="MarkingPenHeavy" w:hAnsi="MarkingPenHeavy"/>
      <w:i/>
      <w:caps/>
      <w:snapToGrid w:val="0"/>
      <w:color w:val="808080"/>
      <w:kern w:val="64"/>
      <w:sz w:val="64"/>
      <w:lang w:eastAsia="en-US"/>
    </w:rPr>
  </w:style>
  <w:style w:type="paragraph" w:customStyle="1" w:styleId="hdg2">
    <w:name w:val="hdg 2"/>
    <w:basedOn w:val="Normal"/>
    <w:next w:val="hdg3"/>
    <w:rsid w:val="00974BCE"/>
    <w:pPr>
      <w:keepNext/>
      <w:keepLines/>
      <w:spacing w:before="240" w:after="240"/>
    </w:pPr>
    <w:rPr>
      <w:rFonts w:ascii="MarkingPenHeavy" w:hAnsi="MarkingPenHeavy"/>
      <w:i/>
      <w:caps/>
      <w:snapToGrid w:val="0"/>
      <w:color w:val="808080"/>
      <w:kern w:val="32"/>
      <w:sz w:val="32"/>
      <w:lang w:eastAsia="en-US"/>
    </w:rPr>
  </w:style>
  <w:style w:type="paragraph" w:customStyle="1" w:styleId="hdg3">
    <w:name w:val="hdg 3"/>
    <w:basedOn w:val="Normal"/>
    <w:next w:val="hdg4"/>
    <w:rsid w:val="00974BCE"/>
    <w:pPr>
      <w:keepNext/>
      <w:keepLines/>
      <w:tabs>
        <w:tab w:val="left" w:pos="622"/>
        <w:tab w:val="left" w:pos="1303"/>
        <w:tab w:val="left" w:pos="1773"/>
        <w:tab w:val="left" w:pos="2493"/>
        <w:tab w:val="left" w:pos="3213"/>
        <w:tab w:val="left" w:pos="3933"/>
        <w:tab w:val="left" w:pos="4653"/>
        <w:tab w:val="left" w:pos="5373"/>
        <w:tab w:val="left" w:pos="6093"/>
        <w:tab w:val="left" w:pos="6813"/>
        <w:tab w:val="left" w:pos="7533"/>
        <w:tab w:val="left" w:pos="8253"/>
        <w:tab w:val="left" w:pos="8973"/>
      </w:tabs>
      <w:spacing w:before="120" w:after="120"/>
    </w:pPr>
    <w:rPr>
      <w:b/>
      <w:snapToGrid w:val="0"/>
      <w:lang w:eastAsia="en-US"/>
    </w:rPr>
  </w:style>
  <w:style w:type="paragraph" w:customStyle="1" w:styleId="hdg4">
    <w:name w:val="hdg 4"/>
    <w:basedOn w:val="Normal"/>
    <w:next w:val="BodyText"/>
    <w:rsid w:val="00974BCE"/>
    <w:pPr>
      <w:keepNext/>
      <w:keepLines/>
      <w:spacing w:before="60" w:after="110"/>
      <w:ind w:left="709"/>
    </w:pPr>
    <w:rPr>
      <w:b/>
      <w:snapToGrid w:val="0"/>
      <w:u w:val="single"/>
      <w:lang w:eastAsia="en-US"/>
    </w:rPr>
  </w:style>
  <w:style w:type="paragraph" w:customStyle="1" w:styleId="Notes">
    <w:name w:val="Notes"/>
    <w:basedOn w:val="Normal"/>
    <w:next w:val="Normal"/>
    <w:rsid w:val="00974BCE"/>
    <w:rPr>
      <w:rFonts w:ascii="CG Times" w:hAnsi="CG Times"/>
      <w:sz w:val="18"/>
    </w:rPr>
  </w:style>
  <w:style w:type="paragraph" w:customStyle="1" w:styleId="bullets">
    <w:name w:val="bullets"/>
    <w:basedOn w:val="Normal"/>
    <w:next w:val="Normal"/>
    <w:rsid w:val="00974BCE"/>
    <w:pPr>
      <w:keepLines/>
      <w:numPr>
        <w:numId w:val="2"/>
      </w:numPr>
      <w:spacing w:before="120"/>
    </w:pPr>
    <w:rPr>
      <w:rFonts w:ascii="CG Times" w:hAnsi="CG Times"/>
      <w:sz w:val="22"/>
    </w:rPr>
  </w:style>
  <w:style w:type="paragraph" w:customStyle="1" w:styleId="Hdg40">
    <w:name w:val="Hdg4"/>
    <w:basedOn w:val="Heading3"/>
    <w:next w:val="Normal"/>
    <w:rsid w:val="00974BCE"/>
    <w:rPr>
      <w:i/>
      <w:caps w:val="0"/>
    </w:rPr>
  </w:style>
  <w:style w:type="paragraph" w:customStyle="1" w:styleId="a">
    <w:name w:val="_"/>
    <w:basedOn w:val="Normal"/>
    <w:rsid w:val="00974BCE"/>
    <w:pPr>
      <w:widowControl w:val="0"/>
      <w:spacing w:before="240" w:after="60"/>
      <w:ind w:left="720" w:hanging="720"/>
    </w:pPr>
    <w:rPr>
      <w:rFonts w:ascii="CG Times" w:hAnsi="CG Times"/>
      <w:snapToGrid w:val="0"/>
      <w:sz w:val="24"/>
      <w:lang w:val="en-US" w:eastAsia="en-US"/>
    </w:rPr>
  </w:style>
  <w:style w:type="paragraph" w:customStyle="1" w:styleId="Level1">
    <w:name w:val="Level 1"/>
    <w:basedOn w:val="Normal"/>
    <w:rsid w:val="00974BCE"/>
    <w:pPr>
      <w:widowControl w:val="0"/>
      <w:spacing w:before="240"/>
      <w:ind w:left="622" w:hanging="622"/>
    </w:pPr>
    <w:rPr>
      <w:rFonts w:ascii="CG Times" w:hAnsi="CG Times"/>
      <w:snapToGrid w:val="0"/>
      <w:sz w:val="24"/>
      <w:lang w:val="en-US" w:eastAsia="en-US"/>
    </w:rPr>
  </w:style>
  <w:style w:type="paragraph" w:customStyle="1" w:styleId="hdg5">
    <w:name w:val="hdg 5"/>
    <w:basedOn w:val="Normal"/>
    <w:next w:val="BlockText"/>
    <w:rsid w:val="00974BCE"/>
    <w:pPr>
      <w:widowControl w:val="0"/>
      <w:spacing w:before="120"/>
    </w:pPr>
    <w:rPr>
      <w:b/>
      <w:snapToGrid w:val="0"/>
      <w:lang w:val="en-US" w:eastAsia="en-US"/>
    </w:rPr>
  </w:style>
  <w:style w:type="paragraph" w:styleId="BlockText">
    <w:name w:val="Block Text"/>
    <w:basedOn w:val="Normal"/>
    <w:rsid w:val="00974BCE"/>
    <w:pPr>
      <w:spacing w:before="240" w:after="120"/>
      <w:ind w:left="1440" w:right="1440"/>
    </w:pPr>
    <w:rPr>
      <w:rFonts w:ascii="CG Times" w:hAnsi="CG Times"/>
      <w:sz w:val="22"/>
    </w:rPr>
  </w:style>
  <w:style w:type="paragraph" w:customStyle="1" w:styleId="hdr1">
    <w:name w:val="hdr1"/>
    <w:basedOn w:val="Notes"/>
    <w:next w:val="Normal"/>
    <w:rsid w:val="00974BCE"/>
    <w:rPr>
      <w:rFonts w:ascii="Arial" w:hAnsi="Arial"/>
      <w:b/>
      <w:sz w:val="24"/>
    </w:rPr>
  </w:style>
  <w:style w:type="paragraph" w:customStyle="1" w:styleId="Hdr2">
    <w:name w:val="Hdr 2"/>
    <w:basedOn w:val="Notes"/>
    <w:next w:val="Notes"/>
    <w:rsid w:val="00974BCE"/>
    <w:pPr>
      <w:spacing w:before="120"/>
      <w:jc w:val="right"/>
    </w:pPr>
    <w:rPr>
      <w:rFonts w:ascii="MarkingPenHeavy" w:hAnsi="MarkingPenHeavy"/>
      <w:i/>
      <w:kern w:val="28"/>
      <w:sz w:val="28"/>
    </w:rPr>
  </w:style>
  <w:style w:type="paragraph" w:styleId="BodyTextIndent2">
    <w:name w:val="Body Text Indent 2"/>
    <w:basedOn w:val="Normal"/>
    <w:link w:val="BodyTextIndent2Char"/>
    <w:rsid w:val="00974BCE"/>
    <w:pPr>
      <w:spacing w:before="60" w:after="60"/>
      <w:ind w:left="709"/>
    </w:pPr>
  </w:style>
  <w:style w:type="character" w:customStyle="1" w:styleId="BodyTextIndent2Char">
    <w:name w:val="Body Text Indent 2 Char"/>
    <w:basedOn w:val="DefaultParagraphFont"/>
    <w:link w:val="BodyTextIndent2"/>
    <w:rsid w:val="00974BCE"/>
    <w:rPr>
      <w:rFonts w:ascii="Arial" w:eastAsia="Times New Roman" w:hAnsi="Arial" w:cs="Times New Roman"/>
      <w:sz w:val="20"/>
      <w:szCs w:val="20"/>
      <w:lang w:eastAsia="en-AU"/>
    </w:rPr>
  </w:style>
  <w:style w:type="paragraph" w:styleId="FootnoteText">
    <w:name w:val="footnote text"/>
    <w:basedOn w:val="Normal"/>
    <w:link w:val="FootnoteTextChar"/>
    <w:semiHidden/>
    <w:rsid w:val="00974BCE"/>
    <w:pPr>
      <w:widowControl w:val="0"/>
    </w:pPr>
    <w:rPr>
      <w:rFonts w:ascii="Times New Roman" w:hAnsi="Times New Roman"/>
      <w:snapToGrid w:val="0"/>
      <w:lang w:val="en-US" w:eastAsia="en-US"/>
    </w:rPr>
  </w:style>
  <w:style w:type="character" w:customStyle="1" w:styleId="FootnoteTextChar">
    <w:name w:val="Footnote Text Char"/>
    <w:basedOn w:val="DefaultParagraphFont"/>
    <w:link w:val="FootnoteText"/>
    <w:semiHidden/>
    <w:rsid w:val="00974BCE"/>
    <w:rPr>
      <w:rFonts w:ascii="Times New Roman" w:eastAsia="Times New Roman" w:hAnsi="Times New Roman" w:cs="Times New Roman"/>
      <w:snapToGrid w:val="0"/>
      <w:sz w:val="20"/>
      <w:szCs w:val="20"/>
      <w:lang w:val="en-US"/>
    </w:rPr>
  </w:style>
  <w:style w:type="paragraph" w:styleId="BodyTextIndent3">
    <w:name w:val="Body Text Indent 3"/>
    <w:basedOn w:val="Normal"/>
    <w:link w:val="BodyTextIndent3Char"/>
    <w:rsid w:val="00974BCE"/>
    <w:pPr>
      <w:ind w:left="709"/>
      <w:jc w:val="both"/>
    </w:pPr>
    <w:rPr>
      <w:color w:val="FF0000"/>
    </w:rPr>
  </w:style>
  <w:style w:type="character" w:customStyle="1" w:styleId="BodyTextIndent3Char">
    <w:name w:val="Body Text Indent 3 Char"/>
    <w:basedOn w:val="DefaultParagraphFont"/>
    <w:link w:val="BodyTextIndent3"/>
    <w:rsid w:val="00974BCE"/>
    <w:rPr>
      <w:rFonts w:ascii="Arial" w:eastAsia="Times New Roman" w:hAnsi="Arial" w:cs="Times New Roman"/>
      <w:color w:val="FF0000"/>
      <w:sz w:val="20"/>
      <w:szCs w:val="20"/>
      <w:lang w:eastAsia="en-AU"/>
    </w:rPr>
  </w:style>
  <w:style w:type="paragraph" w:styleId="DocumentMap">
    <w:name w:val="Document Map"/>
    <w:basedOn w:val="Normal"/>
    <w:link w:val="DocumentMapChar"/>
    <w:semiHidden/>
    <w:rsid w:val="00974BCE"/>
    <w:pPr>
      <w:shd w:val="clear" w:color="auto" w:fill="000080"/>
    </w:pPr>
    <w:rPr>
      <w:rFonts w:ascii="Tahoma" w:hAnsi="Tahoma"/>
    </w:rPr>
  </w:style>
  <w:style w:type="character" w:customStyle="1" w:styleId="DocumentMapChar">
    <w:name w:val="Document Map Char"/>
    <w:basedOn w:val="DefaultParagraphFont"/>
    <w:link w:val="DocumentMap"/>
    <w:semiHidden/>
    <w:rsid w:val="00974BCE"/>
    <w:rPr>
      <w:rFonts w:ascii="Tahoma" w:eastAsia="Times New Roman" w:hAnsi="Tahoma" w:cs="Times New Roman"/>
      <w:sz w:val="20"/>
      <w:szCs w:val="20"/>
      <w:shd w:val="clear" w:color="auto" w:fill="000080"/>
      <w:lang w:eastAsia="en-AU"/>
    </w:rPr>
  </w:style>
  <w:style w:type="paragraph" w:styleId="BalloonText">
    <w:name w:val="Balloon Text"/>
    <w:basedOn w:val="Normal"/>
    <w:link w:val="BalloonTextChar"/>
    <w:semiHidden/>
    <w:rsid w:val="00974BCE"/>
    <w:rPr>
      <w:rFonts w:ascii="Tahoma" w:hAnsi="Tahoma" w:cs="Tahoma"/>
      <w:sz w:val="16"/>
      <w:szCs w:val="16"/>
    </w:rPr>
  </w:style>
  <w:style w:type="character" w:customStyle="1" w:styleId="BalloonTextChar">
    <w:name w:val="Balloon Text Char"/>
    <w:basedOn w:val="DefaultParagraphFont"/>
    <w:link w:val="BalloonText"/>
    <w:semiHidden/>
    <w:rsid w:val="00974BCE"/>
    <w:rPr>
      <w:rFonts w:ascii="Tahoma" w:eastAsia="Times New Roman" w:hAnsi="Tahoma" w:cs="Tahoma"/>
      <w:sz w:val="16"/>
      <w:szCs w:val="16"/>
      <w:lang w:eastAsia="en-AU"/>
    </w:rPr>
  </w:style>
  <w:style w:type="paragraph" w:customStyle="1" w:styleId="Table">
    <w:name w:val="Table"/>
    <w:basedOn w:val="BodyTextIndent3"/>
    <w:rsid w:val="00974BCE"/>
    <w:pPr>
      <w:spacing w:before="20" w:after="20"/>
      <w:ind w:left="0"/>
      <w:jc w:val="left"/>
    </w:pPr>
    <w:rPr>
      <w:snapToGrid w:val="0"/>
      <w:color w:val="auto"/>
      <w:sz w:val="18"/>
      <w:lang w:eastAsia="en-US"/>
    </w:rPr>
  </w:style>
  <w:style w:type="paragraph" w:customStyle="1" w:styleId="TableCen">
    <w:name w:val="Table Cen"/>
    <w:basedOn w:val="Table"/>
    <w:rsid w:val="00974BCE"/>
    <w:pPr>
      <w:jc w:val="center"/>
    </w:pPr>
  </w:style>
  <w:style w:type="paragraph" w:customStyle="1" w:styleId="TableHeadCen">
    <w:name w:val="Table Head Cen"/>
    <w:basedOn w:val="Normal"/>
    <w:rsid w:val="00974BCE"/>
    <w:pPr>
      <w:spacing w:before="40" w:after="40"/>
      <w:jc w:val="center"/>
    </w:pPr>
    <w:rPr>
      <w:b/>
      <w:sz w:val="18"/>
    </w:rPr>
  </w:style>
  <w:style w:type="paragraph" w:customStyle="1" w:styleId="CoverHeading">
    <w:name w:val="Cover Heading"/>
    <w:basedOn w:val="Normal"/>
    <w:rsid w:val="00974BCE"/>
    <w:pPr>
      <w:spacing w:before="240" w:after="120"/>
      <w:jc w:val="center"/>
      <w:outlineLvl w:val="0"/>
    </w:pPr>
    <w:rPr>
      <w:b/>
      <w:caps/>
      <w:sz w:val="24"/>
    </w:rPr>
  </w:style>
  <w:style w:type="paragraph" w:customStyle="1" w:styleId="BodyTextIndentDot">
    <w:name w:val="Body Text Indent Dot"/>
    <w:basedOn w:val="Normal"/>
    <w:rsid w:val="00974BCE"/>
    <w:pPr>
      <w:numPr>
        <w:numId w:val="3"/>
      </w:numPr>
      <w:spacing w:before="40" w:after="40"/>
      <w:jc w:val="both"/>
    </w:pPr>
  </w:style>
  <w:style w:type="paragraph" w:customStyle="1" w:styleId="BodyTextIndentBoldUnderline">
    <w:name w:val="Body Text Indent Bold Underline"/>
    <w:basedOn w:val="BodyTextIndent"/>
    <w:rsid w:val="00974BCE"/>
    <w:rPr>
      <w:b/>
      <w:u w:val="single"/>
    </w:rPr>
  </w:style>
  <w:style w:type="paragraph" w:customStyle="1" w:styleId="BodyTextIndentBold">
    <w:name w:val="Body Text Indent Bold"/>
    <w:basedOn w:val="BodyTextIndent"/>
    <w:link w:val="BodyTextIndentBoldChar"/>
    <w:rsid w:val="00974BCE"/>
    <w:pPr>
      <w:ind w:left="709"/>
    </w:pPr>
    <w:rPr>
      <w:b/>
    </w:rPr>
  </w:style>
  <w:style w:type="character" w:customStyle="1" w:styleId="BodyTextIndentBoldChar">
    <w:name w:val="Body Text Indent Bold Char"/>
    <w:basedOn w:val="DefaultParagraphFont"/>
    <w:link w:val="BodyTextIndentBold"/>
    <w:rsid w:val="00974BCE"/>
    <w:rPr>
      <w:rFonts w:ascii="Arial" w:eastAsia="Times New Roman" w:hAnsi="Arial" w:cs="Times New Roman"/>
      <w:b/>
      <w:sz w:val="20"/>
      <w:szCs w:val="20"/>
      <w:lang w:eastAsia="en-AU"/>
    </w:rPr>
  </w:style>
  <w:style w:type="paragraph" w:customStyle="1" w:styleId="BodyTextIndentNum">
    <w:name w:val="Body Text Indent Num"/>
    <w:basedOn w:val="BodyTextIndent"/>
    <w:rsid w:val="00974BCE"/>
    <w:pPr>
      <w:numPr>
        <w:numId w:val="4"/>
      </w:numPr>
      <w:tabs>
        <w:tab w:val="clear" w:pos="720"/>
        <w:tab w:val="num" w:pos="1080"/>
      </w:tabs>
      <w:ind w:left="1066" w:hanging="357"/>
    </w:pPr>
  </w:style>
  <w:style w:type="paragraph" w:customStyle="1" w:styleId="TableHead">
    <w:name w:val="Table Head"/>
    <w:basedOn w:val="TableHeadCen"/>
    <w:rsid w:val="00974BCE"/>
    <w:pPr>
      <w:jc w:val="left"/>
    </w:pPr>
  </w:style>
  <w:style w:type="paragraph" w:customStyle="1" w:styleId="BodyTextIndent9Num">
    <w:name w:val="Body Text Indent 9 Num"/>
    <w:basedOn w:val="Normal"/>
    <w:rsid w:val="00974BCE"/>
    <w:pPr>
      <w:numPr>
        <w:numId w:val="18"/>
      </w:numPr>
      <w:spacing w:before="40" w:after="40"/>
      <w:jc w:val="both"/>
    </w:pPr>
    <w:rPr>
      <w:sz w:val="18"/>
    </w:rPr>
  </w:style>
  <w:style w:type="paragraph" w:customStyle="1" w:styleId="BodyTextIndent9">
    <w:name w:val="Body Text Indent 9"/>
    <w:basedOn w:val="BodyTextIndent"/>
    <w:rsid w:val="00974BCE"/>
    <w:rPr>
      <w:sz w:val="18"/>
      <w:szCs w:val="18"/>
    </w:rPr>
  </w:style>
  <w:style w:type="paragraph" w:customStyle="1" w:styleId="TableDot">
    <w:name w:val="Table Dot"/>
    <w:basedOn w:val="Normal"/>
    <w:rsid w:val="00974BCE"/>
    <w:pPr>
      <w:numPr>
        <w:numId w:val="26"/>
      </w:numPr>
      <w:spacing w:before="20" w:after="20"/>
    </w:pPr>
    <w:rPr>
      <w:sz w:val="18"/>
    </w:rPr>
  </w:style>
  <w:style w:type="paragraph" w:customStyle="1" w:styleId="BodyTextIndentBoldItalicCen">
    <w:name w:val="Body Text Indent Bold Italic Cen"/>
    <w:basedOn w:val="BodyTextIndent"/>
    <w:rsid w:val="00974BCE"/>
    <w:pPr>
      <w:jc w:val="center"/>
    </w:pPr>
    <w:rPr>
      <w:b/>
      <w:i/>
    </w:rPr>
  </w:style>
  <w:style w:type="paragraph" w:customStyle="1" w:styleId="Default">
    <w:name w:val="Default"/>
    <w:rsid w:val="00974BCE"/>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TableIDNum">
    <w:name w:val="Table ID Num"/>
    <w:basedOn w:val="Normal"/>
    <w:qFormat/>
    <w:rsid w:val="00974BCE"/>
    <w:pPr>
      <w:spacing w:before="120" w:after="60"/>
      <w:ind w:left="709"/>
    </w:pPr>
    <w:rPr>
      <w:b/>
      <w:sz w:val="18"/>
    </w:rPr>
  </w:style>
  <w:style w:type="paragraph" w:styleId="NormalWeb">
    <w:name w:val="Normal (Web)"/>
    <w:basedOn w:val="Normal"/>
    <w:uiPriority w:val="99"/>
    <w:semiHidden/>
    <w:unhideWhenUsed/>
    <w:rsid w:val="00974BCE"/>
    <w:pPr>
      <w:spacing w:before="100" w:beforeAutospacing="1" w:after="100" w:afterAutospacing="1"/>
    </w:pPr>
    <w:rPr>
      <w:rFonts w:ascii="Times New Roman" w:eastAsiaTheme="minorEastAsia" w:hAnsi="Times New Roman"/>
      <w:sz w:val="24"/>
      <w:szCs w:val="24"/>
    </w:rPr>
  </w:style>
  <w:style w:type="table" w:styleId="TableGrid">
    <w:name w:val="Table Grid"/>
    <w:basedOn w:val="TableNormal"/>
    <w:uiPriority w:val="39"/>
    <w:rsid w:val="00446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33D8"/>
    <w:pPr>
      <w:ind w:left="720"/>
      <w:contextualSpacing/>
      <w:jc w:val="both"/>
    </w:pPr>
    <w:rPr>
      <w:lang w:val="en-GB"/>
    </w:rPr>
  </w:style>
  <w:style w:type="character" w:styleId="CommentReference">
    <w:name w:val="annotation reference"/>
    <w:basedOn w:val="DefaultParagraphFont"/>
    <w:uiPriority w:val="99"/>
    <w:semiHidden/>
    <w:unhideWhenUsed/>
    <w:rsid w:val="008218B4"/>
    <w:rPr>
      <w:sz w:val="16"/>
      <w:szCs w:val="16"/>
    </w:rPr>
  </w:style>
  <w:style w:type="paragraph" w:styleId="CommentText">
    <w:name w:val="annotation text"/>
    <w:basedOn w:val="Normal"/>
    <w:link w:val="CommentTextChar"/>
    <w:uiPriority w:val="99"/>
    <w:semiHidden/>
    <w:unhideWhenUsed/>
    <w:rsid w:val="008218B4"/>
  </w:style>
  <w:style w:type="character" w:customStyle="1" w:styleId="CommentTextChar">
    <w:name w:val="Comment Text Char"/>
    <w:basedOn w:val="DefaultParagraphFont"/>
    <w:link w:val="CommentText"/>
    <w:uiPriority w:val="99"/>
    <w:semiHidden/>
    <w:rsid w:val="008218B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8218B4"/>
    <w:rPr>
      <w:b/>
      <w:bCs/>
    </w:rPr>
  </w:style>
  <w:style w:type="character" w:customStyle="1" w:styleId="CommentSubjectChar">
    <w:name w:val="Comment Subject Char"/>
    <w:basedOn w:val="CommentTextChar"/>
    <w:link w:val="CommentSubject"/>
    <w:uiPriority w:val="99"/>
    <w:semiHidden/>
    <w:rsid w:val="008218B4"/>
    <w:rPr>
      <w:rFonts w:ascii="Arial" w:eastAsia="Times New Roman" w:hAnsi="Arial" w:cs="Times New Roman"/>
      <w:b/>
      <w:bCs/>
      <w:sz w:val="20"/>
      <w:szCs w:val="20"/>
      <w:lang w:eastAsia="en-AU"/>
    </w:rPr>
  </w:style>
  <w:style w:type="character" w:styleId="Hyperlink">
    <w:name w:val="Hyperlink"/>
    <w:basedOn w:val="DefaultParagraphFont"/>
    <w:uiPriority w:val="99"/>
    <w:semiHidden/>
    <w:unhideWhenUsed/>
    <w:rsid w:val="007B5C9A"/>
    <w:rPr>
      <w:color w:val="0000FF"/>
      <w:u w:val="single"/>
    </w:rPr>
  </w:style>
  <w:style w:type="paragraph" w:customStyle="1" w:styleId="TableDot2">
    <w:name w:val="Table Dot 2"/>
    <w:basedOn w:val="TableDot"/>
    <w:qFormat/>
    <w:rsid w:val="008508D1"/>
    <w:pPr>
      <w:tabs>
        <w:tab w:val="clear" w:pos="284"/>
        <w:tab w:val="num" w:pos="603"/>
      </w:tabs>
      <w:ind w:left="603"/>
    </w:pPr>
  </w:style>
  <w:style w:type="paragraph" w:customStyle="1" w:styleId="TableBold">
    <w:name w:val="Table Bold"/>
    <w:basedOn w:val="Table"/>
    <w:qFormat/>
    <w:rsid w:val="008F1587"/>
    <w:rPr>
      <w:b/>
    </w:rPr>
  </w:style>
  <w:style w:type="paragraph" w:styleId="Title">
    <w:name w:val="Title"/>
    <w:basedOn w:val="Normal"/>
    <w:next w:val="Normal"/>
    <w:link w:val="TitleChar"/>
    <w:uiPriority w:val="10"/>
    <w:qFormat/>
    <w:rsid w:val="000C6B0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6B01"/>
    <w:rPr>
      <w:rFonts w:asciiTheme="majorHAnsi" w:eastAsiaTheme="majorEastAsia" w:hAnsiTheme="majorHAnsi" w:cstheme="majorBidi"/>
      <w:spacing w:val="-10"/>
      <w:kern w:val="28"/>
      <w:sz w:val="56"/>
      <w:szCs w:val="56"/>
      <w:lang w:eastAsia="en-AU"/>
    </w:rPr>
  </w:style>
  <w:style w:type="paragraph" w:customStyle="1" w:styleId="BodyTextIndentDot2">
    <w:name w:val="Body Text Indent Dot 2"/>
    <w:basedOn w:val="BodyTextIndentDot"/>
    <w:next w:val="BodyTextIndent"/>
    <w:qFormat/>
    <w:rsid w:val="001D4923"/>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aemo.com.au/-/media/Files/Electricity/NEM/Retail_and_Metering/Metering-Procedures/NEM-Load-Tables-For-Unmetered-Connection-Points.pdf" TargetMode="External"/><Relationship Id="rId2" Type="http://schemas.openxmlformats.org/officeDocument/2006/relationships/customXml" Target="../customXml/item2.xml"/><Relationship Id="rId16" Type="http://schemas.openxmlformats.org/officeDocument/2006/relationships/hyperlink" Target="https://www.aemo.com.au/Electricity/National-Electricity-Market-NEM/Retail-and-metering/Metrology-Procedures-and-Unmetered-Load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aac26e5-4c41-468c-83b0-97e8e79a919c">
      <UserInfo>
        <DisplayName>Mary Mathews</DisplayName>
        <AccountId>19</AccountId>
        <AccountType/>
      </UserInfo>
      <UserInfo>
        <DisplayName>Scott Holland</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4759DF36F0AA4389DA09C5F5563F7A" ma:contentTypeVersion="13" ma:contentTypeDescription="Create a new document." ma:contentTypeScope="" ma:versionID="2a343a1d58e6b6c69583b5a9a4e9bd9c">
  <xsd:schema xmlns:xsd="http://www.w3.org/2001/XMLSchema" xmlns:xs="http://www.w3.org/2001/XMLSchema" xmlns:p="http://schemas.microsoft.com/office/2006/metadata/properties" xmlns:ns2="4f40705d-e7da-4f43-bdce-ad8c70b86017" xmlns:ns3="1aac26e5-4c41-468c-83b0-97e8e79a919c" targetNamespace="http://schemas.microsoft.com/office/2006/metadata/properties" ma:root="true" ma:fieldsID="d09cfc405056459efc46a7c79e238e2a" ns2:_="" ns3:_="">
    <xsd:import namespace="4f40705d-e7da-4f43-bdce-ad8c70b86017"/>
    <xsd:import namespace="1aac26e5-4c41-468c-83b0-97e8e79a91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0705d-e7da-4f43-bdce-ad8c70b860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c26e5-4c41-468c-83b0-97e8e79a91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6D952B-9D11-4A9B-81BC-8D035F141E70}">
  <ds:schemaRefs>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www.w3.org/XML/1998/namespace"/>
    <ds:schemaRef ds:uri="http://schemas.microsoft.com/office/infopath/2007/PartnerControls"/>
    <ds:schemaRef ds:uri="1aac26e5-4c41-468c-83b0-97e8e79a919c"/>
    <ds:schemaRef ds:uri="4f40705d-e7da-4f43-bdce-ad8c70b86017"/>
    <ds:schemaRef ds:uri="http://purl.org/dc/terms/"/>
  </ds:schemaRefs>
</ds:datastoreItem>
</file>

<file path=customXml/itemProps2.xml><?xml version="1.0" encoding="utf-8"?>
<ds:datastoreItem xmlns:ds="http://schemas.openxmlformats.org/officeDocument/2006/customXml" ds:itemID="{80392E9C-33B4-481B-B28C-8D8D91031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0705d-e7da-4f43-bdce-ad8c70b86017"/>
    <ds:schemaRef ds:uri="1aac26e5-4c41-468c-83b0-97e8e79a9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CE0229-0B71-4965-B1E0-74A5F7F2E4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11</Pages>
  <Words>2930</Words>
  <Characters>16701</Characters>
  <Application>Microsoft Office Word</Application>
  <DocSecurity>0</DocSecurity>
  <Lines>139</Lines>
  <Paragraphs>39</Paragraphs>
  <ScaleCrop>false</ScaleCrop>
  <Company/>
  <LinksUpToDate>false</LinksUpToDate>
  <CharactersWithSpaces>19592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Mathews</dc:creator>
  <cp:keywords/>
  <dc:description/>
  <cp:lastModifiedBy>David Brady</cp:lastModifiedBy>
  <cp:revision>121</cp:revision>
  <cp:lastPrinted>2019-08-19T05:43:00Z</cp:lastPrinted>
  <dcterms:created xsi:type="dcterms:W3CDTF">2019-08-20T01:34:00Z</dcterms:created>
  <dcterms:modified xsi:type="dcterms:W3CDTF">2021-11-17T22:17:00Z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0x010100F74759DF36F0AA4389DA09C5F5563F7A</vt:lpwstr>
  </property>
</Properties>
</file>